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snapToGrid/>
        <w:spacing w:line="560" w:lineRule="exact"/>
        <w:jc w:val="center"/>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重庆望变电气（集团）股份有限公司</w:t>
      </w:r>
    </w:p>
    <w:p>
      <w:pPr>
        <w:keepNext w:val="0"/>
        <w:keepLines w:val="0"/>
        <w:pageBreakBefore w:val="0"/>
        <w:kinsoku/>
        <w:wordWrap/>
        <w:overflowPunct/>
        <w:topLinePunct w:val="0"/>
        <w:bidi w:val="0"/>
        <w:adjustRightInd/>
        <w:snapToGrid/>
        <w:spacing w:line="560" w:lineRule="exact"/>
        <w:jc w:val="center"/>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商品期货套期保值业务管理制度</w:t>
      </w:r>
    </w:p>
    <w:p>
      <w:pPr>
        <w:keepNext w:val="0"/>
        <w:keepLines w:val="0"/>
        <w:pageBreakBefore w:val="0"/>
        <w:numPr>
          <w:ilvl w:val="0"/>
          <w:numId w:val="1"/>
        </w:numPr>
        <w:kinsoku/>
        <w:wordWrap/>
        <w:overflowPunct/>
        <w:topLinePunct w:val="0"/>
        <w:bidi w:val="0"/>
        <w:adjustRightInd/>
        <w:snapToGrid/>
        <w:spacing w:before="312" w:beforeLines="100" w:line="560" w:lineRule="exact"/>
        <w:jc w:val="center"/>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总则</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第一条</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为防范和规避原材料市场价格波动风险，充分发挥套期保值功能，规范重庆望变电气（集团）股份有限公司（以下简称“公司”）套期保值业务的决策、操作及管理程序，依据《中华人民共和国公司法》《中华人民共和国证券法》《上海证券交易所上市公司自律监管指引第5号--交易与关联交易》《上市公司信息披露管理办法》和《重庆望变电气（集团）股份有限公司公司章程》等相关法律、法规及规范性文件的规定，结合公司实际情况制定本制度。</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第二条</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本制度适用于公司及下属子公司（包含全资及控股子公司等）的商品期货套期保值业务，未经公司同意，公司下属子公司不得擅自操作商品期货套期保值业务。</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第三条</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本制度所称商品期货套期保值业务是指公司以规避生产经营中主要原材料及产成品价格波动所产生的风险为目的，进行境内期货交易所上市标准化期货合约的交易，降低原材料和产成品现货价格波动对公司正常生产经营的影响，保障公司业务稳步发展。</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第四条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公司进行商品期货套期保值业务的交易品种限于与公司生产经营相关的商品期货品种，目的是充分利用期货市场的套期保值功能，减少公司因原材料、产品价格波动对经营成果造成的影响。</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第五条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公司从事期货套期保值业务，应遵循以下原则：</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（一）公司不得从事以投机为目的的衍生品交易；</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（二）公司进行套期保值的数量原则上不得超过实际现货贸易的数量，持仓时间应与现货保值所需的计价期相匹配。</w:t>
      </w:r>
    </w:p>
    <w:p>
      <w:pPr>
        <w:pStyle w:val="3"/>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（三）公司应具有与套期保值保证金相匹配的自有资金，不得使用募集资金直接或间接进行套期保值业务。公司应严格控制套期保值业务的资金规模，不得影响公司正常经营。</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（四）套期保值相关的交易账户应由公司及子公司以其法人名义开立，不得使用他人账户进行套期保值业务。</w:t>
      </w:r>
    </w:p>
    <w:p>
      <w:pPr>
        <w:keepNext w:val="0"/>
        <w:keepLines w:val="0"/>
        <w:pageBreakBefore w:val="0"/>
        <w:numPr>
          <w:ilvl w:val="0"/>
          <w:numId w:val="1"/>
        </w:numPr>
        <w:kinsoku/>
        <w:wordWrap/>
        <w:overflowPunct/>
        <w:topLinePunct w:val="0"/>
        <w:bidi w:val="0"/>
        <w:adjustRightInd/>
        <w:snapToGrid/>
        <w:spacing w:before="156" w:beforeLines="50" w:line="560" w:lineRule="exact"/>
        <w:jc w:val="center"/>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审批权限</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第六条</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公司股东会是期货套期保值业务的最高决策机构。公司董事会在股东会授权范围内行使审批权限，并开展具体业务的管理工作。期货套期保值年度计划的制定与修改必须经董事会批准。</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第七条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公司董事会审批公司套期保值业务计划，每次批复的有效期限不得超过12个月。相关额度的使用期限不应超过12个月，公司应当在取得的审批授权资金规模内开展期货套期保值业务，不得影响公司正常经营。</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第八条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公司套期保值业务交易属于下列情形之一的，应当在董事会审议通过后提交股东会审议：</w:t>
      </w:r>
    </w:p>
    <w:p>
      <w:pPr>
        <w:keepNext w:val="0"/>
        <w:keepLines w:val="0"/>
        <w:pageBreakBefore w:val="0"/>
        <w:numPr>
          <w:ilvl w:val="0"/>
          <w:numId w:val="2"/>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预计动用的交易保证金和权利金上限（包括为交易而提供的担保物价值、预计占用的金融机构授信额度、为应急措施所预留的保证金等，下同）占公司最近一期经审计净利润的50%以上，且绝对金额超过500万元人民币；</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（二）预计任一交易日持有的最高合约价值占公司最近一期经审计净资产的50%以上，且绝对金额超过5000万元人民币；</w:t>
      </w:r>
    </w:p>
    <w:p>
      <w:pPr>
        <w:keepNext w:val="0"/>
        <w:keepLines w:val="0"/>
        <w:pageBreakBefore w:val="0"/>
        <w:numPr>
          <w:ilvl w:val="0"/>
          <w:numId w:val="1"/>
        </w:numPr>
        <w:kinsoku/>
        <w:wordWrap/>
        <w:overflowPunct/>
        <w:topLinePunct w:val="0"/>
        <w:bidi w:val="0"/>
        <w:adjustRightInd/>
        <w:snapToGrid/>
        <w:spacing w:before="156" w:beforeLines="50" w:line="560" w:lineRule="exact"/>
        <w:jc w:val="center"/>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组织机构及业务流程</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第九条</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公司成立套期保值管理委员会（以下简称“套保委员会”）行使套期保值业务管理职责。套保委员会人员包括董事长，财务部部长，财务部总监，供应链管理部部长，供应链管理部总监，审计部负责人，证券投资部门负责人和董秘等，其职责为：</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（一）建立健全公司期货套期保值业务相关制度，并组织贯彻实施，对公司套期保值业务进行全面管理；</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（二）审批期货套期保值年度计划并提交董事会审议；</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（三）审批授权范围内的套期保值业务方案和交割方案；</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（四）套期保值业务突发风险的应急处理；</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（五）负责召开期货套期保值业务会议，听取各业务部门工作报告，向董事会汇报公司期货套期保值业务开展情况；</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（六）负责对公司开展的期货套期保值业务进行监督管理，对公司期货套期保值的风险进行管理控制；</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（七）行使董事会授予的其他权利。</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第十条</w:t>
      </w:r>
      <w:r>
        <w:rPr>
          <w:rFonts w:hint="eastAsia" w:ascii="宋体" w:hAnsi="宋体" w:eastAsia="宋体" w:cs="宋体"/>
          <w:color w:val="131313"/>
          <w:sz w:val="24"/>
          <w:szCs w:val="24"/>
          <w:highlight w:val="none"/>
          <w:shd w:val="clear" w:color="auto" w:fill="FFFFFF"/>
        </w:rPr>
        <w:t xml:space="preserve"> </w:t>
      </w:r>
      <w:r>
        <w:rPr>
          <w:rFonts w:hint="eastAsia" w:ascii="宋体" w:hAnsi="宋体" w:eastAsia="宋体" w:cs="宋体"/>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套期保值委员会下设套期保值操作小组，由采购部、营销中心、证券投资部、供应链管理部、财务部和审计部组成。各部门具体职责如下：</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（一）财务部门：</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（1）对套期保值业务所需资金进行统筹管理，办理套期保值账户出入金手续，并按程序审批到位；</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（2）对套期保值账户资金变化情况及盈亏情况、持仓情况等进行监控，监控账户资金安全；</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（3）核对采购部、营销中心上报的现货风险敞口数据，检验头寸和实际现货业务匹配度，检查是否存在超额套保；</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（4）按月</w:t>
      </w:r>
      <w:r>
        <w:rPr>
          <w:rFonts w:hint="eastAsia" w:ascii="宋体" w:hAnsi="宋体" w:eastAsia="宋体" w:cs="宋体"/>
          <w:color w:val="131313"/>
          <w:sz w:val="24"/>
          <w:szCs w:val="24"/>
          <w:highlight w:val="none"/>
          <w:shd w:val="clear" w:color="auto" w:fill="FFFFFF"/>
          <w:lang w:eastAsia="zh-CN"/>
        </w:rPr>
        <w:t>制</w:t>
      </w:r>
      <w:r>
        <w:rPr>
          <w:rFonts w:hint="eastAsia" w:ascii="宋体" w:hAnsi="宋体" w:eastAsia="宋体" w:cs="宋体"/>
          <w:color w:val="131313"/>
          <w:sz w:val="24"/>
          <w:szCs w:val="24"/>
          <w:highlight w:val="none"/>
          <w:shd w:val="clear" w:color="auto" w:fill="FFFFFF"/>
          <w:lang w:val="en-US" w:eastAsia="zh-CN"/>
        </w:rPr>
        <w:t>作</w:t>
      </w:r>
      <w:r>
        <w:rPr>
          <w:rFonts w:hint="eastAsia" w:ascii="宋体" w:hAnsi="宋体" w:eastAsia="宋体" w:cs="宋体"/>
          <w:color w:val="131313"/>
          <w:sz w:val="24"/>
          <w:szCs w:val="24"/>
          <w:highlight w:val="none"/>
          <w:shd w:val="clear" w:color="auto" w:fill="FFFFFF"/>
        </w:rPr>
        <w:t>套保业务专项报</w:t>
      </w:r>
      <w:r>
        <w:rPr>
          <w:rFonts w:hint="eastAsia" w:ascii="宋体" w:hAnsi="宋体" w:eastAsia="宋体" w:cs="宋体"/>
          <w:sz w:val="24"/>
          <w:szCs w:val="24"/>
          <w:highlight w:val="none"/>
          <w:shd w:val="clear" w:color="auto" w:fill="FFFFFF"/>
        </w:rPr>
        <w:t>表，包含持仓数量、浮动盈亏、累计盈亏、保证金占用、对冲敞口、套保效果，上报套保委员会；</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sz w:val="24"/>
          <w:szCs w:val="24"/>
          <w:highlight w:val="none"/>
          <w:shd w:val="clear" w:color="auto" w:fill="FFFFFF"/>
        </w:rPr>
      </w:pPr>
      <w:r>
        <w:rPr>
          <w:rFonts w:hint="eastAsia" w:ascii="宋体" w:hAnsi="宋体" w:eastAsia="宋体" w:cs="宋体"/>
          <w:sz w:val="24"/>
          <w:szCs w:val="24"/>
          <w:highlight w:val="none"/>
          <w:shd w:val="clear" w:color="auto" w:fill="FFFFFF"/>
        </w:rPr>
        <w:t>（5）根据《企业会计准则第24号—套期会计》规定，负责套期关系指定、日常账务处理、套期有效性测试及资料归档工作；</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（二）供应链管理部门：</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（1）根据采购部与营销中心提供的采购数据、在手订单数据、投标情况，结合现货具体情况和市场价格行情，制定套期保值业务方案，报套保委员会审批，组织落实套期保值业务；</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（2）负责套期保值账户开户，签订套期保值账户开户合同，并按照公司程序审批到位；</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（3）负责期货交易账户信息的保管，交易软件的维护，交易账户的实时监控，预防风险，并在风险事件发生时立即向套保委员会汇报；</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（4）根据市场变化情况，及时提出套期保值业务方案调整建议；</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（5）负责向套保委员会报告公司套期保值业务交易情况；</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（6）与期货公司和交易所保持密切沟通，实施仓单处置、实物交割等事项的操作；</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（7）计划实物交割时，</w:t>
      </w:r>
      <w:r>
        <w:rPr>
          <w:rFonts w:hint="eastAsia" w:ascii="宋体" w:hAnsi="宋体" w:eastAsia="宋体" w:cs="宋体"/>
          <w:color w:val="131313"/>
          <w:sz w:val="24"/>
          <w:szCs w:val="24"/>
          <w:highlight w:val="none"/>
          <w:shd w:val="clear" w:color="auto" w:fill="FFFFFF"/>
          <w:lang w:eastAsia="zh-CN"/>
        </w:rPr>
        <w:t>制定</w:t>
      </w:r>
      <w:r>
        <w:rPr>
          <w:rFonts w:hint="eastAsia" w:ascii="宋体" w:hAnsi="宋体" w:eastAsia="宋体" w:cs="宋体"/>
          <w:color w:val="131313"/>
          <w:sz w:val="24"/>
          <w:szCs w:val="24"/>
          <w:highlight w:val="none"/>
          <w:shd w:val="clear" w:color="auto" w:fill="FFFFFF"/>
        </w:rPr>
        <w:t>制订交割方案报套期保值委员会审批。</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（8）完成套保委员会布置的其他工作事项。</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（三）营销中心：报送在手订单数据、投标数据，每周按照订单统计模板汇总数据发送给供应链管理部。</w:t>
      </w:r>
    </w:p>
    <w:p>
      <w:pPr>
        <w:pStyle w:val="3"/>
        <w:keepNext w:val="0"/>
        <w:keepLines w:val="0"/>
        <w:pageBreakBefore w:val="0"/>
        <w:tabs>
          <w:tab w:val="left" w:pos="2215"/>
        </w:tabs>
        <w:kinsoku/>
        <w:wordWrap/>
        <w:overflowPunct/>
        <w:topLinePunct w:val="0"/>
        <w:autoSpaceDE w:val="0"/>
        <w:autoSpaceDN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（四）采购部门：报送采购计划和订单执行数据，根据需求制定采购计划，周度汇总本周采购数量和下周采购计划给供应链管理部。</w:t>
      </w:r>
    </w:p>
    <w:p>
      <w:pPr>
        <w:keepNext w:val="0"/>
        <w:keepLines w:val="0"/>
        <w:pageBreakBefore w:val="0"/>
        <w:widowControl/>
        <w:numPr>
          <w:ilvl w:val="255"/>
          <w:numId w:val="0"/>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（五）审计部门：定期对套期保值业务进行专项审计。</w:t>
      </w:r>
    </w:p>
    <w:p>
      <w:pPr>
        <w:keepNext w:val="0"/>
        <w:keepLines w:val="0"/>
        <w:pageBreakBefore w:val="0"/>
        <w:widowControl/>
        <w:numPr>
          <w:ilvl w:val="255"/>
          <w:numId w:val="0"/>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（六）证券投资部门：负责按照有关法律法规要求及时披露信息，负责与监管机构的沟通工作。</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第十一条</w:t>
      </w:r>
      <w:r>
        <w:rPr>
          <w:rFonts w:hint="eastAsia" w:ascii="宋体" w:hAnsi="宋体" w:eastAsia="宋体" w:cs="宋体"/>
          <w:color w:val="131313"/>
          <w:sz w:val="24"/>
          <w:szCs w:val="24"/>
          <w:highlight w:val="none"/>
          <w:shd w:val="clear" w:color="auto" w:fill="FFFFFF"/>
        </w:rPr>
        <w:t xml:space="preserve"> </w:t>
      </w:r>
      <w:r>
        <w:rPr>
          <w:rFonts w:hint="eastAsia" w:ascii="宋体" w:hAnsi="宋体" w:eastAsia="宋体" w:cs="宋体"/>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套期保值业务内部操作流程如下：</w:t>
      </w:r>
    </w:p>
    <w:p>
      <w:pPr>
        <w:keepNext w:val="0"/>
        <w:keepLines w:val="0"/>
        <w:pageBreakBefore w:val="0"/>
        <w:numPr>
          <w:ilvl w:val="0"/>
          <w:numId w:val="3"/>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营销中心每周汇总并报送在手订单数量及项目投标情况给供应链管理部门；采购部根据需求制定采购计划，周度汇总本周采购数量和下周采购计划给供应链管理部门。</w:t>
      </w:r>
    </w:p>
    <w:p>
      <w:pPr>
        <w:keepNext w:val="0"/>
        <w:keepLines w:val="0"/>
        <w:pageBreakBefore w:val="0"/>
        <w:numPr>
          <w:ilvl w:val="0"/>
          <w:numId w:val="3"/>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供应链管理部综合评估公司套保需求，根据现货需求和公司库存情况，分析相关商品价格的变动趋势，收集各方来源信息，制定套期保值业务方案，提出套期保值业务申请，按审批权限报送套保委员会，批准后方可实施。</w:t>
      </w:r>
    </w:p>
    <w:p>
      <w:pPr>
        <w:keepNext w:val="0"/>
        <w:keepLines w:val="0"/>
        <w:pageBreakBefore w:val="0"/>
        <w:numPr>
          <w:ilvl w:val="0"/>
          <w:numId w:val="3"/>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资金主管岗根据已批准的套期保值方案及套期保值资金需求执行期货账户资金调拨或划转，按照公司资金管理规定审批并办理。</w:t>
      </w:r>
    </w:p>
    <w:p>
      <w:pPr>
        <w:keepNext w:val="0"/>
        <w:keepLines w:val="0"/>
        <w:pageBreakBefore w:val="0"/>
        <w:numPr>
          <w:ilvl w:val="0"/>
          <w:numId w:val="3"/>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交易岗根据已批准的套期保值方案，选择合适时机进行套期保值业务交易，每天将期货账户成交、持仓、盈亏情况进行记录登记管理并报备套保委员会。</w:t>
      </w:r>
    </w:p>
    <w:p>
      <w:pPr>
        <w:keepNext w:val="0"/>
        <w:keepLines w:val="0"/>
        <w:pageBreakBefore w:val="0"/>
        <w:numPr>
          <w:ilvl w:val="0"/>
          <w:numId w:val="3"/>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总账会计岗根据结算单进行套期保值业务会计核算处理。</w:t>
      </w:r>
    </w:p>
    <w:p>
      <w:pPr>
        <w:keepNext w:val="0"/>
        <w:keepLines w:val="0"/>
        <w:pageBreakBefore w:val="0"/>
        <w:numPr>
          <w:ilvl w:val="0"/>
          <w:numId w:val="3"/>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审计部检查交易是否符合套期保值方案，监督管理套期保值业务流程</w:t>
      </w:r>
      <w:r>
        <w:rPr>
          <w:rFonts w:hint="eastAsia" w:ascii="宋体" w:hAnsi="宋体" w:eastAsia="宋体" w:cs="宋体"/>
          <w:sz w:val="24"/>
          <w:szCs w:val="24"/>
          <w:highlight w:val="none"/>
          <w:shd w:val="clear" w:color="auto" w:fill="FFFFFF"/>
        </w:rPr>
        <w:t>。</w:t>
      </w:r>
    </w:p>
    <w:p>
      <w:pPr>
        <w:keepNext w:val="0"/>
        <w:keepLines w:val="0"/>
        <w:pageBreakBefore w:val="0"/>
        <w:numPr>
          <w:ilvl w:val="0"/>
          <w:numId w:val="3"/>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套保委员会进行套保效果评估并提出优化建议。</w:t>
      </w:r>
    </w:p>
    <w:p>
      <w:pPr>
        <w:keepNext w:val="0"/>
        <w:keepLines w:val="0"/>
        <w:pageBreakBefore w:val="0"/>
        <w:numPr>
          <w:ilvl w:val="0"/>
          <w:numId w:val="3"/>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交易岗对套期保值业务相关文件进行收集、整理和归档。</w:t>
      </w:r>
    </w:p>
    <w:p>
      <w:pPr>
        <w:keepNext w:val="0"/>
        <w:keepLines w:val="0"/>
        <w:pageBreakBefore w:val="0"/>
        <w:widowControl/>
        <w:numPr>
          <w:ilvl w:val="255"/>
          <w:numId w:val="0"/>
        </w:numPr>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第十二条</w:t>
      </w:r>
      <w:r>
        <w:rPr>
          <w:rFonts w:hint="eastAsia" w:ascii="宋体" w:hAnsi="宋体" w:eastAsia="宋体" w:cs="宋体"/>
          <w:color w:val="131313"/>
          <w:sz w:val="24"/>
          <w:szCs w:val="24"/>
          <w:highlight w:val="none"/>
          <w:shd w:val="clear" w:color="auto" w:fill="FFFFFF"/>
        </w:rPr>
        <w:t xml:space="preserve"> </w:t>
      </w:r>
      <w:r>
        <w:rPr>
          <w:rFonts w:hint="eastAsia" w:ascii="宋体" w:hAnsi="宋体" w:eastAsia="宋体" w:cs="宋体"/>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套期保值业务若涉及实物交割的操作，供应链管理部应事先联系期货经纪公司，与采购、营销中心对实物交割的可行性、交割成本进行分析，同时财务部门进行资金充足性评估及税务影响分析，由供应链管理部向套保委员会提交交割方案，获批后方可执行。</w:t>
      </w:r>
    </w:p>
    <w:p>
      <w:pPr>
        <w:keepNext w:val="0"/>
        <w:keepLines w:val="0"/>
        <w:pageBreakBefore w:val="0"/>
        <w:numPr>
          <w:ilvl w:val="0"/>
          <w:numId w:val="1"/>
        </w:numPr>
        <w:kinsoku/>
        <w:wordWrap/>
        <w:overflowPunct/>
        <w:topLinePunct w:val="0"/>
        <w:bidi w:val="0"/>
        <w:adjustRightInd/>
        <w:snapToGrid/>
        <w:spacing w:before="156" w:beforeLines="50" w:line="560" w:lineRule="exact"/>
        <w:jc w:val="center"/>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报告制度</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第十三条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供应链管理部定期向套期保值委员会汇报套期保值方案执行情况。</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color w:val="131313"/>
          <w:sz w:val="24"/>
          <w:szCs w:val="24"/>
          <w:highlight w:val="none"/>
          <w:shd w:val="clear" w:color="auto" w:fill="FFFFFF"/>
        </w:rPr>
        <w:t>汇报内容至少应包括：实际套保建仓累计情况与年度套保计划对比情况，当月套保方案现货采购情况及期货平仓情况，当月展期合约展期执行情况等。</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第十四条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供应链管理部定期向套期保值委员会汇报套期保值方案调整（如有）。</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供应链管理部根据近期采购计划和订单执行数据与实际已建仓套保情况对比，如出现已套保数量超近期采购计划20%的情况，超出部分需重新指定套保关系，出具新的套期保值业务方案并履行审批程序。</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第十五条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财务部定期向套期保值委员会汇报上月套期保值资金使用情况及套保有效性评价。</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汇报内容至少应包括：本期平仓盈亏，本期有效套保、无效套保确认金额，套期储备结存金额，套期保值有效性评价比率、保证金占用情况，投入金额等。</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套期保值业务相关数据的核算口径，具体如下：</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期货盈亏额=（期货平仓价格-期货开仓价格）×有效套保数量；</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现货盈亏额=（现货实际采购定价-期货首笔开仓当日现货单价）*有效套保数量</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有效套保金额=min（丨期货盈亏额丨，丨现货盈亏额丨）</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套期保值有效性评价=有效套保金额÷期货总盈亏额×100%</w:t>
      </w:r>
    </w:p>
    <w:p>
      <w:pPr>
        <w:keepNext w:val="0"/>
        <w:keepLines w:val="0"/>
        <w:pageBreakBefore w:val="0"/>
        <w:numPr>
          <w:ilvl w:val="0"/>
          <w:numId w:val="1"/>
        </w:numPr>
        <w:kinsoku/>
        <w:wordWrap/>
        <w:overflowPunct/>
        <w:topLinePunct w:val="0"/>
        <w:bidi w:val="0"/>
        <w:adjustRightInd/>
        <w:snapToGrid/>
        <w:spacing w:before="156" w:beforeLines="50" w:line="560" w:lineRule="exact"/>
        <w:jc w:val="center"/>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授权制度</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sz w:val="24"/>
          <w:szCs w:val="24"/>
          <w:highlight w:val="none"/>
        </w:rPr>
      </w:pPr>
      <w:r>
        <w:rPr>
          <w:rFonts w:hint="eastAsia" w:ascii="宋体" w:hAnsi="宋体" w:eastAsia="宋体" w:cs="宋体"/>
          <w:b/>
          <w:bCs/>
          <w:color w:val="131313"/>
          <w:sz w:val="24"/>
          <w:szCs w:val="24"/>
          <w:highlight w:val="none"/>
          <w:shd w:val="clear" w:color="auto" w:fill="FFFFFF"/>
        </w:rPr>
        <w:t xml:space="preserve">第十六条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公司与期货公司订立的开户合同应按公司有关合同管理规定及程序审核后，由公司法定代表人或经法定代表人授权的人员签署。如因各种原因造成被授权人的变动，授予权限应即时予以调整，并应立即由授权人通知业务相关各方，被授权人自通知之时起，不再享有原授权书授予的一切权利。</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第十七条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公司对交易操作实行授权管理，由公司统一向期货公司出具指令下达、资金调拨、交易结果确认人员的授权文件。</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第十八条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各项期货业务必须严格限定在经批准的期货计划内进行，不得超范围操作。公司套期保值管理委员会负责依照本制度开展的套期保值业务的决策和审批工作。</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第十九条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被授权人员应当在授权书载明的权利范围内诚实并善意地行使该权利。只有授权书载明的被授权人才能行使该授权书所列权利。</w:t>
      </w:r>
    </w:p>
    <w:p>
      <w:pPr>
        <w:keepNext w:val="0"/>
        <w:keepLines w:val="0"/>
        <w:pageBreakBefore w:val="0"/>
        <w:numPr>
          <w:ilvl w:val="0"/>
          <w:numId w:val="1"/>
        </w:numPr>
        <w:kinsoku/>
        <w:wordWrap/>
        <w:overflowPunct/>
        <w:topLinePunct w:val="0"/>
        <w:bidi w:val="0"/>
        <w:adjustRightInd/>
        <w:snapToGrid/>
        <w:spacing w:before="156" w:beforeLines="50" w:line="560" w:lineRule="exact"/>
        <w:jc w:val="center"/>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风险管理制度</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第二十条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公司在开展套期保值业务之前，应充分考虑、评估可能出现的各种风险因素，制定切实可行的风险控制措施，操作过程中执行、管理、风控部门严密监控、严防风险，出现风险及时处理。</w:t>
      </w:r>
    </w:p>
    <w:p>
      <w:pPr>
        <w:pStyle w:val="3"/>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第二十一条 </w:t>
      </w:r>
      <w:r>
        <w:rPr>
          <w:rFonts w:hint="eastAsia"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公司在开展套期保值业务前须谨慎选择具有金融衍生品业务经营资格的金融机构进行交易。优先选择优等信用评级、实力雄厚、服务能力突出的交易金融机构。</w:t>
      </w:r>
    </w:p>
    <w:p>
      <w:pPr>
        <w:pStyle w:val="3"/>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sz w:val="24"/>
          <w:szCs w:val="24"/>
          <w:highlight w:val="none"/>
        </w:rPr>
      </w:pPr>
      <w:r>
        <w:rPr>
          <w:rFonts w:hint="eastAsia" w:ascii="宋体" w:hAnsi="宋体" w:eastAsia="宋体" w:cs="宋体"/>
          <w:b/>
          <w:bCs/>
          <w:color w:val="131313"/>
          <w:sz w:val="24"/>
          <w:szCs w:val="24"/>
          <w:highlight w:val="none"/>
          <w:shd w:val="clear" w:color="auto" w:fill="FFFFFF"/>
        </w:rPr>
        <w:t xml:space="preserve">第二十二条 </w:t>
      </w:r>
      <w:r>
        <w:rPr>
          <w:rFonts w:hint="eastAsia"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公司应定期或不定期地对套期保值业务进行检查，监督套期保值业务人员执行风险管理政策和风险管理工作程序，及时防范业务中的操作风险。</w:t>
      </w:r>
    </w:p>
    <w:p>
      <w:pPr>
        <w:pStyle w:val="3"/>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第二十三条 </w:t>
      </w:r>
      <w:r>
        <w:rPr>
          <w:rFonts w:hint="eastAsia"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当发现以下风险情况时，套保委员会应立即向董事会报告：</w:t>
      </w:r>
    </w:p>
    <w:p>
      <w:pPr>
        <w:pStyle w:val="3"/>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（一）套期保值有关业务人员违反风险管理政策和风险管理工作程序；</w:t>
      </w:r>
    </w:p>
    <w:p>
      <w:pPr>
        <w:pStyle w:val="3"/>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（二）套期保值经纪或代理机构或金融机构的资信情况发生重大负向变化或不符合公司的要求；</w:t>
      </w:r>
    </w:p>
    <w:p>
      <w:pPr>
        <w:pStyle w:val="3"/>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（三）公司的具体套期保值业务方案不符合有关规定；</w:t>
      </w:r>
    </w:p>
    <w:p>
      <w:pPr>
        <w:pStyle w:val="3"/>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（四）套期保值业务人员的交易行为不符合套期保值业务方案；</w:t>
      </w:r>
    </w:p>
    <w:p>
      <w:pPr>
        <w:pStyle w:val="3"/>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（五）公司套期保值业务头寸的风险状况影响到套期保值业务过程的正常进行或影响公司整体财务安全；</w:t>
      </w:r>
    </w:p>
    <w:p>
      <w:pPr>
        <w:pStyle w:val="3"/>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（六）公司套期保值业务出现或将出现重大违法或违规风险。</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第二十四条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风险及应对</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1.政策风险：套期保值预案应尽可能分析政策面可能发生的变化和影响，并提出应对策略；当政策风险显现时，应及时提出应对方案。</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2.市场风险：套期保值预案应从基本面、技术面、信息面等方面分析市场潜在的风险，谨慎选择期货合约、套保量和操作策略；</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3.基差风险：套期保值预案应在对基差历史数据分析的基础上，测算因基差波动可能产生的风险，并合理利用基差水平，调整套期保值比例，优化套期保值效果。</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4.资金风险：套期保值预案应充分考虑期货合约价格波动幅度，设置合理的风险保证金比例；持仓过程中，持续关注账户风险程度，做好追加资金准备。</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5.操作风险：完善交易团队的人员配置，加强业务人员能力的培训和学习。</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6.技术风险：建立符合交易要求的通讯及信息服务设施系统，保证交易系统的正常运行。</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 xml:space="preserve">第二十五条 </w:t>
      </w:r>
      <w:r>
        <w:rPr>
          <w:rFonts w:hint="eastAsia" w:ascii="宋体" w:hAnsi="宋体" w:eastAsia="宋体" w:cs="宋体"/>
          <w:b/>
          <w:bCs/>
          <w:color w:val="131313"/>
          <w:sz w:val="24"/>
          <w:szCs w:val="24"/>
          <w:highlight w:val="none"/>
          <w:shd w:val="clear" w:color="auto" w:fill="FFFFFF"/>
          <w:lang w:val="en-US" w:eastAsia="zh-CN"/>
        </w:rPr>
        <w:t xml:space="preserve"> </w:t>
      </w:r>
      <w:r>
        <w:rPr>
          <w:rFonts w:hint="eastAsia" w:ascii="宋体" w:hAnsi="宋体" w:eastAsia="宋体" w:cs="宋体"/>
          <w:color w:val="131313"/>
          <w:sz w:val="24"/>
          <w:szCs w:val="24"/>
          <w:highlight w:val="none"/>
          <w:shd w:val="clear" w:color="auto" w:fill="FFFFFF"/>
        </w:rPr>
        <w:t>交易错单的处理</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1.当发生属外部原因产生的错单，由交易员通知对方，由对方及时采取相应错单处理措施，并向其追偿损失；</w:t>
      </w:r>
    </w:p>
    <w:p>
      <w:pPr>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2.当发生属公司交易员过错的错单，需立即平仓。</w:t>
      </w:r>
    </w:p>
    <w:p>
      <w:pPr>
        <w:keepNext w:val="0"/>
        <w:keepLines w:val="0"/>
        <w:pageBreakBefore w:val="0"/>
        <w:numPr>
          <w:ilvl w:val="0"/>
          <w:numId w:val="1"/>
        </w:numPr>
        <w:kinsoku/>
        <w:wordWrap/>
        <w:overflowPunct/>
        <w:topLinePunct w:val="0"/>
        <w:bidi w:val="0"/>
        <w:adjustRightInd/>
        <w:snapToGrid/>
        <w:spacing w:before="156" w:beforeLines="50" w:line="560" w:lineRule="exact"/>
        <w:jc w:val="center"/>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信息披露及档案管理</w:t>
      </w:r>
    </w:p>
    <w:p>
      <w:pPr>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第二十六条</w:t>
      </w:r>
      <w:r>
        <w:rPr>
          <w:rFonts w:hint="eastAsia" w:ascii="宋体" w:hAnsi="宋体" w:eastAsia="宋体" w:cs="宋体"/>
          <w:color w:val="131313"/>
          <w:sz w:val="24"/>
          <w:szCs w:val="24"/>
          <w:highlight w:val="none"/>
          <w:shd w:val="clear" w:color="auto" w:fill="FFFFFF"/>
        </w:rPr>
        <w:t xml:space="preserve"> 公司进行商品套期保值业务，应当在董事会通过后的第二个交易日内公告下列内容：</w:t>
      </w:r>
    </w:p>
    <w:p>
      <w:pPr>
        <w:keepNext w:val="0"/>
        <w:keepLines w:val="0"/>
        <w:pageBreakBefore w:val="0"/>
        <w:numPr>
          <w:ilvl w:val="0"/>
          <w:numId w:val="4"/>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董事会决议及公告；</w:t>
      </w:r>
    </w:p>
    <w:p>
      <w:pPr>
        <w:keepNext w:val="0"/>
        <w:keepLines w:val="0"/>
        <w:pageBreakBefore w:val="0"/>
        <w:numPr>
          <w:ilvl w:val="0"/>
          <w:numId w:val="4"/>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期保值业务事项公告。该公告至少应当包括以下内容：拟进行套期保值业务的目的、拟投资的衍生品交易品种、拟进行套期保值业务的期间、是否满足《企业会计准则》规定的运用套期保值会计方法的相关条件、风险分析及公司拟采取的风险控制措施等；</w:t>
      </w:r>
    </w:p>
    <w:p>
      <w:pPr>
        <w:keepNext w:val="0"/>
        <w:keepLines w:val="0"/>
        <w:pageBreakBefore w:val="0"/>
        <w:numPr>
          <w:ilvl w:val="0"/>
          <w:numId w:val="4"/>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公司因交易频次和时效要求等原因难以对每次衍生品交易履行审议程序和披露义务的，可以对未来12个月内衍生品交易的范围、额度及期限等进行合理预计，额度金额超出董事会权限范围的，还应当提交股东会审议。</w:t>
      </w:r>
    </w:p>
    <w:p>
      <w:pPr>
        <w:keepNext w:val="0"/>
        <w:keepLines w:val="0"/>
        <w:pageBreakBefore w:val="0"/>
        <w:numPr>
          <w:ilvl w:val="0"/>
          <w:numId w:val="4"/>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保荐机构或财务顾问就公司进行商品套期保值业务的必要性、可行性、套期保值业务内部控制和风险管理制度是否完善合规、风险控制措施是否有效等事项进行核查所发表的意见（如适用）；</w:t>
      </w:r>
    </w:p>
    <w:p>
      <w:pPr>
        <w:keepNext w:val="0"/>
        <w:keepLines w:val="0"/>
        <w:pageBreakBefore w:val="0"/>
        <w:numPr>
          <w:ilvl w:val="0"/>
          <w:numId w:val="4"/>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主管部门对公司进行商品套期保值业务出具的意见；</w:t>
      </w:r>
    </w:p>
    <w:p>
      <w:pPr>
        <w:keepNext w:val="0"/>
        <w:keepLines w:val="0"/>
        <w:pageBreakBefore w:val="0"/>
        <w:numPr>
          <w:ilvl w:val="0"/>
          <w:numId w:val="4"/>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咨询机构出具的可行性分析报告（如有）；</w:t>
      </w:r>
    </w:p>
    <w:p>
      <w:pPr>
        <w:keepNext w:val="0"/>
        <w:keepLines w:val="0"/>
        <w:pageBreakBefore w:val="0"/>
        <w:numPr>
          <w:ilvl w:val="0"/>
          <w:numId w:val="4"/>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独立董事发表的独立意见（如有）；</w:t>
      </w:r>
    </w:p>
    <w:p>
      <w:pPr>
        <w:keepNext w:val="0"/>
        <w:keepLines w:val="0"/>
        <w:pageBreakBefore w:val="0"/>
        <w:numPr>
          <w:ilvl w:val="0"/>
          <w:numId w:val="4"/>
        </w:numPr>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上海证券交易所要求的其他文件。</w:t>
      </w:r>
    </w:p>
    <w:p>
      <w:pPr>
        <w:pStyle w:val="3"/>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第二十七条</w:t>
      </w:r>
      <w:r>
        <w:rPr>
          <w:rFonts w:hint="eastAsia" w:ascii="宋体" w:hAnsi="宋体" w:eastAsia="宋体" w:cs="宋体"/>
          <w:color w:val="131313"/>
          <w:sz w:val="24"/>
          <w:szCs w:val="24"/>
          <w:highlight w:val="none"/>
          <w:shd w:val="clear" w:color="auto" w:fill="FFFFFF"/>
        </w:rPr>
        <w:t xml:space="preserve"> 公司期货交易已确认损益及浮动亏损金额每达到公司最近一年经审计的归属公司股东净利润的10%且绝对金额超过1000万元人民币的，应当及时披露。公司开展套期保值业务，可以将套期工具与被套期项目价值变动加总后适用前述规定。</w:t>
      </w:r>
    </w:p>
    <w:p>
      <w:pPr>
        <w:pStyle w:val="3"/>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公司开展套期保值业务出现前款规定的亏损情形时，还应当重新评估套期关系的有效性，披露套期工具和被套期项目的公允价值或者现金流量变动未按预期抵销的原因，并分别披露套期工具和被套期项目价值变动情况等。</w:t>
      </w:r>
    </w:p>
    <w:p>
      <w:pPr>
        <w:pStyle w:val="3"/>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第二十八条</w:t>
      </w:r>
      <w:r>
        <w:rPr>
          <w:rFonts w:hint="eastAsia" w:ascii="宋体" w:hAnsi="宋体" w:eastAsia="宋体" w:cs="宋体"/>
          <w:color w:val="131313"/>
          <w:sz w:val="24"/>
          <w:szCs w:val="24"/>
          <w:highlight w:val="none"/>
          <w:shd w:val="clear" w:color="auto" w:fill="FFFFFF"/>
        </w:rPr>
        <w:t xml:space="preserve"> 公司套期保值业务的交易原始资料、结算资料、业务开户文件等档案应交由财务部门保管。</w:t>
      </w:r>
    </w:p>
    <w:p>
      <w:pPr>
        <w:keepNext w:val="0"/>
        <w:keepLines w:val="0"/>
        <w:pageBreakBefore w:val="0"/>
        <w:numPr>
          <w:ilvl w:val="0"/>
          <w:numId w:val="1"/>
        </w:numPr>
        <w:kinsoku/>
        <w:wordWrap/>
        <w:overflowPunct/>
        <w:topLinePunct w:val="0"/>
        <w:bidi w:val="0"/>
        <w:adjustRightInd/>
        <w:snapToGrid/>
        <w:spacing w:before="156" w:beforeLines="50" w:line="560" w:lineRule="exact"/>
        <w:jc w:val="center"/>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信息保密与隔离措施</w:t>
      </w:r>
    </w:p>
    <w:p>
      <w:pPr>
        <w:pStyle w:val="3"/>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第二十九条</w:t>
      </w:r>
      <w:r>
        <w:rPr>
          <w:rFonts w:hint="eastAsia" w:ascii="宋体" w:hAnsi="宋体" w:eastAsia="宋体" w:cs="宋体"/>
          <w:color w:val="131313"/>
          <w:sz w:val="24"/>
          <w:szCs w:val="24"/>
          <w:highlight w:val="none"/>
          <w:shd w:val="clear" w:color="auto" w:fill="FFFFFF"/>
        </w:rPr>
        <w:t xml:space="preserve"> 参与公司套期保值业务的所有人员须遵守公司保密制度，未经允许不得泄露公司的套期保值业务方案、交易情况、结算情况、资金情况等与公司套期保值业务有关的信息。</w:t>
      </w:r>
    </w:p>
    <w:p>
      <w:pPr>
        <w:pStyle w:val="3"/>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第三十条</w:t>
      </w:r>
      <w:r>
        <w:rPr>
          <w:rFonts w:hint="eastAsia" w:ascii="宋体" w:hAnsi="宋体" w:eastAsia="宋体" w:cs="宋体"/>
          <w:color w:val="131313"/>
          <w:sz w:val="24"/>
          <w:szCs w:val="24"/>
          <w:highlight w:val="none"/>
          <w:shd w:val="clear" w:color="auto" w:fill="FFFFFF"/>
        </w:rPr>
        <w:t xml:space="preserve"> 公司套期保值业务操作环节相关人员应有效分离，不得交叉或越权行使其职责，确保能够相互独立并监督制约。</w:t>
      </w:r>
    </w:p>
    <w:p>
      <w:pPr>
        <w:keepNext w:val="0"/>
        <w:keepLines w:val="0"/>
        <w:pageBreakBefore w:val="0"/>
        <w:numPr>
          <w:ilvl w:val="0"/>
          <w:numId w:val="1"/>
        </w:numPr>
        <w:kinsoku/>
        <w:wordWrap/>
        <w:overflowPunct/>
        <w:topLinePunct w:val="0"/>
        <w:bidi w:val="0"/>
        <w:adjustRightInd/>
        <w:snapToGrid/>
        <w:spacing w:before="156" w:beforeLines="50" w:line="560" w:lineRule="exact"/>
        <w:jc w:val="center"/>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附则</w:t>
      </w:r>
    </w:p>
    <w:p>
      <w:pPr>
        <w:pStyle w:val="3"/>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第三十一条</w:t>
      </w:r>
      <w:r>
        <w:rPr>
          <w:rFonts w:hint="eastAsia" w:ascii="宋体" w:hAnsi="宋体" w:eastAsia="宋体" w:cs="宋体"/>
          <w:color w:val="131313"/>
          <w:sz w:val="24"/>
          <w:szCs w:val="24"/>
          <w:highlight w:val="none"/>
          <w:shd w:val="clear" w:color="auto" w:fill="FFFFFF"/>
        </w:rPr>
        <w:t xml:space="preserve"> 本制度未尽事宜，按照国家有关法律、行政法规及《公司章程》的规定执行。本制度如与最新法律、行政法规或《公司章程》有关规定相抵触时，按照有关法律、行政法规及《公司章程》的规定执行。</w:t>
      </w:r>
    </w:p>
    <w:p>
      <w:pPr>
        <w:pStyle w:val="3"/>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第三十二条</w:t>
      </w:r>
      <w:r>
        <w:rPr>
          <w:rFonts w:hint="eastAsia" w:ascii="宋体" w:hAnsi="宋体" w:eastAsia="宋体" w:cs="宋体"/>
          <w:color w:val="131313"/>
          <w:sz w:val="24"/>
          <w:szCs w:val="24"/>
          <w:highlight w:val="none"/>
          <w:shd w:val="clear" w:color="auto" w:fill="FFFFFF"/>
        </w:rPr>
        <w:t xml:space="preserve"> 本制度所称“控股子公司”指的是本公司合并报表范围内的企业；所称“净利润”是指归属于公司母公司的净利润，不包括少数股东损益金额；所称“超过”不包括本数。</w:t>
      </w:r>
    </w:p>
    <w:p>
      <w:pPr>
        <w:pStyle w:val="3"/>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第三十三条</w:t>
      </w:r>
      <w:r>
        <w:rPr>
          <w:rFonts w:hint="eastAsia" w:ascii="宋体" w:hAnsi="宋体" w:eastAsia="宋体" w:cs="宋体"/>
          <w:color w:val="131313"/>
          <w:sz w:val="24"/>
          <w:szCs w:val="24"/>
          <w:highlight w:val="none"/>
          <w:shd w:val="clear" w:color="auto" w:fill="FFFFFF"/>
        </w:rPr>
        <w:t xml:space="preserve"> 本制度经董事会审议通过之日起生效，由董事会负责解释、修订。</w:t>
      </w:r>
    </w:p>
    <w:p>
      <w:pPr>
        <w:pStyle w:val="3"/>
        <w:keepNext w:val="0"/>
        <w:keepLines w:val="0"/>
        <w:pageBreakBefore w:val="0"/>
        <w:kinsoku/>
        <w:wordWrap/>
        <w:overflowPunct/>
        <w:topLinePunct w:val="0"/>
        <w:bidi w:val="0"/>
        <w:adjustRightInd/>
        <w:snapToGrid/>
        <w:spacing w:line="560" w:lineRule="exact"/>
        <w:ind w:firstLine="482"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第三十四条</w:t>
      </w:r>
      <w:r>
        <w:rPr>
          <w:rFonts w:hint="eastAsia" w:ascii="宋体" w:hAnsi="宋体" w:eastAsia="宋体" w:cs="宋体"/>
          <w:color w:val="131313"/>
          <w:sz w:val="24"/>
          <w:szCs w:val="24"/>
          <w:highlight w:val="none"/>
          <w:shd w:val="clear" w:color="auto" w:fill="FFFFFF"/>
        </w:rPr>
        <w:t xml:space="preserve"> 本制度的附件有：</w:t>
      </w:r>
    </w:p>
    <w:p>
      <w:pPr>
        <w:pStyle w:val="3"/>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附件一：套期保值方案执行情况跟踪表</w:t>
      </w:r>
    </w:p>
    <w:p>
      <w:pPr>
        <w:pStyle w:val="3"/>
        <w:keepNext w:val="0"/>
        <w:keepLines w:val="0"/>
        <w:pageBreakBefore w:val="0"/>
        <w:kinsoku/>
        <w:wordWrap/>
        <w:overflowPunct/>
        <w:topLinePunct w:val="0"/>
        <w:bidi w:val="0"/>
        <w:adjustRightInd/>
        <w:snapToGrid/>
        <w:spacing w:line="560" w:lineRule="exact"/>
        <w:ind w:firstLine="480" w:firstLineChars="200"/>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附件二：套期保值业务方案审批表</w:t>
      </w:r>
    </w:p>
    <w:p>
      <w:pPr>
        <w:keepNext w:val="0"/>
        <w:keepLines w:val="0"/>
        <w:pageBreakBefore w:val="0"/>
        <w:kinsoku/>
        <w:wordWrap/>
        <w:overflowPunct/>
        <w:topLinePunct w:val="0"/>
        <w:bidi w:val="0"/>
        <w:adjustRightInd/>
        <w:snapToGrid/>
        <w:spacing w:before="2" w:line="560" w:lineRule="exact"/>
        <w:ind w:right="199"/>
        <w:jc w:val="both"/>
        <w:textAlignment w:val="auto"/>
        <w:rPr>
          <w:rFonts w:hint="eastAsia" w:ascii="宋体" w:hAnsi="宋体" w:eastAsia="宋体" w:cs="宋体"/>
          <w:color w:val="131313"/>
          <w:sz w:val="24"/>
          <w:szCs w:val="24"/>
          <w:highlight w:val="none"/>
          <w:shd w:val="clear" w:color="auto" w:fill="FFFFFF"/>
        </w:rPr>
      </w:pPr>
    </w:p>
    <w:p>
      <w:pPr>
        <w:pStyle w:val="3"/>
        <w:keepNext w:val="0"/>
        <w:keepLines w:val="0"/>
        <w:pageBreakBefore w:val="0"/>
        <w:kinsoku/>
        <w:wordWrap/>
        <w:overflowPunct/>
        <w:topLinePunct w:val="0"/>
        <w:bidi w:val="0"/>
        <w:adjustRightInd/>
        <w:snapToGrid/>
        <w:spacing w:line="560" w:lineRule="exact"/>
        <w:ind w:firstLine="480" w:firstLineChars="200"/>
        <w:jc w:val="right"/>
        <w:textAlignment w:val="auto"/>
        <w:rPr>
          <w:rFonts w:hint="default" w:ascii="宋体" w:hAnsi="宋体" w:eastAsia="宋体" w:cs="宋体"/>
          <w:color w:val="131313"/>
          <w:sz w:val="24"/>
          <w:szCs w:val="24"/>
          <w:highlight w:val="none"/>
          <w:shd w:val="clear" w:color="auto" w:fill="FFFFFF"/>
          <w:lang w:val="en-US" w:eastAsia="zh-CN"/>
        </w:rPr>
        <w:sectPr>
          <w:headerReference r:id="rId3" w:type="default"/>
          <w:footerReference r:id="rId4" w:type="default"/>
          <w:type w:val="continuous"/>
          <w:pgSz w:w="11906" w:h="16838"/>
          <w:pgMar w:top="1440" w:right="1800" w:bottom="1440" w:left="1800" w:header="851" w:footer="992" w:gutter="0"/>
          <w:cols w:space="425" w:num="1"/>
          <w:docGrid w:type="lines" w:linePitch="312" w:charSpace="0"/>
        </w:sectPr>
      </w:pPr>
      <w:bookmarkStart w:id="0" w:name="_GoBack"/>
      <w:r>
        <w:rPr>
          <w:rFonts w:hint="eastAsia" w:cs="宋体"/>
          <w:color w:val="131313"/>
          <w:sz w:val="24"/>
          <w:szCs w:val="24"/>
          <w:highlight w:val="none"/>
          <w:shd w:val="clear" w:color="auto" w:fill="FFFFFF"/>
          <w:lang w:val="en-US" w:eastAsia="zh-CN"/>
        </w:rPr>
        <w:t>2026年8月</w:t>
      </w:r>
    </w:p>
    <w:bookmarkEnd w:id="0"/>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附件一：套期保值方案执行情况跟踪表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941"/>
        <w:gridCol w:w="941"/>
        <w:gridCol w:w="942"/>
        <w:gridCol w:w="941"/>
        <w:gridCol w:w="941"/>
        <w:gridCol w:w="942"/>
        <w:gridCol w:w="941"/>
        <w:gridCol w:w="941"/>
        <w:gridCol w:w="943"/>
        <w:gridCol w:w="941"/>
        <w:gridCol w:w="941"/>
        <w:gridCol w:w="941"/>
        <w:gridCol w:w="941"/>
        <w:gridCol w:w="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9413" w:type="dxa"/>
            <w:gridSpan w:val="10"/>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套期保值业务方案</w:t>
            </w:r>
          </w:p>
        </w:tc>
        <w:tc>
          <w:tcPr>
            <w:tcW w:w="4706" w:type="dxa"/>
            <w:gridSpan w:val="5"/>
            <w:vMerge w:val="restart"/>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套期工具操作跟踪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3764" w:type="dxa"/>
            <w:gridSpan w:val="4"/>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基础信息</w:t>
            </w:r>
          </w:p>
        </w:tc>
        <w:tc>
          <w:tcPr>
            <w:tcW w:w="2824" w:type="dxa"/>
            <w:gridSpan w:val="3"/>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被套期项目</w:t>
            </w:r>
          </w:p>
        </w:tc>
        <w:tc>
          <w:tcPr>
            <w:tcW w:w="2825" w:type="dxa"/>
            <w:gridSpan w:val="3"/>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套期工具</w:t>
            </w:r>
          </w:p>
        </w:tc>
        <w:tc>
          <w:tcPr>
            <w:tcW w:w="4706" w:type="dxa"/>
            <w:gridSpan w:val="5"/>
            <w:vMerge w:val="continue"/>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940"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风险管理文件日期</w:t>
            </w:r>
          </w:p>
        </w:tc>
        <w:tc>
          <w:tcPr>
            <w:tcW w:w="94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风险管理文件编号</w:t>
            </w:r>
          </w:p>
        </w:tc>
        <w:tc>
          <w:tcPr>
            <w:tcW w:w="94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套期</w:t>
            </w:r>
          </w:p>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类型</w:t>
            </w:r>
          </w:p>
        </w:tc>
        <w:tc>
          <w:tcPr>
            <w:tcW w:w="942"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套期</w:t>
            </w:r>
          </w:p>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比例</w:t>
            </w:r>
          </w:p>
        </w:tc>
        <w:tc>
          <w:tcPr>
            <w:tcW w:w="94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材料</w:t>
            </w:r>
          </w:p>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名称</w:t>
            </w:r>
          </w:p>
        </w:tc>
        <w:tc>
          <w:tcPr>
            <w:tcW w:w="94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预期交易月份</w:t>
            </w:r>
          </w:p>
        </w:tc>
        <w:tc>
          <w:tcPr>
            <w:tcW w:w="942"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数量（吨）</w:t>
            </w:r>
          </w:p>
        </w:tc>
        <w:tc>
          <w:tcPr>
            <w:tcW w:w="94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合约号</w:t>
            </w:r>
          </w:p>
        </w:tc>
        <w:tc>
          <w:tcPr>
            <w:tcW w:w="94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方向</w:t>
            </w:r>
          </w:p>
        </w:tc>
        <w:tc>
          <w:tcPr>
            <w:tcW w:w="943"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数量（手）</w:t>
            </w:r>
          </w:p>
        </w:tc>
        <w:tc>
          <w:tcPr>
            <w:tcW w:w="94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建仓</w:t>
            </w:r>
          </w:p>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时间</w:t>
            </w:r>
          </w:p>
        </w:tc>
        <w:tc>
          <w:tcPr>
            <w:tcW w:w="94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合约号</w:t>
            </w:r>
          </w:p>
        </w:tc>
        <w:tc>
          <w:tcPr>
            <w:tcW w:w="94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建仓数量（手）</w:t>
            </w:r>
          </w:p>
        </w:tc>
        <w:tc>
          <w:tcPr>
            <w:tcW w:w="94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平仓</w:t>
            </w:r>
          </w:p>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时间</w:t>
            </w:r>
          </w:p>
        </w:tc>
        <w:tc>
          <w:tcPr>
            <w:tcW w:w="942"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平仓数量（手）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940"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2"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2"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3"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2"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940"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2"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2"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3"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2"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940"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2"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2"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3"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2"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940"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2"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2"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3"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1"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42" w:type="dxa"/>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bl>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sectPr>
          <w:pgSz w:w="16838" w:h="11906" w:orient="landscape"/>
          <w:pgMar w:top="1800" w:right="1440" w:bottom="1800" w:left="1440" w:header="851" w:footer="992" w:gutter="0"/>
          <w:cols w:space="425" w:num="1"/>
          <w:docGrid w:type="lines" w:linePitch="312" w:charSpace="0"/>
        </w:sectPr>
      </w:pPr>
    </w:p>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b/>
          <w:bCs/>
          <w:color w:val="131313"/>
          <w:sz w:val="24"/>
          <w:szCs w:val="24"/>
          <w:highlight w:val="none"/>
          <w:shd w:val="clear" w:color="auto" w:fill="FFFFFF"/>
        </w:rPr>
      </w:pPr>
      <w:r>
        <w:rPr>
          <w:rFonts w:hint="eastAsia" w:ascii="宋体" w:hAnsi="宋体" w:eastAsia="宋体" w:cs="宋体"/>
          <w:b/>
          <w:bCs/>
          <w:color w:val="131313"/>
          <w:sz w:val="24"/>
          <w:szCs w:val="24"/>
          <w:highlight w:val="none"/>
          <w:shd w:val="clear" w:color="auto" w:fill="FFFFFF"/>
        </w:rPr>
        <w:t>附件二：套期保值业务方案审批表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7"/>
        <w:gridCol w:w="1159"/>
        <w:gridCol w:w="921"/>
        <w:gridCol w:w="1411"/>
        <w:gridCol w:w="1404"/>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5638" w:type="dxa"/>
            <w:gridSpan w:val="4"/>
            <w:vMerge w:val="restart"/>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套期保值业务方案</w:t>
            </w:r>
          </w:p>
        </w:tc>
        <w:tc>
          <w:tcPr>
            <w:tcW w:w="2821" w:type="dxa"/>
            <w:gridSpan w:val="2"/>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文件编号：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638" w:type="dxa"/>
            <w:gridSpan w:val="4"/>
            <w:vMerge w:val="continue"/>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2821" w:type="dxa"/>
            <w:gridSpan w:val="2"/>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文件日期：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5638" w:type="dxa"/>
            <w:gridSpan w:val="4"/>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主页</w:t>
            </w:r>
          </w:p>
        </w:tc>
        <w:tc>
          <w:tcPr>
            <w:tcW w:w="2821" w:type="dxa"/>
            <w:gridSpan w:val="2"/>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制表人：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trPr>
        <w:tc>
          <w:tcPr>
            <w:tcW w:w="214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风险管理目标和</w:t>
            </w:r>
          </w:p>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套期策略</w:t>
            </w:r>
          </w:p>
        </w:tc>
        <w:tc>
          <w:tcPr>
            <w:tcW w:w="6312" w:type="dxa"/>
            <w:gridSpan w:val="5"/>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4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套期比例</w:t>
            </w:r>
          </w:p>
        </w:tc>
        <w:tc>
          <w:tcPr>
            <w:tcW w:w="6312" w:type="dxa"/>
            <w:gridSpan w:val="5"/>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4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套期类型</w:t>
            </w:r>
          </w:p>
        </w:tc>
        <w:tc>
          <w:tcPr>
            <w:tcW w:w="2080" w:type="dxa"/>
            <w:gridSpan w:val="2"/>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141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交易方向</w:t>
            </w:r>
          </w:p>
        </w:tc>
        <w:tc>
          <w:tcPr>
            <w:tcW w:w="2821" w:type="dxa"/>
            <w:gridSpan w:val="2"/>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4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被套期项目</w:t>
            </w:r>
          </w:p>
        </w:tc>
        <w:tc>
          <w:tcPr>
            <w:tcW w:w="2080" w:type="dxa"/>
            <w:gridSpan w:val="2"/>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141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数量</w:t>
            </w:r>
          </w:p>
        </w:tc>
        <w:tc>
          <w:tcPr>
            <w:tcW w:w="2821" w:type="dxa"/>
            <w:gridSpan w:val="2"/>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4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套期工具</w:t>
            </w:r>
          </w:p>
        </w:tc>
        <w:tc>
          <w:tcPr>
            <w:tcW w:w="2080" w:type="dxa"/>
            <w:gridSpan w:val="2"/>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141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数量</w:t>
            </w:r>
          </w:p>
        </w:tc>
        <w:tc>
          <w:tcPr>
            <w:tcW w:w="2821" w:type="dxa"/>
            <w:gridSpan w:val="2"/>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4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计划价格</w:t>
            </w:r>
          </w:p>
        </w:tc>
        <w:tc>
          <w:tcPr>
            <w:tcW w:w="2080" w:type="dxa"/>
            <w:gridSpan w:val="2"/>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141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所需资金</w:t>
            </w:r>
          </w:p>
        </w:tc>
        <w:tc>
          <w:tcPr>
            <w:tcW w:w="2821" w:type="dxa"/>
            <w:gridSpan w:val="2"/>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214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有效性评估方法</w:t>
            </w:r>
          </w:p>
        </w:tc>
        <w:tc>
          <w:tcPr>
            <w:tcW w:w="6312" w:type="dxa"/>
            <w:gridSpan w:val="5"/>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459" w:type="dxa"/>
            <w:gridSpan w:val="6"/>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交易授权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4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交易员</w:t>
            </w:r>
          </w:p>
        </w:tc>
        <w:tc>
          <w:tcPr>
            <w:tcW w:w="1159"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92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建仓时间</w:t>
            </w:r>
          </w:p>
        </w:tc>
        <w:tc>
          <w:tcPr>
            <w:tcW w:w="1411"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c>
          <w:tcPr>
            <w:tcW w:w="1404"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建仓价格</w:t>
            </w:r>
          </w:p>
        </w:tc>
        <w:tc>
          <w:tcPr>
            <w:tcW w:w="141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459" w:type="dxa"/>
            <w:gridSpan w:val="6"/>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套保委员会审批会签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4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供应链管理部部长</w:t>
            </w:r>
          </w:p>
        </w:tc>
        <w:tc>
          <w:tcPr>
            <w:tcW w:w="6312" w:type="dxa"/>
            <w:gridSpan w:val="5"/>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4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供应链管理部总监</w:t>
            </w:r>
          </w:p>
        </w:tc>
        <w:tc>
          <w:tcPr>
            <w:tcW w:w="6312" w:type="dxa"/>
            <w:gridSpan w:val="5"/>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4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财务部部长</w:t>
            </w:r>
          </w:p>
        </w:tc>
        <w:tc>
          <w:tcPr>
            <w:tcW w:w="6312" w:type="dxa"/>
            <w:gridSpan w:val="5"/>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4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财务部总监</w:t>
            </w:r>
          </w:p>
        </w:tc>
        <w:tc>
          <w:tcPr>
            <w:tcW w:w="6312" w:type="dxa"/>
            <w:gridSpan w:val="5"/>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147" w:type="dxa"/>
            <w:vAlign w:val="center"/>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r>
              <w:rPr>
                <w:rFonts w:hint="eastAsia" w:ascii="宋体" w:hAnsi="宋体" w:eastAsia="宋体" w:cs="宋体"/>
                <w:color w:val="131313"/>
                <w:sz w:val="24"/>
                <w:szCs w:val="24"/>
                <w:highlight w:val="none"/>
                <w:shd w:val="clear" w:color="auto" w:fill="FFFFFF"/>
              </w:rPr>
              <w:t>董事长</w:t>
            </w:r>
          </w:p>
        </w:tc>
        <w:tc>
          <w:tcPr>
            <w:tcW w:w="6312" w:type="dxa"/>
            <w:gridSpan w:val="5"/>
          </w:tcPr>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tc>
      </w:tr>
    </w:tbl>
    <w:p>
      <w:pPr>
        <w:pStyle w:val="3"/>
        <w:keepNext w:val="0"/>
        <w:keepLines w:val="0"/>
        <w:pageBreakBefore w:val="0"/>
        <w:kinsoku/>
        <w:wordWrap/>
        <w:overflowPunct/>
        <w:topLinePunct w:val="0"/>
        <w:bidi w:val="0"/>
        <w:adjustRightInd/>
        <w:snapToGrid/>
        <w:spacing w:line="560" w:lineRule="exact"/>
        <w:jc w:val="both"/>
        <w:textAlignment w:val="auto"/>
        <w:rPr>
          <w:rFonts w:hint="eastAsia" w:ascii="宋体" w:hAnsi="宋体" w:eastAsia="宋体" w:cs="宋体"/>
          <w:color w:val="131313"/>
          <w:sz w:val="24"/>
          <w:szCs w:val="24"/>
          <w:highlight w:val="none"/>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6" w:lineRule="auto"/>
      <w:ind w:left="4383"/>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p>
    <w:pPr>
      <w:pStyle w:val="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1A0A75"/>
    <w:multiLevelType w:val="singleLevel"/>
    <w:tmpl w:val="D21A0A75"/>
    <w:lvl w:ilvl="0" w:tentative="0">
      <w:start w:val="1"/>
      <w:numFmt w:val="chineseCounting"/>
      <w:suff w:val="space"/>
      <w:lvlText w:val="（%1）"/>
      <w:lvlJc w:val="left"/>
      <w:rPr>
        <w:rFonts w:hint="eastAsia"/>
      </w:rPr>
    </w:lvl>
  </w:abstractNum>
  <w:abstractNum w:abstractNumId="1">
    <w:nsid w:val="FF08FDD9"/>
    <w:multiLevelType w:val="singleLevel"/>
    <w:tmpl w:val="FF08FDD9"/>
    <w:lvl w:ilvl="0" w:tentative="0">
      <w:start w:val="1"/>
      <w:numFmt w:val="chineseCounting"/>
      <w:suff w:val="space"/>
      <w:lvlText w:val="第%1章"/>
      <w:lvlJc w:val="left"/>
      <w:rPr>
        <w:rFonts w:hint="eastAsia"/>
      </w:rPr>
    </w:lvl>
  </w:abstractNum>
  <w:abstractNum w:abstractNumId="2">
    <w:nsid w:val="1E963A92"/>
    <w:multiLevelType w:val="singleLevel"/>
    <w:tmpl w:val="1E963A92"/>
    <w:lvl w:ilvl="0" w:tentative="0">
      <w:start w:val="1"/>
      <w:numFmt w:val="chineseCounting"/>
      <w:suff w:val="nothing"/>
      <w:lvlText w:val="（%1）"/>
      <w:lvlJc w:val="left"/>
      <w:rPr>
        <w:rFonts w:hint="eastAsia"/>
      </w:rPr>
    </w:lvl>
  </w:abstractNum>
  <w:abstractNum w:abstractNumId="3">
    <w:nsid w:val="497BF3C2"/>
    <w:multiLevelType w:val="singleLevel"/>
    <w:tmpl w:val="497BF3C2"/>
    <w:lvl w:ilvl="0" w:tentative="0">
      <w:start w:val="1"/>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yODMxYTE0ZTc0ZGU3Y2QwODc3MzYzN2Q1YmNiM2EifQ=="/>
  </w:docVars>
  <w:rsids>
    <w:rsidRoot w:val="00563DAA"/>
    <w:rsid w:val="00054469"/>
    <w:rsid w:val="002642B9"/>
    <w:rsid w:val="003446B2"/>
    <w:rsid w:val="00563DAA"/>
    <w:rsid w:val="008259FC"/>
    <w:rsid w:val="009C7EF0"/>
    <w:rsid w:val="00A30797"/>
    <w:rsid w:val="00BA52BD"/>
    <w:rsid w:val="00DB20F7"/>
    <w:rsid w:val="00F07D29"/>
    <w:rsid w:val="01D42464"/>
    <w:rsid w:val="03224800"/>
    <w:rsid w:val="06B24E2F"/>
    <w:rsid w:val="081F1894"/>
    <w:rsid w:val="09746BFB"/>
    <w:rsid w:val="0AFA3847"/>
    <w:rsid w:val="0F0B321B"/>
    <w:rsid w:val="11BE5610"/>
    <w:rsid w:val="11D85733"/>
    <w:rsid w:val="12880E87"/>
    <w:rsid w:val="13274AB8"/>
    <w:rsid w:val="137A766B"/>
    <w:rsid w:val="139E00A7"/>
    <w:rsid w:val="13BE0E7F"/>
    <w:rsid w:val="13C2557A"/>
    <w:rsid w:val="1481490C"/>
    <w:rsid w:val="14E71C19"/>
    <w:rsid w:val="151551F8"/>
    <w:rsid w:val="161C3A42"/>
    <w:rsid w:val="165E5307"/>
    <w:rsid w:val="19487DEA"/>
    <w:rsid w:val="1AF73C48"/>
    <w:rsid w:val="1B0255C6"/>
    <w:rsid w:val="1DE95C62"/>
    <w:rsid w:val="232174F7"/>
    <w:rsid w:val="23E03775"/>
    <w:rsid w:val="24801816"/>
    <w:rsid w:val="26EE04CD"/>
    <w:rsid w:val="29024BDE"/>
    <w:rsid w:val="2AE57BE8"/>
    <w:rsid w:val="2CF9516F"/>
    <w:rsid w:val="2D9354EE"/>
    <w:rsid w:val="2E280FC9"/>
    <w:rsid w:val="2E8452CD"/>
    <w:rsid w:val="2EE75249"/>
    <w:rsid w:val="30935191"/>
    <w:rsid w:val="316C1959"/>
    <w:rsid w:val="31790AF6"/>
    <w:rsid w:val="31EC688D"/>
    <w:rsid w:val="34121287"/>
    <w:rsid w:val="352C4116"/>
    <w:rsid w:val="37E61AB6"/>
    <w:rsid w:val="38762C50"/>
    <w:rsid w:val="39025C9D"/>
    <w:rsid w:val="399F0C48"/>
    <w:rsid w:val="3BC31B60"/>
    <w:rsid w:val="3D2865E5"/>
    <w:rsid w:val="3DCE42C3"/>
    <w:rsid w:val="3FFB2F15"/>
    <w:rsid w:val="40147133"/>
    <w:rsid w:val="42D53A3A"/>
    <w:rsid w:val="43370D1D"/>
    <w:rsid w:val="4585361F"/>
    <w:rsid w:val="465A40FD"/>
    <w:rsid w:val="48424664"/>
    <w:rsid w:val="49EA648D"/>
    <w:rsid w:val="4DB81C78"/>
    <w:rsid w:val="4DB851A4"/>
    <w:rsid w:val="50DA39A3"/>
    <w:rsid w:val="51152F96"/>
    <w:rsid w:val="54AB4F03"/>
    <w:rsid w:val="569310A6"/>
    <w:rsid w:val="57777CAD"/>
    <w:rsid w:val="57B266EB"/>
    <w:rsid w:val="57C54F8E"/>
    <w:rsid w:val="57E37CCB"/>
    <w:rsid w:val="57F523C9"/>
    <w:rsid w:val="58005114"/>
    <w:rsid w:val="5802746E"/>
    <w:rsid w:val="59091891"/>
    <w:rsid w:val="5B6D7059"/>
    <w:rsid w:val="5CBB7943"/>
    <w:rsid w:val="5F5F6ACD"/>
    <w:rsid w:val="603C1BAE"/>
    <w:rsid w:val="63E44B8E"/>
    <w:rsid w:val="64714A5D"/>
    <w:rsid w:val="64DA7250"/>
    <w:rsid w:val="660B0DFC"/>
    <w:rsid w:val="67391388"/>
    <w:rsid w:val="68E31713"/>
    <w:rsid w:val="69464B19"/>
    <w:rsid w:val="69690D6B"/>
    <w:rsid w:val="6A95550B"/>
    <w:rsid w:val="6AA9210F"/>
    <w:rsid w:val="6B092284"/>
    <w:rsid w:val="71F51F9C"/>
    <w:rsid w:val="7351290D"/>
    <w:rsid w:val="73B966D5"/>
    <w:rsid w:val="7465576D"/>
    <w:rsid w:val="75281316"/>
    <w:rsid w:val="75AF0531"/>
    <w:rsid w:val="767411FD"/>
    <w:rsid w:val="77982B1B"/>
    <w:rsid w:val="78AA2690"/>
    <w:rsid w:val="7C8F1509"/>
    <w:rsid w:val="7CB9570E"/>
    <w:rsid w:val="7E820415"/>
    <w:rsid w:val="7EF70770"/>
    <w:rsid w:val="7F471B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Body Text"/>
    <w:basedOn w:val="1"/>
    <w:semiHidden/>
    <w:qFormat/>
    <w:uiPriority w:val="0"/>
    <w:rPr>
      <w:rFonts w:ascii="宋体" w:hAnsi="宋体" w:eastAsia="宋体" w:cs="宋体"/>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rPr>
      <w:sz w:val="24"/>
    </w:rPr>
  </w:style>
  <w:style w:type="paragraph" w:styleId="7">
    <w:name w:val="annotation subject"/>
    <w:basedOn w:val="2"/>
    <w:next w:val="2"/>
    <w:link w:val="15"/>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qFormat/>
    <w:uiPriority w:val="0"/>
    <w:rPr>
      <w:sz w:val="21"/>
      <w:szCs w:val="21"/>
    </w:rPr>
  </w:style>
  <w:style w:type="paragraph" w:customStyle="1" w:styleId="12">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3">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4">
    <w:name w:val="批注文字 字符"/>
    <w:basedOn w:val="10"/>
    <w:link w:val="2"/>
    <w:qFormat/>
    <w:uiPriority w:val="0"/>
    <w:rPr>
      <w:rFonts w:asciiTheme="minorHAnsi" w:hAnsiTheme="minorHAnsi" w:eastAsiaTheme="minorEastAsia" w:cstheme="minorBidi"/>
      <w:kern w:val="2"/>
      <w:sz w:val="21"/>
      <w:szCs w:val="24"/>
    </w:rPr>
  </w:style>
  <w:style w:type="character" w:customStyle="1" w:styleId="15">
    <w:name w:val="批注主题 字符"/>
    <w:basedOn w:val="14"/>
    <w:link w:val="7"/>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2db34342-a8a3-44f0-80c7-4c8097780fa3</errorID>
      <errorWord>总则</errorWord>
      <group>L1_Word</group>
      <groupName>字词问题</groupName>
      <ability>L2_Typo</ability>
      <abilityName>字词错误</abilityName>
      <candidateList>
        <item> 总则</item>
      </candidateList>
      <explain/>
      <paraID>2727B4AA</paraID>
      <start>0</start>
      <end>2</end>
      <status>unmodified</status>
      <modifiedWord/>
      <trackRevisions>false</trackRevisions>
    </reviewItem>
    <reviewItem>
      <errorID>20636ead-bd56-42d2-bf7e-f31cc876bc63</errorID>
      <errorWord>--</errorWord>
      <group>L1_Punc</group>
      <groupName>标点问题</groupName>
      <ability>L2_Punc_CN</ability>
      <abilityName>标点符号问题</abilityName>
      <candidateList>
        <item>——</item>
      </candidateList>
      <explain/>
      <paraID>394A991A</paraID>
      <start>126</start>
      <end>128</end>
      <status>unmodified</status>
      <modifiedWord/>
      <trackRevisions>false</trackRevisions>
    </reviewItem>
    <reviewItem>
      <errorID>d793bcf2-5880-4f1d-8371-f6d583dcedcf</errorID>
      <errorWord>法律、法规</errorWord>
      <group>L1_Word</group>
      <groupName>字词问题</groupName>
      <ability>L2_Typo</ability>
      <abilityName>字词错误</abilityName>
      <candidateList>
        <item>法律法规</item>
      </candidateList>
      <explain/>
      <paraID>394A991A</paraID>
      <start>176</start>
      <end>181</end>
      <status>unmodified</status>
      <modifiedWord/>
      <trackRevisions>false</trackRevisions>
    </reviewItem>
    <reviewItem>
      <errorID>f6d43c82-0773-4139-92c4-50c867a55493</errorID>
      <errorWord>审批</errorWord>
      <group>L1_Word</group>
      <groupName>字词问题</groupName>
      <ability>L2_Typo</ability>
      <abilityName>字词错误</abilityName>
      <candidateList>
        <item> 审批</item>
      </candidateList>
      <explain/>
      <paraID>1FA73D34</paraID>
      <start>0</start>
      <end>2</end>
      <status>unmodified</status>
      <modifiedWord/>
      <trackRevisions>false</trackRevisions>
    </reviewItem>
    <reviewItem>
      <errorID>9cb20638-ed31-47b9-80e8-39b8035869b0</errorID>
      <errorWord>，</errorWord>
      <group>L1_Punc</group>
      <groupName>标点问题</groupName>
      <ability>L2_Punc_CN</ability>
      <abilityName>标点符号问题</abilityName>
      <candidateList>
        <item>、</item>
      </candidateList>
      <explain/>
      <paraID>15764117</paraID>
      <start>55</start>
      <end>56</end>
      <status>unmodified</status>
      <modifiedWord/>
      <trackRevisions>false</trackRevisions>
    </reviewItem>
    <reviewItem>
      <errorID>bd782a40-f064-4bae-9cc1-7b35916fa549</errorID>
      <errorWord>，</errorWord>
      <group>L1_Punc</group>
      <groupName>标点问题</groupName>
      <ability>L2_Punc_CN</ability>
      <abilityName>标点符号问题</abilityName>
      <candidateList>
        <item>、</item>
      </candidateList>
      <explain/>
      <paraID>15764117</paraID>
      <start>61</start>
      <end>62</end>
      <status>unmodified</status>
      <modifiedWord/>
      <trackRevisions>false</trackRevisions>
    </reviewItem>
    <reviewItem>
      <errorID>6b53ee20-260b-428e-9e20-09fa73abda13</errorID>
      <errorWord>，</errorWord>
      <group>L1_Punc</group>
      <groupName>标点问题</groupName>
      <ability>L2_Punc_CN</ability>
      <abilityName>标点符号问题</abilityName>
      <candidateList>
        <item>、</item>
      </candidateList>
      <explain/>
      <paraID>15764117</paraID>
      <start>67</start>
      <end>68</end>
      <status>unmodified</status>
      <modifiedWord/>
      <trackRevisions>false</trackRevisions>
    </reviewItem>
    <reviewItem>
      <errorID>2b9f66f7-86bb-47f8-97c3-01e582ea57fa</errorID>
      <errorWord>，</errorWord>
      <group>L1_Punc</group>
      <groupName>标点问题</groupName>
      <ability>L2_Punc_CN</ability>
      <abilityName>标点符号问题</abilityName>
      <candidateList>
        <item>、</item>
      </candidateList>
      <explain/>
      <paraID>15764117</paraID>
      <start>76</start>
      <end>77</end>
      <status>unmodified</status>
      <modifiedWord/>
      <trackRevisions>false</trackRevisions>
    </reviewItem>
    <reviewItem>
      <errorID>4aa73c7c-ad97-4815-9ee5-a3b153d5b4b5</errorID>
      <errorWord>，</errorWord>
      <group>L1_Punc</group>
      <groupName>标点问题</groupName>
      <ability>L2_Punc_CN</ability>
      <abilityName>标点符号问题</abilityName>
      <candidateList>
        <item>、</item>
      </candidateList>
      <explain/>
      <paraID>15764117</paraID>
      <start>85</start>
      <end>86</end>
      <status>unmodified</status>
      <modifiedWord/>
      <trackRevisions>false</trackRevisions>
    </reviewItem>
    <reviewItem>
      <errorID>7eae93c4-ca20-4bda-b6c2-7893e8ebfb41</errorID>
      <errorWord>，</errorWord>
      <group>L1_Punc</group>
      <groupName>标点问题</groupName>
      <ability>L2_Punc_CN</ability>
      <abilityName>标点符号问题</abilityName>
      <candidateList>
        <item>、</item>
      </candidateList>
      <explain/>
      <paraID>15764117</paraID>
      <start>92</start>
      <end>93</end>
      <status>unmodified</status>
      <modifiedWord/>
      <trackRevisions>false</trackRevisions>
    </reviewItem>
    <reviewItem>
      <errorID>221ecd9d-fa57-40ad-808c-f8dfc8516432</errorID>
      <errorWord>制定制订</errorWord>
      <group>L1_Grammar</group>
      <groupName>语法问题</groupName>
      <ability>L2_Grammar</ability>
      <abilityName>语法错误</abilityName>
      <candidateList>
        <item>制定</item>
      </candidateList>
      <explain/>
      <paraID>4DA1DB59</paraID>
      <start>11</start>
      <end>15</end>
      <status>unmodified</status>
      <modifiedWord/>
      <trackRevisions>false</trackRevisions>
    </reviewItem>
    <reviewItem>
      <errorID>1d92c680-317f-46cf-929c-8d2fc579fbb0</errorID>
      <errorWord>授权</errorWord>
      <group>L1_Word</group>
      <groupName>字词问题</groupName>
      <ability>L2_Typo</ability>
      <abilityName>字词错误</abilityName>
      <candidateList>
        <item> 授权</item>
      </candidateList>
      <explain/>
      <paraID>63DB605F</paraID>
      <start>0</start>
      <end>2</end>
      <status>unmodified</status>
      <modifiedWord/>
      <trackRevisions>false</trackRevisions>
    </reviewItem>
    <reviewItem>
      <errorID>cb4e9498-96dd-4cf5-a93c-056a29173733</errorID>
      <errorWord>，</errorWord>
      <group>L1_Punc</group>
      <groupName>标点问题</groupName>
      <ability>L2_Punc_CN</ability>
      <abilityName>标点符号问题</abilityName>
      <candidateList>
        <item>。</item>
      </candidateList>
      <explain/>
      <paraID>720CFF90</paraID>
      <start>105</start>
      <end>106</end>
      <status>unmodified</status>
      <modifiedWord/>
      <trackRevisions>false</trackRevisions>
    </reviewItem>
    <reviewItem>
      <errorID>a589dd75-e675-43d2-8837-0797a7f4b5f6</errorID>
      <errorWord>并</errorWord>
      <group>L1_Word</group>
      <groupName>字词问题</groupName>
      <ability>L2_Typo</ability>
      <abilityName>字词错误</abilityName>
      <candidateList>
        <item>、</item>
      </candidateList>
      <explain/>
      <paraID> ABFC43F</paraID>
      <start>26</start>
      <end>27</end>
      <status>unmodified</status>
      <modifiedWord/>
      <trackRevisions>false</trackRevisions>
    </reviewItem>
    <reviewItem>
      <errorID>d93ccd97-13e8-4337-8039-afecac07a31f</errorID>
      <errorWord>风险</errorWord>
      <group>L1_Word</group>
      <groupName>字词问题</groupName>
      <ability>L2_Typo</ability>
      <abilityName>字词错误</abilityName>
      <candidateList>
        <item> 风险</item>
      </candidateList>
      <explain/>
      <paraID>79D86865</paraID>
      <start>0</start>
      <end>2</end>
      <status>unmodified</status>
      <modifiedWord/>
      <trackRevisions>false</trackRevisions>
    </reviewItem>
    <reviewItem>
      <errorID>0cfc8ddc-8476-4fd7-81cb-9f19a6550207</errorID>
      <errorWord>，</errorWord>
      <group>L1_Punc</group>
      <groupName>标点问题</groupName>
      <ability>L2_Punc_CN</ability>
      <abilityName>标点符号问题</abilityName>
      <candidateList>
        <item>。</item>
      </candidateList>
      <explain/>
      <paraID>7E29DDC7</paraID>
      <start>52</start>
      <end>53</end>
      <status>unmodified</status>
      <modifiedWord/>
      <trackRevisions>false</trackRevisions>
    </reviewItem>
    <reviewItem>
      <errorID>c3a1b440-5266-4743-8000-0ec8ace8c2c2</errorID>
      <errorWord>执行</errorWord>
      <group>L1_Punc</group>
      <groupName>标点问题</groupName>
      <ability>L2_Punc_CN</ability>
      <abilityName>标点符号问题</abilityName>
      <candidateList>
        <item>，执行</item>
      </candidateList>
      <explain/>
      <paraID>7E29DDC7</paraID>
      <start>58</start>
      <end>60</end>
      <status>unmodified</status>
      <modifiedWord/>
      <trackRevisions>false</trackRevisions>
    </reviewItem>
    <reviewItem>
      <errorID>dc6b83bc-08d3-4c13-b738-40be6d358e2e</errorID>
      <errorWord>优先选择优等</errorWord>
      <group>L1_Grammar</group>
      <groupName>语法问题</groupName>
      <ability>L2_Grammar</ability>
      <abilityName>语法错误</abilityName>
      <candidateList>
        <item>优先选择</item>
      </candidateList>
      <explain/>
      <paraID>272E1B7F</paraID>
      <start>46</start>
      <end>52</end>
      <status>unmodified</status>
      <modifiedWord/>
      <trackRevisions>false</trackRevisions>
    </reviewItem>
    <reviewItem>
      <errorID>8b228083-8a7d-47a5-8c50-3b22af8ca817</errorID>
      <errorWord>、</errorWord>
      <group>L1_Word</group>
      <groupName>字词问题</groupName>
      <ability>L2_Typo</ability>
      <abilityName>字词错误</abilityName>
      <candidateList>
        <item>优、</item>
      </candidateList>
      <explain/>
      <paraID>272E1B7F</paraID>
      <start>56</start>
      <end>57</end>
      <status>unmodified</status>
      <modifiedWord/>
      <trackRevisions>false</trackRevisions>
    </reviewItem>
    <reviewItem>
      <errorID>e41cc0f9-4496-4342-b155-e097321cfa8a</errorID>
      <errorWord>政策</errorWord>
      <group>L1_Word</group>
      <groupName>字词问题</groupName>
      <ability>L2_Typo</ability>
      <abilityName>字词错误</abilityName>
      <candidateList>
        <item> 政策</item>
      </candidateList>
      <explain/>
      <paraID>79828BCE</paraID>
      <start>2</start>
      <end>4</end>
      <status>unmodified</status>
      <modifiedWord/>
      <trackRevisions>false</trackRevisions>
    </reviewItem>
    <reviewItem>
      <errorID>f27ce83f-dd45-4543-9764-debf7453e378</errorID>
      <errorWord>；</errorWord>
      <group>L1_Punc</group>
      <groupName>标点问题</groupName>
      <ability>L2_Punc_CN</ability>
      <abilityName>标点符号问题</abilityName>
      <candidateList>
        <item>。</item>
      </candidateList>
      <explain/>
      <paraID>79828BCE</paraID>
      <start>40</start>
      <end>41</end>
      <status>unmodified</status>
      <modifiedWord/>
      <trackRevisions>false</trackRevisions>
    </reviewItem>
    <reviewItem>
      <errorID>607a09a9-6209-4f1b-aec1-1944647458f0</errorID>
      <errorWord>市场</errorWord>
      <group>L1_Word</group>
      <groupName>字词问题</groupName>
      <ability>L2_Typo</ability>
      <abilityName>字词错误</abilityName>
      <candidateList>
        <item> 市场</item>
      </candidateList>
      <explain/>
      <paraID>203A5174</paraID>
      <start>2</start>
      <end>4</end>
      <status>unmodified</status>
      <modifiedWord/>
      <trackRevisions>false</trackRevisions>
    </reviewItem>
    <reviewItem>
      <errorID>1769c153-fe5a-4364-8ce2-51e78960f2aa</errorID>
      <errorWord>；</errorWord>
      <group>L1_Word</group>
      <groupName>字词问题</groupName>
      <ability>L2_Typo</ability>
      <abilityName>字词错误</abilityName>
      <candidateList>
        <item>；在</item>
      </candidateList>
      <explain/>
      <paraID>385926F7</paraID>
      <start>41</start>
      <end>42</end>
      <status>unmodified</status>
      <modifiedWord/>
      <trackRevisions>false</trackRevisions>
    </reviewItem>
    <reviewItem>
      <errorID>b51bd4b2-609e-4657-bf67-5f1e675c3bc6</errorID>
      <errorWord>培训和学习</errorWord>
      <group>L1_Grammar</group>
      <groupName>语法问题</groupName>
      <ability>L2_Grammar</ability>
      <abilityName>语法错误</abilityName>
      <candidateList>
        <item>培训</item>
      </candidateList>
      <explain/>
      <paraID>4F38A9C5</paraID>
      <start>28</start>
      <end>33</end>
      <status>unmodified</status>
      <modifiedWord/>
      <trackRevisions>false</trackRevisions>
    </reviewItem>
    <reviewItem>
      <errorID>73b4d90c-1319-4043-aa2a-963027d0d652</errorID>
      <errorWord>当</errorWord>
      <group>L1_Word</group>
      <groupName>字词问题</groupName>
      <ability>L2_Typo</ability>
      <abilityName>字词错误</abilityName>
      <candidateList>
        <item> 当</item>
      </candidateList>
      <explain/>
      <paraID>1A812097</paraID>
      <start>2</start>
      <end>3</end>
      <status>unmodified</status>
      <modifiedWord/>
      <trackRevisions>false</trackRevisions>
    </reviewItem>
    <reviewItem>
      <errorID>562dda11-cfc4-4e9a-8bb5-0be09664e4f5</errorID>
      <errorWord>由对方</errorWord>
      <group>L1_Word</group>
      <groupName>字词问题</groupName>
      <ability>L2_Typo</ability>
      <abilityName>字词错误</abilityName>
      <candidateList>
        <item>对方应</item>
      </candidateList>
      <explain/>
      <paraID>1A812097</paraID>
      <start>25</start>
      <end>28</end>
      <status>unmodified</status>
      <modifiedWord/>
      <trackRevisions>false</trackRevisions>
    </reviewItem>
    <reviewItem>
      <errorID>97d4560c-99a5-4cfe-a395-312ce68e3b65</errorID>
      <errorWord>当</errorWord>
      <group>L1_Word</group>
      <groupName>字词问题</groupName>
      <ability>L2_Typo</ability>
      <abilityName>字词错误</abilityName>
      <candidateList>
        <item> 当</item>
      </candidateList>
      <explain/>
      <paraID>66CBEE09</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68e23e-152e-4de7-83d6-d7dab07495a4}">
  <ds:schemaRefs/>
</ds:datastoreItem>
</file>

<file path=docProps/app.xml><?xml version="1.0" encoding="utf-8"?>
<Properties xmlns="http://schemas.openxmlformats.org/officeDocument/2006/extended-properties" xmlns:vt="http://schemas.openxmlformats.org/officeDocument/2006/docPropsVTypes">
  <Template>Normal</Template>
  <Pages>13</Pages>
  <Words>5805</Words>
  <Characters>5840</Characters>
  <Lines>133</Lines>
  <Paragraphs>125</Paragraphs>
  <TotalTime>53</TotalTime>
  <ScaleCrop>false</ScaleCrop>
  <LinksUpToDate>false</LinksUpToDate>
  <CharactersWithSpaces>5899</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2023-08-01T02:15:00Z</dcterms:created>
  <dc:creator>Lenovo</dc:creator>
  <cp:lastModifiedBy>雯亦</cp:lastModifiedBy>
  <cp:lastPrinted>2026-08-03T01:44:00Z</cp:lastPrinted>
  <dcterms:modified xsi:type="dcterms:W3CDTF">2026-08-26T06:52:36Z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6B6094F976D847698569CB2FB19E7F53_13</vt:lpwstr>
  </property>
  <property fmtid="{D5CDD505-2E9C-101B-9397-08002B2CF9AE}" pid="4" name="KSOTemplateDocerSaveRecord">
    <vt:lpwstr>eyJoZGlkIjoiYWIzYTRhZDI2MDcyNDY2MWZhZDBhNjY1NjlkMTk4YzkiLCJ1c2VySWQiOiIxMDI4OTc2NTMxIn0=</vt:lpwstr>
  </property>
</Properties>
</file>