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beforeLines="50" w:after="120" w:afterLines="50"/>
        <w:rPr>
          <w:bCs w:val="0"/>
          <w:color w:val="000000" w:themeColor="text1"/>
          <w14:textFill>
            <w14:solidFill>
              <w14:schemeClr w14:val="tx1"/>
            </w14:solidFill>
          </w14:textFill>
        </w:rPr>
      </w:pPr>
      <w:sdt>
        <w:sdtPr>
          <w:tag w:val="_PLD_e2023e93e9d5454698c56f4b7265ca56"/>
          <w:id w:val="74723488"/>
        </w:sdtPr>
        <w:sdtContent>
          <w:r>
            <w:rPr>
              <w:rFonts w:hint="eastAsia"/>
              <w:color w:val="000000" w:themeColor="text1"/>
              <w14:textFill>
                <w14:solidFill>
                  <w14:schemeClr w14:val="tx1"/>
                </w14:solidFill>
              </w14:textFill>
            </w:rPr>
            <w:t>公司代码：</w:t>
          </w:r>
        </w:sdtContent>
      </w:sdt>
      <w:sdt>
        <w:sdtPr>
          <w:rPr>
            <w:rFonts w:hint="eastAsia"/>
            <w:bCs w:val="0"/>
          </w:rPr>
          <w:alias w:val="公司代码"/>
          <w:tag w:val="_GBC_704b7b03ea3f4a93b8d4655a09b2ff61"/>
          <w:id w:val="304754282"/>
          <w:placeholder>
            <w:docPart w:val="GBC22222222222222222222222222222"/>
          </w:placeholder>
        </w:sdtPr>
        <w:sdtEndPr>
          <w:rPr>
            <w:rFonts w:hint="eastAsia"/>
            <w:bCs w:val="0"/>
          </w:rPr>
        </w:sdtEndPr>
        <w:sdtContent>
          <w:r>
            <w:rPr>
              <w:rFonts w:hint="eastAsia"/>
              <w:bCs w:val="0"/>
            </w:rPr>
            <w:t>603191</w:t>
          </w:r>
        </w:sdtContent>
      </w:sdt>
      <w:r>
        <w:rPr>
          <w:rFonts w:hint="eastAsia"/>
          <w:color w:val="000000" w:themeColor="text1"/>
          <w14:textFill>
            <w14:solidFill>
              <w14:schemeClr w14:val="tx1"/>
            </w14:solidFill>
          </w14:textFill>
        </w:rPr>
        <w:t xml:space="preserve">                      　　　　　　　　　　</w:t>
      </w:r>
      <w:sdt>
        <w:sdtPr>
          <w:tag w:val="_PLD_9cd7c9dfc1e1482cb001b3fad058a63c"/>
          <w:id w:val="-597021738"/>
        </w:sdtPr>
        <w:sdtContent>
          <w:r>
            <w:rPr>
              <w:rFonts w:hint="eastAsia"/>
              <w:color w:val="000000" w:themeColor="text1"/>
              <w14:textFill>
                <w14:solidFill>
                  <w14:schemeClr w14:val="tx1"/>
                </w14:solidFill>
              </w14:textFill>
            </w:rPr>
            <w:t>公司简称：</w:t>
          </w:r>
        </w:sdtContent>
      </w:sdt>
      <w:sdt>
        <w:sdtPr>
          <w:rPr>
            <w:rFonts w:hint="eastAsia"/>
            <w:bCs w:val="0"/>
          </w:rPr>
          <w:alias w:val="公司简称"/>
          <w:tag w:val="_GBC_0384ae715a1e4b4894a29e4d27f5bef4"/>
          <w:id w:val="-72358556"/>
          <w:placeholder>
            <w:docPart w:val="GBC22222222222222222222222222222"/>
          </w:placeholder>
        </w:sdtPr>
        <w:sdtEndPr>
          <w:rPr>
            <w:rFonts w:hint="eastAsia"/>
            <w:bCs w:val="0"/>
          </w:rPr>
        </w:sdtEndPr>
        <w:sdtContent>
          <w:r>
            <w:rPr>
              <w:rFonts w:hint="eastAsia"/>
              <w:bCs w:val="0"/>
            </w:rPr>
            <w:t>望变电气</w:t>
          </w:r>
        </w:sdtContent>
      </w:sdt>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FF0000"/>
        </w:rPr>
      </w:pPr>
    </w:p>
    <w:p>
      <w:pPr>
        <w:rPr>
          <w:color w:val="FF0000"/>
        </w:rPr>
      </w:pPr>
    </w:p>
    <w:p>
      <w:pPr>
        <w:jc w:val="center"/>
        <w:rPr>
          <w:rFonts w:hint="eastAsia" w:ascii="黑体" w:hAnsi="黑体" w:eastAsia="黑体"/>
          <w:b/>
          <w:bCs w:val="0"/>
          <w:color w:val="FF0000"/>
          <w:sz w:val="44"/>
          <w:szCs w:val="44"/>
        </w:rPr>
      </w:pPr>
      <w:sdt>
        <w:sdtPr>
          <w:rPr>
            <w:rFonts w:hint="eastAsia" w:ascii="黑体" w:hAnsi="黑体" w:eastAsia="黑体"/>
            <w:b/>
            <w:bCs w:val="0"/>
            <w:color w:val="FF0000"/>
            <w:sz w:val="44"/>
            <w:szCs w:val="44"/>
          </w:rPr>
          <w:alias w:val="公司法定中文名称"/>
          <w:tag w:val="_GBC_ef279e32efc14c6bb521c62ff1f265ba"/>
          <w:id w:val="604005471"/>
          <w:placeholder>
            <w:docPart w:val="GBC22222222222222222222222222222"/>
          </w:placeholder>
          <w15:dataBinding w:prefixMappings="xmlns:clcid-cgi='clcid-cgi'" w:xpath="/*/clcid-cgi:GongSiFaDingZhongWenMingCheng[not(@periodRef)]" w:storeItemID="{89EBAB94-44A0-46A2-B712-30D997D04A6D}"/>
          <w:text/>
        </w:sdtPr>
        <w:sdtEndPr>
          <w:rPr>
            <w:rFonts w:hint="eastAsia" w:ascii="黑体" w:hAnsi="黑体" w:eastAsia="黑体"/>
            <w:b/>
            <w:bCs w:val="0"/>
            <w:color w:val="FF0000"/>
            <w:sz w:val="44"/>
            <w:szCs w:val="44"/>
          </w:rPr>
        </w:sdtEndPr>
        <w:sdtContent>
          <w:r>
            <w:rPr>
              <w:rFonts w:hint="eastAsia" w:ascii="黑体" w:hAnsi="黑体" w:eastAsia="黑体"/>
              <w:b/>
              <w:bCs w:val="0"/>
              <w:color w:val="FF0000"/>
              <w:sz w:val="44"/>
              <w:szCs w:val="44"/>
            </w:rPr>
            <w:t>重庆望变电气（集团）股份有限公司</w:t>
          </w:r>
        </w:sdtContent>
      </w:sdt>
    </w:p>
    <w:p>
      <w:pPr>
        <w:jc w:val="center"/>
        <w:rPr>
          <w:rFonts w:hint="eastAsia" w:ascii="黑体" w:hAnsi="黑体" w:eastAsia="黑体"/>
          <w:b/>
          <w:bCs w:val="0"/>
          <w:color w:val="FF0000"/>
          <w:sz w:val="44"/>
          <w:szCs w:val="44"/>
        </w:rPr>
      </w:pPr>
      <w:r>
        <w:rPr>
          <w:rFonts w:ascii="黑体" w:hAnsi="黑体" w:eastAsia="黑体"/>
          <w:b/>
          <w:color w:val="FF0000"/>
          <w:sz w:val="44"/>
          <w:szCs w:val="44"/>
        </w:rPr>
        <w:t>2026年</w:t>
      </w:r>
      <w:r>
        <w:rPr>
          <w:rFonts w:hint="eastAsia" w:ascii="黑体" w:hAnsi="黑体" w:eastAsia="黑体"/>
          <w:b/>
          <w:color w:val="FF0000"/>
          <w:sz w:val="44"/>
          <w:szCs w:val="44"/>
        </w:rPr>
        <w:t>半年度报告</w:t>
      </w:r>
    </w:p>
    <w:p>
      <w:pPr>
        <w:rPr>
          <w:color w:val="FF0000"/>
        </w:rPr>
      </w:pPr>
    </w:p>
    <w:p>
      <w:pPr>
        <w:rPr>
          <w:color w:val="FF0000"/>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5602605" cy="3735070"/>
            <wp:effectExtent l="0" t="0" r="5715" b="1397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6"/>
                    <a:stretch>
                      <a:fillRect/>
                    </a:stretch>
                  </pic:blipFill>
                  <pic:spPr>
                    <a:xfrm>
                      <a:off x="0" y="0"/>
                      <a:ext cx="5602605" cy="3735070"/>
                    </a:xfrm>
                    <a:prstGeom prst="rect">
                      <a:avLst/>
                    </a:prstGeom>
                  </pic:spPr>
                </pic:pic>
              </a:graphicData>
            </a:graphic>
          </wp:inline>
        </w:drawing>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r>
        <w:rPr>
          <w:color w:val="000000" w:themeColor="text1"/>
          <w14:textFill>
            <w14:solidFill>
              <w14:schemeClr w14:val="tx1"/>
            </w14:solidFill>
          </w14:textFill>
        </w:rPr>
        <w:br w:type="page"/>
      </w:r>
    </w:p>
    <w:sdt>
      <w:sdtPr>
        <w:tag w:val="_PLD_845fa8b330524542a31e33dd31c44bb8"/>
        <w:id w:val="589518638"/>
      </w:sdtPr>
      <w:sdtContent>
        <w:p>
          <w:pPr>
            <w:pStyle w:val="81"/>
            <w:spacing w:after="280" w:afterAutospacing="0"/>
            <w:jc w:val="center"/>
            <w:rPr>
              <w:b/>
              <w:bCs w:val="0"/>
              <w:color w:val="000000" w:themeColor="text1"/>
              <w:sz w:val="28"/>
              <w:szCs w:val="28"/>
              <w14:textFill>
                <w14:solidFill>
                  <w14:schemeClr w14:val="tx1"/>
                </w14:solidFill>
              </w14:textFill>
            </w:rPr>
          </w:pPr>
          <w:bookmarkStart w:id="0" w:name="_Toc387656034"/>
          <w:r>
            <w:rPr>
              <w:rFonts w:hint="eastAsia"/>
              <w:b/>
              <w:color w:val="000000" w:themeColor="text1"/>
              <w:sz w:val="28"/>
              <w:szCs w:val="28"/>
              <w14:textFill>
                <w14:solidFill>
                  <w14:schemeClr w14:val="tx1"/>
                </w14:solidFill>
              </w14:textFill>
            </w:rPr>
            <w:t>重要提示</w:t>
          </w:r>
        </w:p>
      </w:sdtContent>
    </w:sdt>
    <w:bookmarkEnd w:id="0"/>
    <w:sdt>
      <w:sdtPr>
        <w:rPr>
          <w:rFonts w:hint="eastAsia" w:ascii="宋体" w:hAnsi="宋体"/>
          <w:color w:val="000000" w:themeColor="text1"/>
          <w14:textFill>
            <w14:solidFill>
              <w14:schemeClr w14:val="tx1"/>
            </w14:solidFill>
          </w14:textFill>
        </w:rPr>
        <w:alias w:val="董事会及董事声明"/>
        <w:tag w:val="_GBC_6c6da163383e4e4c92758ff24076a138"/>
        <w:id w:val="1307891280"/>
        <w:placeholder>
          <w:docPart w:val="GBC22222222222222222222222222222"/>
        </w:placeholder>
      </w:sdtPr>
      <w:sdtEndPr>
        <w:rPr>
          <w:rFonts w:hint="eastAsia" w:ascii="宋体" w:hAnsi="宋体"/>
          <w:color w:val="000000" w:themeColor="text1"/>
          <w14:textFill>
            <w14:solidFill>
              <w14:schemeClr w14:val="tx1"/>
            </w14:solidFill>
          </w14:textFill>
        </w:rPr>
      </w:sdtEndPr>
      <w:sdtContent>
        <w:p>
          <w:pPr>
            <w:pStyle w:val="50"/>
            <w:numPr>
              <w:ilvl w:val="0"/>
              <w:numId w:val="1"/>
            </w:numPr>
            <w:tabs>
              <w:tab w:val="left" w:pos="434"/>
            </w:tabs>
            <w:spacing w:before="0" w:after="0" w:line="360" w:lineRule="auto"/>
            <w:ind w:left="0" w:firstLine="0"/>
          </w:pPr>
          <w:r>
            <w:rPr>
              <w:rFonts w:ascii="宋体" w:hAnsi="宋体" w:cs="宋体"/>
              <w:color w:val="000000" w:themeColor="text1"/>
              <w14:textFill>
                <w14:solidFill>
                  <w14:schemeClr w14:val="tx1"/>
                </w14:solidFill>
              </w14:textFill>
            </w:rPr>
            <w:t>本公司董事会及董事、高级管理人员保证</w:t>
          </w:r>
          <w:r>
            <w:rPr>
              <w:rFonts w:hint="eastAsia" w:ascii="宋体" w:hAnsi="宋体" w:cs="宋体"/>
              <w:color w:val="000000" w:themeColor="text1"/>
              <w14:textFill>
                <w14:solidFill>
                  <w14:schemeClr w14:val="tx1"/>
                </w14:solidFill>
              </w14:textFill>
            </w:rPr>
            <w:t>半</w:t>
          </w:r>
          <w:r>
            <w:rPr>
              <w:rFonts w:ascii="宋体" w:hAnsi="宋体" w:cs="宋体"/>
              <w:color w:val="000000" w:themeColor="text1"/>
              <w14:textFill>
                <w14:solidFill>
                  <w14:schemeClr w14:val="tx1"/>
                </w14:solidFill>
              </w14:textFill>
            </w:rPr>
            <w:t>年度报告内容的真实</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、准确</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、完整</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，不存在虚假记载、误导性陈述或重大遗漏，并承担个别和连带的法律责任。</w:t>
          </w:r>
        </w:p>
      </w:sdtContent>
    </w:sdt>
    <w:p>
      <w:pPr>
        <w:pStyle w:val="50"/>
        <w:numPr>
          <w:ilvl w:val="0"/>
          <w:numId w:val="1"/>
        </w:numPr>
        <w:tabs>
          <w:tab w:val="left" w:pos="434"/>
        </w:tabs>
        <w:spacing w:before="0" w:after="0" w:line="360" w:lineRule="auto"/>
        <w:ind w:left="0" w:firstLine="0"/>
        <w:rPr>
          <w:color w:val="000000" w:themeColor="text1"/>
          <w14:textFill>
            <w14:solidFill>
              <w14:schemeClr w14:val="tx1"/>
            </w14:solidFill>
          </w14:textFill>
        </w:rPr>
      </w:pPr>
      <w:bookmarkStart w:id="1" w:name="_Hlk106871957"/>
      <w:bookmarkEnd w:id="1"/>
      <w:r>
        <w:rPr>
          <w:rFonts w:ascii="宋体" w:hAnsi="宋体" w:cs="宋体"/>
          <w:color w:val="000000" w:themeColor="text1"/>
          <w14:textFill>
            <w14:solidFill>
              <w14:schemeClr w14:val="tx1"/>
            </w14:solidFill>
          </w14:textFill>
        </w:rPr>
        <w:t>公司</w:t>
      </w:r>
      <w:sdt>
        <w:sdtPr>
          <w:tag w:val="_GBC_2e0ee33ebae04a83b92e8b1aa6754169"/>
          <w:id w:val="-1073269471"/>
        </w:sdtPr>
        <w:sdtContent>
          <w:r>
            <w:rPr>
              <w:rFonts w:ascii="宋体" w:hAnsi="宋体" w:cs="宋体"/>
              <w:color w:val="000000" w:themeColor="text1"/>
              <w14:textFill>
                <w14:solidFill>
                  <w14:schemeClr w14:val="tx1"/>
                </w14:solidFill>
              </w14:textFill>
            </w:rPr>
            <w:t>全体董事出席</w:t>
          </w:r>
        </w:sdtContent>
      </w:sdt>
      <w:r>
        <w:rPr>
          <w:rFonts w:ascii="宋体" w:hAnsi="宋体" w:cs="宋体"/>
          <w:color w:val="000000" w:themeColor="text1"/>
          <w14:textFill>
            <w14:solidFill>
              <w14:schemeClr w14:val="tx1"/>
            </w14:solidFill>
          </w14:textFill>
        </w:rPr>
        <w:t>董事会会议。</w:t>
      </w:r>
    </w:p>
    <w:p>
      <w:pPr>
        <w:pStyle w:val="50"/>
        <w:numPr>
          <w:ilvl w:val="0"/>
          <w:numId w:val="1"/>
        </w:numPr>
        <w:tabs>
          <w:tab w:val="left" w:pos="434"/>
        </w:tabs>
        <w:spacing w:before="0" w:after="0" w:line="360" w:lineRule="auto"/>
        <w:ind w:left="0" w:firstLine="0"/>
        <w:rPr>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本半年度报告</w:t>
      </w:r>
      <w:sdt>
        <w:sdtPr>
          <w:tag w:val="_GBC_be15b7a71d95430e82193d4cab461623"/>
          <w:id w:val="-773549487"/>
        </w:sdtPr>
        <w:sdtContent>
          <w:r>
            <w:rPr>
              <w:rFonts w:ascii="宋体" w:hAnsi="宋体" w:cs="宋体"/>
              <w:color w:val="000000" w:themeColor="text1"/>
              <w14:textFill>
                <w14:solidFill>
                  <w14:schemeClr w14:val="tx1"/>
                </w14:solidFill>
              </w14:textFill>
            </w:rPr>
            <w:t>未经审计</w:t>
          </w:r>
        </w:sdtContent>
      </w:sdt>
      <w:r>
        <w:rPr>
          <w:rFonts w:ascii="宋体" w:hAnsi="宋体" w:cs="宋体"/>
          <w:color w:val="000000" w:themeColor="text1"/>
          <w14:textFill>
            <w14:solidFill>
              <w14:schemeClr w14:val="tx1"/>
            </w14:solidFill>
          </w14:textFill>
        </w:rPr>
        <w:t>。</w:t>
      </w:r>
    </w:p>
    <w:p>
      <w:pPr>
        <w:pStyle w:val="50"/>
        <w:numPr>
          <w:ilvl w:val="0"/>
          <w:numId w:val="1"/>
        </w:numPr>
        <w:tabs>
          <w:tab w:val="left" w:pos="434"/>
        </w:tabs>
        <w:spacing w:before="0" w:after="0" w:line="360" w:lineRule="auto"/>
        <w:ind w:left="0" w:firstLine="0"/>
        <w:rPr>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公司负责人</w:t>
      </w:r>
      <w:sdt>
        <w:sdtPr>
          <w:rPr>
            <w:rFonts w:ascii="宋体" w:hAnsi="宋体"/>
            <w:color w:val="000000" w:themeColor="text1"/>
            <w14:textFill>
              <w14:solidFill>
                <w14:schemeClr w14:val="tx1"/>
              </w14:solidFill>
            </w14:textFill>
          </w:rPr>
          <w:alias w:val="公司负责人姓名"/>
          <w:tag w:val="_GBC_ee6b72f666bb497bbe8fc037096654d2"/>
          <w:id w:val="709697877"/>
          <w:placeholder>
            <w:docPart w:val="GBC22222222222222222222222222222"/>
          </w:placeholder>
          <w15:dataBinding w:prefixMappings="xmlns:clcid-mr='clcid-mr'" w:xpath="/*/clcid-mr:GongSiFuZeRenXingMing[not(@periodRef)]" w:storeItemID="{89EBAB94-44A0-46A2-B712-30D997D04A6D}"/>
          <w:text/>
        </w:sdtPr>
        <w:sdtEndPr>
          <w:rPr>
            <w:rFonts w:ascii="宋体" w:hAnsi="宋体"/>
            <w:color w:val="000000" w:themeColor="text1"/>
            <w14:textFill>
              <w14:solidFill>
                <w14:schemeClr w14:val="tx1"/>
              </w14:solidFill>
            </w14:textFill>
          </w:rPr>
        </w:sdtEndPr>
        <w:sdtContent>
          <w:r>
            <w:rPr>
              <w:rFonts w:ascii="宋体" w:hAnsi="宋体" w:cs="宋体"/>
              <w:color w:val="000000" w:themeColor="text1"/>
              <w14:textFill>
                <w14:solidFill>
                  <w14:schemeClr w14:val="tx1"/>
                </w14:solidFill>
              </w14:textFill>
            </w:rPr>
            <w:t>杨泽民</w:t>
          </w:r>
        </w:sdtContent>
      </w:sdt>
      <w:r>
        <w:rPr>
          <w:rFonts w:ascii="宋体" w:hAnsi="宋体" w:cs="宋体"/>
          <w:color w:val="000000" w:themeColor="text1"/>
          <w14:textFill>
            <w14:solidFill>
              <w14:schemeClr w14:val="tx1"/>
            </w14:solidFill>
          </w14:textFill>
        </w:rPr>
        <w:t>、主管会计工作负责人</w:t>
      </w:r>
      <w:sdt>
        <w:sdtPr>
          <w:rPr>
            <w:rFonts w:ascii="宋体" w:hAnsi="宋体"/>
            <w:color w:val="000000" w:themeColor="text1"/>
            <w14:textFill>
              <w14:solidFill>
                <w14:schemeClr w14:val="tx1"/>
              </w14:solidFill>
            </w14:textFill>
          </w:rPr>
          <w:alias w:val="主管会计工作负责人姓名"/>
          <w:tag w:val="_GBC_51ed55c6ff134dadaa6756998c964cdf"/>
          <w:id w:val="-73752353"/>
          <w:placeholder>
            <w:docPart w:val="GBC22222222222222222222222222222"/>
          </w:placeholder>
          <w15:dataBinding w:prefixMappings="xmlns:clcid-mr='clcid-mr'" w:xpath="/*/clcid-mr:ZhuGuanKuaiJiGongZuoFuZeRenXingMing[not(@periodRef)]" w:storeItemID="{89EBAB94-44A0-46A2-B712-30D997D04A6D}"/>
          <w:text/>
        </w:sdtPr>
        <w:sdtEndPr>
          <w:rPr>
            <w:rFonts w:ascii="宋体" w:hAnsi="宋体"/>
            <w:color w:val="000000" w:themeColor="text1"/>
            <w14:textFill>
              <w14:solidFill>
                <w14:schemeClr w14:val="tx1"/>
              </w14:solidFill>
            </w14:textFill>
          </w:rPr>
        </w:sdtEndPr>
        <w:sdtContent>
          <w:r>
            <w:rPr>
              <w:rFonts w:ascii="宋体" w:hAnsi="宋体" w:cs="宋体"/>
              <w:color w:val="000000" w:themeColor="text1"/>
              <w14:textFill>
                <w14:solidFill>
                  <w14:schemeClr w14:val="tx1"/>
                </w14:solidFill>
              </w14:textFill>
            </w:rPr>
            <w:t>杨万华</w:t>
          </w:r>
        </w:sdtContent>
      </w:sdt>
      <w:r>
        <w:rPr>
          <w:rFonts w:ascii="宋体" w:hAnsi="宋体" w:cs="宋体"/>
          <w:color w:val="000000" w:themeColor="text1"/>
          <w14:textFill>
            <w14:solidFill>
              <w14:schemeClr w14:val="tx1"/>
            </w14:solidFill>
          </w14:textFill>
        </w:rPr>
        <w:t>及会计机构负责人（会计主管人员）</w:t>
      </w:r>
      <w:sdt>
        <w:sdtPr>
          <w:rPr>
            <w:rFonts w:ascii="宋体" w:hAnsi="宋体"/>
            <w:color w:val="000000" w:themeColor="text1"/>
            <w14:textFill>
              <w14:solidFill>
                <w14:schemeClr w14:val="tx1"/>
              </w14:solidFill>
            </w14:textFill>
          </w:rPr>
          <w:alias w:val="会计机构负责人姓名"/>
          <w:tag w:val="_GBC_aa7d9e44d6e64b9abdcdefb4a3968427"/>
          <w:id w:val="-26797711"/>
          <w:placeholder>
            <w:docPart w:val="GBC22222222222222222222222222222"/>
          </w:placeholder>
          <w15:dataBinding w:prefixMappings="xmlns:clcid-mr='clcid-mr'" w:xpath="/*/clcid-mr:KuaiJiJiGouFuZeRenXingMing[not(@periodRef)]" w:storeItemID="{89EBAB94-44A0-46A2-B712-30D997D04A6D}"/>
          <w:text/>
        </w:sdtPr>
        <w:sdtEndPr>
          <w:rPr>
            <w:rFonts w:ascii="宋体" w:hAnsi="宋体"/>
            <w:color w:val="000000" w:themeColor="text1"/>
            <w14:textFill>
              <w14:solidFill>
                <w14:schemeClr w14:val="tx1"/>
              </w14:solidFill>
            </w14:textFill>
          </w:rPr>
        </w:sdtEndPr>
        <w:sdtContent>
          <w:r>
            <w:rPr>
              <w:rFonts w:ascii="宋体" w:hAnsi="宋体" w:cs="宋体"/>
              <w:color w:val="000000" w:themeColor="text1"/>
              <w14:textFill>
                <w14:solidFill>
                  <w14:schemeClr w14:val="tx1"/>
                </w14:solidFill>
              </w14:textFill>
            </w:rPr>
            <w:t>冯波</w:t>
          </w:r>
        </w:sdtContent>
      </w:sdt>
      <w:r>
        <w:rPr>
          <w:rFonts w:ascii="宋体" w:hAnsi="宋体" w:cs="宋体"/>
          <w:color w:val="000000" w:themeColor="text1"/>
          <w14:textFill>
            <w14:solidFill>
              <w14:schemeClr w14:val="tx1"/>
            </w14:solidFill>
          </w14:textFill>
        </w:rPr>
        <w:t>声明：保证半年度报告中财务报告的真实、准确、完整。</w:t>
      </w:r>
    </w:p>
    <w:p>
      <w:pPr>
        <w:pStyle w:val="50"/>
        <w:numPr>
          <w:ilvl w:val="0"/>
          <w:numId w:val="1"/>
        </w:numPr>
        <w:tabs>
          <w:tab w:val="left" w:pos="434"/>
        </w:tabs>
        <w:spacing w:before="0" w:after="0" w:line="360" w:lineRule="auto"/>
        <w:ind w:left="0" w:firstLine="0"/>
        <w:rPr>
          <w:rFonts w:hint="eastAsia"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董事会决议通过的本报告期利润分配预案或公积金转增股本预案</w:t>
      </w:r>
    </w:p>
    <w:sdt>
      <w:sdtPr>
        <w:rPr>
          <w:rFonts w:hint="eastAsia"/>
          <w:color w:val="000000" w:themeColor="text1"/>
          <w14:textFill>
            <w14:solidFill>
              <w14:schemeClr w14:val="tx1"/>
            </w14:solidFill>
          </w14:textFill>
        </w:rPr>
        <w:alias w:val="经董事会审议的报告期利润分配预案或公积金转增股本预案"/>
        <w:tag w:val="_GBC_7676626d447143468bebcc8d267ec746"/>
        <w:id w:val="427469976"/>
        <w:placeholder>
          <w:docPart w:val="GBC22222222222222222222222222222"/>
        </w:placeholder>
      </w:sdtPr>
      <w:sdtEndPr>
        <w:rPr>
          <w:rFonts w:hint="eastAsia"/>
          <w:color w:val="000000" w:themeColor="text1"/>
          <w14:textFill>
            <w14:solidFill>
              <w14:schemeClr w14:val="tx1"/>
            </w14:solidFill>
          </w14:textFill>
        </w:rPr>
      </w:sdtEndPr>
      <w:sdtContent>
        <w:p>
          <w:pPr>
            <w:kinsoku w:val="0"/>
            <w:overflowPunct w:val="0"/>
            <w:autoSpaceDE w:val="0"/>
            <w:autoSpaceDN w:val="0"/>
            <w:adjustRightInd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50"/>
        <w:numPr>
          <w:ilvl w:val="0"/>
          <w:numId w:val="1"/>
        </w:numPr>
        <w:tabs>
          <w:tab w:val="left" w:pos="434"/>
        </w:tabs>
        <w:spacing w:before="0" w:after="0" w:line="360" w:lineRule="auto"/>
        <w:ind w:left="0" w:firstLine="0"/>
        <w:rPr>
          <w:rFonts w:hint="eastAsia"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前瞻性陈述的风险声明</w:t>
      </w:r>
    </w:p>
    <w:sdt>
      <w:sdtPr>
        <w:rPr>
          <w:color w:val="000000" w:themeColor="text1"/>
          <w14:textFill>
            <w14:solidFill>
              <w14:schemeClr w14:val="tx1"/>
            </w14:solidFill>
          </w14:textFill>
        </w:rPr>
        <w:alias w:val="是否适用：前瞻性陈述的风险声明[双击切换]"/>
        <w:tag w:val="_GBC_6a28949332914149bda7cc0225d614b7"/>
        <w:id w:val="-93636543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公司对报告涉及未来计划等前瞻性陈述的声明"/>
        <w:tag w:val="_GBC_6511b5aecc604062ad93b5fbd25fd19b"/>
        <w:id w:val="-1974123858"/>
        <w:placeholder>
          <w:docPart w:val="GBC22222222222222222222222222222"/>
        </w:placeholder>
      </w:sdtPr>
      <w:sdtEndPr>
        <w:rPr>
          <w:rFonts w:hint="eastAsia"/>
          <w:color w:val="000000" w:themeColor="text1"/>
          <w14:textFill>
            <w14:solidFill>
              <w14:schemeClr w14:val="tx1"/>
            </w14:solidFill>
          </w14:textFill>
        </w:rPr>
      </w:sdtEndPr>
      <w:sdtContent>
        <w:p>
          <w:pPr>
            <w:kinsoku w:val="0"/>
            <w:overflowPunct w:val="0"/>
            <w:autoSpaceDE w:val="0"/>
            <w:autoSpaceDN w:val="0"/>
            <w:adjustRightInd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本报告包含若干公司对未来发展战略、业务规划、经营计划、财务预计等前瞻性描述；这些</w:t>
          </w:r>
        </w:p>
        <w:p>
          <w:pPr>
            <w:kinsoku w:val="0"/>
            <w:overflowPunct w:val="0"/>
            <w:autoSpaceDE w:val="0"/>
            <w:autoSpaceDN w:val="0"/>
            <w:adjustRightInd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陈述基于当前能够掌握的信息与数据对未来所做出的估计或预测，不构成公司对投资者的实质承</w:t>
          </w:r>
        </w:p>
        <w:p>
          <w:pPr>
            <w:kinsoku w:val="0"/>
            <w:overflowPunct w:val="0"/>
            <w:autoSpaceDE w:val="0"/>
            <w:autoSpaceDN w:val="0"/>
            <w:adjustRightInd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诺，敬请投资者注意投资风险。</w:t>
          </w:r>
        </w:p>
      </w:sdtContent>
    </w:sdt>
    <w:p>
      <w:pPr>
        <w:pStyle w:val="50"/>
        <w:numPr>
          <w:ilvl w:val="0"/>
          <w:numId w:val="1"/>
        </w:numPr>
        <w:tabs>
          <w:tab w:val="left" w:pos="434"/>
        </w:tabs>
        <w:spacing w:before="0" w:after="0" w:line="360" w:lineRule="auto"/>
        <w:ind w:left="0" w:firstLine="0"/>
        <w:rPr>
          <w:rFonts w:hint="eastAsia"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是否存在被控股股东及其他关联方非经营性占用资金情况</w:t>
      </w:r>
    </w:p>
    <w:sdt>
      <w:sdtPr>
        <w:rPr>
          <w:rFonts w:hint="eastAsia"/>
          <w:bCs w:val="0"/>
          <w:color w:val="000000" w:themeColor="text1"/>
          <w14:textFill>
            <w14:solidFill>
              <w14:schemeClr w14:val="tx1"/>
            </w14:solidFill>
          </w14:textFill>
        </w:rPr>
        <w:alias w:val="本公司是否存在大股东占用资金情况"/>
        <w:tag w:val="_GBC_a32400ff33ee44d89632e0d79a7f2c42"/>
        <w:id w:val="1567064227"/>
        <w:placeholder>
          <w:docPart w:val="GBC22222222222222222222222222222"/>
        </w:placeholder>
        <w:comboBox>
          <w:listItem w:displayText="是" w:value="true"/>
          <w:listItem w:displayText="否" w:value="false"/>
        </w:comboBox>
      </w:sdtPr>
      <w:sdtEndPr>
        <w:rPr>
          <w:rFonts w:hint="eastAsia"/>
          <w:bCs w:val="0"/>
          <w:color w:val="000000" w:themeColor="text1"/>
          <w14:textFill>
            <w14:solidFill>
              <w14:schemeClr w14:val="tx1"/>
            </w14:solidFill>
          </w14:textFill>
        </w:rPr>
      </w:sdtEndPr>
      <w:sdtContent>
        <w:p>
          <w:pPr>
            <w:kinsoku w:val="0"/>
            <w:overflowPunct w:val="0"/>
            <w:autoSpaceDE w:val="0"/>
            <w:autoSpaceDN w:val="0"/>
            <w:adjustRightInd w:val="0"/>
            <w:snapToGrid w:val="0"/>
            <w:spacing w:line="360" w:lineRule="exact"/>
            <w:rPr>
              <w:color w:val="000000" w:themeColor="text1"/>
              <w:shd w:val="pct10" w:color="auto" w:fill="FFFFFF"/>
              <w14:textFill>
                <w14:solidFill>
                  <w14:schemeClr w14:val="tx1"/>
                </w14:solidFill>
              </w14:textFill>
            </w:rPr>
          </w:pPr>
          <w:r>
            <w:rPr>
              <w:rFonts w:hint="eastAsia"/>
              <w:bCs w:val="0"/>
              <w:color w:val="000000" w:themeColor="text1"/>
              <w14:textFill>
                <w14:solidFill>
                  <w14:schemeClr w14:val="tx1"/>
                </w14:solidFill>
              </w14:textFill>
            </w:rPr>
            <w:t>否</w:t>
          </w:r>
        </w:p>
      </w:sdtContent>
    </w:sdt>
    <w:p>
      <w:pPr>
        <w:pStyle w:val="50"/>
        <w:numPr>
          <w:ilvl w:val="0"/>
          <w:numId w:val="1"/>
        </w:numPr>
        <w:tabs>
          <w:tab w:val="left" w:pos="434"/>
        </w:tabs>
        <w:spacing w:before="0" w:after="0" w:line="360" w:lineRule="auto"/>
        <w:ind w:left="0" w:firstLine="0"/>
        <w:rPr>
          <w:rFonts w:hint="eastAsia"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是否存在违反规定决策程序对外提供担保的情况</w:t>
      </w:r>
    </w:p>
    <w:sdt>
      <w:sdtPr>
        <w:rPr>
          <w:rFonts w:hint="eastAsia"/>
          <w:color w:val="000000" w:themeColor="text1"/>
          <w14:textFill>
            <w14:solidFill>
              <w14:schemeClr w14:val="tx1"/>
            </w14:solidFill>
          </w14:textFill>
        </w:rPr>
        <w:alias w:val="本公司是否存在违反规定决策程序对外提供担保的情况"/>
        <w:tag w:val="_GBC_3bc3f02bd342494aa2858bb9a39d8458"/>
        <w:id w:val="1385287516"/>
        <w:placeholder>
          <w:docPart w:val="GBC22222222222222222222222222222"/>
        </w:placeholder>
        <w:comboBox>
          <w:listItem w:displayText="是" w:value="true"/>
          <w:listItem w:displayText="否" w:value="false"/>
        </w:comboBox>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否</w:t>
          </w:r>
        </w:p>
      </w:sdtContent>
    </w:sdt>
    <w:p>
      <w:pPr>
        <w:pStyle w:val="50"/>
        <w:numPr>
          <w:ilvl w:val="0"/>
          <w:numId w:val="1"/>
        </w:numPr>
        <w:tabs>
          <w:tab w:val="left" w:pos="434"/>
        </w:tabs>
        <w:spacing w:before="0" w:after="0" w:line="360" w:lineRule="auto"/>
        <w:ind w:left="0" w:firstLine="0"/>
        <w:rPr>
          <w:rFonts w:hint="eastAsia" w:ascii="宋体" w:hAnsi="宋体"/>
          <w:color w:val="000000" w:themeColor="text1"/>
          <w14:textFill>
            <w14:solidFill>
              <w14:schemeClr w14:val="tx1"/>
            </w14:solidFill>
          </w14:textFill>
        </w:rPr>
      </w:pPr>
      <w:bookmarkStart w:id="2" w:name="_Hlk61881950"/>
      <w:bookmarkStart w:id="3" w:name="_Hlk72769553"/>
      <w:r>
        <w:rPr>
          <w:rFonts w:ascii="宋体" w:hAnsi="宋体" w:cs="宋体"/>
          <w:color w:val="000000" w:themeColor="text1"/>
          <w14:textFill>
            <w14:solidFill>
              <w14:schemeClr w14:val="tx1"/>
            </w14:solidFill>
          </w14:textFill>
        </w:rPr>
        <w:t>是否存在半数以上董事无法保证公司所披露半年度报告的真实性、准确性和完整性</w:t>
      </w:r>
      <w:bookmarkEnd w:id="2"/>
    </w:p>
    <w:sdt>
      <w:sdtPr>
        <w:rPr>
          <w:rFonts w:hint="eastAsia"/>
          <w:color w:val="000000" w:themeColor="text1"/>
          <w14:textFill>
            <w14:solidFill>
              <w14:schemeClr w14:val="tx1"/>
            </w14:solidFill>
          </w14:textFill>
        </w:rPr>
        <w:alias w:val="是否存在半数以上董事无法保证公司所披露年度报告的真实性、准确性和完整性"/>
        <w:tag w:val="_GBC_016ca2a0d8c2429a89679ee7fdc015c2"/>
        <w:id w:val="1600760048"/>
        <w:lock w:val="sdtLocked"/>
        <w:placeholder>
          <w:docPart w:val="GBC22222222222222222222222222222"/>
        </w:placeholder>
        <w:comboBox>
          <w:listItem w:displayText="是" w:value="true"/>
          <w:listItem w:displayText="否" w:value="false"/>
        </w:comboBox>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否</w:t>
          </w:r>
        </w:p>
      </w:sdtContent>
    </w:sdt>
    <w:bookmarkEnd w:id="3"/>
    <w:p>
      <w:pPr>
        <w:pStyle w:val="50"/>
        <w:numPr>
          <w:ilvl w:val="0"/>
          <w:numId w:val="1"/>
        </w:numPr>
        <w:tabs>
          <w:tab w:val="left" w:pos="434"/>
        </w:tabs>
        <w:spacing w:before="0" w:after="0" w:line="360" w:lineRule="auto"/>
        <w:ind w:left="0" w:firstLine="0"/>
        <w:rPr>
          <w:rFonts w:hint="eastAsia"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重大风险提示</w:t>
      </w:r>
    </w:p>
    <w:sdt>
      <w:sdtPr>
        <w:rPr>
          <w:rFonts w:hint="eastAsia"/>
          <w:color w:val="000000" w:themeColor="text1"/>
          <w14:textFill>
            <w14:solidFill>
              <w14:schemeClr w14:val="tx1"/>
            </w14:solidFill>
          </w14:textFill>
        </w:rPr>
        <w:alias w:val="重大风险提示"/>
        <w:tag w:val="_GBC_d0220f8592e64dd1b898937e183da1e3"/>
        <w:id w:val="-1567260616"/>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公司已在本报告中详细阐述了公司在生产经营过程中可能面临的各种风险及应对措施，敬请</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查阅第三节、五（一）“可能面对的风险”部分。</w:t>
          </w:r>
        </w:p>
      </w:sdtContent>
    </w:sdt>
    <w:p>
      <w:pPr>
        <w:pStyle w:val="50"/>
        <w:numPr>
          <w:ilvl w:val="0"/>
          <w:numId w:val="1"/>
        </w:numPr>
        <w:tabs>
          <w:tab w:val="left" w:pos="434"/>
        </w:tabs>
        <w:spacing w:before="0" w:after="0" w:line="360" w:lineRule="auto"/>
        <w:ind w:left="0" w:firstLine="0"/>
        <w:rPr>
          <w:rFonts w:hint="eastAsia" w:ascii="宋体" w:hAnsi="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其他重要提示[双击切换]"/>
        <w:tag w:val="_GBC_3a91363d913942688077b069148debc5"/>
        <w:id w:val="-159616732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p>
    <w:p>
      <w:pPr>
        <w:rPr>
          <w:color w:val="000000" w:themeColor="text1"/>
          <w14:textFill>
            <w14:solidFill>
              <w14:schemeClr w14:val="tx1"/>
            </w14:solidFill>
          </w14:textFill>
        </w:rPr>
        <w:sectPr>
          <w:headerReference r:id="rId3" w:type="default"/>
          <w:footerReference r:id="rId4" w:type="default"/>
          <w:pgSz w:w="11906" w:h="16838"/>
          <w:pgMar w:top="1525" w:right="1276" w:bottom="1440" w:left="1797" w:header="855" w:footer="992" w:gutter="0"/>
          <w:cols w:space="425" w:num="1"/>
          <w:docGrid w:linePitch="312" w:charSpace="0"/>
        </w:sectPr>
      </w:pPr>
    </w:p>
    <w:p>
      <w:pPr>
        <w:rPr>
          <w:color w:val="000000" w:themeColor="text1"/>
          <w14:textFill>
            <w14:solidFill>
              <w14:schemeClr w14:val="tx1"/>
            </w14:solidFill>
          </w14:textFill>
        </w:rPr>
      </w:pPr>
    </w:p>
    <w:p>
      <w:pPr>
        <w:kinsoku w:val="0"/>
        <w:overflowPunct w:val="0"/>
        <w:autoSpaceDE w:val="0"/>
        <w:autoSpaceDN w:val="0"/>
        <w:adjustRightInd w:val="0"/>
        <w:snapToGrid w:val="0"/>
        <w:spacing w:line="360" w:lineRule="auto"/>
        <w:jc w:val="center"/>
      </w:pPr>
      <w:r>
        <w:rPr>
          <w:rFonts w:hint="eastAsia"/>
          <w:b/>
          <w:color w:val="000000" w:themeColor="text1"/>
          <w:sz w:val="32"/>
          <w:szCs w:val="32"/>
          <w14:textFill>
            <w14:solidFill>
              <w14:schemeClr w14:val="tx1"/>
            </w14:solidFill>
          </w14:textFill>
        </w:rPr>
        <w:t>目录</w:t>
      </w:r>
      <w:r>
        <w:rPr>
          <w:color w:val="000000" w:themeColor="text1"/>
          <w:shd w:val="pct10" w:color="auto" w:fill="FFFFFF"/>
          <w14:textFill>
            <w14:solidFill>
              <w14:schemeClr w14:val="tx1"/>
            </w14:solidFill>
          </w14:textFill>
        </w:rPr>
        <w:fldChar w:fldCharType="begin"/>
      </w:r>
      <w:r>
        <w:rPr>
          <w:color w:val="000000" w:themeColor="text1"/>
          <w:shd w:val="pct10" w:color="auto" w:fill="FFFFFF"/>
          <w14:textFill>
            <w14:solidFill>
              <w14:schemeClr w14:val="tx1"/>
            </w14:solidFill>
          </w14:textFill>
        </w:rPr>
        <w:instrText xml:space="preserve"> TOC \o "1-1" \h \z \u </w:instrText>
      </w:r>
      <w:r>
        <w:rPr>
          <w:color w:val="000000" w:themeColor="text1"/>
          <w:shd w:val="pct10" w:color="auto" w:fill="FFFFFF"/>
          <w14:textFill>
            <w14:solidFill>
              <w14:schemeClr w14:val="tx1"/>
            </w14:solidFill>
          </w14:textFill>
        </w:rPr>
        <w:fldChar w:fldCharType="separate"/>
      </w:r>
    </w:p>
    <w:p>
      <w:pPr>
        <w:pStyle w:val="75"/>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"_Toc200030539" </w:instrText>
      </w:r>
      <w:r>
        <w:fldChar w:fldCharType="separate"/>
      </w:r>
      <w:r>
        <w:rPr>
          <w:rStyle w:val="87"/>
          <w:rFonts w:hint="eastAsia" w:ascii="黑体" w:hAnsi="黑体"/>
        </w:rPr>
        <w:t>第一节</w:t>
      </w:r>
      <w:r>
        <w:rPr>
          <w:rFonts w:hint="eastAsia" w:asciiTheme="minorHAnsi" w:hAnsiTheme="minorHAnsi" w:eastAsiaTheme="minorEastAsia" w:cstheme="minorBidi"/>
          <w:b w:val="0"/>
          <w:bCs w:val="0"/>
          <w:caps w:val="0"/>
          <w:kern w:val="2"/>
          <w:sz w:val="22"/>
          <w:szCs w:val="24"/>
          <w14:ligatures w14:val="standardContextual"/>
        </w:rPr>
        <w:tab/>
      </w:r>
      <w:r>
        <w:rPr>
          <w:rStyle w:val="87"/>
          <w:rFonts w:hint="eastAsia" w:ascii="黑体" w:hAnsi="黑体"/>
        </w:rPr>
        <w:t>释义</w:t>
      </w:r>
      <w:r>
        <w:rPr>
          <w:rFonts w:hint="eastAsia"/>
        </w:rPr>
        <w:tab/>
      </w:r>
      <w:r>
        <w:rPr>
          <w:rFonts w:hint="eastAsia"/>
        </w:rPr>
        <w:t>4</w:t>
      </w:r>
      <w:r>
        <w:rPr>
          <w:rFonts w:hint="eastAsia"/>
        </w:rPr>
        <w:fldChar w:fldCharType="end"/>
      </w:r>
    </w:p>
    <w:p>
      <w:pPr>
        <w:pStyle w:val="75"/>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"_Toc200030540" </w:instrText>
      </w:r>
      <w:r>
        <w:fldChar w:fldCharType="separate"/>
      </w:r>
      <w:r>
        <w:rPr>
          <w:rStyle w:val="87"/>
          <w:rFonts w:hint="eastAsia" w:ascii="黑体" w:hAnsi="黑体"/>
        </w:rPr>
        <w:t>第二节</w:t>
      </w:r>
      <w:r>
        <w:rPr>
          <w:rFonts w:hint="eastAsia" w:asciiTheme="minorHAnsi" w:hAnsiTheme="minorHAnsi" w:eastAsiaTheme="minorEastAsia" w:cstheme="minorBidi"/>
          <w:b w:val="0"/>
          <w:bCs w:val="0"/>
          <w:caps w:val="0"/>
          <w:kern w:val="2"/>
          <w:sz w:val="22"/>
          <w:szCs w:val="24"/>
          <w14:ligatures w14:val="standardContextual"/>
        </w:rPr>
        <w:tab/>
      </w:r>
      <w:r>
        <w:rPr>
          <w:rStyle w:val="87"/>
          <w:rFonts w:hint="eastAsia" w:ascii="黑体" w:hAnsi="黑体"/>
        </w:rPr>
        <w:t>公司简介和主要财务指标</w:t>
      </w:r>
      <w:r>
        <w:rPr>
          <w:rFonts w:hint="eastAsia"/>
        </w:rPr>
        <w:tab/>
      </w:r>
      <w:r>
        <w:rPr>
          <w:rFonts w:hint="eastAsia"/>
        </w:rPr>
        <w:t>6</w:t>
      </w:r>
      <w:r>
        <w:rPr>
          <w:rFonts w:hint="eastAsia"/>
        </w:rPr>
        <w:fldChar w:fldCharType="end"/>
      </w:r>
    </w:p>
    <w:p>
      <w:pPr>
        <w:pStyle w:val="75"/>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"_Toc200030541" </w:instrText>
      </w:r>
      <w:r>
        <w:fldChar w:fldCharType="separate"/>
      </w:r>
      <w:r>
        <w:rPr>
          <w:rStyle w:val="87"/>
          <w:rFonts w:hint="eastAsia" w:ascii="黑体" w:hAnsi="黑体"/>
        </w:rPr>
        <w:t>第三节</w:t>
      </w:r>
      <w:r>
        <w:rPr>
          <w:rFonts w:hint="eastAsia" w:asciiTheme="minorHAnsi" w:hAnsiTheme="minorHAnsi" w:eastAsiaTheme="minorEastAsia" w:cstheme="minorBidi"/>
          <w:b w:val="0"/>
          <w:bCs w:val="0"/>
          <w:caps w:val="0"/>
          <w:kern w:val="2"/>
          <w:sz w:val="22"/>
          <w:szCs w:val="24"/>
          <w14:ligatures w14:val="standardContextual"/>
        </w:rPr>
        <w:tab/>
      </w:r>
      <w:r>
        <w:rPr>
          <w:rStyle w:val="87"/>
          <w:rFonts w:hint="eastAsia" w:ascii="黑体" w:hAnsi="黑体"/>
        </w:rPr>
        <w:t>管理层讨论与分析</w:t>
      </w:r>
      <w:r>
        <w:rPr>
          <w:rFonts w:hint="eastAsia"/>
        </w:rPr>
        <w:tab/>
      </w:r>
      <w:r>
        <w:rPr>
          <w:rFonts w:hint="eastAsia"/>
        </w:rPr>
        <w:t>8</w:t>
      </w:r>
      <w:r>
        <w:rPr>
          <w:rFonts w:hint="eastAsia"/>
        </w:rPr>
        <w:fldChar w:fldCharType="end"/>
      </w:r>
    </w:p>
    <w:p>
      <w:pPr>
        <w:pStyle w:val="75"/>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"_Toc200030542" </w:instrText>
      </w:r>
      <w:r>
        <w:fldChar w:fldCharType="separate"/>
      </w:r>
      <w:r>
        <w:rPr>
          <w:rStyle w:val="87"/>
          <w:rFonts w:hint="eastAsia" w:ascii="黑体" w:hAnsi="黑体"/>
        </w:rPr>
        <w:t>第四节</w:t>
      </w:r>
      <w:r>
        <w:rPr>
          <w:rFonts w:hint="eastAsia" w:asciiTheme="minorHAnsi" w:hAnsiTheme="minorHAnsi" w:eastAsiaTheme="minorEastAsia" w:cstheme="minorBidi"/>
          <w:b w:val="0"/>
          <w:bCs w:val="0"/>
          <w:caps w:val="0"/>
          <w:kern w:val="2"/>
          <w:sz w:val="22"/>
          <w:szCs w:val="24"/>
          <w14:ligatures w14:val="standardContextual"/>
        </w:rPr>
        <w:tab/>
      </w:r>
      <w:r>
        <w:rPr>
          <w:rStyle w:val="87"/>
          <w:rFonts w:hint="eastAsia" w:ascii="黑体" w:hAnsi="黑体"/>
        </w:rPr>
        <w:t>公司治理、环境和社会</w:t>
      </w:r>
      <w:r>
        <w:rPr>
          <w:rFonts w:hint="eastAsia"/>
        </w:rPr>
        <w:tab/>
      </w:r>
      <w:r>
        <w:rPr>
          <w:rFonts w:hint="eastAsia"/>
        </w:rPr>
        <w:t>30</w:t>
      </w:r>
      <w:r>
        <w:rPr>
          <w:rFonts w:hint="eastAsia"/>
        </w:rPr>
        <w:fldChar w:fldCharType="end"/>
      </w:r>
    </w:p>
    <w:p>
      <w:pPr>
        <w:pStyle w:val="75"/>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"_Toc200030543" </w:instrText>
      </w:r>
      <w:r>
        <w:fldChar w:fldCharType="separate"/>
      </w:r>
      <w:r>
        <w:rPr>
          <w:rStyle w:val="87"/>
          <w:rFonts w:hint="eastAsia" w:ascii="黑体" w:hAnsi="黑体"/>
        </w:rPr>
        <w:t>第五节</w:t>
      </w:r>
      <w:r>
        <w:rPr>
          <w:rFonts w:hint="eastAsia" w:asciiTheme="minorHAnsi" w:hAnsiTheme="minorHAnsi" w:eastAsiaTheme="minorEastAsia" w:cstheme="minorBidi"/>
          <w:b w:val="0"/>
          <w:bCs w:val="0"/>
          <w:caps w:val="0"/>
          <w:kern w:val="2"/>
          <w:sz w:val="22"/>
          <w:szCs w:val="24"/>
          <w14:ligatures w14:val="standardContextual"/>
        </w:rPr>
        <w:tab/>
      </w:r>
      <w:r>
        <w:rPr>
          <w:rStyle w:val="87"/>
          <w:rFonts w:hint="eastAsia" w:ascii="黑体" w:hAnsi="黑体"/>
        </w:rPr>
        <w:t>重要事项</w:t>
      </w:r>
      <w:r>
        <w:rPr>
          <w:rFonts w:hint="eastAsia"/>
        </w:rPr>
        <w:tab/>
      </w:r>
      <w:r>
        <w:rPr>
          <w:rFonts w:hint="eastAsia"/>
        </w:rPr>
        <w:t>32</w:t>
      </w:r>
      <w:r>
        <w:rPr>
          <w:rFonts w:hint="eastAsia"/>
        </w:rPr>
        <w:fldChar w:fldCharType="end"/>
      </w:r>
    </w:p>
    <w:p>
      <w:pPr>
        <w:pStyle w:val="75"/>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"_Toc200030544" </w:instrText>
      </w:r>
      <w:r>
        <w:fldChar w:fldCharType="separate"/>
      </w:r>
      <w:r>
        <w:rPr>
          <w:rStyle w:val="87"/>
          <w:rFonts w:hint="eastAsia" w:ascii="黑体" w:hAnsi="黑体"/>
        </w:rPr>
        <w:t>第六节</w:t>
      </w:r>
      <w:r>
        <w:rPr>
          <w:rFonts w:hint="eastAsia" w:asciiTheme="minorHAnsi" w:hAnsiTheme="minorHAnsi" w:eastAsiaTheme="minorEastAsia" w:cstheme="minorBidi"/>
          <w:b w:val="0"/>
          <w:bCs w:val="0"/>
          <w:caps w:val="0"/>
          <w:kern w:val="2"/>
          <w:sz w:val="22"/>
          <w:szCs w:val="24"/>
          <w14:ligatures w14:val="standardContextual"/>
        </w:rPr>
        <w:tab/>
      </w:r>
      <w:r>
        <w:rPr>
          <w:rStyle w:val="87"/>
          <w:rFonts w:hint="eastAsia" w:ascii="黑体" w:hAnsi="黑体"/>
        </w:rPr>
        <w:t>股份变动及股东情况</w:t>
      </w:r>
      <w:r>
        <w:rPr>
          <w:rFonts w:hint="eastAsia"/>
        </w:rPr>
        <w:tab/>
      </w:r>
      <w:r>
        <w:rPr>
          <w:rFonts w:hint="eastAsia"/>
        </w:rPr>
        <w:t>51</w:t>
      </w:r>
      <w:r>
        <w:rPr>
          <w:rFonts w:hint="eastAsia"/>
        </w:rPr>
        <w:fldChar w:fldCharType="end"/>
      </w:r>
    </w:p>
    <w:p>
      <w:pPr>
        <w:pStyle w:val="75"/>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"_Toc200030545" </w:instrText>
      </w:r>
      <w:r>
        <w:fldChar w:fldCharType="separate"/>
      </w:r>
      <w:r>
        <w:rPr>
          <w:rStyle w:val="87"/>
          <w:rFonts w:hint="eastAsia" w:ascii="黑体" w:hAnsi="黑体"/>
        </w:rPr>
        <w:t>第七节</w:t>
      </w:r>
      <w:r>
        <w:rPr>
          <w:rFonts w:hint="eastAsia" w:asciiTheme="minorHAnsi" w:hAnsiTheme="minorHAnsi" w:eastAsiaTheme="minorEastAsia" w:cstheme="minorBidi"/>
          <w:b w:val="0"/>
          <w:bCs w:val="0"/>
          <w:caps w:val="0"/>
          <w:kern w:val="2"/>
          <w:sz w:val="22"/>
          <w:szCs w:val="24"/>
          <w14:ligatures w14:val="standardContextual"/>
        </w:rPr>
        <w:tab/>
      </w:r>
      <w:r>
        <w:rPr>
          <w:rStyle w:val="87"/>
          <w:rFonts w:hint="eastAsia" w:ascii="黑体" w:hAnsi="黑体"/>
        </w:rPr>
        <w:t>债券相关情况</w:t>
      </w:r>
      <w:r>
        <w:rPr>
          <w:rFonts w:hint="eastAsia"/>
        </w:rPr>
        <w:tab/>
      </w:r>
      <w:r>
        <w:rPr>
          <w:rFonts w:hint="eastAsia"/>
        </w:rPr>
        <w:t>55</w:t>
      </w:r>
      <w:r>
        <w:rPr>
          <w:rFonts w:hint="eastAsia"/>
        </w:rPr>
        <w:fldChar w:fldCharType="end"/>
      </w:r>
    </w:p>
    <w:p>
      <w:pPr>
        <w:pStyle w:val="75"/>
        <w:tabs>
          <w:tab w:val="left" w:pos="1050"/>
          <w:tab w:val="right" w:leader="dot" w:pos="8823"/>
        </w:tabs>
        <w:ind w:left="422" w:hanging="422"/>
        <w:rPr>
          <w:rFonts w:asciiTheme="minorHAnsi" w:hAnsiTheme="minorHAnsi" w:eastAsiaTheme="minorEastAsia" w:cstheme="minorBidi"/>
          <w:b w:val="0"/>
          <w:bCs w:val="0"/>
          <w:caps w:val="0"/>
          <w:kern w:val="2"/>
          <w:sz w:val="22"/>
          <w:szCs w:val="24"/>
          <w14:ligatures w14:val="standardContextual"/>
        </w:rPr>
      </w:pPr>
      <w:r>
        <w:fldChar w:fldCharType="begin"/>
      </w:r>
      <w:r>
        <w:instrText xml:space="preserve"> HYPERLINK \l "_Toc200030546" </w:instrText>
      </w:r>
      <w:r>
        <w:fldChar w:fldCharType="separate"/>
      </w:r>
      <w:r>
        <w:rPr>
          <w:rStyle w:val="87"/>
          <w:rFonts w:hint="eastAsia" w:ascii="黑体" w:hAnsi="黑体"/>
        </w:rPr>
        <w:t>第八节</w:t>
      </w:r>
      <w:r>
        <w:rPr>
          <w:rFonts w:hint="eastAsia" w:asciiTheme="minorHAnsi" w:hAnsiTheme="minorHAnsi" w:eastAsiaTheme="minorEastAsia" w:cstheme="minorBidi"/>
          <w:b w:val="0"/>
          <w:bCs w:val="0"/>
          <w:caps w:val="0"/>
          <w:kern w:val="2"/>
          <w:sz w:val="22"/>
          <w:szCs w:val="24"/>
          <w14:ligatures w14:val="standardContextual"/>
        </w:rPr>
        <w:tab/>
      </w:r>
      <w:r>
        <w:rPr>
          <w:rStyle w:val="87"/>
          <w:rFonts w:hint="eastAsia" w:ascii="黑体" w:hAnsi="黑体"/>
        </w:rPr>
        <w:t>财务报告</w:t>
      </w:r>
      <w:r>
        <w:rPr>
          <w:rFonts w:hint="eastAsia"/>
        </w:rPr>
        <w:tab/>
      </w:r>
      <w:r>
        <w:rPr>
          <w:rFonts w:hint="eastAsia"/>
        </w:rPr>
        <w:fldChar w:fldCharType="begin"/>
      </w:r>
      <w:r>
        <w:rPr>
          <w:rFonts w:hint="eastAsia"/>
        </w:rPr>
        <w:instrText xml:space="preserve"> </w:instrText>
      </w:r>
      <w:r>
        <w:instrText xml:space="preserve">PAGEREF _Toc200030546 \h</w:instrText>
      </w:r>
      <w:r>
        <w:rPr>
          <w:rFonts w:hint="eastAsia"/>
        </w:rPr>
        <w:instrText xml:space="preserve"> </w:instrText>
      </w:r>
      <w:r>
        <w:rPr>
          <w:rFonts w:hint="eastAsia"/>
        </w:rPr>
        <w:fldChar w:fldCharType="separate"/>
      </w:r>
      <w:r>
        <w:t>5</w:t>
      </w:r>
      <w:r>
        <w:rPr>
          <w:rFonts w:hint="eastAsia"/>
        </w:rPr>
        <w:t>6</w:t>
      </w:r>
      <w:r>
        <w:rPr>
          <w:rFonts w:hint="eastAsia"/>
        </w:rPr>
        <w:fldChar w:fldCharType="end"/>
      </w:r>
      <w:r>
        <w:rPr>
          <w:rFonts w:hint="eastAsia"/>
        </w:rPr>
        <w:fldChar w:fldCharType="end"/>
      </w:r>
    </w:p>
    <w:p>
      <w:pPr>
        <w:kinsoku w:val="0"/>
        <w:overflowPunct w:val="0"/>
        <w:autoSpaceDE w:val="0"/>
        <w:autoSpaceDN w:val="0"/>
        <w:adjustRightInd w:val="0"/>
        <w:snapToGrid w:val="0"/>
        <w:spacing w:line="360" w:lineRule="auto"/>
        <w:jc w:val="center"/>
        <w:rPr>
          <w:color w:val="000000" w:themeColor="text1"/>
          <w:shd w:val="pct10" w:color="auto" w:fill="FFFFFF"/>
          <w14:textFill>
            <w14:solidFill>
              <w14:schemeClr w14:val="tx1"/>
            </w14:solidFill>
          </w14:textFill>
        </w:rPr>
      </w:pPr>
      <w:r>
        <w:rPr>
          <w:color w:val="000000" w:themeColor="text1"/>
          <w:shd w:val="pct10" w:color="auto" w:fill="FFFFFF"/>
          <w14:textFill>
            <w14:solidFill>
              <w14:schemeClr w14:val="tx1"/>
            </w14:solidFill>
          </w14:textFill>
        </w:rPr>
        <w:fldChar w:fldCharType="end"/>
      </w:r>
    </w:p>
    <w:p>
      <w:pPr>
        <w:spacing w:line="360" w:lineRule="exact"/>
        <w:ind w:right="5"/>
        <w:rPr>
          <w:b/>
          <w:bCs w:val="0"/>
          <w:color w:val="000000" w:themeColor="text1"/>
          <w:sz w:val="24"/>
          <w14:textFill>
            <w14:solidFill>
              <w14:schemeClr w14:val="tx1"/>
            </w14:solidFill>
          </w14:textFill>
        </w:rPr>
      </w:pPr>
      <w:bookmarkStart w:id="4" w:name="_Hlk76111741"/>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294"/>
        <w:gridCol w:w="6599"/>
      </w:tblGrid>
      <w:sdt>
        <w:sdtPr>
          <w:rPr>
            <w:color w:val="000000" w:themeColor="text1"/>
            <w14:textFill>
              <w14:solidFill>
                <w14:schemeClr w14:val="tx1"/>
              </w14:solidFill>
            </w14:textFill>
          </w:rPr>
          <w:alias w:val="备查文件情况"/>
          <w:tag w:val="_TUP_d1defbbd2758417a8ea21948dd35feef"/>
          <w:id w:val="-328909322"/>
          <w:placeholder>
            <w:docPart w:val="GBC11111111111111111111111111111"/>
          </w:placeholder>
        </w:sdtPr>
        <w:sdtEndPr>
          <w:rPr>
            <w:color w:val="000000" w:themeColor="text1"/>
            <w14:textFill>
              <w14:solidFill>
                <w14:schemeClr w14:val="tx1"/>
              </w14:solidFill>
            </w14:textFill>
          </w:rPr>
        </w:sdtEndPr>
        <w:sdtConten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0" w:type="pct"/>
                <w:vMerge w:val="restart"/>
                <w:tcBorders>
                  <w:top w:val="single" w:color="auto" w:sz="4" w:space="0"/>
                  <w:left w:val="single" w:color="auto" w:sz="4" w:space="0"/>
                  <w:bottom w:val="single" w:color="auto" w:sz="4" w:space="0"/>
                  <w:right w:val="single" w:color="auto" w:sz="4" w:space="0"/>
                </w:tcBorders>
                <w:vAlign w:val="center"/>
              </w:tcPr>
              <w:sdt>
                <w:sdtPr>
                  <w:tag w:val="_PLD_4dedc5664132424db8ffece735208815"/>
                  <w:id w:val="-1156224150"/>
                </w:sdtPr>
                <w:sdtContent>
                  <w:p>
                    <w:pPr>
                      <w:autoSpaceDE w:val="0"/>
                      <w:autoSpaceDN w:val="0"/>
                      <w:adjustRightInd w:val="0"/>
                      <w:jc w:val="center"/>
                      <w:rPr>
                        <w:color w:val="000000" w:themeColor="text1"/>
                        <w14:textFill>
                          <w14:solidFill>
                            <w14:schemeClr w14:val="tx1"/>
                          </w14:solidFill>
                        </w14:textFill>
                      </w:rPr>
                    </w:pPr>
                    <w:r>
                      <w:rPr>
                        <w:color w:val="000000" w:themeColor="text1"/>
                        <w14:textFill>
                          <w14:solidFill>
                            <w14:schemeClr w14:val="tx1"/>
                          </w14:solidFill>
                        </w14:textFill>
                      </w:rPr>
                      <w:t>备查文件目录</w:t>
                    </w:r>
                  </w:p>
                </w:sdtContent>
              </w:sdt>
            </w:tc>
            <w:sdt>
              <w:sdtPr>
                <w:rPr>
                  <w:color w:val="000000" w:themeColor="text1"/>
                  <w14:textFill>
                    <w14:solidFill>
                      <w14:schemeClr w14:val="tx1"/>
                    </w14:solidFill>
                  </w14:textFill>
                </w:rPr>
                <w:alias w:val="备查文件目录"/>
                <w:tag w:val="_GBC_b75b724a20654c669c9ce009a20dc247"/>
                <w:id w:val="1282915896"/>
              </w:sdtPr>
              <w:sdtEndPr>
                <w:rPr>
                  <w:color w:val="000000" w:themeColor="text1"/>
                  <w14:textFill>
                    <w14:solidFill>
                      <w14:schemeClr w14:val="tx1"/>
                    </w14:solidFill>
                  </w14:textFill>
                </w:rPr>
              </w:sdtEndPr>
              <w:sdtContent>
                <w:tc>
                  <w:tcPr>
                    <w:tcW w:w="3710"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color w:val="000000" w:themeColor="text1"/>
                        <w14:textFill>
                          <w14:solidFill>
                            <w14:schemeClr w14:val="tx1"/>
                          </w14:solidFill>
                        </w14:textFill>
                      </w:rPr>
                      <w:t>载有公司负责人、主管会计工作负责人、会计机构负责人（会计主管人员）签名并盖章的财务报表；</w:t>
                    </w:r>
                  </w:p>
                </w:tc>
              </w:sdtContent>
            </w:sdt>
          </w:tr>
        </w:sdtContent>
      </w:sdt>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0" w:type="pct"/>
            <w:vMerge w:val="continue"/>
            <w:tcBorders>
              <w:top w:val="single" w:color="auto" w:sz="4" w:space="0"/>
              <w:left w:val="single" w:color="auto" w:sz="4" w:space="0"/>
              <w:bottom w:val="single" w:color="auto" w:sz="4" w:space="0"/>
              <w:right w:val="single" w:color="auto" w:sz="4" w:space="0"/>
            </w:tcBorders>
            <w:vAlign w:val="center"/>
          </w:tcPr>
          <w:p>
            <w:pPr>
              <w:pStyle w:val="48"/>
            </w:pPr>
          </w:p>
        </w:tc>
        <w:tc>
          <w:tcPr>
            <w:tcW w:w="3710"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color w:val="000000" w:themeColor="text1"/>
                <w14:textFill>
                  <w14:solidFill>
                    <w14:schemeClr w14:val="tx1"/>
                  </w14:solidFill>
                </w14:textFill>
              </w:rPr>
              <w:t>报告期内公开披露过的所有公司文件的正本及公告的原稿；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0" w:type="pct"/>
            <w:vMerge w:val="continue"/>
            <w:tcBorders>
              <w:top w:val="single" w:color="auto" w:sz="4" w:space="0"/>
              <w:left w:val="single" w:color="auto" w:sz="4" w:space="0"/>
              <w:bottom w:val="single" w:color="auto" w:sz="4" w:space="0"/>
              <w:right w:val="single" w:color="auto" w:sz="4" w:space="0"/>
            </w:tcBorders>
            <w:vAlign w:val="center"/>
          </w:tcPr>
          <w:p>
            <w:pPr>
              <w:pStyle w:val="48"/>
            </w:pPr>
          </w:p>
        </w:tc>
        <w:tc>
          <w:tcPr>
            <w:tcW w:w="3710"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color w:val="000000" w:themeColor="text1"/>
                <w14:textFill>
                  <w14:solidFill>
                    <w14:schemeClr w14:val="tx1"/>
                  </w14:solidFill>
                </w14:textFill>
              </w:rPr>
              <w:t>经公司法定代表人签署的202</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年半年度报告原件。</w:t>
            </w:r>
          </w:p>
        </w:tc>
      </w:tr>
    </w:tbl>
    <w:p>
      <w:pPr>
        <w:spacing w:line="360" w:lineRule="exact"/>
        <w:jc w:val="right"/>
        <w:rPr>
          <w:color w:val="000000" w:themeColor="text1"/>
          <w14:textFill>
            <w14:solidFill>
              <w14:schemeClr w14:val="tx1"/>
            </w14:solidFill>
          </w14:textFill>
        </w:rPr>
      </w:pPr>
    </w:p>
    <w:bookmarkEnd w:id="4"/>
    <w:p>
      <w:pPr>
        <w:kinsoku w:val="0"/>
        <w:overflowPunct w:val="0"/>
        <w:autoSpaceDE w:val="0"/>
        <w:autoSpaceDN w:val="0"/>
        <w:adjustRightInd w:val="0"/>
        <w:snapToGrid w:val="0"/>
        <w:spacing w:line="360" w:lineRule="exact"/>
        <w:rPr>
          <w:color w:val="000000" w:themeColor="text1"/>
          <w:shd w:val="pct10" w:color="auto" w:fill="FFFFFF"/>
          <w14:textFill>
            <w14:solidFill>
              <w14:schemeClr w14:val="tx1"/>
            </w14:solidFill>
          </w14:textFill>
        </w:rPr>
      </w:pPr>
    </w:p>
    <w:p>
      <w:pPr>
        <w:rPr>
          <w:color w:val="000000" w:themeColor="text1"/>
          <w14:textFill>
            <w14:solidFill>
              <w14:schemeClr w14:val="tx1"/>
            </w14:solidFill>
          </w14:textFill>
        </w:rPr>
      </w:pPr>
      <w:r>
        <w:rPr>
          <w:color w:val="000000" w:themeColor="text1"/>
          <w14:textFill>
            <w14:solidFill>
              <w14:schemeClr w14:val="tx1"/>
            </w14:solidFill>
          </w14:textFill>
        </w:rPr>
        <w:br w:type="page"/>
      </w:r>
    </w:p>
    <w:p>
      <w:pPr>
        <w:pStyle w:val="49"/>
        <w:numPr>
          <w:ilvl w:val="0"/>
          <w:numId w:val="2"/>
        </w:numPr>
        <w:rPr>
          <w:rFonts w:hint="eastAsia" w:ascii="黑体" w:hAnsi="黑体"/>
          <w:color w:val="000000" w:themeColor="text1"/>
          <w14:textFill>
            <w14:solidFill>
              <w14:schemeClr w14:val="tx1"/>
            </w14:solidFill>
          </w14:textFill>
        </w:rPr>
      </w:pPr>
      <w:bookmarkStart w:id="5" w:name="_Toc76114272"/>
      <w:bookmarkStart w:id="6" w:name="_Toc200030539"/>
      <w:bookmarkStart w:id="7" w:name="_Toc342565880"/>
      <w:r>
        <w:rPr>
          <w:rFonts w:hint="eastAsia" w:ascii="黑体" w:hAnsi="黑体"/>
          <w:color w:val="000000" w:themeColor="text1"/>
          <w14:textFill>
            <w14:solidFill>
              <w14:schemeClr w14:val="tx1"/>
            </w14:solidFill>
          </w14:textFill>
        </w:rPr>
        <w:t>释义</w:t>
      </w:r>
    </w:p>
    <w:bookmarkEnd w:id="5"/>
    <w:bookmarkEnd w:id="6"/>
    <w:p>
      <w:pPr>
        <w:rPr>
          <w:color w:val="000000" w:themeColor="text1"/>
          <w14:textFill>
            <w14:solidFill>
              <w14:schemeClr w14:val="tx1"/>
            </w14:solidFill>
          </w14:textFill>
        </w:rPr>
      </w:pPr>
      <w:r>
        <w:rPr>
          <w:color w:val="000000" w:themeColor="text1"/>
          <w14:textFill>
            <w14:solidFill>
              <w14:schemeClr w14:val="tx1"/>
            </w14:solidFill>
          </w14:textFill>
        </w:rPr>
        <w:t>在本报告书中，除非文义另有所指，下列词语具有如下含义：</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3"/>
        <w:gridCol w:w="842"/>
        <w:gridCol w:w="50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73bff14187b49a1b1c86b56316c5e47"/>
            <w:id w:val="-1568718120"/>
          </w:sdtPr>
          <w:sdtContent>
            <w:tc>
              <w:tcPr>
                <w:tcW w:w="8823" w:type="dxa"/>
                <w:gridSpan w:val="3"/>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常用词语释义</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中国证监会、证监会</w:t>
            </w:r>
          </w:p>
        </w:tc>
        <w:tc>
          <w:tcPr>
            <w:tcW w:w="842" w:type="dxa"/>
            <w:vAlign w:val="center"/>
          </w:tcPr>
          <w:p>
            <w:pPr>
              <w:widowControl w:val="0"/>
              <w:jc w:val="center"/>
              <w:rPr>
                <w:color w:val="000000" w:themeColor="text1"/>
                <w:highlight w:val="lightGray"/>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中国证券监督管理委员会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上交所</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上海证券交易所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公司法、《公司法》</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《中华人民共和国公司法》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证券法、《证券法》</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《中华人民共和国证券法》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公司章程、《公司章程》</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重庆望变电气（集团）股份有限公司章程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报告期、本报告期、本期</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sz w:val="20"/>
                <w:szCs w:val="20"/>
              </w:rPr>
              <w:t>2026</w:t>
            </w:r>
            <w:r>
              <w:rPr>
                <w:rFonts w:hint="eastAsia" w:ascii="宋体" w:hAnsi="宋体"/>
                <w:sz w:val="20"/>
                <w:szCs w:val="20"/>
              </w:rPr>
              <w:t>年</w:t>
            </w:r>
            <w:r>
              <w:rPr>
                <w:rFonts w:hint="eastAsia"/>
                <w:sz w:val="20"/>
                <w:szCs w:val="20"/>
              </w:rPr>
              <w:t>1</w:t>
            </w:r>
            <w:r>
              <w:rPr>
                <w:rFonts w:hint="eastAsia" w:ascii="宋体" w:hAnsi="宋体"/>
                <w:sz w:val="20"/>
                <w:szCs w:val="20"/>
              </w:rPr>
              <w:t>月</w:t>
            </w:r>
            <w:r>
              <w:rPr>
                <w:rFonts w:hint="eastAsia"/>
                <w:sz w:val="20"/>
                <w:szCs w:val="20"/>
              </w:rPr>
              <w:t>1</w:t>
            </w:r>
            <w:r>
              <w:rPr>
                <w:rFonts w:hint="eastAsia" w:ascii="宋体" w:hAnsi="宋体"/>
                <w:sz w:val="20"/>
                <w:szCs w:val="20"/>
              </w:rPr>
              <w:t>日至</w:t>
            </w:r>
            <w:r>
              <w:rPr>
                <w:rFonts w:hint="eastAsia"/>
                <w:sz w:val="20"/>
                <w:szCs w:val="20"/>
              </w:rPr>
              <w:t>2026</w:t>
            </w:r>
            <w:r>
              <w:rPr>
                <w:rFonts w:hint="eastAsia" w:ascii="宋体" w:hAnsi="宋体"/>
                <w:sz w:val="20"/>
                <w:szCs w:val="20"/>
              </w:rPr>
              <w:t>年6月</w:t>
            </w:r>
            <w:r>
              <w:rPr>
                <w:rFonts w:hint="eastAsia"/>
                <w:sz w:val="20"/>
                <w:szCs w:val="20"/>
              </w:rPr>
              <w:t>30</w:t>
            </w:r>
            <w:r>
              <w:rPr>
                <w:rFonts w:hint="eastAsia" w:ascii="宋体" w:hAnsi="宋体"/>
                <w:sz w:val="20"/>
                <w:szCs w:val="2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亿元、万元、元</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人民币亿元、万元、元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望变电气、望变、公司、母公司、集团</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重庆望变电气（集团）股份有限公司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云变电气</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云南变压器电气股份有限公司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rPr>
                <w:rFonts w:hint="eastAsia" w:ascii="宋体" w:hAnsi="宋体"/>
                <w:sz w:val="20"/>
                <w:szCs w:val="20"/>
              </w:rPr>
            </w:pPr>
            <w:r>
              <w:rPr>
                <w:rFonts w:hint="eastAsia" w:ascii="宋体" w:hAnsi="宋体"/>
                <w:sz w:val="20"/>
                <w:szCs w:val="20"/>
              </w:rPr>
              <w:t>望来电</w:t>
            </w:r>
          </w:p>
        </w:tc>
        <w:tc>
          <w:tcPr>
            <w:tcW w:w="842" w:type="dxa"/>
            <w:vAlign w:val="center"/>
          </w:tcPr>
          <w:p>
            <w:pPr>
              <w:widowControl w:val="0"/>
              <w:jc w:val="center"/>
              <w:rPr>
                <w:rFonts w:hint="eastAsia" w:ascii="宋体" w:hAnsi="宋体"/>
                <w:color w:val="000000"/>
              </w:rPr>
            </w:pPr>
            <w:r>
              <w:rPr>
                <w:rFonts w:hint="eastAsia" w:ascii="宋体" w:hAnsi="宋体"/>
                <w:color w:val="000000"/>
              </w:rPr>
              <w:t>指</w:t>
            </w:r>
          </w:p>
        </w:tc>
        <w:tc>
          <w:tcPr>
            <w:tcW w:w="5038" w:type="dxa"/>
          </w:tcPr>
          <w:p>
            <w:pPr>
              <w:widowControl w:val="0"/>
              <w:jc w:val="both"/>
              <w:rPr>
                <w:rFonts w:hint="eastAsia" w:ascii="宋体" w:hAnsi="宋体"/>
                <w:sz w:val="20"/>
                <w:szCs w:val="20"/>
              </w:rPr>
            </w:pPr>
            <w:r>
              <w:rPr>
                <w:rFonts w:hint="eastAsia" w:ascii="宋体" w:hAnsi="宋体"/>
                <w:sz w:val="20"/>
                <w:szCs w:val="20"/>
              </w:rPr>
              <w:t>重庆望来电智能装备科技有限公司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rPr>
                <w:rFonts w:hint="eastAsia" w:ascii="宋体" w:hAnsi="宋体"/>
                <w:sz w:val="20"/>
                <w:szCs w:val="20"/>
              </w:rPr>
            </w:pPr>
            <w:bookmarkStart w:id="8" w:name="OLE_LINK36"/>
            <w:r>
              <w:rPr>
                <w:rFonts w:hint="eastAsia" w:ascii="宋体" w:hAnsi="宋体"/>
                <w:sz w:val="20"/>
                <w:szCs w:val="20"/>
              </w:rPr>
              <w:t>望来充</w:t>
            </w:r>
            <w:bookmarkEnd w:id="8"/>
          </w:p>
        </w:tc>
        <w:tc>
          <w:tcPr>
            <w:tcW w:w="842" w:type="dxa"/>
            <w:vAlign w:val="center"/>
          </w:tcPr>
          <w:p>
            <w:pPr>
              <w:widowControl w:val="0"/>
              <w:jc w:val="center"/>
              <w:rPr>
                <w:rFonts w:hint="eastAsia" w:ascii="宋体" w:hAnsi="宋体"/>
                <w:color w:val="000000"/>
              </w:rPr>
            </w:pPr>
            <w:r>
              <w:rPr>
                <w:rFonts w:hint="eastAsia" w:ascii="宋体" w:hAnsi="宋体"/>
                <w:color w:val="000000"/>
              </w:rPr>
              <w:t>指</w:t>
            </w:r>
          </w:p>
        </w:tc>
        <w:tc>
          <w:tcPr>
            <w:tcW w:w="5038" w:type="dxa"/>
          </w:tcPr>
          <w:p>
            <w:pPr>
              <w:widowControl w:val="0"/>
              <w:jc w:val="both"/>
              <w:rPr>
                <w:rFonts w:hint="eastAsia" w:ascii="宋体" w:hAnsi="宋体"/>
                <w:sz w:val="20"/>
                <w:szCs w:val="20"/>
              </w:rPr>
            </w:pPr>
            <w:r>
              <w:rPr>
                <w:rFonts w:hint="eastAsia" w:ascii="宋体" w:hAnsi="宋体"/>
                <w:sz w:val="20"/>
                <w:szCs w:val="20"/>
              </w:rPr>
              <w:t>望来充（重庆）科技有限责任公司及其控制企业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rPr>
                <w:rFonts w:hint="eastAsia" w:ascii="宋体" w:hAnsi="宋体"/>
                <w:sz w:val="20"/>
                <w:szCs w:val="20"/>
              </w:rPr>
            </w:pPr>
            <w:r>
              <w:rPr>
                <w:rFonts w:hint="eastAsia" w:ascii="宋体" w:hAnsi="宋体"/>
                <w:sz w:val="20"/>
                <w:szCs w:val="20"/>
              </w:rPr>
              <w:t>香港望变</w:t>
            </w:r>
          </w:p>
        </w:tc>
        <w:tc>
          <w:tcPr>
            <w:tcW w:w="842" w:type="dxa"/>
            <w:vAlign w:val="center"/>
          </w:tcPr>
          <w:p>
            <w:pPr>
              <w:widowControl w:val="0"/>
              <w:jc w:val="center"/>
              <w:rPr>
                <w:rFonts w:hint="eastAsia" w:ascii="宋体" w:hAnsi="宋体"/>
                <w:color w:val="000000"/>
              </w:rPr>
            </w:pPr>
            <w:r>
              <w:rPr>
                <w:rFonts w:hint="eastAsia" w:ascii="宋体" w:hAnsi="宋体"/>
                <w:color w:val="000000"/>
              </w:rPr>
              <w:t>指</w:t>
            </w:r>
          </w:p>
        </w:tc>
        <w:tc>
          <w:tcPr>
            <w:tcW w:w="5038" w:type="dxa"/>
          </w:tcPr>
          <w:p>
            <w:pPr>
              <w:widowControl w:val="0"/>
              <w:jc w:val="both"/>
              <w:rPr>
                <w:rFonts w:hint="eastAsia" w:ascii="宋体" w:hAnsi="宋体"/>
                <w:sz w:val="20"/>
                <w:szCs w:val="20"/>
              </w:rPr>
            </w:pPr>
            <w:r>
              <w:rPr>
                <w:rFonts w:hint="eastAsia" w:ascii="宋体" w:hAnsi="宋体"/>
                <w:sz w:val="20"/>
                <w:szCs w:val="20"/>
              </w:rPr>
              <w:t>香港望变国际有限公司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黔南望江</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黔南望江变压器有限公司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惠泽电器</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重庆惠泽电器有限公司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沈阳望泽</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沈阳望泽电气有限公司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南海电气</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深圳南海电气科技有限公司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rPr>
                <w:rFonts w:hint="eastAsia" w:ascii="宋体" w:hAnsi="宋体"/>
                <w:sz w:val="20"/>
                <w:szCs w:val="20"/>
              </w:rPr>
            </w:pPr>
            <w:r>
              <w:rPr>
                <w:rFonts w:hint="eastAsia" w:ascii="宋体" w:hAnsi="宋体"/>
                <w:sz w:val="20"/>
                <w:szCs w:val="20"/>
              </w:rPr>
              <w:t>上海渝申</w:t>
            </w:r>
          </w:p>
        </w:tc>
        <w:tc>
          <w:tcPr>
            <w:tcW w:w="842" w:type="dxa"/>
            <w:vAlign w:val="center"/>
          </w:tcPr>
          <w:p>
            <w:pPr>
              <w:widowControl w:val="0"/>
              <w:jc w:val="center"/>
              <w:rPr>
                <w:rFonts w:hint="eastAsia" w:ascii="宋体" w:hAnsi="宋体"/>
                <w:color w:val="000000"/>
              </w:rPr>
            </w:pPr>
            <w:r>
              <w:rPr>
                <w:rFonts w:hint="eastAsia" w:ascii="宋体" w:hAnsi="宋体"/>
                <w:color w:val="000000"/>
              </w:rPr>
              <w:t>指</w:t>
            </w:r>
          </w:p>
        </w:tc>
        <w:tc>
          <w:tcPr>
            <w:tcW w:w="5038" w:type="dxa"/>
          </w:tcPr>
          <w:p>
            <w:pPr>
              <w:widowControl w:val="0"/>
              <w:jc w:val="both"/>
              <w:rPr>
                <w:rFonts w:hint="eastAsia" w:ascii="宋体" w:hAnsi="宋体"/>
                <w:sz w:val="20"/>
                <w:szCs w:val="20"/>
              </w:rPr>
            </w:pPr>
            <w:r>
              <w:rPr>
                <w:rFonts w:hint="eastAsia" w:ascii="宋体" w:hAnsi="宋体"/>
                <w:sz w:val="20"/>
                <w:szCs w:val="20"/>
              </w:rPr>
              <w:t>上海渝申望变新能源科技有限公司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rPr>
                <w:rFonts w:hint="eastAsia" w:ascii="宋体" w:hAnsi="宋体"/>
                <w:sz w:val="20"/>
                <w:szCs w:val="20"/>
              </w:rPr>
            </w:pPr>
            <w:r>
              <w:rPr>
                <w:rFonts w:hint="eastAsia" w:ascii="宋体" w:hAnsi="宋体"/>
                <w:sz w:val="20"/>
                <w:szCs w:val="20"/>
              </w:rPr>
              <w:t>能投售电</w:t>
            </w:r>
          </w:p>
        </w:tc>
        <w:tc>
          <w:tcPr>
            <w:tcW w:w="842" w:type="dxa"/>
            <w:vAlign w:val="center"/>
          </w:tcPr>
          <w:p>
            <w:pPr>
              <w:widowControl w:val="0"/>
              <w:jc w:val="center"/>
              <w:rPr>
                <w:rFonts w:hint="eastAsia" w:ascii="宋体" w:hAnsi="宋体"/>
                <w:color w:val="000000"/>
              </w:rPr>
            </w:pPr>
            <w:r>
              <w:rPr>
                <w:rFonts w:hint="eastAsia" w:ascii="宋体" w:hAnsi="宋体"/>
                <w:color w:val="000000"/>
              </w:rPr>
              <w:t>指</w:t>
            </w:r>
          </w:p>
        </w:tc>
        <w:tc>
          <w:tcPr>
            <w:tcW w:w="5038" w:type="dxa"/>
          </w:tcPr>
          <w:p>
            <w:pPr>
              <w:widowControl w:val="0"/>
              <w:jc w:val="both"/>
              <w:rPr>
                <w:rFonts w:hint="eastAsia" w:ascii="宋体" w:hAnsi="宋体"/>
                <w:sz w:val="20"/>
                <w:szCs w:val="20"/>
              </w:rPr>
            </w:pPr>
            <w:r>
              <w:rPr>
                <w:rFonts w:hint="eastAsia" w:ascii="宋体" w:hAnsi="宋体"/>
                <w:sz w:val="20"/>
                <w:szCs w:val="20"/>
              </w:rPr>
              <w:t>重庆能投长寿经开区售电有限公司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rPr>
                <w:rFonts w:hint="eastAsia" w:ascii="宋体" w:hAnsi="宋体"/>
                <w:sz w:val="20"/>
                <w:szCs w:val="20"/>
              </w:rPr>
            </w:pPr>
            <w:r>
              <w:rPr>
                <w:rFonts w:hint="eastAsia" w:ascii="宋体" w:hAnsi="宋体"/>
                <w:sz w:val="20"/>
                <w:szCs w:val="20"/>
              </w:rPr>
              <w:t>电工钢</w:t>
            </w:r>
          </w:p>
        </w:tc>
        <w:tc>
          <w:tcPr>
            <w:tcW w:w="842" w:type="dxa"/>
            <w:vAlign w:val="center"/>
          </w:tcPr>
          <w:p>
            <w:pPr>
              <w:widowControl w:val="0"/>
              <w:jc w:val="center"/>
              <w:rPr>
                <w:rFonts w:hint="eastAsia" w:ascii="宋体" w:hAnsi="宋体"/>
                <w:color w:val="000000"/>
              </w:rPr>
            </w:pPr>
            <w:r>
              <w:rPr>
                <w:rFonts w:hint="eastAsia" w:ascii="宋体" w:hAnsi="宋体"/>
                <w:color w:val="000000"/>
              </w:rPr>
              <w:t>指</w:t>
            </w:r>
          </w:p>
        </w:tc>
        <w:tc>
          <w:tcPr>
            <w:tcW w:w="5038" w:type="dxa"/>
          </w:tcPr>
          <w:p>
            <w:pPr>
              <w:widowControl w:val="0"/>
              <w:jc w:val="both"/>
              <w:rPr>
                <w:rFonts w:hint="eastAsia" w:ascii="宋体" w:hAnsi="宋体"/>
                <w:sz w:val="20"/>
                <w:szCs w:val="20"/>
              </w:rPr>
            </w:pPr>
            <w:r>
              <w:rPr>
                <w:rFonts w:hint="eastAsia" w:ascii="宋体" w:hAnsi="宋体"/>
                <w:sz w:val="20"/>
                <w:szCs w:val="20"/>
              </w:rPr>
              <w:t>是一种含碳极低的硅铁软磁合金，一般含硅量为</w:t>
            </w:r>
            <w:r>
              <w:rPr>
                <w:rFonts w:hint="eastAsia"/>
                <w:sz w:val="20"/>
                <w:szCs w:val="20"/>
              </w:rPr>
              <w:t>0.5%</w:t>
            </w:r>
            <w:r>
              <w:rPr>
                <w:rFonts w:hint="eastAsia" w:ascii="宋体" w:hAnsi="宋体"/>
                <w:sz w:val="20"/>
                <w:szCs w:val="20"/>
              </w:rPr>
              <w:t>～</w:t>
            </w:r>
            <w:r>
              <w:rPr>
                <w:rFonts w:hint="eastAsia"/>
                <w:sz w:val="20"/>
                <w:szCs w:val="20"/>
              </w:rPr>
              <w:t>4.5%</w:t>
            </w:r>
            <w:r>
              <w:rPr>
                <w:rFonts w:hint="eastAsia" w:ascii="宋体" w:hAnsi="宋体"/>
                <w:sz w:val="20"/>
                <w:szCs w:val="20"/>
              </w:rPr>
              <w:t>，亦称硅钢片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rPr>
                <w:rFonts w:hint="eastAsia" w:ascii="宋体" w:hAnsi="宋体"/>
                <w:sz w:val="20"/>
                <w:szCs w:val="20"/>
              </w:rPr>
            </w:pPr>
            <w:r>
              <w:rPr>
                <w:rFonts w:hint="eastAsia" w:ascii="宋体" w:hAnsi="宋体"/>
                <w:sz w:val="20"/>
                <w:szCs w:val="20"/>
              </w:rPr>
              <w:t>取向硅钢、取向电工钢</w:t>
            </w:r>
          </w:p>
        </w:tc>
        <w:tc>
          <w:tcPr>
            <w:tcW w:w="842" w:type="dxa"/>
            <w:vAlign w:val="center"/>
          </w:tcPr>
          <w:p>
            <w:pPr>
              <w:widowControl w:val="0"/>
              <w:jc w:val="center"/>
              <w:rPr>
                <w:rFonts w:hint="eastAsia" w:ascii="宋体" w:hAnsi="宋体"/>
                <w:color w:val="000000"/>
              </w:rPr>
            </w:pPr>
            <w:r>
              <w:rPr>
                <w:rFonts w:hint="eastAsia" w:ascii="宋体" w:hAnsi="宋体"/>
                <w:color w:val="000000"/>
              </w:rPr>
              <w:t>指</w:t>
            </w:r>
          </w:p>
        </w:tc>
        <w:tc>
          <w:tcPr>
            <w:tcW w:w="5038" w:type="dxa"/>
          </w:tcPr>
          <w:p>
            <w:pPr>
              <w:widowControl w:val="0"/>
              <w:jc w:val="both"/>
              <w:rPr>
                <w:rFonts w:hint="eastAsia" w:ascii="宋体" w:hAnsi="宋体"/>
                <w:sz w:val="20"/>
                <w:szCs w:val="20"/>
              </w:rPr>
            </w:pPr>
            <w:r>
              <w:rPr>
                <w:rFonts w:hint="eastAsia" w:ascii="宋体" w:hAnsi="宋体"/>
                <w:sz w:val="20"/>
                <w:szCs w:val="20"/>
              </w:rPr>
              <w:t>一种晶粒基本朝同一方向排列的极低碳硅铁合金材料，主要应用于变压器（铁心）制造行业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rPr>
                <w:rFonts w:hint="eastAsia" w:ascii="宋体" w:hAnsi="宋体"/>
                <w:sz w:val="20"/>
                <w:szCs w:val="20"/>
              </w:rPr>
            </w:pPr>
            <w:r>
              <w:rPr>
                <w:sz w:val="20"/>
                <w:szCs w:val="20"/>
              </w:rPr>
              <w:t>HiB</w:t>
            </w:r>
            <w:r>
              <w:rPr>
                <w:rFonts w:hint="eastAsia" w:ascii="宋体" w:hAnsi="宋体"/>
                <w:sz w:val="20"/>
                <w:szCs w:val="20"/>
              </w:rPr>
              <w:t>、高磁感取向硅钢</w:t>
            </w:r>
          </w:p>
        </w:tc>
        <w:tc>
          <w:tcPr>
            <w:tcW w:w="842" w:type="dxa"/>
            <w:vAlign w:val="center"/>
          </w:tcPr>
          <w:p>
            <w:pPr>
              <w:widowControl w:val="0"/>
              <w:jc w:val="center"/>
              <w:rPr>
                <w:rFonts w:hint="eastAsia" w:ascii="宋体" w:hAnsi="宋体"/>
                <w:color w:val="000000"/>
              </w:rPr>
            </w:pPr>
            <w:r>
              <w:rPr>
                <w:rFonts w:hint="eastAsia" w:ascii="宋体" w:hAnsi="宋体"/>
                <w:color w:val="000000"/>
              </w:rPr>
              <w:t>指</w:t>
            </w:r>
          </w:p>
        </w:tc>
        <w:tc>
          <w:tcPr>
            <w:tcW w:w="5038" w:type="dxa"/>
          </w:tcPr>
          <w:p>
            <w:pPr>
              <w:widowControl w:val="0"/>
              <w:jc w:val="both"/>
              <w:rPr>
                <w:rFonts w:hint="eastAsia" w:ascii="宋体" w:hAnsi="宋体"/>
                <w:sz w:val="20"/>
                <w:szCs w:val="20"/>
              </w:rPr>
            </w:pPr>
            <w:r>
              <w:rPr>
                <w:rFonts w:hint="eastAsia" w:ascii="宋体" w:hAnsi="宋体"/>
                <w:sz w:val="20"/>
                <w:szCs w:val="20"/>
              </w:rPr>
              <w:t>磁感强度≥</w:t>
            </w:r>
            <w:r>
              <w:rPr>
                <w:rFonts w:hint="eastAsia"/>
                <w:sz w:val="20"/>
                <w:szCs w:val="20"/>
              </w:rPr>
              <w:t>1.88T</w:t>
            </w:r>
            <w:r>
              <w:rPr>
                <w:rFonts w:hint="eastAsia" w:ascii="宋体" w:hAnsi="宋体"/>
                <w:sz w:val="20"/>
                <w:szCs w:val="20"/>
              </w:rPr>
              <w:t>的取向硅钢，与一般取向硅钢相比具有铁损低、磁感应强度高、磁致伸缩小等优点。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sz w:val="20"/>
                <w:szCs w:val="20"/>
              </w:rPr>
              <w:t>CGO</w:t>
            </w:r>
            <w:r>
              <w:rPr>
                <w:rFonts w:hint="eastAsia" w:ascii="宋体" w:hAnsi="宋体"/>
                <w:sz w:val="20"/>
                <w:szCs w:val="20"/>
              </w:rPr>
              <w:t>、一般取向硅钢</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磁感强度＜</w:t>
            </w:r>
            <w:r>
              <w:rPr>
                <w:rFonts w:hint="eastAsia"/>
                <w:sz w:val="20"/>
                <w:szCs w:val="20"/>
              </w:rPr>
              <w:t>1.88T</w:t>
            </w:r>
            <w:r>
              <w:rPr>
                <w:rFonts w:hint="eastAsia" w:ascii="宋体" w:hAnsi="宋体"/>
                <w:sz w:val="20"/>
                <w:szCs w:val="20"/>
              </w:rPr>
              <w:t>的取向硅钢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牌号</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一般取向硅钢按</w:t>
            </w:r>
            <w:r>
              <w:rPr>
                <w:rFonts w:hint="eastAsia"/>
                <w:sz w:val="20"/>
                <w:szCs w:val="20"/>
              </w:rPr>
              <w:t>130</w:t>
            </w:r>
            <w:r>
              <w:rPr>
                <w:rFonts w:hint="eastAsia" w:ascii="宋体" w:hAnsi="宋体"/>
                <w:sz w:val="20"/>
                <w:szCs w:val="20"/>
              </w:rPr>
              <w:t>、</w:t>
            </w:r>
            <w:r>
              <w:rPr>
                <w:rFonts w:hint="eastAsia"/>
                <w:sz w:val="20"/>
                <w:szCs w:val="20"/>
              </w:rPr>
              <w:t>120</w:t>
            </w:r>
            <w:r>
              <w:rPr>
                <w:rFonts w:hint="eastAsia" w:ascii="宋体" w:hAnsi="宋体"/>
                <w:sz w:val="20"/>
                <w:szCs w:val="20"/>
              </w:rPr>
              <w:t>、</w:t>
            </w:r>
            <w:r>
              <w:rPr>
                <w:rFonts w:hint="eastAsia"/>
                <w:sz w:val="20"/>
                <w:szCs w:val="20"/>
              </w:rPr>
              <w:t>110</w:t>
            </w:r>
            <w:r>
              <w:rPr>
                <w:rFonts w:hint="eastAsia" w:ascii="宋体" w:hAnsi="宋体"/>
                <w:sz w:val="20"/>
                <w:szCs w:val="20"/>
              </w:rPr>
              <w:t>的数字命名牌号，数字越小牌号越高；高磁感取向硅钢按</w:t>
            </w:r>
            <w:r>
              <w:rPr>
                <w:rFonts w:hint="eastAsia"/>
                <w:sz w:val="20"/>
                <w:szCs w:val="20"/>
              </w:rPr>
              <w:t>100</w:t>
            </w:r>
            <w:r>
              <w:rPr>
                <w:rFonts w:hint="eastAsia" w:ascii="宋体" w:hAnsi="宋体"/>
                <w:sz w:val="20"/>
                <w:szCs w:val="20"/>
              </w:rPr>
              <w:t>、</w:t>
            </w:r>
            <w:r>
              <w:rPr>
                <w:rFonts w:hint="eastAsia"/>
                <w:sz w:val="20"/>
                <w:szCs w:val="20"/>
              </w:rPr>
              <w:t>095</w:t>
            </w:r>
            <w:r>
              <w:rPr>
                <w:rFonts w:hint="eastAsia" w:ascii="宋体" w:hAnsi="宋体"/>
                <w:sz w:val="20"/>
                <w:szCs w:val="20"/>
              </w:rPr>
              <w:t>、</w:t>
            </w:r>
            <w:r>
              <w:rPr>
                <w:rFonts w:hint="eastAsia"/>
                <w:sz w:val="20"/>
                <w:szCs w:val="20"/>
              </w:rPr>
              <w:t>090</w:t>
            </w:r>
            <w:r>
              <w:rPr>
                <w:rFonts w:hint="eastAsia" w:ascii="宋体" w:hAnsi="宋体"/>
                <w:sz w:val="20"/>
                <w:szCs w:val="20"/>
              </w:rPr>
              <w:t>、</w:t>
            </w:r>
            <w:r>
              <w:rPr>
                <w:rFonts w:hint="eastAsia"/>
                <w:sz w:val="20"/>
                <w:szCs w:val="20"/>
              </w:rPr>
              <w:t>085</w:t>
            </w:r>
            <w:r>
              <w:rPr>
                <w:rFonts w:hint="eastAsia" w:ascii="宋体" w:hAnsi="宋体"/>
                <w:sz w:val="20"/>
                <w:szCs w:val="20"/>
              </w:rPr>
              <w:t>、</w:t>
            </w:r>
            <w:r>
              <w:rPr>
                <w:rFonts w:hint="eastAsia"/>
                <w:sz w:val="20"/>
                <w:szCs w:val="20"/>
              </w:rPr>
              <w:t>080</w:t>
            </w:r>
            <w:r>
              <w:rPr>
                <w:rFonts w:hint="eastAsia" w:ascii="宋体" w:hAnsi="宋体"/>
                <w:sz w:val="20"/>
                <w:szCs w:val="20"/>
              </w:rPr>
              <w:t>、</w:t>
            </w:r>
            <w:r>
              <w:rPr>
                <w:rFonts w:hint="eastAsia"/>
                <w:sz w:val="20"/>
                <w:szCs w:val="20"/>
              </w:rPr>
              <w:t>075</w:t>
            </w:r>
            <w:r>
              <w:rPr>
                <w:rFonts w:hint="eastAsia" w:ascii="宋体" w:hAnsi="宋体"/>
                <w:sz w:val="20"/>
                <w:szCs w:val="20"/>
              </w:rPr>
              <w:t>以此类推的数字命名牌号，数字越小牌号越高。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变压器、电力变压器</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利用电磁感应原理制成的传输交流电能并改变交流电压的装置，主要构件是绕组、铁心、绝缘系统和散热装置。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电气化铁路牵引变压器</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是安装在电气化铁路牵引变电所，将</w:t>
            </w:r>
            <w:r>
              <w:rPr>
                <w:rFonts w:hint="eastAsia"/>
                <w:sz w:val="20"/>
                <w:szCs w:val="20"/>
              </w:rPr>
              <w:t>110</w:t>
            </w:r>
            <w:r>
              <w:rPr>
                <w:rFonts w:hint="eastAsia" w:ascii="宋体" w:hAnsi="宋体"/>
                <w:sz w:val="20"/>
                <w:szCs w:val="20"/>
              </w:rPr>
              <w:t>、</w:t>
            </w:r>
            <w:r>
              <w:rPr>
                <w:rFonts w:hint="eastAsia"/>
                <w:sz w:val="20"/>
                <w:szCs w:val="20"/>
              </w:rPr>
              <w:t>220</w:t>
            </w:r>
            <w:r>
              <w:rPr>
                <w:rFonts w:hint="eastAsia" w:ascii="宋体" w:hAnsi="宋体"/>
                <w:sz w:val="20"/>
                <w:szCs w:val="20"/>
              </w:rPr>
              <w:t>、</w:t>
            </w:r>
            <w:r>
              <w:rPr>
                <w:rFonts w:hint="eastAsia"/>
                <w:sz w:val="20"/>
                <w:szCs w:val="20"/>
              </w:rPr>
              <w:t>330kV</w:t>
            </w:r>
            <w:r>
              <w:rPr>
                <w:rFonts w:hint="eastAsia" w:ascii="宋体" w:hAnsi="宋体"/>
                <w:sz w:val="20"/>
                <w:szCs w:val="20"/>
              </w:rPr>
              <w:t>三相电力系统电压转换为单相或两相</w:t>
            </w:r>
            <w:r>
              <w:rPr>
                <w:rFonts w:hint="eastAsia"/>
                <w:sz w:val="20"/>
                <w:szCs w:val="20"/>
              </w:rPr>
              <w:t>27.5</w:t>
            </w:r>
            <w:r>
              <w:rPr>
                <w:rFonts w:hint="eastAsia" w:ascii="宋体" w:hAnsi="宋体"/>
                <w:sz w:val="20"/>
                <w:szCs w:val="20"/>
              </w:rPr>
              <w:t>、</w:t>
            </w:r>
            <w:r>
              <w:rPr>
                <w:rFonts w:hint="eastAsia"/>
                <w:sz w:val="20"/>
                <w:szCs w:val="20"/>
              </w:rPr>
              <w:t>2</w:t>
            </w:r>
            <w:r>
              <w:rPr>
                <w:rFonts w:hint="eastAsia" w:ascii="宋体" w:hAnsi="宋体"/>
                <w:sz w:val="20"/>
                <w:szCs w:val="20"/>
              </w:rPr>
              <w:t>×</w:t>
            </w:r>
            <w:r>
              <w:rPr>
                <w:rFonts w:hint="eastAsia"/>
                <w:sz w:val="20"/>
                <w:szCs w:val="20"/>
              </w:rPr>
              <w:t>27.5kV</w:t>
            </w:r>
            <w:r>
              <w:rPr>
                <w:rFonts w:hint="eastAsia" w:ascii="宋体" w:hAnsi="宋体"/>
                <w:sz w:val="20"/>
                <w:szCs w:val="20"/>
              </w:rPr>
              <w:t>馈线电压，对电力机车供电的变压器。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高原型电力变压器</w:t>
            </w:r>
          </w:p>
        </w:tc>
        <w:tc>
          <w:tcPr>
            <w:tcW w:w="842" w:type="dxa"/>
            <w:vAlign w:val="center"/>
          </w:tcPr>
          <w:p>
            <w:pPr>
              <w:widowControl w:val="0"/>
              <w:jc w:val="center"/>
              <w:rPr>
                <w:color w:val="000000" w:themeColor="text1"/>
                <w:highlight w:val="lightGray"/>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一般用于</w:t>
            </w:r>
            <w:r>
              <w:rPr>
                <w:rFonts w:hint="eastAsia"/>
                <w:sz w:val="20"/>
                <w:szCs w:val="20"/>
              </w:rPr>
              <w:t>2000</w:t>
            </w:r>
            <w:r>
              <w:rPr>
                <w:rFonts w:hint="eastAsia" w:ascii="宋体" w:hAnsi="宋体"/>
                <w:sz w:val="20"/>
                <w:szCs w:val="20"/>
              </w:rPr>
              <w:t>米以上海拔地区的电力变压器，能够高度适应空气稀薄、气候条件差 、雷暴多 、运输条件差等高原独特环境和气候，较一般电力变压器相比，在变压器的散热条件、 绝缘等级及二次控制原件安全性 等方面具有较强的优势。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bookmarkStart w:id="9" w:name="OLE_LINK22"/>
            <w:r>
              <w:rPr>
                <w:rFonts w:hint="eastAsia" w:ascii="宋体" w:hAnsi="宋体"/>
                <w:sz w:val="20"/>
                <w:szCs w:val="20"/>
              </w:rPr>
              <w:t>智能充变一体机</w:t>
            </w:r>
            <w:bookmarkEnd w:id="9"/>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指将</w:t>
            </w:r>
            <w:r>
              <w:rPr>
                <w:rFonts w:hint="eastAsia"/>
                <w:sz w:val="20"/>
                <w:szCs w:val="20"/>
              </w:rPr>
              <w:t>10kV</w:t>
            </w:r>
            <w:r>
              <w:rPr>
                <w:rFonts w:hint="eastAsia" w:ascii="宋体" w:hAnsi="宋体"/>
                <w:sz w:val="20"/>
                <w:szCs w:val="20"/>
              </w:rPr>
              <w:t>交流系统与低压直流充电系统深度耦合实现新能源电动重卡以及乘用车快速充电补能的产品。产品可直接接入</w:t>
            </w:r>
            <w:r>
              <w:rPr>
                <w:rFonts w:hint="eastAsia"/>
                <w:sz w:val="20"/>
                <w:szCs w:val="20"/>
              </w:rPr>
              <w:t>10kV</w:t>
            </w:r>
            <w:r>
              <w:rPr>
                <w:rFonts w:hint="eastAsia" w:ascii="宋体" w:hAnsi="宋体"/>
                <w:sz w:val="20"/>
                <w:szCs w:val="20"/>
              </w:rPr>
              <w:t>交流电网，输出</w:t>
            </w:r>
            <w:r>
              <w:rPr>
                <w:rFonts w:hint="eastAsia"/>
                <w:sz w:val="20"/>
                <w:szCs w:val="20"/>
              </w:rPr>
              <w:t>200-1000VDC</w:t>
            </w:r>
            <w:r>
              <w:rPr>
                <w:rFonts w:hint="eastAsia" w:ascii="宋体" w:hAnsi="宋体"/>
                <w:sz w:val="20"/>
                <w:szCs w:val="20"/>
              </w:rPr>
              <w:t>直流电，设备最大容量</w:t>
            </w:r>
            <w:r>
              <w:rPr>
                <w:rFonts w:hint="eastAsia"/>
                <w:sz w:val="20"/>
                <w:szCs w:val="20"/>
              </w:rPr>
              <w:t>2500kVA</w:t>
            </w:r>
            <w:r>
              <w:rPr>
                <w:rFonts w:hint="eastAsia" w:ascii="宋体" w:hAnsi="宋体"/>
                <w:sz w:val="20"/>
                <w:szCs w:val="20"/>
              </w:rPr>
              <w:t>，双枪最大充电功率</w:t>
            </w:r>
            <w:r>
              <w:rPr>
                <w:rFonts w:hint="eastAsia"/>
                <w:sz w:val="20"/>
                <w:szCs w:val="20"/>
              </w:rPr>
              <w:t>1440kW</w:t>
            </w:r>
            <w:r>
              <w:rPr>
                <w:rFonts w:hint="eastAsia" w:ascii="宋体" w:hAnsi="宋体"/>
                <w:sz w:val="20"/>
                <w:szCs w:val="20"/>
              </w:rPr>
              <w:t>，支持兆瓦超充。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vAlign w:val="center"/>
          </w:tcPr>
          <w:p>
            <w:pPr>
              <w:widowControl w:val="0"/>
              <w:jc w:val="both"/>
            </w:pPr>
            <w:r>
              <w:rPr>
                <w:rFonts w:hint="eastAsia" w:ascii="宋体" w:hAnsi="宋体"/>
                <w:sz w:val="20"/>
                <w:szCs w:val="20"/>
              </w:rPr>
              <w:t>箱式变电站、箱变</w:t>
            </w:r>
          </w:p>
        </w:tc>
        <w:tc>
          <w:tcPr>
            <w:tcW w:w="842" w:type="dxa"/>
            <w:vAlign w:val="center"/>
          </w:tcPr>
          <w:p>
            <w:pPr>
              <w:widowControl w:val="0"/>
              <w:jc w:val="center"/>
              <w:rPr>
                <w:color w:val="000000" w:themeColor="text1"/>
                <w14:textFill>
                  <w14:solidFill>
                    <w14:schemeClr w14:val="tx1"/>
                  </w14:solidFill>
                </w14:textFill>
              </w:rPr>
            </w:pPr>
            <w:r>
              <w:rPr>
                <w:rFonts w:hint="eastAsia" w:ascii="宋体" w:hAnsi="宋体"/>
                <w:color w:val="000000"/>
              </w:rPr>
              <w:t>指</w:t>
            </w:r>
          </w:p>
        </w:tc>
        <w:tc>
          <w:tcPr>
            <w:tcW w:w="5038" w:type="dxa"/>
          </w:tcPr>
          <w:p>
            <w:pPr>
              <w:widowControl w:val="0"/>
              <w:jc w:val="both"/>
              <w:rPr>
                <w:color w:val="000000" w:themeColor="text1"/>
                <w14:textFill>
                  <w14:solidFill>
                    <w14:schemeClr w14:val="tx1"/>
                  </w14:solidFill>
                </w14:textFill>
              </w:rPr>
            </w:pPr>
            <w:r>
              <w:rPr>
                <w:rFonts w:hint="eastAsia" w:ascii="宋体" w:hAnsi="宋体"/>
                <w:sz w:val="20"/>
                <w:szCs w:val="20"/>
              </w:rPr>
              <w:t>一种高压开关设备、电力变压器和低压配电装置，按一定接线方案排成一体的工厂预制户内、户外紧凑式配电设备。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ascii="宋体" w:hAnsi="宋体"/>
                <w:sz w:val="20"/>
                <w:szCs w:val="20"/>
              </w:rPr>
              <w:t>成套电气设备</w:t>
            </w:r>
          </w:p>
        </w:tc>
        <w:tc>
          <w:tcPr>
            <w:tcW w:w="842"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ascii="宋体" w:hAnsi="宋体"/>
                <w:sz w:val="20"/>
                <w:szCs w:val="20"/>
              </w:rPr>
              <w:t>指</w:t>
            </w:r>
          </w:p>
        </w:tc>
        <w:tc>
          <w:tcPr>
            <w:tcW w:w="5038" w:type="dxa"/>
            <w:tcBorders>
              <w:top w:val="single" w:color="auto" w:sz="4" w:space="0"/>
              <w:left w:val="single" w:color="auto" w:sz="4" w:space="0"/>
              <w:bottom w:val="single" w:color="auto" w:sz="4" w:space="0"/>
              <w:right w:val="single" w:color="auto" w:sz="4" w:space="0"/>
            </w:tcBorders>
          </w:tcPr>
          <w:p>
            <w:pPr>
              <w:widowControl w:val="0"/>
              <w:jc w:val="both"/>
              <w:rPr>
                <w:rFonts w:hint="eastAsia" w:ascii="宋体" w:hAnsi="宋体"/>
                <w:sz w:val="20"/>
                <w:szCs w:val="20"/>
              </w:rPr>
            </w:pPr>
            <w:r>
              <w:rPr>
                <w:rFonts w:ascii="宋体" w:hAnsi="宋体"/>
                <w:sz w:val="20"/>
                <w:szCs w:val="20"/>
              </w:rPr>
              <w:t>由壳体、母线、一二次元件、辅材等组成的完整电力设备，它运行在电网中主要起着接受和分配电能的作用，同时对电力设备起着控制以及保护的作用。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ascii="宋体" w:hAnsi="宋体"/>
                <w:sz w:val="20"/>
                <w:szCs w:val="20"/>
              </w:rPr>
              <w:t>中电联</w:t>
            </w:r>
          </w:p>
        </w:tc>
        <w:tc>
          <w:tcPr>
            <w:tcW w:w="842"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ascii="宋体" w:hAnsi="宋体"/>
                <w:sz w:val="20"/>
                <w:szCs w:val="20"/>
              </w:rPr>
              <w:t>指</w:t>
            </w:r>
          </w:p>
        </w:tc>
        <w:tc>
          <w:tcPr>
            <w:tcW w:w="5038" w:type="dxa"/>
            <w:tcBorders>
              <w:top w:val="single" w:color="auto" w:sz="4" w:space="0"/>
              <w:left w:val="single" w:color="auto" w:sz="4" w:space="0"/>
              <w:bottom w:val="single" w:color="auto" w:sz="4" w:space="0"/>
              <w:right w:val="single" w:color="auto" w:sz="4" w:space="0"/>
            </w:tcBorders>
          </w:tcPr>
          <w:p>
            <w:pPr>
              <w:widowControl w:val="0"/>
              <w:jc w:val="both"/>
              <w:rPr>
                <w:rFonts w:hint="eastAsia" w:ascii="宋体" w:hAnsi="宋体"/>
                <w:sz w:val="20"/>
                <w:szCs w:val="20"/>
              </w:rPr>
            </w:pPr>
            <w:r>
              <w:rPr>
                <w:rFonts w:ascii="宋体" w:hAnsi="宋体"/>
                <w:sz w:val="20"/>
                <w:szCs w:val="20"/>
              </w:rPr>
              <w:t>中国电力企业联合会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ascii="宋体" w:hAnsi="宋体"/>
                <w:sz w:val="20"/>
                <w:szCs w:val="20"/>
              </w:rPr>
              <w:t>国家电网</w:t>
            </w:r>
            <w:r>
              <w:rPr>
                <w:rFonts w:hint="eastAsia" w:ascii="宋体" w:hAnsi="宋体"/>
                <w:sz w:val="20"/>
                <w:szCs w:val="20"/>
              </w:rPr>
              <w:t>/</w:t>
            </w:r>
            <w:r>
              <w:rPr>
                <w:rFonts w:ascii="宋体" w:hAnsi="宋体"/>
                <w:sz w:val="20"/>
                <w:szCs w:val="20"/>
              </w:rPr>
              <w:t>国网</w:t>
            </w:r>
            <w:r>
              <w:rPr>
                <w:rFonts w:hint="eastAsia" w:ascii="宋体" w:hAnsi="宋体"/>
                <w:sz w:val="20"/>
                <w:szCs w:val="20"/>
              </w:rPr>
              <w:t>、</w:t>
            </w:r>
            <w:r>
              <w:rPr>
                <w:rFonts w:ascii="宋体" w:hAnsi="宋体"/>
                <w:sz w:val="20"/>
                <w:szCs w:val="20"/>
              </w:rPr>
              <w:t>南方电网</w:t>
            </w:r>
            <w:r>
              <w:rPr>
                <w:rFonts w:hint="eastAsia" w:ascii="宋体" w:hAnsi="宋体"/>
                <w:sz w:val="20"/>
                <w:szCs w:val="20"/>
              </w:rPr>
              <w:t>/</w:t>
            </w:r>
            <w:r>
              <w:rPr>
                <w:rFonts w:ascii="宋体" w:hAnsi="宋体"/>
                <w:sz w:val="20"/>
                <w:szCs w:val="20"/>
              </w:rPr>
              <w:t>南网</w:t>
            </w:r>
            <w:r>
              <w:rPr>
                <w:rFonts w:hint="eastAsia" w:ascii="宋体" w:hAnsi="宋体"/>
                <w:sz w:val="20"/>
                <w:szCs w:val="20"/>
              </w:rPr>
              <w:t>、两网</w:t>
            </w:r>
          </w:p>
        </w:tc>
        <w:tc>
          <w:tcPr>
            <w:tcW w:w="842"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ascii="宋体" w:hAnsi="宋体"/>
                <w:sz w:val="20"/>
                <w:szCs w:val="20"/>
              </w:rPr>
              <w:t>指</w:t>
            </w:r>
          </w:p>
        </w:tc>
        <w:tc>
          <w:tcPr>
            <w:tcW w:w="5038"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bookmarkStart w:id="10" w:name="OLE_LINK47"/>
            <w:r>
              <w:rPr>
                <w:rFonts w:ascii="宋体" w:hAnsi="宋体"/>
                <w:sz w:val="20"/>
                <w:szCs w:val="20"/>
              </w:rPr>
              <w:t>国家电网有限公司</w:t>
            </w:r>
            <w:bookmarkEnd w:id="10"/>
            <w:r>
              <w:rPr>
                <w:rFonts w:hint="eastAsia" w:ascii="宋体" w:hAnsi="宋体"/>
                <w:sz w:val="20"/>
                <w:szCs w:val="20"/>
              </w:rPr>
              <w:t>、</w:t>
            </w:r>
            <w:bookmarkStart w:id="11" w:name="OLE_LINK46"/>
            <w:r>
              <w:rPr>
                <w:rFonts w:ascii="宋体" w:hAnsi="宋体"/>
                <w:sz w:val="20"/>
                <w:szCs w:val="20"/>
              </w:rPr>
              <w:t>中国南方电网有限责任公司</w:t>
            </w:r>
            <w:bookmarkEnd w:id="1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hint="eastAsia" w:ascii="宋体" w:hAnsi="宋体"/>
                <w:sz w:val="20"/>
                <w:szCs w:val="20"/>
              </w:rPr>
              <w:t>中国铁路</w:t>
            </w:r>
          </w:p>
        </w:tc>
        <w:tc>
          <w:tcPr>
            <w:tcW w:w="842"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ascii="宋体" w:hAnsi="宋体"/>
                <w:sz w:val="20"/>
                <w:szCs w:val="20"/>
              </w:rPr>
              <w:t>指</w:t>
            </w:r>
          </w:p>
        </w:tc>
        <w:tc>
          <w:tcPr>
            <w:tcW w:w="5038"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hint="eastAsia" w:ascii="宋体" w:hAnsi="宋体"/>
                <w:sz w:val="20"/>
                <w:szCs w:val="20"/>
              </w:rPr>
              <w:t>中国国家铁路集团有限公司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hint="eastAsia" w:ascii="宋体" w:hAnsi="宋体"/>
                <w:sz w:val="20"/>
                <w:szCs w:val="20"/>
              </w:rPr>
              <w:t>中国铁建</w:t>
            </w:r>
          </w:p>
        </w:tc>
        <w:tc>
          <w:tcPr>
            <w:tcW w:w="842"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ascii="宋体" w:hAnsi="宋体"/>
                <w:sz w:val="20"/>
                <w:szCs w:val="20"/>
              </w:rPr>
              <w:t>指</w:t>
            </w:r>
          </w:p>
        </w:tc>
        <w:tc>
          <w:tcPr>
            <w:tcW w:w="5038"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hint="eastAsia" w:ascii="宋体" w:hAnsi="宋体"/>
                <w:sz w:val="20"/>
                <w:szCs w:val="20"/>
              </w:rPr>
              <w:t>中国铁道建筑集团有限公司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3"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hint="eastAsia" w:ascii="宋体" w:hAnsi="宋体"/>
                <w:sz w:val="20"/>
                <w:szCs w:val="20"/>
              </w:rPr>
              <w:t>中国中铁</w:t>
            </w:r>
          </w:p>
        </w:tc>
        <w:tc>
          <w:tcPr>
            <w:tcW w:w="842"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ascii="宋体" w:hAnsi="宋体"/>
                <w:sz w:val="20"/>
                <w:szCs w:val="20"/>
              </w:rPr>
              <w:t>指</w:t>
            </w:r>
          </w:p>
        </w:tc>
        <w:tc>
          <w:tcPr>
            <w:tcW w:w="5038" w:type="dxa"/>
            <w:tcBorders>
              <w:top w:val="single" w:color="auto" w:sz="4" w:space="0"/>
              <w:left w:val="single" w:color="auto" w:sz="4" w:space="0"/>
              <w:bottom w:val="single" w:color="auto" w:sz="4" w:space="0"/>
              <w:right w:val="single" w:color="auto" w:sz="4" w:space="0"/>
            </w:tcBorders>
            <w:vAlign w:val="center"/>
          </w:tcPr>
          <w:p>
            <w:pPr>
              <w:widowControl w:val="0"/>
              <w:jc w:val="both"/>
              <w:rPr>
                <w:rFonts w:hint="eastAsia" w:ascii="宋体" w:hAnsi="宋体"/>
                <w:sz w:val="20"/>
                <w:szCs w:val="20"/>
              </w:rPr>
            </w:pPr>
            <w:r>
              <w:rPr>
                <w:rFonts w:hint="eastAsia" w:ascii="宋体" w:hAnsi="宋体"/>
                <w:sz w:val="20"/>
                <w:szCs w:val="20"/>
              </w:rPr>
              <w:t>中国铁路工程集团有限公司</w:t>
            </w:r>
          </w:p>
        </w:tc>
      </w:tr>
    </w:tbl>
    <w:p>
      <w:pPr>
        <w:rPr>
          <w:color w:val="000000" w:themeColor="text1"/>
          <w14:textFill>
            <w14:solidFill>
              <w14:schemeClr w14:val="tx1"/>
            </w14:solidFill>
          </w14:textFill>
        </w:rPr>
      </w:pPr>
    </w:p>
    <w:p>
      <w:pPr>
        <w:pStyle w:val="49"/>
        <w:numPr>
          <w:ilvl w:val="0"/>
          <w:numId w:val="2"/>
        </w:numPr>
        <w:rPr>
          <w:rFonts w:hint="eastAsia" w:ascii="黑体" w:hAnsi="黑体"/>
          <w:color w:val="000000" w:themeColor="text1"/>
          <w14:textFill>
            <w14:solidFill>
              <w14:schemeClr w14:val="tx1"/>
            </w14:solidFill>
          </w14:textFill>
        </w:rPr>
      </w:pPr>
      <w:r>
        <w:rPr>
          <w:rFonts w:hint="eastAsia" w:ascii="黑体" w:hAnsi="黑体"/>
          <w:color w:val="000000" w:themeColor="text1"/>
          <w14:textFill>
            <w14:solidFill>
              <w14:schemeClr w14:val="tx1"/>
            </w14:solidFill>
          </w14:textFill>
        </w:rPr>
        <w:t>公司简介</w:t>
      </w:r>
      <w:bookmarkEnd w:id="7"/>
      <w:r>
        <w:rPr>
          <w:rFonts w:hint="eastAsia" w:ascii="黑体" w:hAnsi="黑体"/>
          <w:color w:val="000000" w:themeColor="text1"/>
          <w14:textFill>
            <w14:solidFill>
              <w14:schemeClr w14:val="tx1"/>
            </w14:solidFill>
          </w14:textFill>
        </w:rPr>
        <w:t>和主要财务指标</w:t>
      </w:r>
    </w:p>
    <w:p>
      <w:pPr>
        <w:pStyle w:val="50"/>
        <w:numPr>
          <w:ilvl w:val="0"/>
          <w:numId w:val="3"/>
        </w:numPr>
        <w:ind w:left="0" w:firstLine="0"/>
        <w:rPr>
          <w:color w:val="000000" w:themeColor="text1"/>
          <w14:textFill>
            <w14:solidFill>
              <w14:schemeClr w14:val="tx1"/>
            </w14:solidFill>
          </w14:textFill>
        </w:rPr>
      </w:pPr>
      <w:bookmarkStart w:id="12" w:name="_Toc342565881"/>
      <w:bookmarkStart w:id="13" w:name="_Toc342051041"/>
      <w:r>
        <w:rPr>
          <w:rFonts w:hint="eastAsia"/>
          <w:color w:val="000000" w:themeColor="text1"/>
          <w14:textFill>
            <w14:solidFill>
              <w14:schemeClr w14:val="tx1"/>
            </w14:solidFill>
          </w14:textFill>
        </w:rPr>
        <w:t>公司信息</w:t>
      </w:r>
      <w:bookmarkEnd w:id="12"/>
      <w:bookmarkEnd w:id="13"/>
    </w:p>
    <w:tbl>
      <w:tblPr>
        <w:tblStyle w:val="46"/>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3858"/>
        <w:gridCol w:w="503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372cd7a5ecc1420488735479d42bf939"/>
            <w:id w:val="-1511599926"/>
          </w:sdtPr>
          <w:sdtContent>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公司的中文名称</w:t>
                </w:r>
              </w:p>
            </w:tc>
          </w:sdtContent>
        </w:sdt>
        <w:sdt>
          <w:sdtPr>
            <w:rPr>
              <w:rFonts w:hint="eastAsia"/>
              <w:color w:val="000000" w:themeColor="text1"/>
              <w14:textFill>
                <w14:solidFill>
                  <w14:schemeClr w14:val="tx1"/>
                </w14:solidFill>
              </w14:textFill>
            </w:rPr>
            <w:alias w:val="公司法定中文名称"/>
            <w:tag w:val="_GBC_6f7f4fb261c84402a309f1371502ca4f"/>
            <w:id w:val="1847365913"/>
            <w15:dataBinding w:prefixMappings="xmlns:clcid-cgi='clcid-cgi'" w:xpath="/*/clcid-cgi:GongSiFaDingZhongWenMingCheng[not(@periodRef)]" w:storeItemID="{89EBAB94-44A0-46A2-B712-30D997D04A6D}"/>
            <w:text/>
          </w:sdtPr>
          <w:sdtEndPr>
            <w:rPr>
              <w:rFonts w:hint="eastAsia"/>
              <w:color w:val="000000" w:themeColor="text1"/>
              <w14:textFill>
                <w14:solidFill>
                  <w14:schemeClr w14:val="tx1"/>
                </w14:solidFill>
              </w14:textFill>
            </w:rPr>
          </w:sdtEndPr>
          <w:sdtContent>
            <w:tc>
              <w:tcPr>
                <w:tcW w:w="2831" w:type="pct"/>
                <w:tcBorders>
                  <w:top w:val="single" w:color="auto" w:sz="4" w:space="0"/>
                  <w:left w:val="single" w:color="auto" w:sz="4" w:space="0"/>
                  <w:bottom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重庆望变电气（集团）股份有限公司</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公司的中文简称</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pPr>
            <w:r>
              <w:rPr>
                <w:rFonts w:hint="eastAsia" w:ascii="宋体" w:hAnsi="宋体"/>
              </w:rPr>
              <w:t>望变电气</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公司的外文名称</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pPr>
            <w:r>
              <w:rPr>
                <w:rFonts w:hint="eastAsia"/>
              </w:rPr>
              <w:t>ChongqingWangbianElectric(Group)Corp.,Ltd.</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公司的外文名称缩写</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pPr>
            <w:r>
              <w:rPr>
                <w:rFonts w:hint="eastAsia"/>
              </w:rPr>
              <w:t>WangbianElectric</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公司的</w:t>
            </w:r>
            <w:r>
              <w:rPr>
                <w:rFonts w:hint="eastAsia"/>
                <w:color w:val="000000" w:themeColor="text1"/>
                <w14:textFill>
                  <w14:solidFill>
                    <w14:schemeClr w14:val="tx1"/>
                  </w14:solidFill>
                </w14:textFill>
              </w:rPr>
              <w:t>法定代表人</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rPr>
                <w:color w:val="000000" w:themeColor="text1"/>
                <w14:textFill>
                  <w14:solidFill>
                    <w14:schemeClr w14:val="tx1"/>
                  </w14:solidFill>
                </w14:textFill>
              </w:rPr>
            </w:pPr>
            <w:r>
              <w:rPr>
                <w:rFonts w:hint="eastAsia" w:ascii="宋体" w:hAnsi="宋体"/>
              </w:rPr>
              <w:t>杨泽民</w:t>
            </w:r>
          </w:p>
        </w:tc>
      </w:tr>
    </w:tbl>
    <w:p>
      <w:pPr>
        <w:pStyle w:val="50"/>
        <w:numPr>
          <w:ilvl w:val="0"/>
          <w:numId w:val="3"/>
        </w:numPr>
        <w:ind w:left="0" w:firstLine="0"/>
        <w:rPr>
          <w:color w:val="000000" w:themeColor="text1"/>
          <w14:textFill>
            <w14:solidFill>
              <w14:schemeClr w14:val="tx1"/>
            </w14:solidFill>
          </w14:textFill>
        </w:rPr>
      </w:pPr>
      <w:bookmarkStart w:id="14" w:name="_Toc342565882"/>
      <w:bookmarkStart w:id="15" w:name="_Toc342051042"/>
      <w:r>
        <w:rPr>
          <w:rFonts w:hint="eastAsia"/>
          <w:color w:val="000000" w:themeColor="text1"/>
          <w14:textFill>
            <w14:solidFill>
              <w14:schemeClr w14:val="tx1"/>
            </w14:solidFill>
          </w14:textFill>
        </w:rPr>
        <w:t>联系人和联系方式</w:t>
      </w:r>
      <w:bookmarkEnd w:id="14"/>
      <w:bookmarkEnd w:id="15"/>
    </w:p>
    <w:tbl>
      <w:tblPr>
        <w:tblStyle w:val="46"/>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0" w:type="dxa"/>
          <w:bottom w:w="0" w:type="dxa"/>
          <w:right w:w="30" w:type="dxa"/>
        </w:tblCellMar>
      </w:tblPr>
      <w:tblGrid>
        <w:gridCol w:w="2962"/>
        <w:gridCol w:w="2965"/>
        <w:gridCol w:w="296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p>
        </w:tc>
        <w:tc>
          <w:tcPr>
            <w:tcW w:w="1667" w:type="pct"/>
            <w:tcBorders>
              <w:top w:val="single" w:color="auto" w:sz="4" w:space="0"/>
              <w:left w:val="single" w:color="auto" w:sz="4" w:space="0"/>
              <w:bottom w:val="single" w:color="auto" w:sz="4" w:space="0"/>
              <w:right w:val="single" w:color="auto" w:sz="4" w:space="0"/>
            </w:tcBorders>
          </w:tcPr>
          <w:p>
            <w:pPr>
              <w:pStyle w:val="63"/>
              <w:kinsoku w:val="0"/>
              <w:overflowPunct w:val="0"/>
              <w:autoSpaceDE w:val="0"/>
              <w:autoSpaceDN w:val="0"/>
              <w:adjustRightInd w:val="0"/>
              <w:snapToGrid w:val="0"/>
              <w:jc w:val="center"/>
              <w:rPr>
                <w:rFonts w:hint="eastAsia" w:ascii="宋体" w:hAnsi="宋体"/>
                <w:color w:val="000000" w:themeColor="text1"/>
                <w14:textFill>
                  <w14:solidFill>
                    <w14:schemeClr w14:val="tx1"/>
                  </w14:solidFill>
                </w14:textFill>
              </w:rPr>
            </w:pPr>
            <w:sdt>
              <w:sdtPr>
                <w:tag w:val="_PLD_d0432012a3f249c3b4fdd759ff340e86"/>
                <w:id w:val="-1220440308"/>
              </w:sdtPr>
              <w:sdtContent>
                <w:r>
                  <w:rPr>
                    <w:rFonts w:hint="eastAsia" w:ascii="宋体" w:hAnsi="宋体" w:cs="宋体"/>
                    <w:color w:val="000000" w:themeColor="text1"/>
                    <w14:textFill>
                      <w14:solidFill>
                        <w14:schemeClr w14:val="tx1"/>
                      </w14:solidFill>
                    </w14:textFill>
                  </w:rPr>
                  <w:t>董事会秘书</w:t>
                </w:r>
              </w:sdtContent>
            </w:sdt>
            <w:r>
              <w:rPr>
                <w:rFonts w:ascii="宋体" w:hAnsi="宋体"/>
                <w:color w:val="000000" w:themeColor="text1"/>
                <w14:textFill>
                  <w14:solidFill>
                    <w14:schemeClr w14:val="tx1"/>
                  </w14:solidFill>
                </w14:textFill>
              </w:rPr>
              <w:t xml:space="preserve"> </w:t>
            </w:r>
          </w:p>
        </w:tc>
        <w:sdt>
          <w:sdtPr>
            <w:tag w:val="_PLD_3a25396416c14d2cb0688ae0ac8a1d4d"/>
            <w:id w:val="-1110427987"/>
          </w:sdtPr>
          <w:sdtContent>
            <w:tc>
              <w:tcPr>
                <w:tcW w:w="1667" w:type="pct"/>
                <w:tcBorders>
                  <w:top w:val="single" w:color="auto" w:sz="4" w:space="0"/>
                  <w:left w:val="single" w:color="auto" w:sz="4" w:space="0"/>
                  <w:bottom w:val="single" w:color="auto" w:sz="4" w:space="0"/>
                </w:tcBorders>
              </w:tcPr>
              <w:p>
                <w:pPr>
                  <w:pStyle w:val="63"/>
                  <w:kinsoku w:val="0"/>
                  <w:overflowPunct w:val="0"/>
                  <w:autoSpaceDE w:val="0"/>
                  <w:autoSpaceDN w:val="0"/>
                  <w:adjustRightInd w:val="0"/>
                  <w:snapToGrid w:val="0"/>
                  <w:jc w:val="center"/>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证券事务代表</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姓名</w:t>
            </w:r>
          </w:p>
        </w:tc>
        <w:tc>
          <w:tcPr>
            <w:tcW w:w="1667" w:type="pct"/>
            <w:tcBorders>
              <w:top w:val="single" w:color="auto" w:sz="4" w:space="0"/>
              <w:left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pPr>
            <w:r>
              <w:rPr>
                <w:rFonts w:hint="eastAsia" w:ascii="宋体" w:hAnsi="宋体"/>
              </w:rPr>
              <w:t>李代萍</w:t>
            </w:r>
          </w:p>
        </w:tc>
        <w:tc>
          <w:tcPr>
            <w:tcW w:w="1667"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pPr>
            <w:r>
              <w:rPr>
                <w:rFonts w:hint="eastAsia" w:ascii="宋体" w:hAnsi="宋体"/>
              </w:rPr>
              <w:t>雷雯亦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联系地址</w:t>
            </w:r>
          </w:p>
        </w:tc>
        <w:tc>
          <w:tcPr>
            <w:tcW w:w="1667" w:type="pct"/>
            <w:tcBorders>
              <w:top w:val="single" w:color="auto" w:sz="4" w:space="0"/>
              <w:left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pPr>
            <w:r>
              <w:rPr>
                <w:rFonts w:hint="eastAsia" w:ascii="宋体" w:hAnsi="宋体"/>
              </w:rPr>
              <w:t>重庆市长寿区晏家街道齐心东路</w:t>
            </w:r>
            <w:r>
              <w:rPr>
                <w:rFonts w:hint="eastAsia"/>
              </w:rPr>
              <w:t>10</w:t>
            </w:r>
            <w:r>
              <w:rPr>
                <w:rFonts w:hint="eastAsia" w:ascii="宋体" w:hAnsi="宋体"/>
              </w:rPr>
              <w:t>号</w:t>
            </w:r>
          </w:p>
        </w:tc>
        <w:tc>
          <w:tcPr>
            <w:tcW w:w="1667"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pPr>
            <w:r>
              <w:rPr>
                <w:rFonts w:hint="eastAsia" w:ascii="宋体" w:hAnsi="宋体"/>
              </w:rPr>
              <w:t>重庆市两江新区江北城街道江北城西大街</w:t>
            </w:r>
            <w:r>
              <w:rPr>
                <w:rFonts w:hint="eastAsia"/>
              </w:rPr>
              <w:t>3</w:t>
            </w:r>
            <w:r>
              <w:rPr>
                <w:rFonts w:hint="eastAsia" w:ascii="宋体" w:hAnsi="宋体"/>
              </w:rPr>
              <w:t>号交通银行大厦</w:t>
            </w:r>
            <w:r>
              <w:rPr>
                <w:rFonts w:hint="eastAsia"/>
              </w:rPr>
              <w:t>12</w:t>
            </w:r>
            <w:r>
              <w:rPr>
                <w:rFonts w:hint="eastAsia" w:ascii="宋体" w:hAnsi="宋体"/>
              </w:rPr>
              <w:t>楼</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电话</w:t>
            </w:r>
          </w:p>
        </w:tc>
        <w:tc>
          <w:tcPr>
            <w:tcW w:w="1667" w:type="pct"/>
            <w:tcBorders>
              <w:top w:val="single" w:color="auto" w:sz="4" w:space="0"/>
              <w:left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pPr>
            <w:r>
              <w:t>023-40615383</w:t>
            </w:r>
          </w:p>
        </w:tc>
        <w:tc>
          <w:tcPr>
            <w:tcW w:w="1667"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pPr>
            <w:r>
              <w:t>023-67538525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传真</w:t>
            </w:r>
          </w:p>
        </w:tc>
        <w:tc>
          <w:tcPr>
            <w:tcW w:w="1667" w:type="pct"/>
            <w:tcBorders>
              <w:top w:val="single" w:color="auto" w:sz="4" w:space="0"/>
              <w:left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pPr>
            <w:r>
              <w:t>023-40615383</w:t>
            </w:r>
          </w:p>
        </w:tc>
        <w:tc>
          <w:tcPr>
            <w:tcW w:w="1667"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pPr>
            <w:r>
              <w:t>023-67538525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c>
          <w:tcPr>
            <w:tcW w:w="1666"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电子信箱</w:t>
            </w:r>
          </w:p>
        </w:tc>
        <w:tc>
          <w:tcPr>
            <w:tcW w:w="1667" w:type="pct"/>
            <w:tcBorders>
              <w:top w:val="single" w:color="auto" w:sz="4" w:space="0"/>
              <w:left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pPr>
            <w:r>
              <w:t>lidaiping@cqwbdq.com</w:t>
            </w:r>
          </w:p>
        </w:tc>
        <w:tc>
          <w:tcPr>
            <w:tcW w:w="1667"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pPr>
            <w:r>
              <w:t>leiwenyi@cqwbdq.com</w:t>
            </w:r>
          </w:p>
        </w:tc>
      </w:tr>
    </w:tbl>
    <w:p>
      <w:pPr>
        <w:pStyle w:val="50"/>
        <w:numPr>
          <w:ilvl w:val="0"/>
          <w:numId w:val="3"/>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基本情况变更简介</w:t>
      </w:r>
    </w:p>
    <w:tbl>
      <w:tblPr>
        <w:tblStyle w:val="46"/>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3858"/>
        <w:gridCol w:w="503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85d89a4aa7974727a1dc32c53cb7ca26"/>
            <w:id w:val="1776824993"/>
          </w:sdtPr>
          <w:sdtContent>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公司注册地址</w:t>
                </w:r>
              </w:p>
            </w:tc>
          </w:sdtContent>
        </w:sdt>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rPr>
                <w:color w:val="000000" w:themeColor="text1"/>
                <w14:textFill>
                  <w14:solidFill>
                    <w14:schemeClr w14:val="tx1"/>
                  </w14:solidFill>
                </w14:textFill>
              </w:rPr>
            </w:pPr>
            <w:r>
              <w:rPr>
                <w:rFonts w:hint="eastAsia" w:ascii="宋体" w:hAnsi="宋体"/>
              </w:rPr>
              <w:t>重庆市长寿区晏家街道齐心东路</w:t>
            </w:r>
            <w:r>
              <w:rPr>
                <w:rFonts w:hint="eastAsia"/>
              </w:rPr>
              <w:t>10</w:t>
            </w:r>
            <w:r>
              <w:rPr>
                <w:rFonts w:hint="eastAsia" w:ascii="宋体" w:hAnsi="宋体"/>
              </w:rPr>
              <w:t>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公司注册地址的历史变更情况</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rPr>
                <w:color w:val="000000" w:themeColor="text1"/>
                <w14:textFill>
                  <w14:solidFill>
                    <w14:schemeClr w14:val="tx1"/>
                  </w14:solidFill>
                </w14:textFill>
              </w:rPr>
            </w:pPr>
            <w:r>
              <w:rPr>
                <w:rFonts w:hint="eastAsia" w:ascii="宋体" w:hAnsi="宋体"/>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公司办公地址</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rPr>
                <w:color w:val="000000" w:themeColor="text1"/>
                <w14:textFill>
                  <w14:solidFill>
                    <w14:schemeClr w14:val="tx1"/>
                  </w14:solidFill>
                </w14:textFill>
              </w:rPr>
            </w:pPr>
            <w:r>
              <w:rPr>
                <w:rFonts w:hint="eastAsia" w:ascii="宋体" w:hAnsi="宋体"/>
              </w:rPr>
              <w:t>重庆市江北区江北城街道江北城西大街</w:t>
            </w:r>
            <w:r>
              <w:rPr>
                <w:rFonts w:hint="eastAsia"/>
              </w:rPr>
              <w:t>3</w:t>
            </w:r>
            <w:r>
              <w:rPr>
                <w:rFonts w:hint="eastAsia" w:ascii="宋体" w:hAnsi="宋体"/>
              </w:rPr>
              <w:t>号交通银行大厦</w:t>
            </w:r>
            <w:r>
              <w:rPr>
                <w:rFonts w:hint="eastAsia"/>
              </w:rPr>
              <w:t>12</w:t>
            </w:r>
            <w:r>
              <w:rPr>
                <w:rFonts w:hint="eastAsia" w:ascii="宋体" w:hAnsi="宋体"/>
              </w:rPr>
              <w:t>楼</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公司办公地址的邮政编码</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rPr>
                <w:color w:val="000000" w:themeColor="text1"/>
                <w14:textFill>
                  <w14:solidFill>
                    <w14:schemeClr w14:val="tx1"/>
                  </w14:solidFill>
                </w14:textFill>
              </w:rPr>
            </w:pPr>
            <w:r>
              <w:t>400020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公司网址</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rPr>
                <w:color w:val="000000" w:themeColor="text1"/>
                <w14:textFill>
                  <w14:solidFill>
                    <w14:schemeClr w14:val="tx1"/>
                  </w14:solidFill>
                </w14:textFill>
              </w:rPr>
            </w:pPr>
            <w:r>
              <w:t>www.cqwbdq.com</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电子信箱</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rPr>
                <w:color w:val="000000" w:themeColor="text1"/>
                <w14:textFill>
                  <w14:solidFill>
                    <w14:schemeClr w14:val="tx1"/>
                  </w14:solidFill>
                </w14:textFill>
              </w:rPr>
            </w:pPr>
            <w:r>
              <w:t>wbdq_ir@cqwbdq.com</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color w:val="000000" w:themeColor="text1"/>
                <w14:textFill>
                  <w14:solidFill>
                    <w14:schemeClr w14:val="tx1"/>
                  </w14:solidFill>
                </w14:textFill>
              </w:rPr>
              <w:t>报告期内变更情况查询索引</w:t>
            </w:r>
          </w:p>
        </w:tc>
        <w:tc>
          <w:tcPr>
            <w:tcW w:w="2831" w:type="pct"/>
            <w:tcBorders>
              <w:top w:val="single" w:color="auto" w:sz="4" w:space="0"/>
              <w:left w:val="single" w:color="auto" w:sz="4" w:space="0"/>
              <w:bottom w:val="single" w:color="auto" w:sz="4" w:space="0"/>
            </w:tcBorders>
          </w:tcPr>
          <w:p>
            <w:pPr>
              <w:kinsoku w:val="0"/>
              <w:overflowPunct w:val="0"/>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不适用　</w:t>
            </w:r>
          </w:p>
        </w:tc>
      </w:tr>
    </w:tbl>
    <w:p>
      <w:pPr>
        <w:pStyle w:val="50"/>
        <w:numPr>
          <w:ilvl w:val="0"/>
          <w:numId w:val="3"/>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信息披露及备置地点变更情况简介</w:t>
      </w:r>
    </w:p>
    <w:tbl>
      <w:tblPr>
        <w:tblStyle w:val="46"/>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3858"/>
        <w:gridCol w:w="503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5a9e1277ac2b48eb8d7aa1b69c532d31"/>
            <w:id w:val="-735624267"/>
          </w:sdtPr>
          <w:sdtContent>
            <w:tc>
              <w:tcPr>
                <w:tcW w:w="2169" w:type="pct"/>
                <w:tcBorders>
                  <w:top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公司选定的信息披露报纸名称</w:t>
                </w:r>
              </w:p>
            </w:tc>
          </w:sdtContent>
        </w:sdt>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rPr>
                <w:color w:val="000000" w:themeColor="text1"/>
                <w14:textFill>
                  <w14:solidFill>
                    <w14:schemeClr w14:val="tx1"/>
                  </w14:solidFill>
                </w14:textFill>
              </w:rPr>
            </w:pPr>
            <w:r>
              <w:rPr>
                <w:rFonts w:hint="eastAsia" w:ascii="宋体" w:hAnsi="宋体"/>
              </w:rPr>
              <w:t>《上海证券报》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登载半年度报告的</w:t>
            </w:r>
            <w:r>
              <w:rPr>
                <w:rFonts w:hint="eastAsia"/>
                <w:color w:val="000000" w:themeColor="text1"/>
                <w14:textFill>
                  <w14:solidFill>
                    <w14:schemeClr w14:val="tx1"/>
                  </w14:solidFill>
                </w14:textFill>
              </w:rPr>
              <w:t>网站地</w:t>
            </w:r>
            <w:r>
              <w:rPr>
                <w:color w:val="000000" w:themeColor="text1"/>
                <w14:textFill>
                  <w14:solidFill>
                    <w14:schemeClr w14:val="tx1"/>
                  </w14:solidFill>
                </w14:textFill>
              </w:rPr>
              <w:t>址</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pPr>
            <w:r>
              <w:t>www.sse.com.cn</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公司半年度报告备置地点</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pPr>
            <w:r>
              <w:rPr>
                <w:rFonts w:hint="eastAsia" w:ascii="宋体" w:hAnsi="宋体"/>
              </w:rPr>
              <w:t>重庆市江北区江北城街道江北城西大街</w:t>
            </w:r>
            <w:r>
              <w:rPr>
                <w:rFonts w:hint="eastAsia"/>
              </w:rPr>
              <w:t>3</w:t>
            </w:r>
            <w:r>
              <w:rPr>
                <w:rFonts w:hint="eastAsia" w:ascii="宋体" w:hAnsi="宋体"/>
              </w:rPr>
              <w:t>号交通银行大厦</w:t>
            </w:r>
            <w:r>
              <w:rPr>
                <w:rFonts w:hint="eastAsia"/>
              </w:rPr>
              <w:t>12</w:t>
            </w:r>
            <w:r>
              <w:rPr>
                <w:rFonts w:hint="eastAsia" w:ascii="宋体" w:hAnsi="宋体"/>
              </w:rPr>
              <w:t>楼</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169" w:type="pct"/>
            <w:tcBorders>
              <w:top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报告期内变更情况查询索引</w:t>
            </w:r>
          </w:p>
        </w:tc>
        <w:tc>
          <w:tcPr>
            <w:tcW w:w="2831"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pPr>
            <w:r>
              <w:rPr>
                <w:rFonts w:hint="eastAsia" w:ascii="宋体" w:hAnsi="宋体"/>
              </w:rPr>
              <w:t>不适用</w:t>
            </w:r>
          </w:p>
        </w:tc>
      </w:tr>
    </w:tbl>
    <w:p>
      <w:pPr>
        <w:rPr>
          <w:color w:val="000000" w:themeColor="text1"/>
          <w14:textFill>
            <w14:solidFill>
              <w14:schemeClr w14:val="tx1"/>
            </w14:solidFill>
          </w14:textFill>
        </w:rPr>
      </w:pPr>
    </w:p>
    <w:p>
      <w:pPr>
        <w:pStyle w:val="50"/>
        <w:numPr>
          <w:ilvl w:val="0"/>
          <w:numId w:val="3"/>
        </w:numPr>
        <w:ind w:left="0" w:firstLine="0"/>
        <w:rPr>
          <w:color w:val="000000" w:themeColor="text1"/>
          <w14:textFill>
            <w14:solidFill>
              <w14:schemeClr w14:val="tx1"/>
            </w14:solidFill>
          </w14:textFill>
        </w:rPr>
      </w:pPr>
      <w:bookmarkStart w:id="16" w:name="_Toc342565885"/>
      <w:bookmarkStart w:id="17" w:name="_Toc342051045"/>
      <w:r>
        <w:rPr>
          <w:rFonts w:hint="eastAsia"/>
          <w:color w:val="000000" w:themeColor="text1"/>
          <w14:textFill>
            <w14:solidFill>
              <w14:schemeClr w14:val="tx1"/>
            </w14:solidFill>
          </w14:textFill>
        </w:rPr>
        <w:t>公司股票简况</w:t>
      </w:r>
      <w:bookmarkEnd w:id="16"/>
      <w:bookmarkEnd w:id="17"/>
    </w:p>
    <w:tbl>
      <w:tblPr>
        <w:tblStyle w:val="46"/>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0" w:type="dxa"/>
          <w:bottom w:w="0" w:type="dxa"/>
          <w:right w:w="30" w:type="dxa"/>
        </w:tblCellMar>
      </w:tblPr>
      <w:tblGrid>
        <w:gridCol w:w="1778"/>
        <w:gridCol w:w="1778"/>
        <w:gridCol w:w="1779"/>
        <w:gridCol w:w="1779"/>
        <w:gridCol w:w="177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93" w:hRule="atLeast"/>
        </w:trPr>
        <w:sdt>
          <w:sdtPr>
            <w:tag w:val="_PLD_136d907086394f5eaee0ec7d22ac5510"/>
            <w:id w:val="967941093"/>
          </w:sdtPr>
          <w:sdtContent>
            <w:tc>
              <w:tcPr>
                <w:tcW w:w="1000"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股票种类</w:t>
                </w:r>
              </w:p>
            </w:tc>
          </w:sdtContent>
        </w:sdt>
        <w:sdt>
          <w:sdtPr>
            <w:tag w:val="_PLD_6a843bcbb5a24c0aa6b5fa899c00d11d"/>
            <w:id w:val="-1464884594"/>
          </w:sdtPr>
          <w:sdtContent>
            <w:tc>
              <w:tcPr>
                <w:tcW w:w="1000" w:type="pct"/>
                <w:tcBorders>
                  <w:top w:val="single" w:color="auto" w:sz="4" w:space="0"/>
                  <w:left w:val="single" w:color="auto" w:sz="4" w:space="0"/>
                  <w:bottom w:val="single" w:color="auto" w:sz="4" w:space="0"/>
                  <w:right w:val="single" w:color="auto" w:sz="4" w:space="0"/>
                </w:tcBorders>
              </w:tcPr>
              <w:p>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股票上市交易所</w:t>
                </w:r>
              </w:p>
            </w:tc>
          </w:sdtContent>
        </w:sdt>
        <w:sdt>
          <w:sdtPr>
            <w:tag w:val="_PLD_c012a58bb3cc4bbd9a7de1f52bd17553"/>
            <w:id w:val="-1505664016"/>
          </w:sdtPr>
          <w:sdtContent>
            <w:tc>
              <w:tcPr>
                <w:tcW w:w="1000" w:type="pct"/>
                <w:tcBorders>
                  <w:top w:val="single" w:color="auto" w:sz="4" w:space="0"/>
                  <w:left w:val="single" w:color="auto" w:sz="4" w:space="0"/>
                  <w:bottom w:val="single" w:color="auto" w:sz="4" w:space="0"/>
                  <w:right w:val="single" w:color="auto" w:sz="4" w:space="0"/>
                </w:tcBorders>
              </w:tcPr>
              <w:p>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股票简称</w:t>
                </w:r>
              </w:p>
            </w:tc>
          </w:sdtContent>
        </w:sdt>
        <w:sdt>
          <w:sdtPr>
            <w:tag w:val="_PLD_9fa1e8781b094b29b21027138e9f63e8"/>
            <w:id w:val="1983729796"/>
          </w:sdtPr>
          <w:sdtContent>
            <w:tc>
              <w:tcPr>
                <w:tcW w:w="1000" w:type="pct"/>
                <w:tcBorders>
                  <w:top w:val="single" w:color="auto" w:sz="4" w:space="0"/>
                  <w:left w:val="single" w:color="auto" w:sz="4" w:space="0"/>
                  <w:bottom w:val="single" w:color="auto" w:sz="4" w:space="0"/>
                  <w:right w:val="single" w:color="auto" w:sz="4" w:space="0"/>
                </w:tcBorders>
              </w:tcPr>
              <w:p>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股票代码</w:t>
                </w:r>
              </w:p>
            </w:tc>
          </w:sdtContent>
        </w:sdt>
        <w:sdt>
          <w:sdtPr>
            <w:tag w:val="_PLD_38293dc771ef4460bd5252827867d07d"/>
            <w:id w:val="1078947932"/>
          </w:sdtPr>
          <w:sdtContent>
            <w:tc>
              <w:tcPr>
                <w:tcW w:w="1000" w:type="pct"/>
                <w:tcBorders>
                  <w:top w:val="single" w:color="auto" w:sz="4" w:space="0"/>
                  <w:left w:val="single" w:color="auto" w:sz="4" w:space="0"/>
                  <w:bottom w:val="single" w:color="auto" w:sz="4" w:space="0"/>
                </w:tcBorders>
              </w:tcPr>
              <w:p>
                <w:pPr>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变更前股票简称</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1000"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jc w:val="center"/>
            </w:pPr>
            <w:r>
              <w:rPr>
                <w:rFonts w:hint="eastAsia" w:ascii="宋体" w:hAnsi="宋体"/>
              </w:rPr>
              <w:t>人民币普通股</w:t>
            </w:r>
          </w:p>
        </w:tc>
        <w:tc>
          <w:tcPr>
            <w:tcW w:w="1000" w:type="pct"/>
            <w:tcBorders>
              <w:top w:val="single" w:color="auto" w:sz="4" w:space="0"/>
              <w:left w:val="single" w:color="auto" w:sz="4" w:space="0"/>
              <w:bottom w:val="single" w:color="auto" w:sz="4" w:space="0"/>
              <w:right w:val="single" w:color="auto" w:sz="4" w:space="0"/>
            </w:tcBorders>
          </w:tcPr>
          <w:p>
            <w:pPr>
              <w:kinsoku w:val="0"/>
              <w:overflowPunct w:val="0"/>
              <w:autoSpaceDE w:val="0"/>
              <w:autoSpaceDN w:val="0"/>
              <w:adjustRightInd w:val="0"/>
              <w:snapToGrid w:val="0"/>
              <w:jc w:val="center"/>
            </w:pPr>
            <w:r>
              <w:rPr>
                <w:rFonts w:hint="eastAsia" w:ascii="宋体" w:hAnsi="宋体"/>
              </w:rPr>
              <w:t>上海证券交易所</w:t>
            </w:r>
          </w:p>
        </w:tc>
        <w:tc>
          <w:tcPr>
            <w:tcW w:w="1000" w:type="pct"/>
            <w:tcBorders>
              <w:top w:val="single" w:color="auto" w:sz="4" w:space="0"/>
              <w:left w:val="single" w:color="auto" w:sz="4" w:space="0"/>
              <w:bottom w:val="single" w:color="auto" w:sz="4" w:space="0"/>
              <w:right w:val="single" w:color="auto" w:sz="4" w:space="0"/>
            </w:tcBorders>
          </w:tcPr>
          <w:p>
            <w:pPr>
              <w:kinsoku w:val="0"/>
              <w:overflowPunct w:val="0"/>
              <w:autoSpaceDE w:val="0"/>
              <w:autoSpaceDN w:val="0"/>
              <w:adjustRightInd w:val="0"/>
              <w:snapToGrid w:val="0"/>
              <w:jc w:val="center"/>
            </w:pPr>
            <w:r>
              <w:rPr>
                <w:rFonts w:hint="eastAsia" w:ascii="宋体" w:hAnsi="宋体"/>
              </w:rPr>
              <w:t>望变电气</w:t>
            </w:r>
          </w:p>
        </w:tc>
        <w:tc>
          <w:tcPr>
            <w:tcW w:w="1000" w:type="pct"/>
            <w:tcBorders>
              <w:top w:val="single" w:color="auto" w:sz="4" w:space="0"/>
              <w:left w:val="single" w:color="auto" w:sz="4" w:space="0"/>
              <w:bottom w:val="single" w:color="auto" w:sz="4" w:space="0"/>
              <w:right w:val="single" w:color="auto" w:sz="4" w:space="0"/>
            </w:tcBorders>
          </w:tcPr>
          <w:p>
            <w:pPr>
              <w:kinsoku w:val="0"/>
              <w:overflowPunct w:val="0"/>
              <w:autoSpaceDE w:val="0"/>
              <w:autoSpaceDN w:val="0"/>
              <w:adjustRightInd w:val="0"/>
              <w:snapToGrid w:val="0"/>
              <w:jc w:val="center"/>
            </w:pPr>
            <w:r>
              <w:rPr>
                <w:rFonts w:hint="eastAsia"/>
              </w:rPr>
              <w:t>603191</w:t>
            </w:r>
          </w:p>
        </w:tc>
        <w:tc>
          <w:tcPr>
            <w:tcW w:w="1000" w:type="pct"/>
            <w:tcBorders>
              <w:top w:val="single" w:color="auto" w:sz="4" w:space="0"/>
              <w:left w:val="single" w:color="auto" w:sz="4" w:space="0"/>
              <w:bottom w:val="single" w:color="auto" w:sz="4" w:space="0"/>
            </w:tcBorders>
          </w:tcPr>
          <w:p>
            <w:pPr>
              <w:kinsoku w:val="0"/>
              <w:overflowPunct w:val="0"/>
              <w:autoSpaceDE w:val="0"/>
              <w:autoSpaceDN w:val="0"/>
              <w:adjustRightInd w:val="0"/>
              <w:snapToGrid w:val="0"/>
              <w:jc w:val="center"/>
            </w:pPr>
            <w:r>
              <w:rPr>
                <w:rFonts w:hint="eastAsia" w:ascii="宋体" w:hAnsi="宋体"/>
              </w:rPr>
              <w:t>无</w:t>
            </w:r>
          </w:p>
        </w:tc>
      </w:tr>
    </w:tbl>
    <w:p>
      <w:pPr>
        <w:pStyle w:val="50"/>
        <w:numPr>
          <w:ilvl w:val="0"/>
          <w:numId w:val="3"/>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其他有关资料</w:t>
      </w:r>
    </w:p>
    <w:sdt>
      <w:sdtPr>
        <w:rPr>
          <w:color w:val="000000" w:themeColor="text1"/>
          <w14:textFill>
            <w14:solidFill>
              <w14:schemeClr w14:val="tx1"/>
            </w14:solidFill>
          </w14:textFill>
        </w:rPr>
        <w:alias w:val="是否适用：其他有关资料[双击切换]"/>
        <w:tag w:val="_GBC_78c3cc115c0d4dd3bf5e7c57142e5e68"/>
        <w:id w:val="896245104"/>
        <w:placeholder>
          <w:docPart w:val="GBC22222222222222222222222222222"/>
        </w:placeholder>
      </w:sdtPr>
      <w:sdtEndPr>
        <w:rPr>
          <w:color w:val="000000" w:themeColor="text1"/>
          <w14:textFill>
            <w14:solidFill>
              <w14:schemeClr w14:val="tx1"/>
            </w14:solidFill>
          </w14:textFill>
        </w:rPr>
      </w:sdtEndPr>
      <w:sdtContent>
        <w:p>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3"/>
        </w:numPr>
        <w:ind w:left="0" w:firstLine="0"/>
        <w:rPr>
          <w:color w:val="000000" w:themeColor="text1"/>
          <w14:textFill>
            <w14:solidFill>
              <w14:schemeClr w14:val="tx1"/>
            </w14:solidFill>
          </w14:textFill>
        </w:rPr>
      </w:pPr>
      <w:bookmarkStart w:id="18" w:name="_Toc342565889"/>
      <w:bookmarkStart w:id="19" w:name="_Toc342056397"/>
      <w:r>
        <w:rPr>
          <w:rFonts w:hint="eastAsia"/>
          <w:color w:val="000000" w:themeColor="text1"/>
          <w14:textFill>
            <w14:solidFill>
              <w14:schemeClr w14:val="tx1"/>
            </w14:solidFill>
          </w14:textFill>
        </w:rPr>
        <w:t>公司主要会计数据和财务指标</w:t>
      </w:r>
    </w:p>
    <w:bookmarkEnd w:id="18"/>
    <w:bookmarkEnd w:id="19"/>
    <w:p>
      <w:pPr>
        <w:pStyle w:val="4"/>
        <w:numPr>
          <w:ilvl w:val="1"/>
          <w:numId w:val="4"/>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主要会计数据</w:t>
      </w:r>
    </w:p>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报告期末公司前三年主要会计数据和财务指标"/>
          <w:tag w:val="_GBC_c7cd0dd826b247dbba8cc8b1a811aefb"/>
          <w:id w:val="7368276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报告期末公司前三年主要会计数据和财务指标"/>
          <w:tag w:val="_GBC_2df6a5d441324c13bcf6c4c54ac41eb0"/>
          <w:id w:val="-10576291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77"/>
        <w:gridCol w:w="1821"/>
        <w:gridCol w:w="1792"/>
        <w:gridCol w:w="1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sdt>
          <w:sdtPr>
            <w:tag w:val="_PLD_e63d02b963714237aa4678b1878c888d"/>
            <w:id w:val="-1707322965"/>
          </w:sdtPr>
          <w:sdtContent>
            <w:tc>
              <w:tcPr>
                <w:tcW w:w="2032" w:type="pct"/>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bookmarkStart w:id="20" w:name="_Hlk72769913"/>
                <w:r>
                  <w:rPr>
                    <w:rFonts w:hint="eastAsia"/>
                    <w:color w:val="000000" w:themeColor="text1"/>
                    <w14:textFill>
                      <w14:solidFill>
                        <w14:schemeClr w14:val="tx1"/>
                      </w14:solidFill>
                    </w14:textFill>
                  </w:rPr>
                  <w:t>主要会计数据</w:t>
                </w:r>
              </w:p>
            </w:tc>
          </w:sdtContent>
        </w:sdt>
        <w:sdt>
          <w:sdtPr>
            <w:tag w:val="_PLD_913ae157f7e74eee947ea98d96be3599"/>
            <w:id w:val="1947276864"/>
          </w:sdtPr>
          <w:sdtContent>
            <w:tc>
              <w:tcPr>
                <w:tcW w:w="1006" w:type="pct"/>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color w:val="000000" w:themeColor="text1"/>
                    <w14:textFill>
                      <w14:solidFill>
                        <w14:schemeClr w14:val="tx1"/>
                      </w14:solidFill>
                    </w14:textFill>
                  </w:rPr>
                  <w:t>报告期</w:t>
                </w:r>
              </w:p>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（1－6月）</w:t>
                </w:r>
              </w:p>
            </w:tc>
          </w:sdtContent>
        </w:sdt>
        <w:sdt>
          <w:sdtPr>
            <w:tag w:val="_PLD_0f32665f64034720b1ecd674058f4d8b"/>
            <w:id w:val="-579598803"/>
          </w:sdtPr>
          <w:sdtContent>
            <w:tc>
              <w:tcPr>
                <w:tcW w:w="990" w:type="pct"/>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上年同期</w:t>
                </w:r>
              </w:p>
            </w:tc>
          </w:sdtContent>
        </w:sdt>
        <w:sdt>
          <w:sdtPr>
            <w:tag w:val="_PLD_e634aa67fe8c44038b152224d8a245d6"/>
            <w:id w:val="611257620"/>
          </w:sdtPr>
          <w:sdtContent>
            <w:tc>
              <w:tcPr>
                <w:tcW w:w="972" w:type="pct"/>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本报告期比上年同期增减(%)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32" w:type="pct"/>
          </w:tcPr>
          <w:p>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营业收入</w:t>
            </w:r>
          </w:p>
        </w:tc>
        <w:tc>
          <w:tcPr>
            <w:tcW w:w="1006" w:type="pct"/>
            <w:vAlign w:val="center"/>
          </w:tcPr>
          <w:p>
            <w:pPr>
              <w:widowControl w:val="0"/>
              <w:kinsoku w:val="0"/>
              <w:overflowPunct w:val="0"/>
              <w:autoSpaceDE w:val="0"/>
              <w:autoSpaceDN w:val="0"/>
              <w:adjustRightInd w:val="0"/>
              <w:snapToGrid w:val="0"/>
              <w:jc w:val="right"/>
            </w:pPr>
            <w:r>
              <w:t xml:space="preserve"> 187,045.09 </w:t>
            </w:r>
          </w:p>
        </w:tc>
        <w:tc>
          <w:tcPr>
            <w:tcW w:w="990" w:type="pct"/>
            <w:vAlign w:val="center"/>
          </w:tcPr>
          <w:p>
            <w:pPr>
              <w:widowControl w:val="0"/>
              <w:kinsoku w:val="0"/>
              <w:overflowPunct w:val="0"/>
              <w:autoSpaceDE w:val="0"/>
              <w:autoSpaceDN w:val="0"/>
              <w:adjustRightInd w:val="0"/>
              <w:snapToGrid w:val="0"/>
              <w:jc w:val="right"/>
              <w:rPr>
                <w:bCs w:val="0"/>
              </w:rPr>
            </w:pPr>
            <w:r>
              <w:t xml:space="preserve"> 183,598.31 </w:t>
            </w:r>
          </w:p>
        </w:tc>
        <w:tc>
          <w:tcPr>
            <w:tcW w:w="972" w:type="pct"/>
            <w:vAlign w:val="center"/>
          </w:tcPr>
          <w:p>
            <w:pPr>
              <w:widowControl w:val="0"/>
              <w:kinsoku w:val="0"/>
              <w:overflowPunct w:val="0"/>
              <w:autoSpaceDE w:val="0"/>
              <w:autoSpaceDN w:val="0"/>
              <w:adjustRightInd w:val="0"/>
              <w:snapToGrid w:val="0"/>
              <w:jc w:val="right"/>
            </w:pPr>
            <w:r>
              <w:t xml:space="preserve"> 1.88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32" w:type="pct"/>
          </w:tcPr>
          <w:p>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利润总额</w:t>
            </w:r>
          </w:p>
        </w:tc>
        <w:tc>
          <w:tcPr>
            <w:tcW w:w="1006" w:type="pct"/>
            <w:vAlign w:val="center"/>
          </w:tcPr>
          <w:p>
            <w:pPr>
              <w:widowControl w:val="0"/>
              <w:kinsoku w:val="0"/>
              <w:overflowPunct w:val="0"/>
              <w:autoSpaceDE w:val="0"/>
              <w:autoSpaceDN w:val="0"/>
              <w:adjustRightInd w:val="0"/>
              <w:snapToGrid w:val="0"/>
              <w:jc w:val="right"/>
            </w:pPr>
            <w:r>
              <w:t xml:space="preserve"> 2,089.35 </w:t>
            </w:r>
          </w:p>
        </w:tc>
        <w:tc>
          <w:tcPr>
            <w:tcW w:w="990" w:type="pct"/>
            <w:vAlign w:val="center"/>
          </w:tcPr>
          <w:p>
            <w:pPr>
              <w:widowControl w:val="0"/>
              <w:kinsoku w:val="0"/>
              <w:overflowPunct w:val="0"/>
              <w:autoSpaceDE w:val="0"/>
              <w:autoSpaceDN w:val="0"/>
              <w:adjustRightInd w:val="0"/>
              <w:snapToGrid w:val="0"/>
              <w:jc w:val="right"/>
              <w:rPr>
                <w:bCs w:val="0"/>
              </w:rPr>
            </w:pPr>
            <w:r>
              <w:t xml:space="preserve"> 6,979.19 </w:t>
            </w:r>
          </w:p>
        </w:tc>
        <w:tc>
          <w:tcPr>
            <w:tcW w:w="972" w:type="pct"/>
            <w:vAlign w:val="center"/>
          </w:tcPr>
          <w:p>
            <w:pPr>
              <w:widowControl w:val="0"/>
              <w:kinsoku w:val="0"/>
              <w:overflowPunct w:val="0"/>
              <w:autoSpaceDE w:val="0"/>
              <w:autoSpaceDN w:val="0"/>
              <w:adjustRightInd w:val="0"/>
              <w:snapToGrid w:val="0"/>
              <w:jc w:val="right"/>
            </w:pPr>
            <w:r>
              <w:t xml:space="preserve"> -70.06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32" w:type="pct"/>
          </w:tcPr>
          <w:p>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归属于上市公司股东的净利润</w:t>
            </w:r>
          </w:p>
        </w:tc>
        <w:tc>
          <w:tcPr>
            <w:tcW w:w="1006" w:type="pct"/>
            <w:vAlign w:val="center"/>
          </w:tcPr>
          <w:p>
            <w:pPr>
              <w:widowControl w:val="0"/>
              <w:kinsoku w:val="0"/>
              <w:overflowPunct w:val="0"/>
              <w:autoSpaceDE w:val="0"/>
              <w:autoSpaceDN w:val="0"/>
              <w:adjustRightInd w:val="0"/>
              <w:snapToGrid w:val="0"/>
              <w:jc w:val="right"/>
            </w:pPr>
            <w:r>
              <w:t xml:space="preserve"> 1,907.69 </w:t>
            </w:r>
          </w:p>
        </w:tc>
        <w:tc>
          <w:tcPr>
            <w:tcW w:w="990" w:type="pct"/>
            <w:vAlign w:val="center"/>
          </w:tcPr>
          <w:p>
            <w:pPr>
              <w:widowControl w:val="0"/>
              <w:kinsoku w:val="0"/>
              <w:overflowPunct w:val="0"/>
              <w:autoSpaceDE w:val="0"/>
              <w:autoSpaceDN w:val="0"/>
              <w:adjustRightInd w:val="0"/>
              <w:snapToGrid w:val="0"/>
              <w:jc w:val="right"/>
              <w:rPr>
                <w:bCs w:val="0"/>
              </w:rPr>
            </w:pPr>
            <w:r>
              <w:t xml:space="preserve"> 5,463.22 </w:t>
            </w:r>
          </w:p>
        </w:tc>
        <w:tc>
          <w:tcPr>
            <w:tcW w:w="972" w:type="pct"/>
            <w:vAlign w:val="center"/>
          </w:tcPr>
          <w:p>
            <w:pPr>
              <w:widowControl w:val="0"/>
              <w:kinsoku w:val="0"/>
              <w:overflowPunct w:val="0"/>
              <w:autoSpaceDE w:val="0"/>
              <w:autoSpaceDN w:val="0"/>
              <w:adjustRightInd w:val="0"/>
              <w:snapToGrid w:val="0"/>
              <w:jc w:val="right"/>
            </w:pPr>
            <w:r>
              <w:t xml:space="preserve"> -65.08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32" w:type="pct"/>
          </w:tcPr>
          <w:p>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归属于上市公司股东的扣除非经常性损益的净利润</w:t>
            </w:r>
          </w:p>
        </w:tc>
        <w:tc>
          <w:tcPr>
            <w:tcW w:w="1006" w:type="pct"/>
            <w:vAlign w:val="center"/>
          </w:tcPr>
          <w:p>
            <w:pPr>
              <w:widowControl w:val="0"/>
              <w:kinsoku w:val="0"/>
              <w:overflowPunct w:val="0"/>
              <w:autoSpaceDE w:val="0"/>
              <w:autoSpaceDN w:val="0"/>
              <w:adjustRightInd w:val="0"/>
              <w:snapToGrid w:val="0"/>
              <w:jc w:val="right"/>
            </w:pPr>
            <w:r>
              <w:t xml:space="preserve"> 242.17 </w:t>
            </w:r>
          </w:p>
        </w:tc>
        <w:tc>
          <w:tcPr>
            <w:tcW w:w="990" w:type="pct"/>
            <w:vAlign w:val="center"/>
          </w:tcPr>
          <w:p>
            <w:pPr>
              <w:widowControl w:val="0"/>
              <w:kinsoku w:val="0"/>
              <w:overflowPunct w:val="0"/>
              <w:autoSpaceDE w:val="0"/>
              <w:autoSpaceDN w:val="0"/>
              <w:adjustRightInd w:val="0"/>
              <w:snapToGrid w:val="0"/>
              <w:jc w:val="right"/>
              <w:rPr>
                <w:bCs w:val="0"/>
              </w:rPr>
            </w:pPr>
            <w:r>
              <w:t xml:space="preserve"> 4,921.56 </w:t>
            </w:r>
          </w:p>
        </w:tc>
        <w:tc>
          <w:tcPr>
            <w:tcW w:w="972" w:type="pct"/>
            <w:vAlign w:val="center"/>
          </w:tcPr>
          <w:p>
            <w:pPr>
              <w:widowControl w:val="0"/>
              <w:kinsoku w:val="0"/>
              <w:overflowPunct w:val="0"/>
              <w:autoSpaceDE w:val="0"/>
              <w:autoSpaceDN w:val="0"/>
              <w:adjustRightInd w:val="0"/>
              <w:snapToGrid w:val="0"/>
              <w:jc w:val="right"/>
            </w:pPr>
            <w:r>
              <w:t xml:space="preserve"> -95.08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32" w:type="pct"/>
          </w:tcPr>
          <w:p>
            <w:pPr>
              <w:widowControl w:val="0"/>
              <w:kinsoku w:val="0"/>
              <w:overflowPunct w:val="0"/>
              <w:autoSpaceDE w:val="0"/>
              <w:autoSpaceDN w:val="0"/>
              <w:adjustRightInd w:val="0"/>
              <w:snapToGrid w:val="0"/>
              <w:jc w:val="both"/>
              <w:rPr>
                <w:color w:val="000000" w:themeColor="text1"/>
                <w:highlight w:val="magenta"/>
                <w14:textFill>
                  <w14:solidFill>
                    <w14:schemeClr w14:val="tx1"/>
                  </w14:solidFill>
                </w14:textFill>
              </w:rPr>
            </w:pPr>
            <w:r>
              <w:rPr>
                <w:rFonts w:hint="eastAsia"/>
                <w:color w:val="000000" w:themeColor="text1"/>
                <w14:textFill>
                  <w14:solidFill>
                    <w14:schemeClr w14:val="tx1"/>
                  </w14:solidFill>
                </w14:textFill>
              </w:rPr>
              <w:t>经营活动产生的现金流量净额</w:t>
            </w:r>
          </w:p>
        </w:tc>
        <w:tc>
          <w:tcPr>
            <w:tcW w:w="1006" w:type="pct"/>
            <w:vAlign w:val="center"/>
          </w:tcPr>
          <w:p>
            <w:pPr>
              <w:widowControl w:val="0"/>
              <w:kinsoku w:val="0"/>
              <w:overflowPunct w:val="0"/>
              <w:autoSpaceDE w:val="0"/>
              <w:autoSpaceDN w:val="0"/>
              <w:adjustRightInd w:val="0"/>
              <w:snapToGrid w:val="0"/>
              <w:jc w:val="right"/>
            </w:pPr>
            <w:r>
              <w:t xml:space="preserve"> -11,998.30 </w:t>
            </w:r>
          </w:p>
        </w:tc>
        <w:tc>
          <w:tcPr>
            <w:tcW w:w="990" w:type="pct"/>
            <w:vAlign w:val="center"/>
          </w:tcPr>
          <w:p>
            <w:pPr>
              <w:widowControl w:val="0"/>
              <w:kinsoku w:val="0"/>
              <w:overflowPunct w:val="0"/>
              <w:autoSpaceDE w:val="0"/>
              <w:autoSpaceDN w:val="0"/>
              <w:adjustRightInd w:val="0"/>
              <w:snapToGrid w:val="0"/>
              <w:jc w:val="right"/>
            </w:pPr>
            <w:r>
              <w:t xml:space="preserve"> 1,983.12 </w:t>
            </w:r>
          </w:p>
        </w:tc>
        <w:tc>
          <w:tcPr>
            <w:tcW w:w="972" w:type="pct"/>
            <w:vAlign w:val="center"/>
          </w:tcPr>
          <w:p>
            <w:pPr>
              <w:widowControl w:val="0"/>
              <w:kinsoku w:val="0"/>
              <w:overflowPunct w:val="0"/>
              <w:autoSpaceDE w:val="0"/>
              <w:autoSpaceDN w:val="0"/>
              <w:adjustRightInd w:val="0"/>
              <w:snapToGrid w:val="0"/>
              <w:jc w:val="right"/>
            </w:pPr>
            <w:r>
              <w:t xml:space="preserve"> -705.02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2032" w:type="pct"/>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p>
        </w:tc>
        <w:sdt>
          <w:sdtPr>
            <w:tag w:val="_PLD_b75e9aa554cc48539ab9de572d244f45"/>
            <w:id w:val="316232964"/>
          </w:sdtPr>
          <w:sdtContent>
            <w:tc>
              <w:tcPr>
                <w:tcW w:w="1006" w:type="pct"/>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本报告期末</w:t>
                </w:r>
              </w:p>
            </w:tc>
          </w:sdtContent>
        </w:sdt>
        <w:sdt>
          <w:sdtPr>
            <w:tag w:val="_PLD_7425b2bc6a39452296814978a781ba72"/>
            <w:id w:val="-572279801"/>
          </w:sdtPr>
          <w:sdtContent>
            <w:tc>
              <w:tcPr>
                <w:tcW w:w="990" w:type="pct"/>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上年度末</w:t>
                </w:r>
              </w:p>
            </w:tc>
          </w:sdtContent>
        </w:sdt>
        <w:sdt>
          <w:sdtPr>
            <w:tag w:val="_PLD_7a1ba9a6d9b54e51bd320f47b6233184"/>
            <w:id w:val="-778562467"/>
          </w:sdtPr>
          <w:sdtContent>
            <w:tc>
              <w:tcPr>
                <w:tcW w:w="972" w:type="pct"/>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本报告期末比上年度末增减(%)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32" w:type="pct"/>
          </w:tcPr>
          <w:p>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归属于上市公司股东的净资产</w:t>
            </w:r>
          </w:p>
        </w:tc>
        <w:tc>
          <w:tcPr>
            <w:tcW w:w="1006" w:type="pct"/>
            <w:vAlign w:val="center"/>
          </w:tcPr>
          <w:p>
            <w:pPr>
              <w:widowControl w:val="0"/>
              <w:kinsoku w:val="0"/>
              <w:overflowPunct w:val="0"/>
              <w:autoSpaceDE w:val="0"/>
              <w:autoSpaceDN w:val="0"/>
              <w:adjustRightInd w:val="0"/>
              <w:snapToGrid w:val="0"/>
              <w:jc w:val="right"/>
            </w:pPr>
            <w:r>
              <w:t xml:space="preserve"> 249,253.18 </w:t>
            </w:r>
          </w:p>
        </w:tc>
        <w:tc>
          <w:tcPr>
            <w:tcW w:w="990" w:type="pct"/>
            <w:vAlign w:val="center"/>
          </w:tcPr>
          <w:p>
            <w:pPr>
              <w:widowControl w:val="0"/>
              <w:kinsoku w:val="0"/>
              <w:overflowPunct w:val="0"/>
              <w:autoSpaceDE w:val="0"/>
              <w:autoSpaceDN w:val="0"/>
              <w:adjustRightInd w:val="0"/>
              <w:snapToGrid w:val="0"/>
              <w:jc w:val="right"/>
              <w:rPr>
                <w:bCs w:val="0"/>
              </w:rPr>
            </w:pPr>
            <w:r>
              <w:t xml:space="preserve"> 249,464.17 </w:t>
            </w:r>
          </w:p>
        </w:tc>
        <w:tc>
          <w:tcPr>
            <w:tcW w:w="972" w:type="pct"/>
            <w:vAlign w:val="center"/>
          </w:tcPr>
          <w:p>
            <w:pPr>
              <w:widowControl w:val="0"/>
              <w:kinsoku w:val="0"/>
              <w:overflowPunct w:val="0"/>
              <w:autoSpaceDE w:val="0"/>
              <w:autoSpaceDN w:val="0"/>
              <w:adjustRightInd w:val="0"/>
              <w:snapToGrid w:val="0"/>
              <w:jc w:val="right"/>
            </w:pPr>
            <w:r>
              <w:t xml:space="preserve"> -0.08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032" w:type="pct"/>
          </w:tcPr>
          <w:p>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总资产</w:t>
            </w:r>
          </w:p>
        </w:tc>
        <w:tc>
          <w:tcPr>
            <w:tcW w:w="1006" w:type="pct"/>
            <w:vAlign w:val="center"/>
          </w:tcPr>
          <w:p>
            <w:pPr>
              <w:widowControl w:val="0"/>
              <w:kinsoku w:val="0"/>
              <w:overflowPunct w:val="0"/>
              <w:autoSpaceDE w:val="0"/>
              <w:autoSpaceDN w:val="0"/>
              <w:adjustRightInd w:val="0"/>
              <w:snapToGrid w:val="0"/>
              <w:jc w:val="right"/>
            </w:pPr>
            <w:r>
              <w:t xml:space="preserve"> 709,037.58 </w:t>
            </w:r>
          </w:p>
        </w:tc>
        <w:tc>
          <w:tcPr>
            <w:tcW w:w="990" w:type="pct"/>
            <w:vAlign w:val="center"/>
          </w:tcPr>
          <w:p>
            <w:pPr>
              <w:widowControl w:val="0"/>
              <w:kinsoku w:val="0"/>
              <w:overflowPunct w:val="0"/>
              <w:autoSpaceDE w:val="0"/>
              <w:autoSpaceDN w:val="0"/>
              <w:adjustRightInd w:val="0"/>
              <w:snapToGrid w:val="0"/>
              <w:jc w:val="right"/>
              <w:rPr>
                <w:bCs w:val="0"/>
              </w:rPr>
            </w:pPr>
            <w:r>
              <w:t xml:space="preserve"> 725,838.74 </w:t>
            </w:r>
          </w:p>
        </w:tc>
        <w:tc>
          <w:tcPr>
            <w:tcW w:w="972" w:type="pct"/>
            <w:vAlign w:val="center"/>
          </w:tcPr>
          <w:p>
            <w:pPr>
              <w:widowControl w:val="0"/>
              <w:kinsoku w:val="0"/>
              <w:overflowPunct w:val="0"/>
              <w:autoSpaceDE w:val="0"/>
              <w:autoSpaceDN w:val="0"/>
              <w:adjustRightInd w:val="0"/>
              <w:snapToGrid w:val="0"/>
              <w:jc w:val="right"/>
            </w:pPr>
            <w:r>
              <w:t xml:space="preserve"> -2.31 </w:t>
            </w:r>
          </w:p>
        </w:tc>
      </w:tr>
      <w:bookmarkEnd w:id="20"/>
    </w:tbl>
    <w:p>
      <w:pPr>
        <w:pStyle w:val="4"/>
        <w:numPr>
          <w:ilvl w:val="1"/>
          <w:numId w:val="4"/>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主要财务指标</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2"/>
        <w:gridCol w:w="1661"/>
        <w:gridCol w:w="1586"/>
        <w:gridCol w:w="2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b12e929543994adfbc7a21fe743cd125"/>
            <w:id w:val="2108311251"/>
          </w:sdtPr>
          <w:sdtContent>
            <w:tc>
              <w:tcPr>
                <w:tcW w:w="3552" w:type="dxa"/>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主要财务指标</w:t>
                </w:r>
              </w:p>
            </w:tc>
          </w:sdtContent>
        </w:sdt>
        <w:sdt>
          <w:sdtPr>
            <w:tag w:val="_PLD_d04f89449ff14c5fa39e871117b7e9e2"/>
            <w:id w:val="1405335902"/>
          </w:sdtPr>
          <w:sdtContent>
            <w:tc>
              <w:tcPr>
                <w:tcW w:w="1661" w:type="dxa"/>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本报告期</w:t>
                </w:r>
              </w:p>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（1－6月）</w:t>
                </w:r>
              </w:p>
            </w:tc>
          </w:sdtContent>
        </w:sdt>
        <w:sdt>
          <w:sdtPr>
            <w:tag w:val="_PLD_bdb91a2a58254a0e945eecc5aef91521"/>
            <w:id w:val="-1387564927"/>
          </w:sdtPr>
          <w:sdtContent>
            <w:tc>
              <w:tcPr>
                <w:tcW w:w="1586" w:type="dxa"/>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上年同期</w:t>
                </w:r>
              </w:p>
            </w:tc>
          </w:sdtContent>
        </w:sdt>
        <w:sdt>
          <w:sdtPr>
            <w:tag w:val="_PLD_08306889e5b040aa83784b3f6db386f1"/>
            <w:id w:val="1633981251"/>
          </w:sdtPr>
          <w:sdtContent>
            <w:tc>
              <w:tcPr>
                <w:tcW w:w="2024" w:type="dxa"/>
                <w:vAlign w:val="center"/>
              </w:tcPr>
              <w:p>
                <w:pPr>
                  <w:widowControl w:val="0"/>
                  <w:kinsoku w:val="0"/>
                  <w:overflowPunct w:val="0"/>
                  <w:autoSpaceDE w:val="0"/>
                  <w:autoSpaceDN w:val="0"/>
                  <w:adjustRightInd w:val="0"/>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本报告期比上年同期增减(%)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2" w:type="dxa"/>
          </w:tcPr>
          <w:p>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基本每股收益（元／股）</w:t>
            </w:r>
          </w:p>
        </w:tc>
        <w:tc>
          <w:tcPr>
            <w:tcW w:w="1661" w:type="dxa"/>
            <w:vAlign w:val="center"/>
          </w:tcPr>
          <w:p>
            <w:pPr>
              <w:widowControl w:val="0"/>
              <w:kinsoku w:val="0"/>
              <w:overflowPunct w:val="0"/>
              <w:autoSpaceDE w:val="0"/>
              <w:autoSpaceDN w:val="0"/>
              <w:adjustRightInd w:val="0"/>
              <w:snapToGrid w:val="0"/>
              <w:jc w:val="right"/>
            </w:pPr>
            <w:r>
              <w:t xml:space="preserve"> 0.06 </w:t>
            </w:r>
          </w:p>
        </w:tc>
        <w:tc>
          <w:tcPr>
            <w:tcW w:w="1586" w:type="dxa"/>
            <w:vAlign w:val="center"/>
          </w:tcPr>
          <w:p>
            <w:pPr>
              <w:widowControl w:val="0"/>
              <w:kinsoku w:val="0"/>
              <w:overflowPunct w:val="0"/>
              <w:autoSpaceDE w:val="0"/>
              <w:autoSpaceDN w:val="0"/>
              <w:adjustRightInd w:val="0"/>
              <w:snapToGrid w:val="0"/>
              <w:jc w:val="right"/>
            </w:pPr>
            <w:r>
              <w:t>0.17</w:t>
            </w:r>
          </w:p>
        </w:tc>
        <w:tc>
          <w:tcPr>
            <w:tcW w:w="2024" w:type="dxa"/>
            <w:vAlign w:val="center"/>
          </w:tcPr>
          <w:p>
            <w:pPr>
              <w:widowControl w:val="0"/>
              <w:kinsoku w:val="0"/>
              <w:overflowPunct w:val="0"/>
              <w:autoSpaceDE w:val="0"/>
              <w:autoSpaceDN w:val="0"/>
              <w:adjustRightInd w:val="0"/>
              <w:snapToGrid w:val="0"/>
              <w:jc w:val="right"/>
            </w:pPr>
            <w:r>
              <w:t xml:space="preserve"> -64.71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2" w:type="dxa"/>
          </w:tcPr>
          <w:p>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稀释每股收益（元／股）</w:t>
            </w:r>
          </w:p>
        </w:tc>
        <w:tc>
          <w:tcPr>
            <w:tcW w:w="1661" w:type="dxa"/>
            <w:vAlign w:val="center"/>
          </w:tcPr>
          <w:p>
            <w:pPr>
              <w:widowControl w:val="0"/>
              <w:kinsoku w:val="0"/>
              <w:overflowPunct w:val="0"/>
              <w:autoSpaceDE w:val="0"/>
              <w:autoSpaceDN w:val="0"/>
              <w:adjustRightInd w:val="0"/>
              <w:snapToGrid w:val="0"/>
              <w:jc w:val="right"/>
            </w:pPr>
            <w:r>
              <w:t xml:space="preserve"> 0.06 </w:t>
            </w:r>
          </w:p>
        </w:tc>
        <w:tc>
          <w:tcPr>
            <w:tcW w:w="1586" w:type="dxa"/>
            <w:vAlign w:val="center"/>
          </w:tcPr>
          <w:p>
            <w:pPr>
              <w:widowControl w:val="0"/>
              <w:kinsoku w:val="0"/>
              <w:overflowPunct w:val="0"/>
              <w:autoSpaceDE w:val="0"/>
              <w:autoSpaceDN w:val="0"/>
              <w:adjustRightInd w:val="0"/>
              <w:snapToGrid w:val="0"/>
              <w:jc w:val="right"/>
            </w:pPr>
            <w:r>
              <w:t>0.17</w:t>
            </w:r>
          </w:p>
        </w:tc>
        <w:tc>
          <w:tcPr>
            <w:tcW w:w="2024" w:type="dxa"/>
            <w:vAlign w:val="center"/>
          </w:tcPr>
          <w:p>
            <w:pPr>
              <w:widowControl w:val="0"/>
              <w:kinsoku w:val="0"/>
              <w:overflowPunct w:val="0"/>
              <w:autoSpaceDE w:val="0"/>
              <w:autoSpaceDN w:val="0"/>
              <w:adjustRightInd w:val="0"/>
              <w:snapToGrid w:val="0"/>
              <w:jc w:val="right"/>
            </w:pPr>
            <w:r>
              <w:t xml:space="preserve"> -64.71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2" w:type="dxa"/>
          </w:tcPr>
          <w:p>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扣除非经常性损益后的基本每股收益（元／股）</w:t>
            </w:r>
          </w:p>
        </w:tc>
        <w:tc>
          <w:tcPr>
            <w:tcW w:w="1661" w:type="dxa"/>
            <w:vAlign w:val="center"/>
          </w:tcPr>
          <w:p>
            <w:pPr>
              <w:widowControl w:val="0"/>
              <w:kinsoku w:val="0"/>
              <w:overflowPunct w:val="0"/>
              <w:autoSpaceDE w:val="0"/>
              <w:autoSpaceDN w:val="0"/>
              <w:adjustRightInd w:val="0"/>
              <w:snapToGrid w:val="0"/>
              <w:jc w:val="right"/>
            </w:pPr>
            <w:r>
              <w:t xml:space="preserve"> 0.01 </w:t>
            </w:r>
          </w:p>
        </w:tc>
        <w:tc>
          <w:tcPr>
            <w:tcW w:w="1586" w:type="dxa"/>
            <w:vAlign w:val="center"/>
          </w:tcPr>
          <w:p>
            <w:pPr>
              <w:widowControl w:val="0"/>
              <w:kinsoku w:val="0"/>
              <w:overflowPunct w:val="0"/>
              <w:autoSpaceDE w:val="0"/>
              <w:autoSpaceDN w:val="0"/>
              <w:adjustRightInd w:val="0"/>
              <w:snapToGrid w:val="0"/>
              <w:jc w:val="right"/>
            </w:pPr>
            <w:r>
              <w:t>0.15</w:t>
            </w:r>
          </w:p>
        </w:tc>
        <w:tc>
          <w:tcPr>
            <w:tcW w:w="2024" w:type="dxa"/>
            <w:vAlign w:val="center"/>
          </w:tcPr>
          <w:p>
            <w:pPr>
              <w:widowControl w:val="0"/>
              <w:kinsoku w:val="0"/>
              <w:overflowPunct w:val="0"/>
              <w:autoSpaceDE w:val="0"/>
              <w:autoSpaceDN w:val="0"/>
              <w:adjustRightInd w:val="0"/>
              <w:snapToGrid w:val="0"/>
              <w:jc w:val="right"/>
            </w:pPr>
            <w:r>
              <w:t xml:space="preserve"> -93.33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2" w:type="dxa"/>
          </w:tcPr>
          <w:p>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加权平均净资产收益率（%）</w:t>
            </w:r>
          </w:p>
        </w:tc>
        <w:tc>
          <w:tcPr>
            <w:tcW w:w="1661" w:type="dxa"/>
            <w:vAlign w:val="center"/>
          </w:tcPr>
          <w:p>
            <w:pPr>
              <w:widowControl w:val="0"/>
              <w:kinsoku w:val="0"/>
              <w:overflowPunct w:val="0"/>
              <w:autoSpaceDE w:val="0"/>
              <w:autoSpaceDN w:val="0"/>
              <w:adjustRightInd w:val="0"/>
              <w:snapToGrid w:val="0"/>
              <w:jc w:val="right"/>
            </w:pPr>
            <w:r>
              <w:t>0.76</w:t>
            </w:r>
          </w:p>
        </w:tc>
        <w:tc>
          <w:tcPr>
            <w:tcW w:w="1586" w:type="dxa"/>
            <w:vAlign w:val="center"/>
          </w:tcPr>
          <w:p>
            <w:pPr>
              <w:widowControl w:val="0"/>
              <w:kinsoku w:val="0"/>
              <w:overflowPunct w:val="0"/>
              <w:autoSpaceDE w:val="0"/>
              <w:autoSpaceDN w:val="0"/>
              <w:adjustRightInd w:val="0"/>
              <w:snapToGrid w:val="0"/>
              <w:jc w:val="right"/>
            </w:pPr>
            <w:r>
              <w:t>2.24</w:t>
            </w:r>
          </w:p>
        </w:tc>
        <w:tc>
          <w:tcPr>
            <w:tcW w:w="2024" w:type="dxa"/>
            <w:vAlign w:val="center"/>
          </w:tcPr>
          <w:p>
            <w:pPr>
              <w:widowControl w:val="0"/>
              <w:kinsoku w:val="0"/>
              <w:overflowPunct w:val="0"/>
              <w:autoSpaceDE w:val="0"/>
              <w:autoSpaceDN w:val="0"/>
              <w:adjustRightInd w:val="0"/>
              <w:snapToGrid w:val="0"/>
              <w:jc w:val="right"/>
            </w:pPr>
            <w:r>
              <w:rPr>
                <w:rFonts w:hint="eastAsia"/>
              </w:rPr>
              <w:t>减少1.48个百分点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2" w:type="dxa"/>
          </w:tcPr>
          <w:p>
            <w:pPr>
              <w:widowControl w:val="0"/>
              <w:kinsoku w:val="0"/>
              <w:overflowPunct w:val="0"/>
              <w:autoSpaceDE w:val="0"/>
              <w:autoSpaceDN w:val="0"/>
              <w:adjustRightInd w:val="0"/>
              <w:snapToGrid w:val="0"/>
              <w:jc w:val="both"/>
              <w:rPr>
                <w:color w:val="000000" w:themeColor="text1"/>
                <w14:textFill>
                  <w14:solidFill>
                    <w14:schemeClr w14:val="tx1"/>
                  </w14:solidFill>
                </w14:textFill>
              </w:rPr>
            </w:pPr>
            <w:r>
              <w:rPr>
                <w:color w:val="000000" w:themeColor="text1"/>
                <w14:textFill>
                  <w14:solidFill>
                    <w14:schemeClr w14:val="tx1"/>
                  </w14:solidFill>
                </w14:textFill>
              </w:rPr>
              <w:t>扣除非经常性损益后的加权平均净资产收益率（%）</w:t>
            </w:r>
          </w:p>
        </w:tc>
        <w:tc>
          <w:tcPr>
            <w:tcW w:w="1661" w:type="dxa"/>
            <w:vAlign w:val="center"/>
          </w:tcPr>
          <w:p>
            <w:pPr>
              <w:widowControl w:val="0"/>
              <w:kinsoku w:val="0"/>
              <w:overflowPunct w:val="0"/>
              <w:autoSpaceDE w:val="0"/>
              <w:autoSpaceDN w:val="0"/>
              <w:adjustRightInd w:val="0"/>
              <w:snapToGrid w:val="0"/>
              <w:jc w:val="right"/>
            </w:pPr>
            <w:r>
              <w:t>0.10</w:t>
            </w:r>
          </w:p>
        </w:tc>
        <w:tc>
          <w:tcPr>
            <w:tcW w:w="1586" w:type="dxa"/>
            <w:vAlign w:val="center"/>
          </w:tcPr>
          <w:p>
            <w:pPr>
              <w:widowControl w:val="0"/>
              <w:kinsoku w:val="0"/>
              <w:overflowPunct w:val="0"/>
              <w:autoSpaceDE w:val="0"/>
              <w:autoSpaceDN w:val="0"/>
              <w:adjustRightInd w:val="0"/>
              <w:snapToGrid w:val="0"/>
              <w:jc w:val="right"/>
            </w:pPr>
            <w:r>
              <w:t>2.02</w:t>
            </w:r>
          </w:p>
        </w:tc>
        <w:tc>
          <w:tcPr>
            <w:tcW w:w="2024" w:type="dxa"/>
            <w:vAlign w:val="center"/>
          </w:tcPr>
          <w:p>
            <w:pPr>
              <w:widowControl w:val="0"/>
              <w:kinsoku w:val="0"/>
              <w:overflowPunct w:val="0"/>
              <w:autoSpaceDE w:val="0"/>
              <w:autoSpaceDN w:val="0"/>
              <w:adjustRightInd w:val="0"/>
              <w:snapToGrid w:val="0"/>
              <w:jc w:val="right"/>
            </w:pPr>
            <w:r>
              <w:rPr>
                <w:rFonts w:hint="eastAsia"/>
              </w:rPr>
              <w:t>减少1.92个百分点</w:t>
            </w:r>
          </w:p>
        </w:tc>
      </w:tr>
    </w:tbl>
    <w:p>
      <w:pPr>
        <w:rPr>
          <w:color w:val="000000" w:themeColor="text1"/>
          <w14:textFill>
            <w14:solidFill>
              <w14:schemeClr w14:val="tx1"/>
            </w14:solidFill>
          </w14:textFill>
        </w:rPr>
      </w:pPr>
      <w:bookmarkStart w:id="21" w:name="_Toc342565890"/>
      <w:bookmarkStart w:id="22" w:name="_Toc342056398"/>
      <w:r>
        <w:rPr>
          <w:color w:val="000000" w:themeColor="text1"/>
          <w14:textFill>
            <w14:solidFill>
              <w14:schemeClr w14:val="tx1"/>
            </w14:solidFill>
          </w14:textFill>
        </w:rPr>
        <w:t>公司主要会计数据和财务指标的说明</w:t>
      </w:r>
    </w:p>
    <w:sdt>
      <w:sdtPr>
        <w:rPr>
          <w:color w:val="000000" w:themeColor="text1"/>
          <w14:textFill>
            <w14:solidFill>
              <w14:schemeClr w14:val="tx1"/>
            </w14:solidFill>
          </w14:textFill>
        </w:rPr>
        <w:alias w:val="是否适用：公司主要会计数据和财务指标的说明[双击切换]"/>
        <w:tag w:val="_GBC_cfe99dae5f804f6f8f02eb429483f98a"/>
        <w:id w:val="-52201199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公司主要会计数据和财务指标的说明"/>
        <w:tag w:val="_GBC_97608ceee0dd4babbeaf5daeb2216ce1"/>
        <w:id w:val="1728338427"/>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 营业收入同比主要变动说明：</w:t>
          </w:r>
        </w:p>
        <w:p>
          <w:pPr>
            <w:spacing w:line="360" w:lineRule="exact"/>
            <w:ind w:firstLine="420" w:firstLineChars="200"/>
            <w:rPr>
              <w:rFonts w:hint="eastAsia" w:ascii="宋体" w:hAnsi="宋体"/>
              <w:color w:val="000000" w:themeColor="text1"/>
              <w14:textFill>
                <w14:solidFill>
                  <w14:schemeClr w14:val="tx1"/>
                </w14:solidFill>
              </w14:textFill>
            </w:rPr>
          </w:pPr>
          <w:bookmarkStart w:id="23" w:name="OLE_LINK37"/>
          <w:r>
            <w:rPr>
              <w:rFonts w:hint="eastAsia" w:ascii="宋体" w:hAnsi="宋体"/>
              <w:color w:val="000000" w:themeColor="text1"/>
              <w14:textFill>
                <w14:solidFill>
                  <w14:schemeClr w14:val="tx1"/>
                </w14:solidFill>
              </w14:textFill>
            </w:rPr>
            <w:t>（1）报告期实现营业收入187,045万元，同比增加3,447万元，增长1.88%。主营业务收入178,402万元，其中输配电及控制设备业务收入120,968万元，同比增加6,716万元，增长5.88%；取向硅钢业务收入57,434万元，同比下降6,189万元，下降9.73%。</w:t>
          </w:r>
        </w:p>
        <w:p>
          <w:pPr>
            <w:spacing w:line="360" w:lineRule="exact"/>
            <w:ind w:firstLine="420" w:firstLineChars="20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（2）输配电及控制设备业务：增长主要系电力变压器带来7,991万元营业收入增长。</w:t>
          </w:r>
        </w:p>
        <w:p>
          <w:pPr>
            <w:spacing w:line="360" w:lineRule="exact"/>
            <w:ind w:firstLine="420" w:firstLineChars="20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（3）取向硅钢业务：变动主要系单位销售价格下滑和销售量增加共同影响所致，取向硅钢平均销售价格下降1,636元/吨，影响收入下降12,904万元；对外销售量增加6,915吨，实现营业收入增长6,715万元。</w:t>
          </w:r>
        </w:p>
        <w:bookmarkEnd w:id="23"/>
        <w:p>
          <w:pPr>
            <w:spacing w:line="360" w:lineRule="exact"/>
            <w:ind w:firstLine="420" w:firstLineChars="20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2. 归属于上市公司股东的净利润主要变动说明：</w:t>
          </w:r>
        </w:p>
        <w:p>
          <w:pPr>
            <w:spacing w:line="360" w:lineRule="exact"/>
            <w:ind w:firstLine="420" w:firstLineChars="200"/>
            <w:jc w:val="both"/>
            <w:rPr>
              <w:rFonts w:hint="eastAsia" w:ascii="宋体" w:hAnsi="宋体"/>
              <w:color w:val="000000" w:themeColor="text1"/>
              <w14:textFill>
                <w14:solidFill>
                  <w14:schemeClr w14:val="tx1"/>
                </w14:solidFill>
              </w14:textFill>
            </w:rPr>
          </w:pPr>
          <w:bookmarkStart w:id="24" w:name="OLE_LINK32"/>
          <w:r>
            <w:rPr>
              <w:rFonts w:ascii="宋体" w:hAnsi="宋体"/>
              <w:color w:val="000000" w:themeColor="text1"/>
              <w14:textFill>
                <w14:solidFill>
                  <w14:schemeClr w14:val="tx1"/>
                </w14:solidFill>
              </w14:textFill>
            </w:rPr>
            <w:t>报告期公司实现合并净利润</w:t>
          </w:r>
          <w:r>
            <w:rPr>
              <w:rFonts w:hint="eastAsia" w:ascii="宋体" w:hAnsi="宋体"/>
              <w:color w:val="000000" w:themeColor="text1"/>
              <w14:textFill>
                <w14:solidFill>
                  <w14:schemeClr w14:val="tx1"/>
                </w14:solidFill>
              </w14:textFill>
            </w:rPr>
            <w:t>2,084</w:t>
          </w:r>
          <w:r>
            <w:rPr>
              <w:rFonts w:ascii="宋体" w:hAnsi="宋体"/>
              <w:color w:val="000000" w:themeColor="text1"/>
              <w14:textFill>
                <w14:solidFill>
                  <w14:schemeClr w14:val="tx1"/>
                </w14:solidFill>
              </w14:textFill>
            </w:rPr>
            <w:t>万元，较去年同期减少</w:t>
          </w:r>
          <w:r>
            <w:rPr>
              <w:rFonts w:hint="eastAsia" w:ascii="宋体" w:hAnsi="宋体"/>
              <w:color w:val="000000" w:themeColor="text1"/>
              <w14:textFill>
                <w14:solidFill>
                  <w14:schemeClr w14:val="tx1"/>
                </w14:solidFill>
              </w14:textFill>
            </w:rPr>
            <w:t>3,883</w:t>
          </w:r>
          <w:r>
            <w:rPr>
              <w:rFonts w:ascii="宋体" w:hAnsi="宋体"/>
              <w:color w:val="000000" w:themeColor="text1"/>
              <w14:textFill>
                <w14:solidFill>
                  <w14:schemeClr w14:val="tx1"/>
                </w14:solidFill>
              </w14:textFill>
            </w:rPr>
            <w:t>万元，同比下降65.07%。归属于上市公司股东的净利润1,90</w:t>
          </w:r>
          <w:r>
            <w:rPr>
              <w:rFonts w:hint="eastAsia" w:ascii="宋体" w:hAnsi="宋体"/>
              <w:color w:val="000000" w:themeColor="text1"/>
              <w14:textFill>
                <w14:solidFill>
                  <w14:schemeClr w14:val="tx1"/>
                </w14:solidFill>
              </w14:textFill>
            </w:rPr>
            <w:t>8</w:t>
          </w:r>
          <w:r>
            <w:rPr>
              <w:rFonts w:ascii="宋体" w:hAnsi="宋体"/>
              <w:color w:val="000000" w:themeColor="text1"/>
              <w14:textFill>
                <w14:solidFill>
                  <w14:schemeClr w14:val="tx1"/>
                </w14:solidFill>
              </w14:textFill>
            </w:rPr>
            <w:t>万元，较去年同期减少</w:t>
          </w:r>
          <w:r>
            <w:rPr>
              <w:rFonts w:hint="eastAsia" w:ascii="宋体" w:hAnsi="宋体"/>
              <w:color w:val="000000" w:themeColor="text1"/>
              <w14:textFill>
                <w14:solidFill>
                  <w14:schemeClr w14:val="tx1"/>
                </w14:solidFill>
              </w14:textFill>
            </w:rPr>
            <w:t>3,556</w:t>
          </w:r>
          <w:r>
            <w:rPr>
              <w:rFonts w:ascii="宋体" w:hAnsi="宋体"/>
              <w:color w:val="000000" w:themeColor="text1"/>
              <w14:textFill>
                <w14:solidFill>
                  <w14:schemeClr w14:val="tx1"/>
                </w14:solidFill>
              </w14:textFill>
            </w:rPr>
            <w:t>万元</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同比下降65.08%。主要系：取向硅钢业务主要受2026年上半年单位销售价格下降影响，毛利率同比下降</w:t>
          </w:r>
          <w:r>
            <w:rPr>
              <w:rFonts w:hint="eastAsia" w:ascii="宋体" w:hAnsi="宋体"/>
              <w:color w:val="000000" w:themeColor="text1"/>
              <w14:textFill>
                <w14:solidFill>
                  <w14:schemeClr w14:val="tx1"/>
                </w14:solidFill>
              </w14:textFill>
            </w:rPr>
            <w:t>11.01</w:t>
          </w:r>
          <w:r>
            <w:rPr>
              <w:rFonts w:ascii="宋体" w:hAnsi="宋体"/>
              <w:color w:val="000000" w:themeColor="text1"/>
              <w14:textFill>
                <w14:solidFill>
                  <w14:schemeClr w14:val="tx1"/>
                </w14:solidFill>
              </w14:textFill>
            </w:rPr>
            <w:t>个百分点，相应减少毛利额</w:t>
          </w:r>
          <w:r>
            <w:rPr>
              <w:rFonts w:hint="eastAsia" w:ascii="宋体" w:hAnsi="宋体"/>
              <w:color w:val="000000" w:themeColor="text1"/>
              <w14:textFill>
                <w14:solidFill>
                  <w14:schemeClr w14:val="tx1"/>
                </w14:solidFill>
              </w14:textFill>
            </w:rPr>
            <w:t>6</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993</w:t>
          </w:r>
          <w:r>
            <w:rPr>
              <w:rFonts w:ascii="宋体" w:hAnsi="宋体"/>
              <w:color w:val="000000" w:themeColor="text1"/>
              <w14:textFill>
                <w14:solidFill>
                  <w14:schemeClr w14:val="tx1"/>
                </w14:solidFill>
              </w14:textFill>
            </w:rPr>
            <w:t>万元；输配电及控制设备业务</w:t>
          </w:r>
          <w:r>
            <w:rPr>
              <w:rFonts w:hint="eastAsia" w:ascii="宋体" w:hAnsi="宋体"/>
              <w:color w:val="000000" w:themeColor="text1"/>
              <w14:textFill>
                <w14:solidFill>
                  <w14:schemeClr w14:val="tx1"/>
                </w14:solidFill>
              </w14:textFill>
            </w:rPr>
            <w:t>营业收入增长</w:t>
          </w:r>
          <w:r>
            <w:rPr>
              <w:rFonts w:ascii="宋体" w:hAnsi="宋体"/>
              <w:color w:val="000000" w:themeColor="text1"/>
              <w14:textFill>
                <w14:solidFill>
                  <w14:schemeClr w14:val="tx1"/>
                </w14:solidFill>
              </w14:textFill>
            </w:rPr>
            <w:t>相应增加毛利额</w:t>
          </w:r>
          <w:r>
            <w:rPr>
              <w:rFonts w:hint="eastAsia" w:ascii="宋体" w:hAnsi="宋体"/>
              <w:color w:val="000000" w:themeColor="text1"/>
              <w14:textFill>
                <w14:solidFill>
                  <w14:schemeClr w14:val="tx1"/>
                </w14:solidFill>
              </w14:textFill>
            </w:rPr>
            <w:t>714</w:t>
          </w:r>
          <w:r>
            <w:rPr>
              <w:rFonts w:ascii="宋体" w:hAnsi="宋体"/>
              <w:color w:val="000000" w:themeColor="text1"/>
              <w14:textFill>
                <w14:solidFill>
                  <w14:schemeClr w14:val="tx1"/>
                </w14:solidFill>
              </w14:textFill>
            </w:rPr>
            <w:t>万元；本期政府补助增加，以及所得税费用减少合计增加利润2,2</w:t>
          </w:r>
          <w:r>
            <w:rPr>
              <w:rFonts w:hint="eastAsia" w:ascii="宋体" w:hAnsi="宋体"/>
              <w:color w:val="000000" w:themeColor="text1"/>
              <w14:textFill>
                <w14:solidFill>
                  <w14:schemeClr w14:val="tx1"/>
                </w14:solidFill>
              </w14:textFill>
            </w:rPr>
            <w:t>95</w:t>
          </w:r>
          <w:r>
            <w:rPr>
              <w:rFonts w:ascii="宋体" w:hAnsi="宋体"/>
              <w:color w:val="000000" w:themeColor="text1"/>
              <w14:textFill>
                <w14:solidFill>
                  <w14:schemeClr w14:val="tx1"/>
                </w14:solidFill>
              </w14:textFill>
            </w:rPr>
            <w:t>万元。</w:t>
          </w:r>
        </w:p>
      </w:sdtContent>
    </w:sdt>
    <w:bookmarkEnd w:id="24"/>
    <w:p>
      <w:pPr>
        <w:pStyle w:val="50"/>
        <w:numPr>
          <w:ilvl w:val="0"/>
          <w:numId w:val="3"/>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境内外会计准则下会计数据差异</w:t>
      </w:r>
      <w:bookmarkEnd w:id="21"/>
      <w:bookmarkEnd w:id="22"/>
    </w:p>
    <w:sdt>
      <w:sdtPr>
        <w:rPr>
          <w:color w:val="000000" w:themeColor="text1"/>
          <w14:textFill>
            <w14:solidFill>
              <w14:schemeClr w14:val="tx1"/>
            </w14:solidFill>
          </w14:textFill>
        </w:rPr>
        <w:alias w:val="是否适用：境内外会计准则下会计数据差异[双击切换]"/>
        <w:tag w:val="_GBC_bdabc18d82504a7696c49b78e67b7ce4"/>
        <w:id w:val="130227801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3"/>
        </w:numPr>
        <w:ind w:left="0" w:firstLine="0"/>
        <w:rPr>
          <w:color w:val="000000" w:themeColor="text1"/>
          <w14:textFill>
            <w14:solidFill>
              <w14:schemeClr w14:val="tx1"/>
            </w14:solidFill>
          </w14:textFill>
        </w:rPr>
      </w:pPr>
      <w:bookmarkStart w:id="25" w:name="_Hlk24640273"/>
      <w:bookmarkEnd w:id="25"/>
      <w:bookmarkStart w:id="26" w:name="_Hlk167796974"/>
      <w:r>
        <w:rPr>
          <w:rFonts w:hint="eastAsia"/>
          <w:color w:val="000000" w:themeColor="text1"/>
          <w14:textFill>
            <w14:solidFill>
              <w14:schemeClr w14:val="tx1"/>
            </w14:solidFill>
          </w14:textFill>
        </w:rPr>
        <w:t>非经常性损益项目和金额</w:t>
      </w:r>
    </w:p>
    <w:sdt>
      <w:sdtPr>
        <w:rPr>
          <w:color w:val="000000" w:themeColor="text1"/>
          <w14:textFill>
            <w14:solidFill>
              <w14:schemeClr w14:val="tx1"/>
            </w14:solidFill>
          </w14:textFill>
        </w:rPr>
        <w:alias w:val="是否适用：扣除非经常性损益项目和金额[双击切换]"/>
        <w:tag w:val="_GBC_43f94504cb3d48cbbe81a75d50663c2d"/>
        <w:id w:val="-138756373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扣除非经常性损益项目和金额"/>
          <w:tag w:val="_GBC_f9e43a30b40946c08985f868a2ba3b74"/>
          <w:id w:val="-1392177708"/>
          <w:placeholder>
            <w:docPart w:val="GBC22222222222222222222222222222"/>
          </w:placeholder>
          <w15:dataBinding w:prefixMappings="xmlns:clcid-ci-ar='clcid-ci-ar'" w:xpath="/*/clcid-ci-ar:DanWeiKouChuFeiJingChangXingSunYiXiangMuHeJin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扣除非经常性损益项目和金额"/>
          <w:tag w:val="_GBC_81dc93f6f5e14511b89edb8661fa84fd"/>
          <w:id w:val="-652135675"/>
          <w:placeholder>
            <w:docPart w:val="GBC22222222222222222222222222222"/>
          </w:placeholder>
          <w15:dataBinding w:prefixMappings="xmlns:clcid-ci-ar='clcid-ci-ar'" w:xpath="/*/clcid-ci-ar:BiZhongKouChuFeiJingChangXingSunYiXiangMuHeJinE[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1"/>
        <w:gridCol w:w="2190"/>
        <w:gridCol w:w="2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75c3787071e446ebb752a5626cdbd723"/>
            <w:id w:val="-2042346653"/>
          </w:sdtPr>
          <w:sdtContent>
            <w:tc>
              <w:tcPr>
                <w:tcW w:w="2476" w:type="pct"/>
                <w:vAlign w:val="center"/>
              </w:tcPr>
              <w:p>
                <w:pPr>
                  <w:pStyle w:val="31"/>
                  <w:ind w:firstLine="0" w:firstLineChars="0"/>
                  <w:jc w:val="cente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非经常性损益项目</w:t>
                </w:r>
              </w:p>
            </w:tc>
          </w:sdtContent>
        </w:sdt>
        <w:sdt>
          <w:sdtPr>
            <w:tag w:val="_PLD_819237cfe12b4f9b95d296101869571d"/>
            <w:id w:val="1870027624"/>
          </w:sdtPr>
          <w:sdtContent>
            <w:tc>
              <w:tcPr>
                <w:tcW w:w="1210" w:type="pct"/>
                <w:vAlign w:val="center"/>
              </w:tcPr>
              <w:p>
                <w:pPr>
                  <w:pStyle w:val="31"/>
                  <w:ind w:firstLine="0" w:firstLineChars="0"/>
                  <w:jc w:val="cente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金额</w:t>
                </w:r>
              </w:p>
            </w:tc>
          </w:sdtContent>
        </w:sdt>
        <w:sdt>
          <w:sdtPr>
            <w:tag w:val="_PLD_271c1520daad4f06be80c7ac930ea658"/>
            <w:id w:val="51892282"/>
          </w:sdtPr>
          <w:sdtContent>
            <w:tc>
              <w:tcPr>
                <w:tcW w:w="1314" w:type="pct"/>
                <w:vAlign w:val="center"/>
              </w:tcPr>
              <w:p>
                <w:pPr>
                  <w:pStyle w:val="31"/>
                  <w:ind w:firstLine="0" w:firstLineChars="0"/>
                  <w:jc w:val="cente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附注（如适用）</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非流动</w:t>
            </w:r>
            <w:r>
              <w:rPr>
                <w:rFonts w:hint="eastAsia"/>
                <w:color w:val="000000" w:themeColor="text1"/>
                <w14:textFill>
                  <w14:solidFill>
                    <w14:schemeClr w14:val="tx1"/>
                  </w14:solidFill>
                </w14:textFill>
              </w:rPr>
              <w:t>性</w:t>
            </w:r>
            <w:r>
              <w:rPr>
                <w:color w:val="000000" w:themeColor="text1"/>
                <w14:textFill>
                  <w14:solidFill>
                    <w14:schemeClr w14:val="tx1"/>
                  </w14:solidFill>
                </w14:textFill>
              </w:rPr>
              <w:t>资产处置损益</w:t>
            </w:r>
            <w:r>
              <w:rPr>
                <w:rFonts w:hint="eastAsia"/>
                <w:color w:val="000000" w:themeColor="text1"/>
                <w14:textFill>
                  <w14:solidFill>
                    <w14:schemeClr w14:val="tx1"/>
                  </w14:solidFill>
                </w14:textFill>
              </w:rPr>
              <w:t>，包括已计提资产减值准备的冲销部分</w:t>
            </w:r>
          </w:p>
        </w:tc>
        <w:tc>
          <w:tcPr>
            <w:tcW w:w="1210" w:type="pct"/>
            <w:vAlign w:val="center"/>
          </w:tcPr>
          <w:p>
            <w:pPr>
              <w:widowControl w:val="0"/>
              <w:jc w:val="right"/>
              <w:rPr>
                <w:color w:val="000000" w:themeColor="text1"/>
                <w14:textFill>
                  <w14:solidFill>
                    <w14:schemeClr w14:val="tx1"/>
                  </w14:solidFill>
                </w14:textFill>
              </w:rPr>
            </w:pPr>
            <w:r>
              <w:t xml:space="preserve"> 25.23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计入当期损益的政府补助</w:t>
            </w:r>
            <w:r>
              <w:rPr>
                <w:rFonts w:hint="eastAsia"/>
                <w:color w:val="000000" w:themeColor="text1"/>
                <w14:textFill>
                  <w14:solidFill>
                    <w14:schemeClr w14:val="tx1"/>
                  </w14:solidFill>
                </w14:textFill>
              </w:rPr>
              <w:t>，但与公司正常经营业务密切相关、符合国家政策规定、按照确定的标准享有、对公司损益产生持续影响的政府补助除外</w:t>
            </w:r>
          </w:p>
        </w:tc>
        <w:tc>
          <w:tcPr>
            <w:tcW w:w="1210" w:type="pct"/>
            <w:vAlign w:val="center"/>
          </w:tcPr>
          <w:p>
            <w:pPr>
              <w:widowControl w:val="0"/>
              <w:jc w:val="right"/>
              <w:rPr>
                <w:color w:val="000000" w:themeColor="text1"/>
                <w14:textFill>
                  <w14:solidFill>
                    <w14:schemeClr w14:val="tx1"/>
                  </w14:solidFill>
                </w14:textFill>
              </w:rPr>
            </w:pPr>
            <w:r>
              <w:t xml:space="preserve"> 1,872.12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除同公司正常经营业务相关的有效套期保值业务外，</w:t>
            </w:r>
            <w:r>
              <w:rPr>
                <w:color w:val="000000" w:themeColor="text1"/>
                <w14:textFill>
                  <w14:solidFill>
                    <w14:schemeClr w14:val="tx1"/>
                  </w14:solidFill>
                </w14:textFill>
              </w:rPr>
              <w:t>非金融企业持有金融资产和金融负债产生的公允价值变动损益以及处置金融资产和金融负债产生的损益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计入当期损益的对非金融企业收取的资金占用费</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委托他人投资或管理资产的损益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对外委托贷款取得的损益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因不可抗力因</w:t>
            </w:r>
            <w:r>
              <w:rPr>
                <w:rFonts w:hint="eastAsia"/>
                <w:color w:val="000000" w:themeColor="text1"/>
                <w14:textFill>
                  <w14:solidFill>
                    <w14:schemeClr w14:val="tx1"/>
                  </w14:solidFill>
                </w14:textFill>
              </w:rPr>
              <w:t>素，如遭受自然灾害而产生的各项资产损失</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单独进行减值测试的应收款项减值准备转回</w:t>
            </w:r>
          </w:p>
        </w:tc>
        <w:tc>
          <w:tcPr>
            <w:tcW w:w="1210" w:type="pct"/>
            <w:vAlign w:val="center"/>
          </w:tcPr>
          <w:p>
            <w:pPr>
              <w:widowControl w:val="0"/>
              <w:jc w:val="right"/>
              <w:rPr>
                <w:color w:val="000000" w:themeColor="text1"/>
                <w14:textFill>
                  <w14:solidFill>
                    <w14:schemeClr w14:val="tx1"/>
                  </w14:solidFill>
                </w14:textFill>
              </w:rPr>
            </w:pPr>
            <w:r>
              <w:t xml:space="preserve"> 180.82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企业取得子公司、联营企业及合营企业的投资成本小于取得投资时应享有被投资单位可辨认净资产公允价值产生的收益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同一控制下企业合并产生的子公司期初至合并日的当期净损益</w:t>
            </w:r>
          </w:p>
        </w:tc>
        <w:tc>
          <w:tcPr>
            <w:tcW w:w="1210" w:type="pct"/>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非货币性资产交换损益</w:t>
            </w:r>
          </w:p>
        </w:tc>
        <w:tc>
          <w:tcPr>
            <w:tcW w:w="1210" w:type="pct"/>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债务重组损益</w:t>
            </w:r>
          </w:p>
        </w:tc>
        <w:tc>
          <w:tcPr>
            <w:tcW w:w="1210" w:type="pct"/>
            <w:vAlign w:val="center"/>
          </w:tcPr>
          <w:p>
            <w:pPr>
              <w:widowControl w:val="0"/>
              <w:jc w:val="right"/>
              <w:rPr>
                <w:color w:val="000000" w:themeColor="text1"/>
                <w14:textFill>
                  <w14:solidFill>
                    <w14:schemeClr w14:val="tx1"/>
                  </w14:solidFill>
                </w14:textFill>
              </w:rPr>
            </w:pPr>
            <w:r>
              <w:t xml:space="preserve"> -0.08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企业</w:t>
            </w:r>
            <w:r>
              <w:rPr>
                <w:rFonts w:hint="eastAsia"/>
                <w:color w:val="000000" w:themeColor="text1"/>
                <w14:textFill>
                  <w14:solidFill>
                    <w14:schemeClr w14:val="tx1"/>
                  </w14:solidFill>
                </w14:textFill>
              </w:rPr>
              <w:t>因相关经营活动不再持续而发生的一次性费用，如安置职工的支出等</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因税收、会计等法律、法规</w:t>
            </w:r>
            <w:r>
              <w:rPr>
                <w:rFonts w:hint="eastAsia"/>
                <w:color w:val="000000" w:themeColor="text1"/>
                <w14:textFill>
                  <w14:solidFill>
                    <w14:schemeClr w14:val="tx1"/>
                  </w14:solidFill>
                </w14:textFill>
              </w:rPr>
              <w:t>的调整对当期损益产生的一次性影响</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因取消、修改股权激励计划一次性确认的股份支付费用</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pStyle w:val="48"/>
              <w:widowControl w:val="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对于现金结算的股份支付，在可行权日之后，应付职工薪酬的公允价值变动产生的损益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pStyle w:val="48"/>
              <w:widowControl w:val="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采用公允价值模式进行后续计量的投资性房地产公允价值变动产生的损益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交易价格显失公允的交易产生的收益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与公司正常经营业务无关的或有事项产生的损益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受托经营取得的托管费收入</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除上述各项之外的其他营业外收入和支出</w:t>
            </w:r>
          </w:p>
        </w:tc>
        <w:tc>
          <w:tcPr>
            <w:tcW w:w="1210" w:type="pct"/>
            <w:vAlign w:val="center"/>
          </w:tcPr>
          <w:p>
            <w:pPr>
              <w:widowControl w:val="0"/>
              <w:jc w:val="right"/>
              <w:rPr>
                <w:color w:val="000000" w:themeColor="text1"/>
                <w14:textFill>
                  <w14:solidFill>
                    <w14:schemeClr w14:val="tx1"/>
                  </w14:solidFill>
                </w14:textFill>
              </w:rPr>
            </w:pPr>
            <w:r>
              <w:t xml:space="preserve"> -118.36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其他符合非经常性损益定义的损益项目</w:t>
            </w:r>
          </w:p>
        </w:tc>
        <w:tc>
          <w:tcPr>
            <w:tcW w:w="1210" w:type="pct"/>
            <w:vAlign w:val="center"/>
          </w:tcPr>
          <w:p>
            <w:pPr>
              <w:widowControl w:val="0"/>
              <w:jc w:val="right"/>
              <w:rPr>
                <w:color w:val="000000" w:themeColor="text1"/>
                <w14:textFill>
                  <w14:solidFill>
                    <w14:schemeClr w14:val="tx1"/>
                  </w14:solidFill>
                </w14:textFill>
              </w:rPr>
            </w:pPr>
            <w:r>
              <w:t xml:space="preserve">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减：</w:t>
            </w:r>
            <w:r>
              <w:rPr>
                <w:color w:val="000000" w:themeColor="text1"/>
                <w14:textFill>
                  <w14:solidFill>
                    <w14:schemeClr w14:val="tx1"/>
                  </w14:solidFill>
                </w14:textFill>
              </w:rPr>
              <w:t>所得税影响额</w:t>
            </w:r>
          </w:p>
        </w:tc>
        <w:tc>
          <w:tcPr>
            <w:tcW w:w="1210" w:type="pct"/>
            <w:vAlign w:val="center"/>
          </w:tcPr>
          <w:p>
            <w:pPr>
              <w:widowControl w:val="0"/>
              <w:jc w:val="right"/>
              <w:rPr>
                <w:color w:val="000000" w:themeColor="text1"/>
                <w14:textFill>
                  <w14:solidFill>
                    <w14:schemeClr w14:val="tx1"/>
                  </w14:solidFill>
                </w14:textFill>
              </w:rPr>
            </w:pPr>
            <w:r>
              <w:t xml:space="preserve"> 293.86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jc w:val="left"/>
              <w:rPr>
                <w:color w:val="000000" w:themeColor="text1"/>
                <w14:textFill>
                  <w14:solidFill>
                    <w14:schemeClr w14:val="tx1"/>
                  </w14:solidFill>
                </w14:textFill>
              </w:rPr>
            </w:pPr>
            <w:r>
              <w:rPr>
                <w:color w:val="000000" w:themeColor="text1"/>
                <w14:textFill>
                  <w14:solidFill>
                    <w14:schemeClr w14:val="tx1"/>
                  </w14:solidFill>
                </w14:textFill>
              </w:rPr>
              <w:t>少数股东权益影响额</w:t>
            </w:r>
            <w:r>
              <w:rPr>
                <w:rFonts w:hint="eastAsia"/>
                <w:color w:val="000000" w:themeColor="text1"/>
                <w14:textFill>
                  <w14:solidFill>
                    <w14:schemeClr w14:val="tx1"/>
                  </w14:solidFill>
                </w14:textFill>
              </w:rPr>
              <w:t>（税后）</w:t>
            </w:r>
          </w:p>
        </w:tc>
        <w:tc>
          <w:tcPr>
            <w:tcW w:w="1210" w:type="pct"/>
            <w:vAlign w:val="center"/>
          </w:tcPr>
          <w:p>
            <w:pPr>
              <w:widowControl w:val="0"/>
              <w:jc w:val="right"/>
              <w:rPr>
                <w:color w:val="000000" w:themeColor="text1"/>
                <w14:textFill>
                  <w14:solidFill>
                    <w14:schemeClr w14:val="tx1"/>
                  </w14:solidFill>
                </w14:textFill>
              </w:rPr>
            </w:pPr>
            <w:r>
              <w:t xml:space="preserve"> 0.35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vAlign w:val="center"/>
          </w:tcPr>
          <w:p>
            <w:pPr>
              <w:pStyle w:val="31"/>
              <w:ind w:firstLine="0" w:firstLineChars="0"/>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210" w:type="pct"/>
            <w:vAlign w:val="center"/>
          </w:tcPr>
          <w:p>
            <w:pPr>
              <w:widowControl w:val="0"/>
              <w:jc w:val="right"/>
              <w:rPr>
                <w:color w:val="000000" w:themeColor="text1"/>
                <w14:textFill>
                  <w14:solidFill>
                    <w14:schemeClr w14:val="tx1"/>
                  </w14:solidFill>
                </w14:textFill>
              </w:rPr>
            </w:pPr>
            <w:r>
              <w:t xml:space="preserve"> 1,665.52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bookmarkEnd w:id="26"/>
    </w:tbl>
    <w:p>
      <w:pPr>
        <w:pStyle w:val="13"/>
        <w:adjustRightInd w:val="0"/>
        <w:snapToGrid w:val="0"/>
        <w:spacing w:line="200" w:lineRule="atLeast"/>
        <w:rPr>
          <w:rFonts w:hint="eastAsia" w:hAnsi="宋体"/>
          <w:color w:val="000000" w:themeColor="text1"/>
          <w:kern w:val="0"/>
          <w:szCs w:val="21"/>
          <w14:textFill>
            <w14:solidFill>
              <w14:schemeClr w14:val="tx1"/>
            </w14:solidFill>
          </w14:textFill>
        </w:rPr>
      </w:pPr>
      <w:bookmarkStart w:id="27" w:name="_Hlk89096484"/>
      <w:bookmarkStart w:id="28" w:name="_Hlk137045432"/>
      <w:bookmarkStart w:id="29" w:name="_Hlk41379873"/>
      <w:bookmarkStart w:id="30" w:name="_Hlk105685044"/>
      <w:r>
        <w:rPr>
          <w:rFonts w:hint="eastAsia" w:hAnsi="宋体" w:cs="宋体"/>
          <w:color w:val="000000" w:themeColor="text1"/>
          <w:kern w:val="0"/>
          <w:szCs w:val="21"/>
          <w14:textFill>
            <w14:solidFill>
              <w14:schemeClr w14:val="tx1"/>
            </w14:solidFill>
          </w14:textFill>
        </w:rPr>
        <w:t>对公司将《公开发行证券的公司信息披露解释性公告第</w:t>
      </w:r>
      <w:r>
        <w:rPr>
          <w:rFonts w:hAnsi="宋体" w:cs="宋体"/>
          <w:color w:val="000000" w:themeColor="text1"/>
          <w:kern w:val="0"/>
          <w:szCs w:val="21"/>
          <w14:textFill>
            <w14:solidFill>
              <w14:schemeClr w14:val="tx1"/>
            </w14:solidFill>
          </w14:textFill>
        </w:rPr>
        <w:t>1号——非经常性损益》未列举的项目认定为非经常性损益项目且金额重大的，以及将《公开发行证券的公司信息披露解释性公告第1号——非经常性损益》中列举的非经常性损益项目界定为经常性损益的项目，应说明原因</w:t>
      </w:r>
      <w:r>
        <w:rPr>
          <w:rFonts w:hint="eastAsia" w:hAnsi="宋体" w:cs="宋体"/>
          <w:color w:val="000000" w:themeColor="text1"/>
          <w:kern w:val="0"/>
          <w:szCs w:val="21"/>
          <w14:textFill>
            <w14:solidFill>
              <w14:schemeClr w14:val="tx1"/>
            </w14:solidFill>
          </w14:textFill>
        </w:rPr>
        <w:t>。</w:t>
      </w:r>
    </w:p>
    <w:sdt>
      <w:sdtPr>
        <w:rPr>
          <w:color w:val="000000" w:themeColor="text1"/>
          <w14:textFill>
            <w14:solidFill>
              <w14:schemeClr w14:val="tx1"/>
            </w14:solidFill>
          </w14:textFill>
        </w:rPr>
        <w:alias w:val="是否适用：将非经常性损益项目界定为经常性损益项目[双击切换]"/>
        <w:tag w:val="_GBC_2fced4d4c7b049209a471cd2040fe574"/>
        <w:id w:val="-145809688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7"/>
    <w:bookmarkEnd w:id="28"/>
    <w:bookmarkEnd w:id="29"/>
    <w:p>
      <w:pPr>
        <w:pStyle w:val="50"/>
        <w:numPr>
          <w:ilvl w:val="0"/>
          <w:numId w:val="3"/>
        </w:numPr>
        <w:ind w:left="0" w:firstLine="0"/>
        <w:rPr>
          <w:color w:val="000000" w:themeColor="text1"/>
          <w14:textFill>
            <w14:solidFill>
              <w14:schemeClr w14:val="tx1"/>
            </w14:solidFill>
          </w14:textFill>
        </w:rPr>
      </w:pPr>
      <w:bookmarkStart w:id="31" w:name="_Hlk199506011"/>
      <w:bookmarkStart w:id="32" w:name="_Hlk200097037"/>
      <w:r>
        <w:rPr>
          <w:rFonts w:hint="eastAsia"/>
          <w:color w:val="000000" w:themeColor="text1"/>
          <w14:textFill>
            <w14:solidFill>
              <w14:schemeClr w14:val="tx1"/>
            </w14:solidFill>
          </w14:textFill>
        </w:rPr>
        <w:t>存在股权激励、员工持股计划的公司可选择披露扣除股份支付影响后的净利润</w:t>
      </w:r>
    </w:p>
    <w:sdt>
      <w:sdtPr>
        <w:rPr>
          <w:rFonts w:hint="eastAsia"/>
        </w:rPr>
        <w:alias w:val="是否适用：扣除股份支付影响后的净利润[双击切换]"/>
        <w:tag w:val="_GBC_0800bd28016b47e5b3f7d0b40ad325dc"/>
        <w:id w:val="514043034"/>
        <w:lock w:val="contentLocked"/>
        <w:placeholder>
          <w:docPart w:val="GBC22222222222222222222222222222"/>
        </w:placeholder>
      </w:sdtPr>
      <w:sdtEndPr>
        <w:rPr>
          <w:rFonts w:hint="eastAsia"/>
        </w:rPr>
      </w:sdtEndPr>
      <w:sdtContent>
        <w:p>
          <w:pPr>
            <w:pStyle w:val="48"/>
          </w:pPr>
          <w:r>
            <w:rPr>
              <w:rFonts w:hint="eastAsia" w:ascii="宋体" w:hAnsi="宋体"/>
            </w:rPr>
            <w:fldChar w:fldCharType="begin"/>
          </w:r>
          <w:r>
            <w:rPr>
              <w:rFonts w:hint="eastAsia" w:ascii="宋体" w:hAnsi="宋体"/>
            </w:rPr>
            <w:instrText xml:space="preserve"> MACROBUTTON  SnrToggleCheckbox √适用 </w:instrText>
          </w:r>
          <w:r>
            <w:rPr>
              <w:rFonts w:hint="eastAsia" w:ascii="宋体" w:hAnsi="宋体"/>
            </w:rPr>
            <w:fldChar w:fldCharType="end"/>
          </w:r>
          <w:r>
            <w:rPr>
              <w:rFonts w:hint="eastAsia" w:ascii="宋体" w:hAnsi="宋体"/>
            </w:rPr>
            <w:fldChar w:fldCharType="begin"/>
          </w:r>
          <w:r>
            <w:rPr>
              <w:rFonts w:hint="eastAsia" w:ascii="宋体" w:hAnsi="宋体"/>
            </w:rPr>
            <w:instrText xml:space="preserve"> MACROBUTTON  SnrToggleCheckbox □不适用 </w:instrText>
          </w:r>
          <w:r>
            <w:rPr>
              <w:rFonts w:hint="eastAsia" w:ascii="宋体" w:hAnsi="宋体"/>
            </w:rPr>
            <w:fldChar w:fldCharType="end"/>
          </w:r>
        </w:p>
      </w:sdtContent>
    </w:sdt>
    <w:bookmarkEnd w:id="31"/>
    <w:p>
      <w:pPr>
        <w:jc w:val="right"/>
      </w:pPr>
      <w:r>
        <w:rPr>
          <w:rFonts w:hint="eastAsia"/>
        </w:rPr>
        <w:t>单位：</w:t>
      </w:r>
      <w:sdt>
        <w:sdtPr>
          <w:rPr>
            <w:rFonts w:hint="eastAsia"/>
          </w:rPr>
          <w:alias w:val="单位：扣除股份支付影响后的净利润"/>
          <w:tag w:val="_GBC_beca80a183cb4c37a4e22fe5ed3837c2"/>
          <w:id w:val="-42788453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万元</w:t>
          </w:r>
        </w:sdtContent>
      </w:sdt>
      <w:r>
        <w:t xml:space="preserve"> 币种：</w:t>
      </w:r>
      <w:sdt>
        <w:sdtPr>
          <w:rPr>
            <w:rFonts w:hint="eastAsia"/>
          </w:rPr>
          <w:alias w:val="币种：扣除股份支付影响后的净利润"/>
          <w:tag w:val="_GBC_c09a0f833b0a444884a5b8d4e3b9527e"/>
          <w:id w:val="9911363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2"/>
        <w:gridCol w:w="1813"/>
        <w:gridCol w:w="1803"/>
        <w:gridCol w:w="18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sdt>
          <w:sdtPr>
            <w:tag w:val="_PLD_3b60e50e7a1e401a97cb7e7719714a31"/>
            <w:id w:val="-1803765185"/>
          </w:sdtPr>
          <w:sdtContent>
            <w:tc>
              <w:tcPr>
                <w:tcW w:w="2007" w:type="pct"/>
                <w:vAlign w:val="center"/>
              </w:tcPr>
              <w:p>
                <w:pPr>
                  <w:kinsoku w:val="0"/>
                  <w:overflowPunct w:val="0"/>
                  <w:autoSpaceDE w:val="0"/>
                  <w:autoSpaceDN w:val="0"/>
                  <w:adjustRightInd w:val="0"/>
                  <w:snapToGrid w:val="0"/>
                  <w:jc w:val="center"/>
                </w:pPr>
                <w:r>
                  <w:rPr>
                    <w:rFonts w:hint="eastAsia"/>
                  </w:rPr>
                  <w:t>主要会计数据</w:t>
                </w:r>
              </w:p>
            </w:tc>
          </w:sdtContent>
        </w:sdt>
        <w:tc>
          <w:tcPr>
            <w:tcW w:w="1002" w:type="pct"/>
            <w:vAlign w:val="center"/>
          </w:tcPr>
          <w:sdt>
            <w:sdtPr>
              <w:tag w:val="_PLD_052ae06c5dce43418ff7b27b25d5a156"/>
              <w:id w:val="1778068646"/>
            </w:sdtPr>
            <w:sdtContent>
              <w:p>
                <w:pPr>
                  <w:widowControl w:val="0"/>
                  <w:kinsoku w:val="0"/>
                  <w:overflowPunct w:val="0"/>
                  <w:autoSpaceDE w:val="0"/>
                  <w:autoSpaceDN w:val="0"/>
                  <w:adjustRightInd w:val="0"/>
                  <w:snapToGrid w:val="0"/>
                  <w:jc w:val="center"/>
                  <w:rPr>
                    <w:color w:val="000000"/>
                  </w:rPr>
                </w:pPr>
                <w:r>
                  <w:rPr>
                    <w:rFonts w:hint="eastAsia"/>
                    <w:color w:val="000000"/>
                  </w:rPr>
                  <w:t>本</w:t>
                </w:r>
                <w:r>
                  <w:rPr>
                    <w:color w:val="000000"/>
                  </w:rPr>
                  <w:t>报告期</w:t>
                </w:r>
              </w:p>
              <w:p>
                <w:pPr>
                  <w:kinsoku w:val="0"/>
                  <w:overflowPunct w:val="0"/>
                  <w:autoSpaceDE w:val="0"/>
                  <w:autoSpaceDN w:val="0"/>
                  <w:adjustRightInd w:val="0"/>
                  <w:snapToGrid w:val="0"/>
                  <w:jc w:val="center"/>
                </w:pPr>
                <w:r>
                  <w:rPr>
                    <w:color w:val="000000"/>
                  </w:rPr>
                  <w:t>（1－6月）</w:t>
                </w:r>
              </w:p>
            </w:sdtContent>
          </w:sdt>
        </w:tc>
        <w:sdt>
          <w:sdtPr>
            <w:tag w:val="_PLD_df123e994cb949a48536fe85ade59468"/>
            <w:id w:val="911581189"/>
          </w:sdtPr>
          <w:sdtContent>
            <w:tc>
              <w:tcPr>
                <w:tcW w:w="996" w:type="pct"/>
                <w:vAlign w:val="center"/>
              </w:tcPr>
              <w:p>
                <w:pPr>
                  <w:kinsoku w:val="0"/>
                  <w:overflowPunct w:val="0"/>
                  <w:autoSpaceDE w:val="0"/>
                  <w:autoSpaceDN w:val="0"/>
                  <w:adjustRightInd w:val="0"/>
                  <w:snapToGrid w:val="0"/>
                  <w:jc w:val="center"/>
                </w:pPr>
                <w:r>
                  <w:rPr>
                    <w:rFonts w:hint="eastAsia"/>
                  </w:rPr>
                  <w:t>上年同期</w:t>
                </w:r>
              </w:p>
            </w:tc>
          </w:sdtContent>
        </w:sdt>
        <w:sdt>
          <w:sdtPr>
            <w:tag w:val="_PLD_1e6626025f674f97aaec0ffc38720294"/>
            <w:id w:val="1378198984"/>
          </w:sdtPr>
          <w:sdtContent>
            <w:tc>
              <w:tcPr>
                <w:tcW w:w="995" w:type="pct"/>
                <w:vAlign w:val="center"/>
              </w:tcPr>
              <w:p>
                <w:pPr>
                  <w:kinsoku w:val="0"/>
                  <w:overflowPunct w:val="0"/>
                  <w:autoSpaceDE w:val="0"/>
                  <w:autoSpaceDN w:val="0"/>
                  <w:adjustRightInd w:val="0"/>
                  <w:snapToGrid w:val="0"/>
                  <w:jc w:val="center"/>
                </w:pPr>
                <w:r>
                  <w:rPr>
                    <w:rFonts w:hint="eastAsia"/>
                  </w:rPr>
                  <w:t>本期比上年同期增减</w:t>
                </w:r>
                <w:r>
                  <w:t>(%)</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2007" w:type="pct"/>
            <w:vAlign w:val="center"/>
          </w:tcPr>
          <w:p>
            <w:pPr>
              <w:kinsoku w:val="0"/>
              <w:overflowPunct w:val="0"/>
              <w:autoSpaceDE w:val="0"/>
              <w:autoSpaceDN w:val="0"/>
              <w:adjustRightInd w:val="0"/>
              <w:snapToGrid w:val="0"/>
            </w:pPr>
            <w:bookmarkStart w:id="33" w:name="OLE_LINK7"/>
            <w:r>
              <w:rPr>
                <w:rFonts w:hint="eastAsia"/>
              </w:rPr>
              <w:t>扣除股份支付影响后的净利润</w:t>
            </w:r>
            <w:bookmarkEnd w:id="33"/>
          </w:p>
        </w:tc>
        <w:tc>
          <w:tcPr>
            <w:tcW w:w="1002" w:type="pct"/>
          </w:tcPr>
          <w:p>
            <w:pPr>
              <w:kinsoku w:val="0"/>
              <w:overflowPunct w:val="0"/>
              <w:autoSpaceDE w:val="0"/>
              <w:autoSpaceDN w:val="0"/>
              <w:adjustRightInd w:val="0"/>
              <w:snapToGrid w:val="0"/>
              <w:jc w:val="right"/>
            </w:pPr>
            <w:r>
              <w:t>1,907.69</w:t>
            </w:r>
          </w:p>
        </w:tc>
        <w:tc>
          <w:tcPr>
            <w:tcW w:w="996" w:type="pct"/>
          </w:tcPr>
          <w:p>
            <w:pPr>
              <w:kinsoku w:val="0"/>
              <w:overflowPunct w:val="0"/>
              <w:autoSpaceDE w:val="0"/>
              <w:autoSpaceDN w:val="0"/>
              <w:adjustRightInd w:val="0"/>
              <w:snapToGrid w:val="0"/>
              <w:jc w:val="right"/>
              <w:rPr>
                <w:bCs w:val="0"/>
              </w:rPr>
            </w:pPr>
            <w:r>
              <w:rPr>
                <w:rFonts w:hint="eastAsia"/>
              </w:rPr>
              <w:t>6,271.26</w:t>
            </w:r>
          </w:p>
        </w:tc>
        <w:tc>
          <w:tcPr>
            <w:tcW w:w="995" w:type="pct"/>
          </w:tcPr>
          <w:p>
            <w:pPr>
              <w:kinsoku w:val="0"/>
              <w:overflowPunct w:val="0"/>
              <w:autoSpaceDE w:val="0"/>
              <w:autoSpaceDN w:val="0"/>
              <w:adjustRightInd w:val="0"/>
              <w:snapToGrid w:val="0"/>
              <w:jc w:val="right"/>
            </w:pPr>
            <w:r>
              <w:t xml:space="preserve"> -6</w:t>
            </w:r>
            <w:r>
              <w:rPr>
                <w:rFonts w:hint="eastAsia"/>
              </w:rPr>
              <w:t>9</w:t>
            </w:r>
            <w:r>
              <w:t>.</w:t>
            </w:r>
            <w:r>
              <w:rPr>
                <w:rFonts w:hint="eastAsia"/>
              </w:rPr>
              <w:t>58</w:t>
            </w:r>
            <w:r>
              <w:t xml:space="preserve"> </w:t>
            </w:r>
          </w:p>
        </w:tc>
      </w:tr>
      <w:bookmarkEnd w:id="30"/>
      <w:bookmarkEnd w:id="32"/>
    </w:tbl>
    <w:p>
      <w:pPr>
        <w:pStyle w:val="50"/>
        <w:numPr>
          <w:ilvl w:val="0"/>
          <w:numId w:val="3"/>
        </w:numPr>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公司简介和主要财务指标其他说明[双击切换]"/>
        <w:tag w:val="_GBC_5b4104dc5c2c4501bc2420c70be30c2a"/>
        <w:id w:val="127251568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kinsoku w:val="0"/>
        <w:overflowPunct w:val="0"/>
        <w:autoSpaceDE w:val="0"/>
        <w:autoSpaceDN w:val="0"/>
        <w:adjustRightInd w:val="0"/>
        <w:snapToGrid w:val="0"/>
        <w:rPr>
          <w:color w:val="000000" w:themeColor="text1"/>
          <w14:textFill>
            <w14:solidFill>
              <w14:schemeClr w14:val="tx1"/>
            </w14:solidFill>
          </w14:textFill>
        </w:rPr>
      </w:pPr>
    </w:p>
    <w:p>
      <w:pPr>
        <w:pStyle w:val="49"/>
        <w:numPr>
          <w:ilvl w:val="0"/>
          <w:numId w:val="2"/>
        </w:numPr>
        <w:rPr>
          <w:rFonts w:hint="eastAsia" w:ascii="黑体" w:hAnsi="黑体"/>
          <w:color w:val="000000" w:themeColor="text1"/>
          <w14:textFill>
            <w14:solidFill>
              <w14:schemeClr w14:val="tx1"/>
            </w14:solidFill>
          </w14:textFill>
        </w:rPr>
      </w:pPr>
      <w:bookmarkStart w:id="34" w:name="_Toc76114274"/>
      <w:bookmarkStart w:id="35" w:name="_Toc200030541"/>
      <w:r>
        <w:rPr>
          <w:rFonts w:hint="eastAsia" w:ascii="黑体" w:hAnsi="黑体"/>
          <w:color w:val="000000" w:themeColor="text1"/>
          <w14:textFill>
            <w14:solidFill>
              <w14:schemeClr w14:val="tx1"/>
            </w14:solidFill>
          </w14:textFill>
        </w:rPr>
        <w:t>管理层讨论与分析</w:t>
      </w:r>
    </w:p>
    <w:bookmarkEnd w:id="34"/>
    <w:bookmarkEnd w:id="35"/>
    <w:p>
      <w:pPr>
        <w:pStyle w:val="50"/>
        <w:numPr>
          <w:ilvl w:val="0"/>
          <w:numId w:val="5"/>
        </w:numPr>
        <w:tabs>
          <w:tab w:val="left" w:pos="426"/>
        </w:tabs>
        <w:ind w:left="0" w:firstLine="0"/>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报告期内公司所属行业及主营业务情况说明</w:t>
      </w:r>
    </w:p>
    <w:sdt>
      <w:sdtPr>
        <w:rPr>
          <w:rFonts w:hint="eastAsia" w:ascii="Calibri" w:hAnsi="Calibri" w:cs="Times New Roman"/>
          <w:kern w:val="2"/>
          <w:szCs w:val="22"/>
        </w:rPr>
        <w:alias w:val="报告期内公司所从事的主要业务、经营模式及行业情况说明"/>
        <w:tag w:val="_GBC_5c28d6f46eea48f892bed0c5fc99ab60"/>
        <w:id w:val="2015183282"/>
        <w:placeholder>
          <w:docPart w:val="GBC22222222222222222222222222222"/>
        </w:placeholder>
      </w:sdtPr>
      <w:sdtEndPr>
        <w:rPr>
          <w:rFonts w:hint="eastAsia" w:ascii="Calibri" w:hAnsi="Calibri" w:cs="Times New Roman"/>
          <w:kern w:val="2"/>
          <w:szCs w:val="22"/>
        </w:rPr>
      </w:sdtEndPr>
      <w:sdtContent>
        <w:p>
          <w:pPr>
            <w:spacing w:line="360" w:lineRule="exact"/>
            <w:jc w:val="both"/>
            <w:rPr>
              <w:color w:val="000000" w:themeColor="text1"/>
              <w14:textFill>
                <w14:solidFill>
                  <w14:schemeClr w14:val="tx1"/>
                </w14:solidFill>
              </w14:textFill>
            </w:rPr>
          </w:pPr>
        </w:p>
        <w:p>
          <w:pPr>
            <w:pStyle w:val="101"/>
            <w:numPr>
              <w:ilvl w:val="0"/>
              <w:numId w:val="6"/>
            </w:numPr>
            <w:spacing w:line="360" w:lineRule="exact"/>
            <w:ind w:firstLineChars="0"/>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公司主营所属行业情况</w:t>
          </w:r>
        </w:p>
        <w:p>
          <w:pPr>
            <w:pStyle w:val="101"/>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公司聚焦三大业务板块：以电力变压器为主的输配电及控制设备业务、以取向硅钢为主的取向硅钢业务，以及以重卡超充站建设运营为主的电动汽车充电业务。</w:t>
          </w:r>
        </w:p>
        <w:p>
          <w:pPr>
            <w:pStyle w:val="101"/>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公司坚持“创新驱动、产业升级、全球拓展”的全球化发展战略，依托技术壁垒、产业协同及国际化布局，已发展成为西南地区电力设备龙头企业、民营取向硅钢行业前列企业，以及重卡超充站领域的新兴力量。</w:t>
          </w:r>
        </w:p>
        <w:p>
          <w:pPr>
            <w:pStyle w:val="101"/>
            <w:spacing w:line="360" w:lineRule="exact"/>
            <w:ind w:firstLine="0" w:firstLineChars="0"/>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1、输配电及控制设备行业情况</w:t>
          </w:r>
        </w:p>
        <w:p>
          <w:pPr>
            <w:pStyle w:val="101"/>
            <w:spacing w:line="360" w:lineRule="exact"/>
            <w:ind w:firstLine="0" w:firstLineChars="0"/>
            <w:outlineLvl w:val="4"/>
            <w:rPr>
              <w:color w:val="000000" w:themeColor="text1"/>
              <w14:textFill>
                <w14:solidFill>
                  <w14:schemeClr w14:val="tx1"/>
                </w14:solidFill>
              </w14:textFill>
            </w:rPr>
          </w:pPr>
          <w:r>
            <w:rPr>
              <w:rFonts w:hint="eastAsia"/>
              <w:color w:val="000000" w:themeColor="text1"/>
              <w14:textFill>
                <w14:solidFill>
                  <w14:schemeClr w14:val="tx1"/>
                </w14:solidFill>
              </w14:textFill>
            </w:rPr>
            <w:t>（1）行业基本情况和特点</w:t>
          </w:r>
        </w:p>
        <w:p>
          <w:pPr>
            <w:pStyle w:val="101"/>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公司输配电及其控制设备是我国经济发展的战略性、基础性产业之一。主要产品广泛应用于输配电网、新能源（含风能、光伏、储能等）、高端装备、新型基建、高效节能等领域。</w:t>
          </w:r>
        </w:p>
        <w:p>
          <w:pPr>
            <w:pStyle w:val="101"/>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能源结构转型与新能源技术突破正推动电力设备市场进入高速增长周期。在光伏、风电等可 再生能源装机量持续攀升的驱动下，全球能源体系加速向低碳化演进。制造业智能化转型推动产 线电气化率显著提升，工业互联网对供电质量提出更高要求。与此同时，人工智能、云计算等数字技术基础设施的快速发展，催生高密度算力设备的规模化部署，形成支撑用电需求增长的新动 能。另外，全球电网正面临新能源渗透率持续攀升、并网特性与负荷结构深刻变化、源荷时空分布失衡加剧，以及区域性基础设施老化加剧等多重挑战，这些压力驱动电网系统加速向智能柔性 化升级、多能协同优化、跨国电力互联等方向演进，也进而催生电力设备全产业链的增量市场空间。</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发电端的装机增量进一步促进了电力设备的需求上升。根据中电联最新发布的《中国电力行业年度发展报告2026》（以下简称“报告”），2025年，全国全社会用电量首次突破10万亿千瓦时，同比增长5.0%；“十四五”期间，全社会用电量年均增长6.6%，有力支撑了年均5.4%的GDP增长。发电装机结构低碳转型成效显著，截至2025年底，全国全口径发电装机容量389,664万千瓦，同比增长16.2%；其中风电和太阳能发电装机达18.4亿千瓦，占比从2020年底的25.7%提高至47.3%,首次超过火电。绿电消费规模和质量进一步提升，全年全国发电量新增4884亿千瓦时，其中风电太阳能新增发电量占全社会新增用电量的95.2%，对全社会用电量增长的覆盖能力不断增强。“十四五”期间我国电源投资翻倍增长，全国主要电力企业电源工程建设完成投资累计46,580亿元，比“十三五”期间增长163.6%，其中风电太阳能投资占电源总投资的62.5%，新能源成为电源投资的主力方向。全国单位发电量碳排放强度持续下降，2025年，全国单位发电量二氧化碳排放514克/千瓦时，同比降低2.6%，比2005年降低40.1%。全国统一电力市场体系初步建成，市场交易规模再创新高，2025年，全国累计完成市场交易电量6.6万亿千瓦时，同比增长7.4%，近十年增长超6倍。</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报告预测，2026年全国电力供需呈总体平衡态势，夏季局部地区平衡偏紧。综合考虑各方面因素，预计2026年全国全社会用电量同比增长5%～6%；新能源继续保持较大规模投产，全年新增发电装机有望超过4亿千瓦；特高压投资规模持续加大，跨省跨区能力将进一步提升。</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2024年7月，国家发展改革委、国家能源局印发《加快构建新型电力系统行动方案（2024—2027年）》，明确提出在电网末端和大电网未覆盖地区建设一批智能微电网项目，并开展"算力与电力协同"作为首批试点方向；2024年8月，国家发展改革委、国家能源局联合印发的《能源重点领域大规模设备更新实施方案》，方案特别强调"推进输配电设备更新和技术改造"，鼓励开展老旧变电站和输电线路整体改造，加快更新运行年限较长、不满足运行要求的变压器、高压开关等设备。同时，要求适度超前建设配电网，提升配电网承载力，以满足分布式新能源和电动汽车充电基础设施发展；2024年8月正式向社会公布《关于加快经济社会发展全面绿色转型的意见》，意见强调加快构建新型电力系统；2025年9月，工业和信息化部联合市场监管总局、国家能源局印发的《电力装备行业稳增长工作方案（2025—2026年）》为未来两年设定了明确的增长底线，方案提出到2026年，传统电力装备年均营收增速保持6%左右，龙头企业年均营收增速达到10%左右；2025年10月，《中共中央关于制定国民经济和社会发展第十五个五年规划的建议》将“全面提升电力系统互补互济和安全韧性水平，科学布局抽水蓄能，大力发展新型储能，加快智能电网和微电网建设”作为我国加快建设新型能源体系的一项重要发展目标。</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2026年6月，国家发展改革委、国家能源局联合印发《新型能源体系建设“十五五”规划》（发改能源〔2026〕884号）指出首次将新型电力系统建设确立为能源发展核心主线；新型电网建设纳入国家“六张网”重大基础设施布局，与可再生能源、储能等专项规划构成政策组合，直接拉动变压器、箱式变电站、成套电气设备等输配电设备需求。</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2026年7月30日，国家能源局举行新闻发布会介绍2026年上半年全国能源形势及能源转型成效、可再生能源并网运行、迎峰度夏能源电力保供、电动汽车充电基础设施建设情况，发布《中国新型储能发展报告（2026）》，新能源司副司长潘慧敏强调可再生能源装机规模稳步扩大。2026年上半年，全国可再生能源新增装机1.17亿千瓦，占全部新增装机的73.9%，继续保持新增装机主体地位；其中，水电新增并网603万千瓦，风电新增并网3862万千瓦，太阳能发电新增并网7207万千瓦，生物质发电新增并网60万千瓦。截至2026年6月底，全国可再生能源装机达到24.55亿千瓦，同比增长13.7%，约占我国总装机的60.7%；其中，水电装机4.54亿千瓦，风电装机6.79亿千瓦，太阳能发电装机12.74亿千瓦，生物质发电装机0.48亿千瓦。风光装机合计19.51亿千瓦，约占全国电力总装机的48.3%，太阳能发电装机与燃煤发电装机（12.75亿千瓦）基本持平。2026年上半年，全国可再生能源发电量近2万亿千瓦时，同比增加约9%，占全部发电量的41.2%，超过同期第三产业用电量（9916亿千瓦时）与城乡居民生活用电量（7315亿千瓦时）之和，可满足全社会近四成的用电需求；其中，风光发电量合计1.25万亿千瓦时，同比增长9.3%，占全社会用电量的24.6%，占到四分之一，达到同期第三产业用电量（9916亿千瓦时）约1.3倍。可再生能源发电增量1598亿千瓦时，覆盖全社会用电量增量的61.9%。</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近年来，国家能源局密集发布政策，推动配电环节新模式发展，输配电及控制设备领域需求持续向好。</w:t>
          </w:r>
        </w:p>
        <w:p>
          <w:pPr>
            <w:spacing w:line="360" w:lineRule="exact"/>
            <w:jc w:val="both"/>
            <w:outlineLvl w:val="4"/>
            <w:rPr>
              <w:color w:val="000000" w:themeColor="text1"/>
              <w14:textFill>
                <w14:solidFill>
                  <w14:schemeClr w14:val="tx1"/>
                </w14:solidFill>
              </w14:textFill>
            </w:rPr>
          </w:pPr>
          <w:r>
            <w:rPr>
              <w:rFonts w:hint="eastAsia"/>
              <w:color w:val="000000" w:themeColor="text1"/>
              <w14:textFill>
                <w14:solidFill>
                  <w14:schemeClr w14:val="tx1"/>
                </w14:solidFill>
              </w14:textFill>
            </w:rPr>
            <w:t>（2）主要技术门槛</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输配电及控制设备行业是电气自动化、微机继电保护技术、计算机网络与控制技术、通信技术、电磁兼容技术、软件开发技术、测量与控制、机械制造、高压绝缘、微电子技术、传感技术和数字处理技术等多种学科交叉的行业，企业需要有多年研发经验和运行经验的积累，以及深厚的技术储备。近年来，随着产品逐步向智能化、数字化、信息化、集成化、高效节能化的方向发展，智能电网技术标准体系的发布以及生产企业迈向数字化转型升级，都对行业内企业技术储备提出了更高的要求，需要企业大力投入研发，团队不断创新，致力于新技术与新产品的持续发展， 以满足下游应用的新需求。</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产品广泛服务于多个关键行业领域，涵盖新能源（风能、光伏、储能）、新基建（含数据中心）、工业企业电气配套、高端装备、传统发电及输配电等领域。通过深厚的技术积累与创新能力，公司致力于为上述领域提供高性能、高可靠性的电力变压器及其配套控制设备一体化解决方案，满足客户多样化的需求，助力行业高质量发展。</w:t>
          </w:r>
        </w:p>
        <w:p>
          <w:pPr>
            <w:spacing w:line="360" w:lineRule="exact"/>
            <w:jc w:val="both"/>
            <w:outlineLvl w:val="4"/>
            <w:rPr>
              <w:color w:val="000000" w:themeColor="text1"/>
              <w14:textFill>
                <w14:solidFill>
                  <w14:schemeClr w14:val="tx1"/>
                </w14:solidFill>
              </w14:textFill>
            </w:rPr>
          </w:pPr>
          <w:r>
            <w:rPr>
              <w:rFonts w:hint="eastAsia"/>
              <w:color w:val="000000" w:themeColor="text1"/>
              <w14:textFill>
                <w14:solidFill>
                  <w14:schemeClr w14:val="tx1"/>
                </w14:solidFill>
              </w14:textFill>
            </w:rPr>
            <w:t>（3）行业地位</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公司通过战略性并购云变电气，实现输配电及控制设备业务的全面升级与跨越式发展。</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1）产业链一体化优势突出，稳居行业前列</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公司输配电及控制设备业务稳居行业前列。凭借“材料—装备—服务—运营”的产业链协同优势，公司是国内唯一实现“取向硅钢—变压器核心材料—电力变压器—成套电气设备”全产业链布局输配电企业之一。</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2）细分领域龙头地位</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在铁路牵引变压器领域，公司控股子公司云变电气作为我国电气化铁路牵引变压器领域的技术标杆，凭借近90年专业积淀，持续引领行业创新发展，产品市场份额居全国首位。公司成功主导京张、京雄等国家重点高铁项目，在铁路牵引变压器细分市场保持30%以上的领先市场份额。</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3）技术与制造能力跃升</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电力变压器电压等级从110kV跃升至500kV，实现供应能力向“上”跃升。2025年，公司自主研发的OSFPSZ18-250000/220自耦电力变压器成功通过荷兰KEMA实验室全套认证测试，获得欧洲高端电力设备市场准入资格，正式跻身全球高端电力设备供应商行列。</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4）区域与战略布局</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已构建"立足西南、辐射全国、布局全球"的战略发展格局。作为中国西南地区领先的输配电设备制造商及全球铁路牵引变压器领域的核心供应商，公司与国家电网、中国电建等国内外核心客户建立了长期稳定的战略合作关系。同时，公司积极推动国际化进程，核心产品成功进入国际重大基建项目供应链，完成中国交建马来西亚东海岸铁路项目牵引变压器交付，履约中海油相关油气行业项目实现公司产品运用领域的新突破。</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5）技术创新实力</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公司成功获批"国家企业技术中心"，跻身国家科技创新体系"第一梯队"。公司累计获专利授权300余项。高原特种变压器产品技术优势显著，成功应用于海拔5,100米的西藏措美哲古风电场等重大项目，关键性能指标较行业平均水平提升15%～20%。</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在国家持续加大铁路与电力基础设施投资、加速新型电力系统建设的背景下，公司将持续巩固区域及细分领域龙头地位，打造具有全球影响力的电力装备品牌。</w:t>
          </w:r>
        </w:p>
        <w:p>
          <w:pPr>
            <w:spacing w:line="360" w:lineRule="exact"/>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2、取向硅钢业务行业情况</w:t>
          </w:r>
        </w:p>
        <w:p>
          <w:pPr>
            <w:spacing w:line="360" w:lineRule="exact"/>
            <w:jc w:val="both"/>
            <w:outlineLvl w:val="4"/>
            <w:rPr>
              <w:color w:val="000000" w:themeColor="text1"/>
              <w14:textFill>
                <w14:solidFill>
                  <w14:schemeClr w14:val="tx1"/>
                </w14:solidFill>
              </w14:textFill>
            </w:rPr>
          </w:pPr>
          <w:r>
            <w:rPr>
              <w:rFonts w:hint="eastAsia"/>
              <w:color w:val="000000" w:themeColor="text1"/>
              <w14:textFill>
                <w14:solidFill>
                  <w14:schemeClr w14:val="tx1"/>
                </w14:solidFill>
              </w14:textFill>
            </w:rPr>
            <w:t>（1）行业基本情况和特点</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电工钢是中国式现代化建设、高质量发展及人民生活不可缺少的重要原材料，是电力行业的“芯片”，取向硅钢又是电工钢金字塔尖的产品，被誉为钢铁工业“皇冠上的明珠”，特别是高等级取向硅钢更是电力传输中必备的尖端功能材料，是各类电力变压器产品的关键原材料，主要用于电力变压器（铁心）的制造，还可应用于大型电机（水电、风电、火电）铁心等领域。</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高牌号取向硅钢市场需求将持续攀升。在国家政策和各类标准的带动下，近年来取向硅钢，特别是高牌号取向硅钢发展呈现新趋势，从历年取向硅钢价格走势看，价格涨跌基本形成了3至5年一次波动的规律，随着电力变压器能效升级的推进，预计未来一般取向硅钢的市场需求会继续减少，高磁感取向硅钢需求增加，取向硅钢价格在经历市场调整后将趋向稳定。</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新兴市场需求日益增多刺激供大于求的情况。随着新能源汽车、高能效电力变压器及工业电机、抽水蓄能大型发电机等市场处于增量通道，硅钢整体表观需求呈现增长态势，其中也存在高等级的结构性机会。然而，随着资本市场及行业投资人的关注增加，高于需求增速的产能增速正在形成，这一方面导致整个行业供需态势正在向结构性过剩演变，一方面也是为进入新赛道的中国硅钢高质量发展注入新的潜能和动能。近年来，新能源汽车、特高压工程、高铁及轨道交通、智能家电、光伏发电、风电、数据中心等新兴领域对电工钢的需求也日益增多。</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2026年上半年，我国取向电工钢市场延续高端化转型态势，产品结构加速升级。在新能源发电大规模并网及变压器能效升级政策双重驱动下，下游对高磁感、低铁损的高端产品需求持续攀升，倒逼上游加速由CGO向HiB产品转型。2026年上半年HiB钢占比从2025年同期的67%大幅提升至77%，CGO份额显著下降，产品结构优化成效明显。公司HiB产能占比72.20%，且高牌号产量稳步增长，</w:t>
          </w:r>
          <w:r>
            <w:rPr>
              <w:color w:val="000000" w:themeColor="text1"/>
              <w14:textFill>
                <w14:solidFill>
                  <w14:schemeClr w14:val="tx1"/>
                </w14:solidFill>
              </w14:textFill>
            </w:rPr>
            <w:t>在高端市场占据一席之地</w:t>
          </w:r>
          <w:r>
            <w:rPr>
              <w:rFonts w:hint="eastAsia"/>
              <w:color w:val="000000" w:themeColor="text1"/>
              <w14:textFill>
                <w14:solidFill>
                  <w14:schemeClr w14:val="tx1"/>
                </w14:solidFill>
              </w14:textFill>
            </w:rPr>
            <w:t>。</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中国金属学会电工分会统计，2026年上半年我国取向硅钢总量达177.03万吨，同比增长11.97%。</w:t>
          </w:r>
        </w:p>
        <w:p>
          <w:pPr>
            <w:spacing w:line="360" w:lineRule="exact"/>
            <w:jc w:val="both"/>
            <w:outlineLvl w:val="4"/>
            <w:rPr>
              <w:color w:val="000000" w:themeColor="text1"/>
              <w14:textFill>
                <w14:solidFill>
                  <w14:schemeClr w14:val="tx1"/>
                </w14:solidFill>
              </w14:textFill>
            </w:rPr>
          </w:pPr>
          <w:r>
            <w:rPr>
              <w:rFonts w:hint="eastAsia"/>
              <w:color w:val="000000" w:themeColor="text1"/>
              <w14:textFill>
                <w14:solidFill>
                  <w14:schemeClr w14:val="tx1"/>
                </w14:solidFill>
              </w14:textFill>
            </w:rPr>
            <w:t>（2）主要技术门槛</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建国初期，我国取向硅钢主要依赖于向日本、美国、德国等国际厂商采购，1974年武汉钢铁（集团）有限公司自日本引进了全套一般取向硅钢装备和技术，并于1978年建成投产。1995年，武汉钢铁（集团）有限公司自日本引进了高磁感取向硅钢生产设备和技术。2007年底，我国仅有武汉钢铁（集团）有限公司可以生产取向硅钢，国内需求一半以上依赖进口。随着国内电网大规模建设，电力变压器需求相应以较大幅度增长，取向硅钢整体供不应求的局面较大程度抑制了电力变压器及铁心制造行业的市场化发展。2007年以后，武汉钢铁（集团）有限公司逐步进行产能扩张，宝钢集团有限公司、首钢集团有限公司等厂商纷纷投资建设取向硅钢生产线，我国取向硅钢产能大幅提高。</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目前我国已生产出多规格、多牌号、更低铁损、更高磁感的取向硅钢，满足了国家电力工业高质量发展和电力变压器能效升级的需要，在我国特高压电网建设中，高磁感取向硅钢发挥了重要的作用。在这期间，我国经历了从依赖进口高磁感取向硅钢到基本使用国产高磁感取向硅钢的巨变。</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取向硅钢，尤其是高磁感取向硅钢，因工艺窗口参数控制技术壁垒较高，国内能够生产高磁感取向硅钢的企业较少，行业内企业主要集中在大型的国有钢铁企业和较少数的民营企业。</w:t>
          </w:r>
        </w:p>
        <w:p>
          <w:pPr>
            <w:spacing w:line="360" w:lineRule="exact"/>
            <w:jc w:val="both"/>
            <w:outlineLvl w:val="4"/>
            <w:rPr>
              <w:color w:val="000000" w:themeColor="text1"/>
              <w14:textFill>
                <w14:solidFill>
                  <w14:schemeClr w14:val="tx1"/>
                </w14:solidFill>
              </w14:textFill>
            </w:rPr>
          </w:pPr>
          <w:r>
            <w:rPr>
              <w:rFonts w:hint="eastAsia"/>
              <w:color w:val="000000" w:themeColor="text1"/>
              <w14:textFill>
                <w14:solidFill>
                  <w14:schemeClr w14:val="tx1"/>
                </w14:solidFill>
              </w14:textFill>
            </w:rPr>
            <w:t>（3）行业地位</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公司取向硅钢业务保持强劲发展态势，通过持续技术创新与产能升级，巩固并提升了在行业中的领先地位。</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1）产能规模位居全国前列</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公司取向硅钢总产能18万吨，其中高牌号取向硅钢产能为13万吨。根据行业数据，公司取向硅钢产能规模居行业前列。</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2）产品结构持续高端化</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公司持续推进高端化战略，产品结构不断优化，高牌号产品占比持续提升。同时，公司成功攻克075牌号高磁感取向硅钢技术壁垒，成为行业内少数掌握该核心技术的企业之一。</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3）技术创新实力显著提升</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科技创新成果持续增加：截至报告期末公司专利累计达300余项；与中国钢研科技集团连铸技术国家工程研究中心、重庆大学、重庆理工大学、重庆交通大学、重庆邮电大学、重庆科技大学、中南大学、武汉科技大学、中国科学院物理所、松山湖材料实验室等高校及机构联合开展实验室，共建研发平台；参与两项国际标准制定，掌握行业话语权。公司成功获批国家企业技术中心及国家级博士后科研工作站，科研实力再上新台阶。</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4）国际化布局持续深化</w:t>
          </w:r>
        </w:p>
        <w:p>
          <w:pPr>
            <w:spacing w:line="360" w:lineRule="exact"/>
            <w:ind w:firstLine="420" w:firstLineChars="200"/>
            <w:jc w:val="both"/>
            <w:rPr>
              <w:color w:val="000000" w:themeColor="text1"/>
              <w14:textFill>
                <w14:solidFill>
                  <w14:schemeClr w14:val="tx1"/>
                </w14:solidFill>
              </w14:textFill>
            </w:rPr>
          </w:pPr>
          <w:r>
            <w:rPr>
              <w:color w:val="000000" w:themeColor="text1"/>
              <w14:textFill>
                <w14:solidFill>
                  <w14:schemeClr w14:val="tx1"/>
                </w14:solidFill>
              </w14:textFill>
            </w:rPr>
            <w:t>公司取向硅钢产品远销东南亚、中东、欧美等地区，客户主要涉及土耳其、韩国、巴西、南非、沙特、越南、新加坡、加拿大等国家</w:t>
          </w:r>
          <w:r>
            <w:rPr>
              <w:rFonts w:hint="eastAsia"/>
              <w:color w:val="000000" w:themeColor="text1"/>
              <w14:textFill>
                <w14:solidFill>
                  <w14:schemeClr w14:val="tx1"/>
                </w14:solidFill>
              </w14:textFill>
            </w:rPr>
            <w:t>。公司与伊藤忠丸红钢铁、浦项国际贸易、美达王等国际知名企业建立稳定的战略合作关系，国际化业务持续深化。</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5）产业链协同优势凸显</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构建起从取向硅钢—硅钢铁心—电力变压器—箱式变电站/成套电气设备—检修运维安装服务-电动汽车充电业务的一体化产业链，成为国内少数实现取向硅钢原材料自给与输配电及控制设备产业协同的企业之一。</w:t>
          </w:r>
        </w:p>
        <w:p>
          <w:pPr>
            <w:spacing w:line="360" w:lineRule="exact"/>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3、电动汽车充电业务行业情况</w:t>
          </w:r>
        </w:p>
        <w:p>
          <w:pPr>
            <w:spacing w:line="360" w:lineRule="exact"/>
            <w:jc w:val="both"/>
            <w:outlineLvl w:val="4"/>
            <w:rPr>
              <w:color w:val="000000" w:themeColor="text1"/>
              <w14:textFill>
                <w14:solidFill>
                  <w14:schemeClr w14:val="tx1"/>
                </w14:solidFill>
              </w14:textFill>
            </w:rPr>
          </w:pPr>
          <w:r>
            <w:rPr>
              <w:rFonts w:hint="eastAsia"/>
              <w:color w:val="000000" w:themeColor="text1"/>
              <w14:textFill>
                <w14:solidFill>
                  <w14:schemeClr w14:val="tx1"/>
                </w14:solidFill>
              </w14:textFill>
            </w:rPr>
            <w:t>（1）行业基本情况和特点</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电动汽车及充电基础设施行业，是国家大力支持发展的行业。2023 年12月，国家发展改革委、国家能源局、工信部和市场监管总局联合印发《国家发展改革委等部门关于加强新能源汽车与电网融合互动的实施意见》，明确提出到2030年，我国车网互动技术标准体系基本建成，车网互动实现规模化应用，智能有序充电全面推广，新能源汽车成为电化学储能体系的重要组成部分，力争为电力系统提供千万千瓦级的双向灵活性调节能力；2024年7月，中共中央、国务院发布《关于加快经济社会发展全面绿色转型的意见》，提出要大力推广新能源汽车，推动城市公共服务车辆电动化替代。到2035年，新能源汽车成为新销售车辆的主流。2024年8月，国家发展改革委办公厅等部门发布《关于推动车网互动规模化应用试点工作的通知》，全面推广新能源汽车有序充电，扩大双向充放电（V2G）项目规模，丰富车网互动应用场景，力争以市场化机制引导车网互动规模化发展；2024年11月，国家能源局发布了《关于支持电力领域新型经营主体创新发展的指导意见》。</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2023年，工信部联合七部门发布了《关于组织开展公共领域车辆全面电动化先行区试点工作的通知》，标志着全国范围内公共领域车辆全面电动化试点工作的启动。该试点工作特别强调提高包括城市物流配送在内的新能源汽车使用比例，目标达到80%。这一政策转变清楚地表明，国家政策将继续为新能源物流车的发展提供坚实的支持，推动商用车市场的电动化渗透率持续提升。</w:t>
          </w:r>
        </w:p>
        <w:p>
          <w:pPr>
            <w:spacing w:line="360" w:lineRule="exact"/>
            <w:ind w:firstLine="420" w:firstLineChars="200"/>
            <w:jc w:val="both"/>
          </w:pPr>
          <w:r>
            <w:rPr>
              <w:rFonts w:hint="eastAsia"/>
            </w:rPr>
            <w:t>2025年9月（2026年正在执行），国家发展改革委等六部门联合印发《电动汽车充电设施服务能力“三年倍增”行动方案（2025—2027年）》（发改能源〔2025〕1250号）提出到2027年底建成2800万个充电设施、公共充电容量超3亿千瓦；高速公路新建改建4万个60千瓦以上“超快结合”充电枪；优先布局物流、中重型货运等专用充电设施；鼓励地方研究建设运营补贴机制、通过地方政府专项债券支持。</w:t>
          </w:r>
        </w:p>
        <w:p>
          <w:pPr>
            <w:spacing w:line="360" w:lineRule="exact"/>
            <w:ind w:firstLine="420" w:firstLineChars="200"/>
            <w:jc w:val="both"/>
          </w:pPr>
          <w:r>
            <w:rPr>
              <w:rFonts w:hint="eastAsia"/>
            </w:rPr>
            <w:t>2026年7月，国家发展改革委、国家能源局联合印发《新型电力系统建设“十五五”规划》（发改能源〔2026〕942号）提出到2030年全国充电设施总量突破4000万个，其中大功率快充设施约30万个，形成支撑超1.1亿辆电动汽车的充电服务能力；推动高速公路服务区充电设施更新改造。“十五五”期间全国年均用电增量约6000亿度，算力用电、电动汽车充电需求激增为主要驱动；中国电力企业联合会预计“十五五”电网投资将达5万亿元以上。</w:t>
          </w:r>
        </w:p>
        <w:p>
          <w:pPr>
            <w:spacing w:line="360" w:lineRule="exact"/>
            <w:ind w:firstLine="420" w:firstLineChars="200"/>
            <w:jc w:val="both"/>
          </w:pPr>
          <w:r>
            <w:rPr>
              <w:rFonts w:hint="eastAsia"/>
              <w:color w:val="000000" w:themeColor="text1"/>
              <w14:textFill>
                <w14:solidFill>
                  <w14:schemeClr w14:val="tx1"/>
                </w14:solidFill>
              </w14:textFill>
            </w:rPr>
            <w:t>随着电动汽车的迅速普及以及电动重卡的广泛应用，充电基础设施的建设投入也持续加大，近年来，云南、重庆等地均发布一系列规划政策鼓励新能源汽车超充站设施建设。2025年7月，《云南省公路重卡充换电基础设施布局规划（2026—2030年）》（征求意见稿）提出到2030年，计划在主要货运干线、重点口岸、昆明、曲靖、玉溪等主要工业园区内部及周边交通要道、云南省主要矿产资源集中区域以及公路运输与铁路、水路、航空运输等多式联运的衔接区域，建成充换电站570座。重庆市经信委亦于2025年7月发布公开征求对《重庆市智能网联新能源汽车产业链“渝链智擎”行动计划（2025-2027）》的意见，文件指出进一步规范充换电基础设施“投建运退”等重点环节。进一步加密中心城区和主城新区超充站布局，鼓励两个地区对满足条件的公共快充站进行改造升级。有序推进电动重型货车超充站建设。加速双向充放电基础设施建设。建立健全车网互动市场交易机制，打造一批双向充放电示范项目，加速公共充电站智能有序充电功能应用。到2027年，力争全市建成投用超充站2000座以上。电动重卡普及推动电动汽车超充站行业将迎来巨大发展空间。</w:t>
          </w:r>
        </w:p>
        <w:p>
          <w:pPr>
            <w:spacing w:line="360" w:lineRule="exact"/>
            <w:jc w:val="both"/>
            <w:outlineLvl w:val="4"/>
            <w:rPr>
              <w:color w:val="000000" w:themeColor="text1"/>
              <w14:textFill>
                <w14:solidFill>
                  <w14:schemeClr w14:val="tx1"/>
                </w14:solidFill>
              </w14:textFill>
            </w:rPr>
          </w:pPr>
          <w:r>
            <w:rPr>
              <w:rFonts w:hint="eastAsia"/>
              <w:color w:val="000000" w:themeColor="text1"/>
              <w14:textFill>
                <w14:solidFill>
                  <w14:schemeClr w14:val="tx1"/>
                </w14:solidFill>
              </w14:textFill>
            </w:rPr>
            <w:t>（2）主要技术门槛</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新能源汽车充电业务正处于从“够用”向“快充”升级的关键期，而重卡充电由于其兆瓦级功率需求，技术门槛呈现指数级提升。当前行业的核心矛盾在于“充电效率”与“电网/设备承载力”之间的平衡。随着800V高压车型普及，通用门槛主要集中在大功率散热技术，即要实现250kW以上的超充，传统风冷枪线难以承受400-600A的大电流，必须采用液冷技术。液冷终端通过循环冷却液带走热量，使枪线更轻便且能满足长时间高功率输出，但目前成本较高，尚未大规模普及。</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另外大规模快充对电网造成冲击，需要充电模块具备V2G（车网互动）或储充一体化功能以实现削峰填谷。此外，中国汽车工业协会正在推进《车桩融合大功率充电安全预警技术指南》，要求设备具备高精度绝缘检测和热失控预警能力。</w:t>
          </w:r>
        </w:p>
        <w:p>
          <w:pPr>
            <w:spacing w:line="360" w:lineRule="exact"/>
            <w:jc w:val="both"/>
            <w:outlineLvl w:val="4"/>
            <w:rPr>
              <w:color w:val="000000" w:themeColor="text1"/>
              <w14:textFill>
                <w14:solidFill>
                  <w14:schemeClr w14:val="tx1"/>
                </w14:solidFill>
              </w14:textFill>
            </w:rPr>
          </w:pPr>
          <w:r>
            <w:rPr>
              <w:rFonts w:hint="eastAsia"/>
              <w:color w:val="000000" w:themeColor="text1"/>
              <w14:textFill>
                <w14:solidFill>
                  <w14:schemeClr w14:val="tx1"/>
                </w14:solidFill>
              </w14:textFill>
            </w:rPr>
            <w:t>（3）行业地位</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电动汽车充电业务依托输配电设备深厚技术积淀与取向硅钢全产业链优势，通过兆瓦级智能充变一体设备及预制舱变电站等原创性技术创新，在重卡超充细分赛道确立差异化竞争优势，成为行业领先的兆瓦级超充基础设施整体解决方案提供商。</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公司加入华为牵头打造的超充联盟2.0，通过整合产业链资源，构建“技术-产品-网络”协同生态，推动兆瓦超充从技术方案走向规模化应用。</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目前，超充联盟2.0已形成强大的产业聚合效应。联盟成员超10家主流重卡车企，计划年底前推出59款兆瓦超充重卡，其中22款已实现交付，覆盖港口集疏运、矿山运输、干线物流等高频作业场景。</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1）技术创新引领，充变一体，破解建站难题</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自主研发的兆瓦级智能充变一体机，实现“变电站+充电堆”深度融合与预制化集成，让建站“不再难”。产品预制化交付较传统建站模式缩短工期80%以上；低成本部署，综合投资成本降低15%—20%；整机集成设计支持灵活迁移，可根据运力需求快速调整站点布局，适配重卡运输线路动态变化。</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技术参数领先：兆瓦级功率，适配未来需求</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产品直接接入10kV配电网，支持200–1000V宽电压输出，全面适配当前及未来“千伏”平台超充需求。</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2）充变团队联袂研发，一体化产品“遥遥领先”</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依托公司深耕输配电领域数十年的技术积淀，“变”+“充”团队联袂研发，实现从取向硅钢、变压器到充电设备的全产业链自主研发与生产。自产高效节能变压器与充电堆技术的深度融合，不仅保障核心部件品质与匹配度，更通过材料端成本优势，叠加产品在</w:t>
          </w:r>
          <w:r>
            <w:rPr>
              <w:color w:val="000000" w:themeColor="text1"/>
              <w14:textFill>
                <w14:solidFill>
                  <w14:schemeClr w14:val="tx1"/>
                </w14:solidFill>
              </w14:textFill>
            </w:rPr>
            <w:t>功率密度、电能转换效率、建站周期等</w:t>
          </w:r>
          <w:r>
            <w:rPr>
              <w:rFonts w:hint="eastAsia"/>
              <w:color w:val="000000" w:themeColor="text1"/>
              <w14:textFill>
                <w14:solidFill>
                  <w14:schemeClr w14:val="tx1"/>
                </w14:solidFill>
              </w14:textFill>
            </w:rPr>
            <w:t>核心优势，构建竞争对手难以复制的技术壁垒，全方位“遥遥领先”行业同类产品。</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3）战略布局与生态合作</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精准锚定电动重卡超充细分市场，计划总投资不超过5.4亿元建设兆瓦级智能超充网络，在云南、重庆等地布局近100座电动重卡超充站，重点覆盖物流枢纽、港口、矿区、钢厂等高频使用场景。报告期内，公司与重卡超充产业链合作伙伴达成多项战略合作，实现“车—桩—运—场景”一体化超充重卡新生态的商业闭环。</w:t>
          </w:r>
        </w:p>
        <w:p>
          <w:pPr>
            <w:pStyle w:val="101"/>
            <w:spacing w:line="360" w:lineRule="exact"/>
            <w:ind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4）技术平台支撑</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公司获批国家级企业技术中心，汇聚以中国科学院汪卫华院士为首的研发团队，在电工材料、新能源装备、智能电网等领域具备深厚技术积累，为充电业务持续创新提供了坚实保障。</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公司电动汽车充电业务作为战略性新兴板块，依托输配电设备领域深厚技术积淀，实现从设备制造商向新能源基础设施运营商的战略延伸，在重卡超充细分赛道快速确立先发优势。</w:t>
          </w:r>
        </w:p>
        <w:p>
          <w:pPr>
            <w:spacing w:line="360" w:lineRule="exact"/>
            <w:jc w:val="both"/>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（二）公司主营业务情况</w:t>
          </w:r>
        </w:p>
        <w:p>
          <w:pPr>
            <w:spacing w:line="360" w:lineRule="exact"/>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1、输配电及控制设备业务</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输配电及控制设备主要包括电力变压器、箱式变电站、智能充变一体机、成套电气设备及铁芯相关产品，产品广泛应用于电力、农业、工业、商业及居民用电、基础设施建设等传统领域，并逐步拓展至新能源光伏、风电、充电设施、储能、轨道交通、数据中心及新型基础设施等新兴领域。</w:t>
          </w:r>
        </w:p>
        <w:p>
          <w:pPr>
            <w:spacing w:line="360" w:lineRule="exact"/>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2、取向硅钢业务</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取向硅钢主要包含一般取向硅钢（CGO）和高磁感取向硅钢（HiB），主要用于电力变压器（铁心）的制造，并可拓展应用于大型电机（如水电、风电等）领域。客户群体包括国内外主流电力变压器及电机制造企业，客户结构较为稳定。</w:t>
          </w:r>
        </w:p>
        <w:p>
          <w:pPr>
            <w:spacing w:line="360" w:lineRule="exact"/>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3、电动汽车充电业务</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电动汽车充电业务板块聚焦重卡超充细分赛道，通过构建“核心设备自产+场站投建运营+产业链生态协同”的商业模式，致力于成为新能源商用车领域具有竞争力的绿色能源综合服务商。</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公司正逐步探索“设备+运营”一体化发展路径，提升业务的持续运营能力与商业化水平。</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公司主要产品在产业链内覆盖情况如下：</w:t>
          </w:r>
        </w:p>
        <w:p>
          <w:pPr>
            <w:pStyle w:val="101"/>
            <w:rPr>
              <w:color w:val="000000" w:themeColor="text1"/>
              <w14:textFill>
                <w14:solidFill>
                  <w14:schemeClr w14:val="tx1"/>
                </w14:solidFill>
              </w14:textFill>
            </w:rPr>
          </w:pPr>
        </w:p>
        <w:p>
          <w:pPr>
            <w:pStyle w:val="101"/>
            <w:ind w:firstLine="0" w:firstLineChars="0"/>
            <w:rPr>
              <w:color w:val="000000" w:themeColor="text1"/>
              <w14:textFill>
                <w14:solidFill>
                  <w14:schemeClr w14:val="tx1"/>
                </w14:solidFill>
              </w14:textFill>
            </w:rPr>
          </w:pPr>
          <w:r>
            <w:rPr>
              <w:rFonts w:ascii="宋体" w:hAnsi="宋体" w:cs="宋体"/>
              <w:sz w:val="24"/>
              <w:szCs w:val="24"/>
            </w:rPr>
            <w:drawing>
              <wp:inline distT="0" distB="0" distL="114300" distR="114300">
                <wp:extent cx="5530215" cy="2666365"/>
                <wp:effectExtent l="0" t="0" r="1905" b="63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5530215" cy="2666365"/>
                        </a:xfrm>
                        <a:prstGeom prst="rect">
                          <a:avLst/>
                        </a:prstGeom>
                        <a:noFill/>
                        <a:ln w="9525">
                          <a:noFill/>
                        </a:ln>
                      </pic:spPr>
                    </pic:pic>
                  </a:graphicData>
                </a:graphic>
              </wp:inline>
            </w:drawing>
          </w:r>
        </w:p>
        <w:p>
          <w:pPr>
            <w:rPr>
              <w:color w:val="000000" w:themeColor="text1"/>
              <w14:textFill>
                <w14:solidFill>
                  <w14:schemeClr w14:val="tx1"/>
                </w14:solidFill>
              </w14:textFill>
            </w:rPr>
          </w:pP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注：上图红色虚线框内为公司主要产品覆盖情况，蓝色为公司主营业务涉及情况。</w:t>
          </w:r>
        </w:p>
        <w:p>
          <w:pPr>
            <w:rPr>
              <w:color w:val="000000" w:themeColor="text1"/>
              <w14:textFill>
                <w14:solidFill>
                  <w14:schemeClr w14:val="tx1"/>
                </w14:solidFill>
              </w14:textFill>
            </w:rPr>
          </w:pPr>
        </w:p>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公司的主要产品基本情况如下：</w:t>
          </w:r>
        </w:p>
        <w:p>
          <w:pPr>
            <w:rPr>
              <w:color w:val="000000" w:themeColor="text1"/>
              <w14:textFill>
                <w14:solidFill>
                  <w14:schemeClr w14:val="tx1"/>
                </w14:solidFill>
              </w14:textFill>
            </w:rPr>
          </w:pPr>
        </w:p>
        <w:p>
          <w:pPr>
            <w:pStyle w:val="101"/>
            <w:ind w:firstLine="0" w:firstLineChars="0"/>
          </w:pPr>
        </w:p>
        <w:p>
          <w:pPr>
            <w:pStyle w:val="101"/>
            <w:ind w:firstLine="0" w:firstLineChars="0"/>
          </w:pPr>
          <w:r>
            <w:drawing>
              <wp:inline distT="0" distB="0" distL="0" distR="0">
                <wp:extent cx="5608955" cy="2820670"/>
                <wp:effectExtent l="0" t="0" r="0" b="0"/>
                <wp:docPr id="10714173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417374"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608955" cy="2820670"/>
                        </a:xfrm>
                        <a:prstGeom prst="rect">
                          <a:avLst/>
                        </a:prstGeom>
                        <a:noFill/>
                        <a:ln>
                          <a:noFill/>
                        </a:ln>
                      </pic:spPr>
                    </pic:pic>
                  </a:graphicData>
                </a:graphic>
              </wp:inline>
            </w:drawing>
          </w:r>
        </w:p>
        <w:p>
          <w:pPr>
            <w:pStyle w:val="101"/>
            <w:ind w:firstLine="0" w:firstLineChars="0"/>
          </w:pPr>
        </w:p>
        <w:p>
          <w:pPr>
            <w:pStyle w:val="101"/>
            <w:ind w:firstLine="0" w:firstLineChars="0"/>
          </w:pPr>
          <w:r>
            <w:rPr>
              <w:rFonts w:hint="eastAsia"/>
            </w:rPr>
            <w:drawing>
              <wp:inline distT="0" distB="0" distL="0" distR="0">
                <wp:extent cx="5608955" cy="3088005"/>
                <wp:effectExtent l="0" t="0" r="0" b="0"/>
                <wp:docPr id="11187897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789744" name="图片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608955" cy="3088005"/>
                        </a:xfrm>
                        <a:prstGeom prst="rect">
                          <a:avLst/>
                        </a:prstGeom>
                        <a:noFill/>
                        <a:ln>
                          <a:noFill/>
                        </a:ln>
                      </pic:spPr>
                    </pic:pic>
                  </a:graphicData>
                </a:graphic>
              </wp:inline>
            </w:drawing>
          </w:r>
        </w:p>
        <w:p>
          <w:pPr>
            <w:pStyle w:val="101"/>
            <w:ind w:firstLine="0" w:firstLineChars="0"/>
          </w:pPr>
          <w:r>
            <w:rPr>
              <w:rFonts w:hint="eastAsia"/>
            </w:rPr>
            <w:drawing>
              <wp:inline distT="0" distB="0" distL="0" distR="0">
                <wp:extent cx="5608955" cy="3122930"/>
                <wp:effectExtent l="0" t="0" r="0" b="1270"/>
                <wp:docPr id="127358909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89098" name="图片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608955" cy="3122930"/>
                        </a:xfrm>
                        <a:prstGeom prst="rect">
                          <a:avLst/>
                        </a:prstGeom>
                        <a:noFill/>
                        <a:ln>
                          <a:noFill/>
                        </a:ln>
                      </pic:spPr>
                    </pic:pic>
                  </a:graphicData>
                </a:graphic>
              </wp:inline>
            </w:drawing>
          </w:r>
        </w:p>
        <w:p>
          <w:pPr>
            <w:pStyle w:val="101"/>
            <w:ind w:firstLineChars="0"/>
          </w:pPr>
          <w:r>
            <w:rPr>
              <w:rFonts w:hint="eastAsia"/>
            </w:rPr>
            <w:t>报告期内，公司的主营业务未发生重大变化。</w:t>
          </w:r>
        </w:p>
        <w:p>
          <w:pPr>
            <w:pStyle w:val="101"/>
            <w:ind w:firstLineChars="0"/>
          </w:pPr>
        </w:p>
      </w:sdtContent>
    </w:sdt>
    <w:p>
      <w:pPr>
        <w:pStyle w:val="101"/>
        <w:ind w:firstLine="0" w:firstLineChars="0"/>
      </w:pPr>
      <w:bookmarkStart w:id="36" w:name="_Hlk199506625"/>
      <w:bookmarkStart w:id="37" w:name="_Hlk188285089"/>
      <w:r>
        <w:rPr>
          <w:rFonts w:hint="eastAsia"/>
        </w:rPr>
        <w:t>报告期内公司新增重要非主营业务的说明</w:t>
      </w:r>
    </w:p>
    <w:sdt>
      <w:sdtPr>
        <w:rPr>
          <w:rFonts w:hint="eastAsia"/>
        </w:rPr>
        <w:alias w:val="是否适用：报告期内公司新增重要非主营业务的说明[双击切换]"/>
        <w:tag w:val="_GBC_c777ca3f625d446a99f6adbd4267c48a"/>
        <w:id w:val="1180248059"/>
        <w:placeholder>
          <w:docPart w:val="GBC22222222222222222222222222222"/>
        </w:placeholder>
      </w:sdtPr>
      <w:sdtEndPr>
        <w:rPr>
          <w:rFonts w:hint="eastAsia"/>
        </w:rPr>
      </w:sdtEndPr>
      <w:sdtContent>
        <w:p>
          <w:pPr>
            <w:pStyle w:val="48"/>
          </w:pPr>
          <w:r>
            <w:rPr>
              <w:rFonts w:hint="eastAsia" w:ascii="宋体" w:hAnsi="宋体"/>
            </w:rPr>
            <w:fldChar w:fldCharType="begin"/>
          </w:r>
          <w:r>
            <w:rPr>
              <w:rFonts w:hint="eastAsia" w:ascii="宋体" w:hAnsi="宋体"/>
            </w:rPr>
            <w:instrText xml:space="preserve"> MACROBUTTON  SnrToggleCheckbox □适用 </w:instrText>
          </w:r>
          <w:r>
            <w:rPr>
              <w:rFonts w:hint="eastAsia" w:ascii="宋体" w:hAnsi="宋体"/>
            </w:rPr>
            <w:fldChar w:fldCharType="end"/>
          </w:r>
          <w:r>
            <w:rPr>
              <w:rFonts w:hint="eastAsia" w:ascii="宋体" w:hAnsi="宋体"/>
            </w:rPr>
            <w:fldChar w:fldCharType="begin"/>
          </w:r>
          <w:r>
            <w:rPr>
              <w:rFonts w:hint="eastAsia" w:ascii="宋体" w:hAnsi="宋体"/>
            </w:rPr>
            <w:instrText xml:space="preserve"> MACROBUTTON  SnrToggleCheckbox √不适用 </w:instrText>
          </w:r>
          <w:r>
            <w:rPr>
              <w:rFonts w:hint="eastAsia" w:ascii="宋体" w:hAnsi="宋体"/>
            </w:rPr>
            <w:fldChar w:fldCharType="end"/>
          </w:r>
        </w:p>
      </w:sdtContent>
    </w:sdt>
    <w:bookmarkEnd w:id="36"/>
    <w:bookmarkEnd w:id="37"/>
    <w:p>
      <w:pPr>
        <w:pStyle w:val="50"/>
        <w:numPr>
          <w:ilvl w:val="0"/>
          <w:numId w:val="5"/>
        </w:numPr>
        <w:tabs>
          <w:tab w:val="left" w:pos="426"/>
        </w:tabs>
        <w:ind w:left="0" w:firstLine="0"/>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经营情况的讨论与分析</w:t>
      </w:r>
    </w:p>
    <w:sdt>
      <w:sdtPr>
        <w:rPr>
          <w:rFonts w:hint="eastAsia"/>
          <w:color w:val="000000" w:themeColor="text1"/>
          <w14:textFill>
            <w14:solidFill>
              <w14:schemeClr w14:val="tx1"/>
            </w14:solidFill>
          </w14:textFill>
        </w:rPr>
        <w:alias w:val="管理层讨论与分析"/>
        <w:tag w:val="_GBC_886258ec69e240da99b57ac102afbda6"/>
        <w:id w:val="634073085"/>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2026年是公司</w:t>
          </w:r>
          <w:r>
            <w:rPr>
              <w:color w:val="000000" w:themeColor="text1"/>
              <w14:textFill>
                <w14:solidFill>
                  <w14:schemeClr w14:val="tx1"/>
                </w14:solidFill>
              </w14:textFill>
            </w:rPr>
            <w:t>新一轮五年战略规划的开局承启之年</w:t>
          </w:r>
          <w:r>
            <w:rPr>
              <w:rFonts w:hint="eastAsia"/>
              <w:color w:val="000000" w:themeColor="text1"/>
              <w14:textFill>
                <w14:solidFill>
                  <w14:schemeClr w14:val="tx1"/>
                </w14:solidFill>
              </w14:textFill>
            </w:rPr>
            <w:t>。上半年面对行业周期波动与能源转型纵深推进的双重考验，公司坚持“创新驱动、产业升级、全球拓展”三大核心战略不动摇，依托新获批的“国家企业技术中心”创新平台，加速核心技术攻关与成果转化，全产业链协同效能稳步提升，核心竞争力再上新台阶。</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2026年上半年，公司紧扣新型电力系统建设向纵深推进的窗口期，在巩固取向硅钢与电力装备“双轮驱动”基本盘的同时，有力推动“兆瓦级智能超充网络建设项目”建设，成功</w:t>
          </w:r>
          <w:r>
            <w:rPr>
              <w:color w:val="000000" w:themeColor="text1"/>
              <w14:textFill>
                <w14:solidFill>
                  <w14:schemeClr w14:val="tx1"/>
                </w14:solidFill>
              </w14:textFill>
            </w:rPr>
            <w:t>构建“制造+服务”的生态闭环</w:t>
          </w:r>
          <w:r>
            <w:rPr>
              <w:rFonts w:hint="eastAsia"/>
              <w:color w:val="000000" w:themeColor="text1"/>
              <w14:textFill>
                <w14:solidFill>
                  <w14:schemeClr w14:val="tx1"/>
                </w14:solidFill>
              </w14:textFill>
            </w:rPr>
            <w:t>，客户实现全球化与高端化双线突破，在高端材料与核心装备实现双轮迭代，技术壁垒持续夯实，多点布局的新兴业务成效加速显现。</w:t>
          </w:r>
        </w:p>
        <w:p>
          <w:pPr>
            <w:spacing w:line="360" w:lineRule="exact"/>
            <w:ind w:firstLine="420" w:firstLineChars="200"/>
            <w:jc w:val="both"/>
            <w:rPr>
              <w:rFonts w:cs="Times New Roman"/>
              <w:bCs w:val="0"/>
            </w:rPr>
          </w:pPr>
          <w:r>
            <w:rPr>
              <w:rFonts w:hint="eastAsia" w:cs="Times New Roman"/>
              <w:bCs w:val="0"/>
            </w:rPr>
            <w:t>2026年上半年，公司稳中求进、进中提质，以业态创新、客户升维和产品迭代为核心驱动力，持续释放新质生产力与价值链跃升的协同效应，为全年经营目标及五年战略蓝图落地打下了坚实根基。具体如下：</w:t>
          </w:r>
        </w:p>
        <w:p>
          <w:pPr>
            <w:spacing w:line="360" w:lineRule="exact"/>
            <w:ind w:firstLine="422" w:firstLineChars="200"/>
            <w:jc w:val="both"/>
            <w:outlineLvl w:val="2"/>
            <w:rPr>
              <w:rFonts w:hint="eastAsia" w:ascii="宋体" w:hAnsi="宋体" w:cs="Times New Roman"/>
              <w:b/>
              <w:kern w:val="2"/>
              <w:szCs w:val="22"/>
            </w:rPr>
          </w:pPr>
          <w:r>
            <w:rPr>
              <w:rFonts w:hint="eastAsia" w:ascii="宋体" w:hAnsi="宋体" w:cs="Times New Roman"/>
              <w:b/>
              <w:kern w:val="2"/>
              <w:szCs w:val="22"/>
            </w:rPr>
            <w:t>（一）主要财务指标</w:t>
          </w:r>
        </w:p>
        <w:p>
          <w:pPr>
            <w:spacing w:line="360" w:lineRule="exact"/>
            <w:ind w:firstLine="420" w:firstLineChars="200"/>
            <w:jc w:val="both"/>
            <w:rPr>
              <w:rFonts w:hint="eastAsia" w:ascii="宋体" w:hAnsi="宋体" w:cs="Times New Roman"/>
              <w:b/>
              <w:kern w:val="2"/>
              <w:szCs w:val="22"/>
            </w:rPr>
          </w:pPr>
          <w:r>
            <w:rPr>
              <w:rFonts w:hint="eastAsia" w:ascii="宋体" w:hAnsi="宋体" w:cs="Times New Roman"/>
              <w:kern w:val="2"/>
              <w:szCs w:val="22"/>
            </w:rPr>
            <w:t>报告期，公司实现营业收入187,045万元，同比增长1.88%；实现合并净利润</w:t>
          </w:r>
          <w:r>
            <w:rPr>
              <w:rFonts w:ascii="宋体" w:hAnsi="宋体" w:cs="Times New Roman"/>
              <w:kern w:val="2"/>
              <w:szCs w:val="22"/>
            </w:rPr>
            <w:t>2,084</w:t>
          </w:r>
          <w:r>
            <w:rPr>
              <w:rFonts w:hint="eastAsia" w:ascii="宋体" w:hAnsi="宋体" w:cs="Times New Roman"/>
              <w:kern w:val="2"/>
              <w:szCs w:val="22"/>
            </w:rPr>
            <w:t>万元，较去年同期减少</w:t>
          </w:r>
          <w:r>
            <w:rPr>
              <w:rFonts w:ascii="宋体" w:hAnsi="宋体" w:cs="Times New Roman"/>
              <w:kern w:val="2"/>
              <w:szCs w:val="22"/>
            </w:rPr>
            <w:t>3,883</w:t>
          </w:r>
          <w:r>
            <w:rPr>
              <w:rFonts w:hint="eastAsia" w:ascii="宋体" w:hAnsi="宋体" w:cs="Times New Roman"/>
              <w:kern w:val="2"/>
              <w:szCs w:val="22"/>
            </w:rPr>
            <w:t>万元，同比下降</w:t>
          </w:r>
          <w:r>
            <w:rPr>
              <w:rFonts w:ascii="宋体" w:hAnsi="宋体" w:cs="Times New Roman"/>
              <w:kern w:val="2"/>
              <w:szCs w:val="22"/>
            </w:rPr>
            <w:t>65.07%</w:t>
          </w:r>
          <w:r>
            <w:rPr>
              <w:rFonts w:hint="eastAsia" w:ascii="宋体" w:hAnsi="宋体" w:cs="Times New Roman"/>
              <w:kern w:val="2"/>
              <w:szCs w:val="22"/>
            </w:rPr>
            <w:t>。归属于上市公司股东的净利润</w:t>
          </w:r>
          <w:r>
            <w:rPr>
              <w:rFonts w:ascii="宋体" w:hAnsi="宋体" w:cs="Times New Roman"/>
              <w:kern w:val="2"/>
              <w:szCs w:val="22"/>
            </w:rPr>
            <w:t>1,908</w:t>
          </w:r>
          <w:r>
            <w:rPr>
              <w:rFonts w:hint="eastAsia" w:ascii="宋体" w:hAnsi="宋体" w:cs="Times New Roman"/>
              <w:kern w:val="2"/>
              <w:szCs w:val="22"/>
            </w:rPr>
            <w:t>万元，</w:t>
          </w:r>
          <w:r>
            <w:rPr>
              <w:rFonts w:ascii="宋体" w:hAnsi="宋体" w:cs="Times New Roman"/>
              <w:kern w:val="2"/>
              <w:szCs w:val="22"/>
            </w:rPr>
            <w:t>较去年同期减少3,556万元，同比下降65.08%。主要系：取向硅钢业务主要受2026年上半年单位销售价格下降影响，毛利率同比下降11.01个百分点，相应减少毛利额6,993万元；输配电及控制设备业务营业收入增长相应增加毛利额714万元；本期政府补助增加，以及所得税费用减少合计增加利润2,295万元。</w:t>
          </w:r>
        </w:p>
        <w:p>
          <w:pPr>
            <w:spacing w:line="360" w:lineRule="exact"/>
            <w:ind w:firstLine="422" w:firstLineChars="200"/>
            <w:jc w:val="both"/>
            <w:outlineLvl w:val="2"/>
            <w:rPr>
              <w:rFonts w:hint="eastAsia" w:ascii="宋体" w:hAnsi="宋体" w:cs="Times New Roman"/>
              <w:b/>
              <w:kern w:val="2"/>
              <w:szCs w:val="22"/>
            </w:rPr>
          </w:pPr>
          <w:r>
            <w:rPr>
              <w:rFonts w:hint="eastAsia" w:ascii="宋体" w:hAnsi="宋体" w:cs="Times New Roman"/>
              <w:b/>
              <w:kern w:val="2"/>
              <w:szCs w:val="22"/>
            </w:rPr>
            <w:t>（二）各业务板块经营分析</w:t>
          </w:r>
        </w:p>
        <w:p>
          <w:pPr>
            <w:spacing w:line="360" w:lineRule="exact"/>
            <w:ind w:firstLine="422" w:firstLineChars="200"/>
            <w:jc w:val="both"/>
            <w:outlineLvl w:val="3"/>
            <w:rPr>
              <w:rFonts w:hint="eastAsia" w:ascii="宋体" w:hAnsi="宋体" w:cs="Times New Roman"/>
              <w:b/>
              <w:kern w:val="2"/>
              <w:szCs w:val="22"/>
            </w:rPr>
          </w:pPr>
          <w:bookmarkStart w:id="38" w:name="OLE_LINK35"/>
          <w:r>
            <w:rPr>
              <w:rFonts w:hint="eastAsia" w:ascii="宋体" w:hAnsi="宋体" w:cs="Times New Roman"/>
              <w:b/>
              <w:kern w:val="2"/>
              <w:szCs w:val="22"/>
            </w:rPr>
            <w:t xml:space="preserve">1、输配电及控制设备业务 </w:t>
          </w:r>
        </w:p>
        <w:p>
          <w:pPr>
            <w:spacing w:line="360" w:lineRule="exact"/>
            <w:ind w:firstLine="420" w:firstLineChars="200"/>
            <w:jc w:val="both"/>
            <w:outlineLvl w:val="3"/>
            <w:rPr>
              <w:rFonts w:hint="eastAsia" w:ascii="宋体" w:hAnsi="宋体" w:cs="Times New Roman"/>
              <w:b/>
              <w:kern w:val="2"/>
              <w:szCs w:val="22"/>
            </w:rPr>
          </w:pPr>
          <w:bookmarkStart w:id="39" w:name="OLE_LINK34"/>
          <w:r>
            <w:rPr>
              <w:rFonts w:hint="eastAsia" w:ascii="宋体" w:hAnsi="宋体" w:cs="Times New Roman"/>
              <w:kern w:val="2"/>
              <w:szCs w:val="22"/>
            </w:rPr>
            <w:t>2026年上半年，电网投资保持高位运行，特高压工程建设与配电网升级改造同步推进，行业景气度持续提升。公司输配电及控制设备业务紧抓市场机遇，实现收入120,968万元，同比增加6,716万元，增长5.88%</w:t>
          </w:r>
          <w:bookmarkEnd w:id="38"/>
          <w:bookmarkEnd w:id="39"/>
          <w:bookmarkStart w:id="40" w:name="OLE_LINK38"/>
          <w:r>
            <w:rPr>
              <w:rFonts w:hint="eastAsia" w:ascii="宋体" w:hAnsi="宋体" w:cs="Times New Roman"/>
              <w:kern w:val="2"/>
              <w:szCs w:val="22"/>
            </w:rPr>
            <w:t>。</w:t>
          </w:r>
        </w:p>
        <w:p>
          <w:pPr>
            <w:spacing w:line="360" w:lineRule="exact"/>
            <w:ind w:firstLine="422" w:firstLineChars="200"/>
            <w:jc w:val="both"/>
            <w:outlineLvl w:val="3"/>
            <w:rPr>
              <w:rFonts w:hint="eastAsia" w:ascii="宋体" w:hAnsi="宋体" w:cs="Times New Roman"/>
              <w:b/>
              <w:kern w:val="2"/>
              <w:szCs w:val="22"/>
            </w:rPr>
          </w:pPr>
          <w:r>
            <w:rPr>
              <w:rFonts w:hint="eastAsia" w:ascii="宋体" w:hAnsi="宋体" w:cs="Times New Roman"/>
              <w:b/>
              <w:kern w:val="2"/>
              <w:szCs w:val="22"/>
            </w:rPr>
            <w:t>2、</w:t>
          </w:r>
          <w:bookmarkStart w:id="41" w:name="OLE_LINK39"/>
          <w:r>
            <w:rPr>
              <w:rFonts w:hint="eastAsia" w:ascii="宋体" w:hAnsi="宋体" w:cs="Times New Roman"/>
              <w:b/>
              <w:kern w:val="2"/>
              <w:szCs w:val="22"/>
            </w:rPr>
            <w:t>取向硅钢业务</w:t>
          </w:r>
        </w:p>
        <w:p>
          <w:pPr>
            <w:spacing w:line="360" w:lineRule="exact"/>
            <w:ind w:firstLine="420" w:firstLineChars="200"/>
            <w:jc w:val="both"/>
            <w:rPr>
              <w:rFonts w:hint="eastAsia" w:ascii="宋体" w:hAnsi="宋体" w:cs="Times New Roman"/>
              <w:kern w:val="2"/>
              <w:szCs w:val="22"/>
            </w:rPr>
          </w:pPr>
          <w:bookmarkStart w:id="42" w:name="OLE_LINK40"/>
          <w:r>
            <w:rPr>
              <w:rFonts w:hint="eastAsia" w:ascii="宋体" w:hAnsi="宋体" w:cs="Times New Roman"/>
              <w:kern w:val="2"/>
              <w:szCs w:val="22"/>
            </w:rPr>
            <w:t>公司取向硅钢业务产能达18万吨，其中高牌号取向硅钢产能13万吨。报告期内公司产量达8.97万吨，位居行业前列。</w:t>
          </w:r>
          <w:bookmarkStart w:id="43" w:name="OLE_LINK107"/>
          <w:bookmarkStart w:id="44" w:name="OLE_LINK108"/>
          <w:r>
            <w:rPr>
              <w:rFonts w:hint="eastAsia" w:ascii="宋体" w:hAnsi="宋体" w:cs="Times New Roman"/>
              <w:kern w:val="2"/>
              <w:szCs w:val="22"/>
            </w:rPr>
            <w:t xml:space="preserve">公司持续推进高端化战略，产品结构不断优化，高牌号产品占比持续提升。与此同时，公司成功攻克075牌号高磁感取向硅钢技术壁垒，成为行业内少数掌握该核心技术的企业之一，显著缩短了与行业头部企业的技术差距，进一步增强了取向硅钢领域的核心竞争力。 </w:t>
          </w:r>
        </w:p>
        <w:bookmarkEnd w:id="40"/>
        <w:bookmarkEnd w:id="41"/>
        <w:bookmarkEnd w:id="42"/>
        <w:bookmarkEnd w:id="43"/>
        <w:bookmarkEnd w:id="44"/>
        <w:p>
          <w:pPr>
            <w:spacing w:line="360" w:lineRule="exact"/>
            <w:ind w:firstLine="422" w:firstLineChars="200"/>
            <w:jc w:val="both"/>
            <w:outlineLvl w:val="3"/>
            <w:rPr>
              <w:rFonts w:hint="eastAsia" w:ascii="宋体" w:hAnsi="宋体" w:cs="Times New Roman"/>
              <w:b/>
              <w:kern w:val="2"/>
              <w:szCs w:val="22"/>
            </w:rPr>
          </w:pPr>
          <w:bookmarkStart w:id="45" w:name="OLE_LINK41"/>
          <w:r>
            <w:rPr>
              <w:rFonts w:hint="eastAsia" w:ascii="宋体" w:hAnsi="宋体" w:cs="Times New Roman"/>
              <w:b/>
              <w:kern w:val="2"/>
              <w:szCs w:val="22"/>
            </w:rPr>
            <w:t xml:space="preserve">3、电动汽车充电业务 </w:t>
          </w:r>
        </w:p>
        <w:p>
          <w:pPr>
            <w:spacing w:line="360" w:lineRule="exact"/>
            <w:ind w:firstLine="420" w:firstLineChars="200"/>
            <w:jc w:val="both"/>
            <w:rPr>
              <w:rFonts w:hint="eastAsia" w:ascii="宋体" w:hAnsi="宋体" w:cs="Times New Roman"/>
              <w:kern w:val="2"/>
              <w:szCs w:val="22"/>
            </w:rPr>
          </w:pPr>
          <w:r>
            <w:rPr>
              <w:rFonts w:hint="eastAsia" w:ascii="宋体" w:hAnsi="宋体" w:cs="Times New Roman"/>
              <w:kern w:val="2"/>
              <w:szCs w:val="22"/>
            </w:rPr>
            <w:t>报告期内，公司加速建设“</w:t>
          </w:r>
          <w:bookmarkStart w:id="46" w:name="OLE_LINK33"/>
          <w:r>
            <w:rPr>
              <w:rFonts w:hint="eastAsia" w:ascii="宋体" w:hAnsi="宋体" w:cs="Times New Roman"/>
              <w:kern w:val="2"/>
              <w:szCs w:val="22"/>
            </w:rPr>
            <w:t>兆瓦级智能超充网络建设项目</w:t>
          </w:r>
          <w:bookmarkEnd w:id="46"/>
          <w:r>
            <w:rPr>
              <w:rFonts w:hint="eastAsia" w:ascii="宋体" w:hAnsi="宋体" w:cs="Times New Roman"/>
              <w:kern w:val="2"/>
              <w:szCs w:val="22"/>
            </w:rPr>
            <w:t>”。本项目是公司“延链补链强链”战略的关键，标志着公司业务从传统输配电装备制造向新能源充电基础设施投资、建设与运营领域的战略性延伸。报告期公司新增建设8个超充站，新增投运5个超充站，截至目前，公司共有9个超充站投运，为提升产业链协同发展能力、加快发展新质生产力奠定了坚实的基础。</w:t>
          </w:r>
        </w:p>
        <w:bookmarkEnd w:id="45"/>
        <w:p>
          <w:pPr>
            <w:spacing w:line="360" w:lineRule="exact"/>
            <w:ind w:firstLine="422" w:firstLineChars="200"/>
            <w:jc w:val="both"/>
            <w:outlineLvl w:val="2"/>
            <w:rPr>
              <w:rFonts w:hint="eastAsia" w:ascii="宋体" w:hAnsi="宋体" w:cs="Times New Roman"/>
              <w:b/>
              <w:kern w:val="2"/>
              <w:szCs w:val="22"/>
            </w:rPr>
          </w:pPr>
          <w:r>
            <w:rPr>
              <w:rFonts w:hint="eastAsia" w:ascii="宋体" w:hAnsi="宋体" w:cs="Times New Roman"/>
              <w:b/>
              <w:kern w:val="2"/>
              <w:szCs w:val="22"/>
            </w:rPr>
            <w:t>（三）市场拓展与全球化布局</w:t>
          </w:r>
        </w:p>
        <w:p>
          <w:pPr>
            <w:spacing w:line="360" w:lineRule="exact"/>
            <w:ind w:firstLine="422" w:firstLineChars="200"/>
            <w:jc w:val="both"/>
            <w:outlineLvl w:val="3"/>
            <w:rPr>
              <w:rFonts w:hint="eastAsia" w:ascii="宋体" w:hAnsi="宋体" w:cs="Times New Roman"/>
              <w:b/>
              <w:kern w:val="2"/>
              <w:szCs w:val="22"/>
            </w:rPr>
          </w:pPr>
          <w:bookmarkStart w:id="47" w:name="OLE_LINK74"/>
          <w:bookmarkStart w:id="48" w:name="OLE_LINK75"/>
          <w:r>
            <w:rPr>
              <w:rFonts w:hint="eastAsia" w:ascii="宋体" w:hAnsi="宋体" w:cs="Times New Roman"/>
              <w:b/>
              <w:kern w:val="2"/>
              <w:szCs w:val="22"/>
            </w:rPr>
            <w:t>1、输配电及控制设备业务</w:t>
          </w:r>
        </w:p>
        <w:p>
          <w:pPr>
            <w:spacing w:line="360" w:lineRule="exact"/>
            <w:ind w:firstLine="422" w:firstLineChars="200"/>
            <w:jc w:val="both"/>
            <w:rPr>
              <w:rFonts w:hint="eastAsia" w:ascii="宋体" w:hAnsi="宋体" w:cs="Times New Roman"/>
              <w:b/>
              <w:kern w:val="2"/>
              <w:szCs w:val="22"/>
            </w:rPr>
          </w:pPr>
          <w:r>
            <w:rPr>
              <w:rFonts w:hint="eastAsia" w:ascii="宋体" w:hAnsi="宋体" w:cs="Times New Roman"/>
              <w:b/>
              <w:kern w:val="2"/>
              <w:szCs w:val="22"/>
            </w:rPr>
            <w:t>（1）高端市场准入进一步突破，全球化布局基础进一步夯实</w:t>
          </w:r>
        </w:p>
        <w:p>
          <w:pPr>
            <w:spacing w:line="360" w:lineRule="exact"/>
            <w:ind w:firstLine="420" w:firstLineChars="200"/>
            <w:jc w:val="both"/>
            <w:rPr>
              <w:rFonts w:hint="eastAsia" w:ascii="宋体" w:hAnsi="宋体" w:cs="Times New Roman"/>
              <w:kern w:val="2"/>
              <w:szCs w:val="22"/>
            </w:rPr>
          </w:pPr>
          <w:r>
            <w:rPr>
              <w:rFonts w:hint="eastAsia" w:ascii="宋体" w:hAnsi="宋体" w:cs="Times New Roman"/>
              <w:kern w:val="2"/>
              <w:szCs w:val="22"/>
            </w:rPr>
            <w:t>依托自主研发的自耦电力变压器获得的荷兰KEMA实验室全套认证测试，公司输配电产品成功打入欧洲高端电力设备市场，获得美国、阿曼和南美洲数据中心终端客户认可，显著提升海外高端市场影响力。报告期公司积极筹备CE认证，截至目前公司变压器产品已获取CE认证报告和证书，进一步推动公司在欧洲市场的准入竞争力，为全球化布局奠定坚实基础。</w:t>
          </w:r>
        </w:p>
        <w:p>
          <w:pPr>
            <w:spacing w:line="360" w:lineRule="exact"/>
            <w:ind w:firstLine="422" w:firstLineChars="200"/>
            <w:jc w:val="both"/>
            <w:rPr>
              <w:rFonts w:hint="eastAsia" w:ascii="宋体" w:hAnsi="宋体" w:cs="Times New Roman"/>
              <w:b/>
              <w:kern w:val="2"/>
              <w:szCs w:val="22"/>
              <w:highlight w:val="yellow"/>
            </w:rPr>
          </w:pPr>
          <w:r>
            <w:rPr>
              <w:rFonts w:hint="eastAsia" w:ascii="宋体" w:hAnsi="宋体" w:cs="Times New Roman"/>
              <w:b/>
              <w:kern w:val="2"/>
              <w:szCs w:val="22"/>
            </w:rPr>
            <w:t>（2）“一带一路”市场稳步拓展，海外订单实现增长</w:t>
          </w:r>
        </w:p>
        <w:p>
          <w:pPr>
            <w:spacing w:line="360" w:lineRule="exact"/>
            <w:ind w:firstLine="420" w:firstLineChars="200"/>
            <w:jc w:val="both"/>
            <w:rPr>
              <w:rFonts w:hint="eastAsia" w:ascii="宋体" w:hAnsi="宋体" w:cs="Times New Roman"/>
              <w:kern w:val="2"/>
              <w:szCs w:val="22"/>
            </w:rPr>
          </w:pPr>
          <w:r>
            <w:rPr>
              <w:rFonts w:hint="eastAsia" w:ascii="宋体" w:hAnsi="宋体" w:cs="Times New Roman"/>
              <w:kern w:val="2"/>
              <w:szCs w:val="22"/>
            </w:rPr>
            <w:t>报告期内，公司在老挝、柬埔寨、尼泊尔、巴基斯坦、罗马尼亚、乌兹别克斯坦、尼日利亚、津巴布韦等市场取得当地准入资格或合格供应商资格。公司输配电及控制设备领域海外签约同比增长192%。</w:t>
          </w:r>
        </w:p>
        <w:p>
          <w:pPr>
            <w:spacing w:line="360" w:lineRule="exact"/>
            <w:ind w:firstLine="422" w:firstLineChars="200"/>
            <w:jc w:val="both"/>
            <w:rPr>
              <w:rFonts w:hint="eastAsia" w:ascii="宋体" w:hAnsi="宋体" w:cs="Times New Roman"/>
              <w:b/>
              <w:kern w:val="2"/>
              <w:szCs w:val="22"/>
            </w:rPr>
          </w:pPr>
          <w:r>
            <w:rPr>
              <w:rFonts w:hint="eastAsia" w:ascii="宋体" w:hAnsi="宋体" w:cs="Times New Roman"/>
              <w:b/>
              <w:kern w:val="2"/>
              <w:szCs w:val="22"/>
            </w:rPr>
            <w:t>（3）客户结构加速战略转型，央国企合作持续深化</w:t>
          </w:r>
        </w:p>
        <w:p>
          <w:pPr>
            <w:spacing w:line="360" w:lineRule="exact"/>
            <w:ind w:firstLine="420" w:firstLineChars="200"/>
            <w:jc w:val="both"/>
            <w:rPr>
              <w:rFonts w:hint="eastAsia" w:ascii="宋体" w:hAnsi="宋体" w:cs="Times New Roman"/>
              <w:kern w:val="2"/>
              <w:szCs w:val="22"/>
            </w:rPr>
          </w:pPr>
          <w:r>
            <w:rPr>
              <w:rFonts w:hint="eastAsia" w:ascii="宋体" w:hAnsi="宋体" w:cs="Times New Roman"/>
              <w:kern w:val="2"/>
              <w:szCs w:val="22"/>
            </w:rPr>
            <w:t>报告期内，公司持续调整客户结构，业务重心从传统中小型客户需求转向两网、中国铁路、中国铁建、中国中铁等大型央国企。公司深度融入国家电网、南方电网供应链体系，高电压等级产品中标额大幅提升，推进中电建新能源大基地及中铁建海外铁路等重点项目，构建更加稳健的高质量客户矩阵。</w:t>
          </w:r>
        </w:p>
        <w:bookmarkEnd w:id="47"/>
        <w:bookmarkEnd w:id="48"/>
        <w:p>
          <w:pPr>
            <w:spacing w:line="360" w:lineRule="exact"/>
            <w:ind w:firstLine="422" w:firstLineChars="200"/>
            <w:jc w:val="both"/>
            <w:outlineLvl w:val="3"/>
            <w:rPr>
              <w:rFonts w:hint="eastAsia" w:ascii="宋体" w:hAnsi="宋体" w:cs="Times New Roman"/>
              <w:b/>
              <w:kern w:val="2"/>
              <w:szCs w:val="22"/>
            </w:rPr>
          </w:pPr>
          <w:bookmarkStart w:id="49" w:name="OLE_LINK42"/>
          <w:r>
            <w:rPr>
              <w:rFonts w:hint="eastAsia" w:ascii="宋体" w:hAnsi="宋体" w:cs="Times New Roman"/>
              <w:b/>
              <w:kern w:val="2"/>
              <w:szCs w:val="22"/>
            </w:rPr>
            <w:t>2、取向硅钢业务</w:t>
          </w:r>
        </w:p>
        <w:p>
          <w:pPr>
            <w:spacing w:line="360" w:lineRule="exact"/>
            <w:ind w:firstLine="420" w:firstLineChars="200"/>
            <w:jc w:val="both"/>
            <w:rPr>
              <w:rFonts w:hint="eastAsia" w:ascii="宋体" w:hAnsi="宋体" w:cs="Times New Roman"/>
              <w:kern w:val="2"/>
              <w:szCs w:val="22"/>
              <w:highlight w:val="green"/>
            </w:rPr>
          </w:pPr>
          <w:r>
            <w:rPr>
              <w:rFonts w:hint="eastAsia" w:ascii="宋体" w:hAnsi="宋体" w:cs="Times New Roman"/>
              <w:kern w:val="2"/>
              <w:szCs w:val="22"/>
            </w:rPr>
            <w:t>公司取向硅钢产品远销东南亚、中东、欧美等地区，客户主要涉及土耳其、韩国、巴西、南非、沙特、越南、新加坡、加拿大等国家。出口发货总量同比增幅98%，市场覆盖持续拓宽，重点区域项目稳步推进。</w:t>
          </w:r>
        </w:p>
        <w:bookmarkEnd w:id="49"/>
        <w:p>
          <w:pPr>
            <w:spacing w:line="360" w:lineRule="exact"/>
            <w:ind w:firstLine="422" w:firstLineChars="200"/>
            <w:jc w:val="both"/>
            <w:outlineLvl w:val="2"/>
          </w:pPr>
          <w:r>
            <w:rPr>
              <w:rFonts w:hint="eastAsia" w:ascii="宋体" w:hAnsi="宋体" w:cs="Times New Roman"/>
              <w:b/>
              <w:kern w:val="2"/>
              <w:szCs w:val="22"/>
            </w:rPr>
            <w:t>（四）研发创新与技术突破</w:t>
          </w:r>
          <w:bookmarkStart w:id="50" w:name="OLE_LINK43"/>
        </w:p>
        <w:bookmarkEnd w:id="50"/>
        <w:p>
          <w:pPr>
            <w:spacing w:line="360" w:lineRule="exact"/>
            <w:ind w:firstLine="420" w:firstLineChars="200"/>
            <w:jc w:val="both"/>
          </w:pPr>
          <w:r>
            <w:rPr>
              <w:rFonts w:hint="eastAsia"/>
            </w:rPr>
            <w:t>报告期内，公司坚定不移践行创新驱动发展战略，以技术引领筑牢核心竞争力壁垒。上半年累计提交专利申请29项，获授权25项，知识产权产出效率与质量持续领跑行业。</w:t>
          </w:r>
        </w:p>
        <w:p>
          <w:pPr>
            <w:spacing w:line="360" w:lineRule="exact"/>
            <w:ind w:firstLine="420" w:firstLineChars="200"/>
            <w:jc w:val="both"/>
          </w:pPr>
          <w:r>
            <w:rPr>
              <w:rFonts w:hint="eastAsia"/>
            </w:rPr>
            <w:t>各业务板块研发体系协同发力、梯次推进。新材料板块围绕绿色制造与工艺瓶颈攻关，部署“无酸酸洗技术研究与开发”“取向硅钢钢带边部缺陷形成机理研究与防治技术开发”等14项重点课题，其中8项取得阶段性突破，6项进入攻坚深水区；新能源装备板块聚焦智能化、集成化方向，推进“双层预制舱技术研究与产品开发”“2500kVA智能变充一体充变电系统技术研究与产品”等12个项目，报告期末4项顺利结题，2项完成样机试制，6项正加速落地；变压器板块以高端化、能效升级为主线，统筹铁心、钣金、干变、油变及固态变压器等26项研发任务，涵盖“固态变压器”“取向硅钢在叠铁心变压器中的高效应用研究”等前沿方向，其中10项已取得标志性进展，整体研发节奏稳健、成果转化可期。</w:t>
          </w:r>
        </w:p>
        <w:p>
          <w:pPr>
            <w:spacing w:line="360" w:lineRule="exact"/>
            <w:ind w:firstLine="420" w:firstLineChars="200"/>
            <w:jc w:val="both"/>
          </w:pPr>
          <w:r>
            <w:rPr>
              <w:rFonts w:hint="eastAsia"/>
            </w:rPr>
            <w:t>依托“国家企业技术中心”与“国家级博士后科研工作站”双高能级平台，报告期内相继荣膺重庆市科技进步奖三等奖、重庆市市级企业研发项目认定、合川区第十五届创业创新大赛决赛优胜奖，并获授重庆市长寿区新材料产业人才自主评价企业及举荐专家资质，同时斩获重庆市先进级智能工厂称号，充分彰显技术实力与产业影响力的双重跃升。</w:t>
          </w:r>
        </w:p>
        <w:p>
          <w:pPr>
            <w:spacing w:line="360" w:lineRule="exact"/>
            <w:ind w:firstLine="420" w:firstLineChars="200"/>
            <w:jc w:val="both"/>
          </w:pPr>
          <w:r>
            <w:rPr>
              <w:rFonts w:hint="eastAsia"/>
            </w:rPr>
            <w:t>上述成果不仅为公司持续创新构筑了坚实平台底座，更以技术创收验证了良性发展逻辑，标志着企业已全面具备国际一流高端电力装备研发能力，为战略转型向纵深推进注入强劲动能，高质量发展新格局加速成型。</w:t>
          </w:r>
        </w:p>
        <w:p>
          <w:pPr>
            <w:spacing w:line="360" w:lineRule="exact"/>
            <w:ind w:firstLine="422" w:firstLineChars="200"/>
            <w:jc w:val="both"/>
            <w:outlineLvl w:val="2"/>
            <w:rPr>
              <w:rFonts w:hint="eastAsia" w:ascii="宋体" w:hAnsi="宋体" w:cs="Times New Roman"/>
              <w:b/>
              <w:kern w:val="2"/>
              <w:szCs w:val="22"/>
            </w:rPr>
          </w:pPr>
          <w:r>
            <w:rPr>
              <w:rFonts w:hint="eastAsia" w:ascii="宋体" w:hAnsi="宋体" w:cs="Times New Roman"/>
              <w:b/>
              <w:kern w:val="2"/>
              <w:szCs w:val="22"/>
            </w:rPr>
            <w:t>（五）全链条数字赋能体系加速成型</w:t>
          </w:r>
        </w:p>
        <w:p>
          <w:pPr>
            <w:spacing w:line="360" w:lineRule="exact"/>
            <w:ind w:firstLine="420" w:firstLineChars="200"/>
            <w:jc w:val="both"/>
            <w:rPr>
              <w:rFonts w:hint="eastAsia" w:ascii="宋体" w:hAnsi="宋体" w:eastAsia="宋体" w:cs="Times New Roman"/>
              <w:kern w:val="2"/>
              <w:szCs w:val="22"/>
              <w:lang w:eastAsia="zh-CN"/>
            </w:rPr>
          </w:pPr>
          <w:bookmarkStart w:id="51" w:name="OLE_LINK12"/>
          <w:r>
            <w:rPr>
              <w:rFonts w:hint="eastAsia" w:ascii="宋体" w:hAnsi="宋体" w:cs="Times New Roman"/>
              <w:kern w:val="2"/>
              <w:szCs w:val="22"/>
            </w:rPr>
            <w:t>2026年上半年，公司在2025年“智能驱动、数据贯通、产业协同”数字化建设成果基础上，持续深化智能制造转型升级。公司聚焦构建“材料-制造-运营”全链条数字赋能体系，重点布局电力装备产业链综合数字赋能平台建设，搭建“云-边-端”一体化自主可控数字底座。通过打造数据融合、智能研发设计、智能制造协同三大能力中枢，健全数据治理、安全管控及工业数字技术支撑体系，建成覆盖“材料-制造-运维”全流程的数字化基座。公司深度整合产业链数据资源，培育材料基因应用、产能智能优化、供应链韧性提升等核心数字化能力，逐步构建形成“平台赋能、数据驱动、生态共赢”的特色产业数字化转型模式。</w:t>
          </w:r>
        </w:p>
        <w:p>
          <w:pPr>
            <w:spacing w:line="360" w:lineRule="exact"/>
            <w:ind w:firstLine="420" w:firstLineChars="200"/>
            <w:jc w:val="both"/>
            <w:rPr>
              <w:rFonts w:hint="eastAsia" w:ascii="宋体" w:hAnsi="宋体" w:cs="Times New Roman"/>
              <w:kern w:val="2"/>
              <w:szCs w:val="22"/>
            </w:rPr>
          </w:pPr>
          <w:r>
            <w:rPr>
              <w:rFonts w:hint="eastAsia" w:ascii="宋体" w:hAnsi="宋体" w:cs="Times New Roman"/>
              <w:kern w:val="2"/>
              <w:szCs w:val="22"/>
            </w:rPr>
            <w:t xml:space="preserve">    报告期内，公司信息化建设体系已全面覆盖研发设计、生产执行、资源计划、客户管理、供应链管理、现场智能监控六大核心业务板块，成功搭建“研发—生产—供应链—客户”全链条数字化运营框架。系列数字化升级项目有效补齐各业务环节数字化短板，夯实公司数据驱动、智能决策的运营基础，推动整体运营效率、订单交付质量及产能释放能力稳步提升，为公司持续深化智能制造转型、实现高质量发展提供坚实支撑。</w:t>
          </w:r>
        </w:p>
        <w:bookmarkEnd w:id="51"/>
        <w:p>
          <w:pPr>
            <w:spacing w:line="360" w:lineRule="exact"/>
            <w:ind w:firstLine="422" w:firstLineChars="200"/>
            <w:jc w:val="both"/>
            <w:rPr>
              <w:rFonts w:hint="eastAsia" w:ascii="宋体" w:hAnsi="宋体" w:cs="Times New Roman"/>
              <w:b/>
              <w:kern w:val="2"/>
              <w:szCs w:val="22"/>
            </w:rPr>
          </w:pPr>
          <w:r>
            <w:rPr>
              <w:rFonts w:hint="eastAsia" w:ascii="宋体" w:hAnsi="宋体" w:cs="Times New Roman"/>
              <w:b/>
              <w:kern w:val="2"/>
              <w:szCs w:val="22"/>
            </w:rPr>
            <w:t>（六）公司治理与内控管理持续深化</w:t>
          </w:r>
        </w:p>
        <w:p>
          <w:pPr>
            <w:spacing w:line="360" w:lineRule="exact"/>
            <w:ind w:firstLine="420" w:firstLineChars="200"/>
            <w:jc w:val="both"/>
            <w:rPr>
              <w:rFonts w:hint="eastAsia" w:ascii="宋体" w:hAnsi="宋体" w:cs="Times New Roman"/>
              <w:kern w:val="2"/>
              <w:szCs w:val="22"/>
            </w:rPr>
          </w:pPr>
          <w:r>
            <w:rPr>
              <w:rFonts w:hint="eastAsia" w:ascii="宋体" w:hAnsi="宋体" w:cs="Times New Roman"/>
              <w:kern w:val="2"/>
              <w:szCs w:val="22"/>
            </w:rPr>
            <w:t>报告期内，公司始终将治理能力提升与内控体系建设作为高质量发展的重要保障，持续强化规范运作与合规管理。公司严格对照《公司法》《证券法》及监管规则最新要求，动态优化内部治理制度，确保各项经营管理活动有章可循。</w:t>
          </w:r>
        </w:p>
        <w:p>
          <w:pPr>
            <w:spacing w:line="360" w:lineRule="exact"/>
            <w:ind w:firstLine="420" w:firstLineChars="200"/>
            <w:jc w:val="both"/>
            <w:rPr>
              <w:rFonts w:hint="eastAsia" w:ascii="宋体" w:hAnsi="宋体" w:cs="Times New Roman"/>
              <w:kern w:val="2"/>
              <w:szCs w:val="22"/>
            </w:rPr>
          </w:pPr>
          <w:r>
            <w:rPr>
              <w:rFonts w:hint="eastAsia" w:ascii="宋体" w:hAnsi="宋体" w:cs="Times New Roman"/>
              <w:kern w:val="2"/>
              <w:szCs w:val="22"/>
            </w:rPr>
            <w:t>治理架构方面，公司进一步强化董事会审计委员会职责，充分发挥其在财务监督、内控评价及风险研判中的专业把关作用。报告期内，股东会、董事会及各专门委员会严格依照法律法规及《公司章程》规范运作，权责清晰、科学决策，“三会一层”治理结构持续完善，有效保障了全体股东合法权益。</w:t>
          </w:r>
        </w:p>
        <w:p>
          <w:pPr>
            <w:spacing w:line="360" w:lineRule="exact"/>
            <w:ind w:firstLine="420" w:firstLineChars="200"/>
            <w:jc w:val="both"/>
            <w:rPr>
              <w:rFonts w:hint="eastAsia" w:ascii="宋体" w:hAnsi="宋体" w:cs="Times New Roman"/>
              <w:kern w:val="2"/>
              <w:szCs w:val="22"/>
            </w:rPr>
          </w:pPr>
          <w:r>
            <w:rPr>
              <w:rFonts w:hint="eastAsia" w:ascii="宋体" w:hAnsi="宋体" w:cs="Times New Roman"/>
              <w:kern w:val="2"/>
              <w:szCs w:val="22"/>
            </w:rPr>
            <w:t>内控建设方面，公司紧跟政策导向，系统梳理并迭代升级涵盖财务管控、合规审查、风险评估、信息披露等关键环节的内控制度，深入开展内控自查与专项审计，强化过程监控与刚性约束。同时，持续加强合规文化宣贯与全员风控培训，将合规理念融入经营决策全过程，从源头防范化解风险。</w:t>
          </w:r>
        </w:p>
        <w:p>
          <w:pPr>
            <w:spacing w:line="360" w:lineRule="exact"/>
            <w:ind w:firstLine="420" w:firstLineChars="200"/>
            <w:jc w:val="both"/>
            <w:rPr>
              <w:rFonts w:hint="eastAsia" w:ascii="宋体" w:hAnsi="宋体" w:cs="Times New Roman"/>
              <w:kern w:val="2"/>
              <w:szCs w:val="22"/>
            </w:rPr>
          </w:pPr>
          <w:r>
            <w:rPr>
              <w:rFonts w:hint="eastAsia" w:ascii="宋体" w:hAnsi="宋体" w:cs="Times New Roman"/>
              <w:kern w:val="2"/>
              <w:szCs w:val="22"/>
            </w:rPr>
            <w:t>通过上述举措的系统推进，公司规范运作水平与风险防控能力稳步提升，治理效能持续增强，为保护股东权益、保障公司健康可持续发展提供了坚实制度支撑。</w:t>
          </w:r>
        </w:p>
      </w:sdtContent>
    </w:sdt>
    <w:p>
      <w:pPr>
        <w:spacing w:line="360" w:lineRule="exact"/>
        <w:jc w:val="both"/>
        <w:rPr>
          <w:b/>
          <w:bCs w:val="0"/>
          <w:color w:val="000000" w:themeColor="text1"/>
          <w14:textFill>
            <w14:solidFill>
              <w14:schemeClr w14:val="tx1"/>
            </w14:solidFill>
          </w14:textFill>
        </w:rPr>
      </w:pPr>
      <w:r>
        <w:rPr>
          <w:rFonts w:hint="eastAsia"/>
          <w:b/>
          <w:color w:val="000000" w:themeColor="text1"/>
          <w14:textFill>
            <w14:solidFill>
              <w14:schemeClr w14:val="tx1"/>
            </w14:solidFill>
          </w14:textFill>
        </w:rPr>
        <w:t>报告期内公司经营情况的重大变化，以及报告期内发生的对公司经营情况有重大影响和预计未来会有重大影响的事项</w:t>
      </w:r>
    </w:p>
    <w:sdt>
      <w:sdtPr>
        <w:rPr>
          <w:rFonts w:hint="eastAsia"/>
          <w:color w:val="000000" w:themeColor="text1"/>
          <w14:textFill>
            <w14:solidFill>
              <w14:schemeClr w14:val="tx1"/>
            </w14:solidFill>
          </w14:textFill>
        </w:rPr>
        <w:alias w:val="是否适用：报告期内公司经营情况的重大变化，以及报告期内发生的对公司经营情况有重大影响和预计未来会有重大影响的事项[双击切换]"/>
        <w:tag w:val="_GBC_0f91ff55b5a9406ea662149119d7e23c"/>
        <w:id w:val="-675871792"/>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jc w:val="both"/>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5"/>
        </w:numPr>
        <w:tabs>
          <w:tab w:val="left" w:pos="426"/>
        </w:tabs>
        <w:spacing w:line="360" w:lineRule="exact"/>
        <w:ind w:left="0" w:firstLine="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报告期内核心竞争力分析</w:t>
      </w:r>
    </w:p>
    <w:sdt>
      <w:sdtPr>
        <w:rPr>
          <w:color w:val="000000" w:themeColor="text1"/>
          <w14:textFill>
            <w14:solidFill>
              <w14:schemeClr w14:val="tx1"/>
            </w14:solidFill>
          </w14:textFill>
        </w:rPr>
        <w:alias w:val="是否适用：报告期内核心竞争力分析[双击切换]"/>
        <w:tag w:val="_GBC_f5e4beedb06c4dedb1da9c7f429d840e"/>
        <w:id w:val="1841968914"/>
        <w:placeholder>
          <w:docPart w:val="GBC22222222222222222222222222222"/>
        </w:placeholder>
      </w:sdtPr>
      <w:sdtEndPr>
        <w:rPr>
          <w:color w:val="000000" w:themeColor="text1"/>
          <w14:textFill>
            <w14:solidFill>
              <w14:schemeClr w14:val="tx1"/>
            </w14:solidFill>
          </w14:textFill>
        </w:rPr>
      </w:sdtEndPr>
      <w:sdtContent>
        <w:p>
          <w:pPr>
            <w:spacing w:line="360" w:lineRule="exact"/>
            <w:jc w:val="both"/>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报告期内核心竞争力分析"/>
        <w:tag w:val="_GBC_2aded0644185447a9ec788ba0b35ac4f"/>
        <w:id w:val="962155464"/>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公司紧扣“双碳”战略与新型电力系统建设机遇，坚持“技术引领+产业链协同”双轮驱动，通过上游材料端的技术突破、中游制造端的能级跃升、下游应用端的场景延伸，持续巩固全产业链协同优势。具体体现如下：</w:t>
          </w:r>
        </w:p>
        <w:p>
          <w:pPr>
            <w:spacing w:line="360" w:lineRule="exact"/>
            <w:ind w:firstLine="420" w:firstLineChars="200"/>
            <w:jc w:val="both"/>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（一）全产业链垂直整合优势，构筑高效协同的产业基础</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作为国内唯一实现“取向硅钢—变压器核心材料—电力变压器—成套电气设备”全产业链布局的国家级高新技术企业，依托2017年建成投产的西南地区首条取向硅钢生产线，填补了区域产业空白，实现了上游关键材料的自主可控。</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公司充分发挥产业链双向赋能机制，将下游变压器在新能源、轨道交通等应用场景的能效需求精准反馈至上游硅钢研发环节，推动高牌号产品产出结构持续优化。八万吨高端磁性材料项目全年保持满产满销，085及以上高牌号产出占比稳步提升，成功攻克075牌号高磁感取向硅钢技术壁垒，核心性能指标达到国内先进水平。年内成功为云变电气及核心战略客户批量供应自产高性能取向硅钢，形成了“以材补器、以器促材”的良性内循环优势，有效保障了高端变压器原材料的供应稳定性，显著降低对外部采购的依赖及市场价格波动风险。</w:t>
          </w:r>
        </w:p>
        <w:p>
          <w:pPr>
            <w:spacing w:line="360" w:lineRule="exact"/>
            <w:ind w:firstLine="420" w:firstLineChars="200"/>
            <w:jc w:val="both"/>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（二）高端装备制造能级跃升，夯实技术领先优势</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公司通过控股云变电气，实现高压领域资质的战略性突破，成为国内少数具备500kV级电力变压器生产资质的民营企业，成功切入高压输变电及特高压配套核心市场。</w:t>
          </w:r>
        </w:p>
        <w:p>
          <w:pPr>
            <w:spacing w:line="360" w:lineRule="exact"/>
            <w:ind w:firstLine="420" w:firstLineChars="200"/>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1、轨道交通牵引变压器领域</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凭借云变电气近90年的专业积淀与持续创新，常年保持细分市场领先份额，产品作为“中国高铁”核心装备之一，成功应用于京雄、京张等国家重点高铁项目，彰显技术标杆地位与技术自主可控实力。</w:t>
          </w:r>
        </w:p>
        <w:p>
          <w:pPr>
            <w:spacing w:line="360" w:lineRule="exact"/>
            <w:ind w:firstLine="420" w:firstLineChars="200"/>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2、高原特种变压器领域</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产品成功应用于海拔5,100米的西藏措美哲古风电场，关键性能指标（如局放水平、温升控制）高于行业平均水平。依托高原本土化制造基地、专业化服务团队及成熟的属地化运维体系，公司深度服务国家“西电东送”战略，在雅下水电开发项目中持续履约供应电力设备，并全程参与西藏地区城网改造一至三期建设任务，进一步巩固了在高海拔、复杂地理环境下的市场话语权与快速响应能力。</w:t>
          </w:r>
        </w:p>
        <w:p>
          <w:pPr>
            <w:spacing w:line="360" w:lineRule="exact"/>
            <w:ind w:firstLine="420" w:firstLineChars="200"/>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3、技术创新平台支撑</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2025年公司成功获批“国家企业技术中心”及“国家级博士后科研工作站”，国家科技创新体系体系“第一梯队”。累计获专利授权300余项，为高端装备持续升级提供了坚实的创新平台支撑。</w:t>
          </w:r>
        </w:p>
        <w:p>
          <w:pPr>
            <w:spacing w:line="360" w:lineRule="exact"/>
            <w:ind w:firstLine="420" w:firstLineChars="200"/>
            <w:jc w:val="both"/>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（三）产品结构高端化与一站式解决方案能力，深度绑定客户价值</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公司持续推进高端化战略，高电压等级产品实现快速增长。110kV及以上变压器产品营业收入占比持续提升，高附加值、高技术壁垒的高电压等级产品已成为拉动输配电业务增长的核心引擎。</w:t>
          </w:r>
        </w:p>
        <w:p>
          <w:pPr>
            <w:spacing w:line="360" w:lineRule="exact"/>
            <w:ind w:firstLine="420" w:firstLineChars="200"/>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1、技术创新成果丰硕</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自主研发的OSFPSZ18-250000/220自耦电力变压器成功通过荷兰KEMA实验室全套认证测试和CE认证，获得欧洲高端电力设备市场准入资格，正式跻身全球高端电力设备供应商行列。成功研制国内最大容量110kV天然酯绝缘油变压器、首台220kV三相一体自耦变压器等高端产品；成功研制智能充变一体机和新能源重卡超充桩，实现“变电站+充电堆”深度融合与预制化集成，在商用车大功率充电技术领域取得重要突破；成功推出新一代环保气体绝缘金属封闭开关设备（C-GIS），实现温室气体零排放；成功攻克高硅薄带取向硅钢（C20QH075）技术壁垒。</w:t>
          </w:r>
        </w:p>
        <w:p>
          <w:pPr>
            <w:spacing w:line="360" w:lineRule="exact"/>
            <w:ind w:firstLine="420" w:firstLineChars="200"/>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2、一站式解决方案能力</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依托纵向一体化的产业链优势，构建了覆盖基础材料（高磁感取向硅钢）、核心部件（低铁损铁芯）、终端设备（500kV级变压器、牵引变压器、新能源变压器）及系统集成（智能箱式变电站、成套电气设备）的全产品矩阵。报告期内，通过“材料—装备—服务—运营”组合投标模式，有效提升了在国家电网、南方电网及重点能源央企招标项目中的中标率，并与核心客户建立了深度协同创新机制。公司紧跟国家能源转型步伐，输配电及控制设备在风电、光伏及储能等新能源领域订单实现快速增长，成功为中国能建、国家电投等能源巨头提供核心装备。公司致力于从单一设备供应商向“全生命周期服务商”迈进，通过提供从材料选型、设备定制到智能运维的全链条服务，帮助客户显著降低综合采购成本与后期运维压力。</w:t>
          </w:r>
        </w:p>
        <w:p>
          <w:pPr>
            <w:spacing w:line="360" w:lineRule="exact"/>
            <w:ind w:firstLine="420" w:firstLineChars="200"/>
            <w:jc w:val="both"/>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（四）国际化布局与新能源战略延伸，开拓全球增长新空间</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公司构建“立足西南、辐射全国、布局全球”的战略发展格局，同步开辟新能源充电基础设施新增长曲线。</w:t>
          </w:r>
        </w:p>
        <w:p>
          <w:pPr>
            <w:spacing w:line="360" w:lineRule="exact"/>
            <w:ind w:firstLine="420" w:firstLineChars="200"/>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1、输配电及控制设备领域国际化</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依托KEMA认证，公司输配电产品成功打入欧洲高端电力设备市场，获得美国、阿曼和南美洲数据中心终端客户认可。核心产品成功进入国际重大基建项目供应链，完成中国交建马来西亚东海岸铁路项目牵引变压器供货。截至目前公司变压器产品获取了CE认证报告和证书，进一步推动公司在欧洲市场的准入竞争力，为全球化布局奠定坚实基础。</w:t>
          </w:r>
        </w:p>
        <w:p>
          <w:pPr>
            <w:spacing w:line="360" w:lineRule="exact"/>
            <w:ind w:firstLine="420" w:firstLineChars="200"/>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2、取向硅钢国际化</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产品远销东南亚、中东、欧美等地区，与伊藤忠丸红钢铁、浦项国际贸易、美达王等国际知名企业建立稳定战略合作关系。进行密切跟踪，建立Google（英文站）、Yandex（俄语站）独立宣传网站及海外社交媒体平台，持续深化全球布局。</w:t>
          </w:r>
        </w:p>
        <w:p>
          <w:pPr>
            <w:spacing w:line="360" w:lineRule="exact"/>
            <w:ind w:firstLine="420" w:firstLineChars="200"/>
            <w:jc w:val="both"/>
            <w:outlineLvl w:val="3"/>
            <w:rPr>
              <w:color w:val="000000" w:themeColor="text1"/>
              <w14:textFill>
                <w14:solidFill>
                  <w14:schemeClr w14:val="tx1"/>
                </w14:solidFill>
              </w14:textFill>
            </w:rPr>
          </w:pPr>
          <w:r>
            <w:rPr>
              <w:rFonts w:hint="eastAsia"/>
              <w:color w:val="000000" w:themeColor="text1"/>
              <w14:textFill>
                <w14:solidFill>
                  <w14:schemeClr w14:val="tx1"/>
                </w14:solidFill>
              </w14:textFill>
            </w:rPr>
            <w:t>3、新能源充电基础设施战略性布局</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公司为提升产业链协同发展能力、加快发展新质生产力，投资建设“兆瓦级智能超充网络建设项目”，项目总投资额预计不超过5.4亿元，规划在云南、重庆等西部重要物流枢纽及工业重镇建设近100座电动重卡超充站，标志着公司业务从传统输配电装备制造向新能源充电基础设施投资、建设与运营领域的战略性延伸。截至目前已建成投用9个站，充电速度达到“15分钟级”。此举不仅是公司“延链补链强链”战略的具体实践，更实现了与现有箱式变电站、大容量成套电气设备产品的深度产业协同，成功打通了“源-网-荷-储”与“充-换-运”的关键应用环节。通过布局新能源重卡补能网络，公司开辟了稳定的充电服务收益与数据增值服务新赛道，进一步强化了在新型电力系统及绿色交通基础设施领域的综合竞争力。</w:t>
          </w:r>
        </w:p>
        <w:p>
          <w:pPr>
            <w:spacing w:line="360" w:lineRule="exact"/>
            <w:ind w:firstLine="420" w:firstLineChars="200"/>
            <w:jc w:val="both"/>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（五）人才团队与治理优势，夯实高质量发展根基</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拥有以中国科学院汪卫华院士为首的163人研发团队，在电工材料、新能源装备、智能电网等领域具备深厚技术积累。实施“青苗计划”，每年选拔60名青年骨干赴国内外研修学习，形成“老中青”相结合的人才梯队。与重庆大学、武汉科技大学等8所高校强强联合，共建研发平台。</w:t>
          </w:r>
        </w:p>
        <w:p>
          <w:pPr>
            <w:spacing w:line="360" w:lineRule="exact"/>
            <w:ind w:firstLine="420" w:firstLineChars="200"/>
            <w:jc w:val="both"/>
            <w:rPr>
              <w:rFonts w:cs="Times New Roman"/>
              <w:bCs w:val="0"/>
            </w:rPr>
          </w:pPr>
          <w:r>
            <w:rPr>
              <w:rFonts w:hint="eastAsia"/>
              <w:color w:val="000000" w:themeColor="text1"/>
              <w14:textFill>
                <w14:solidFill>
                  <w14:schemeClr w14:val="tx1"/>
                </w14:solidFill>
              </w14:textFill>
            </w:rPr>
            <w:t>公司持续优化治理架构与内控体系，数字化与质量管理深度融合，有效保障了生产安全与绿色发展。集团新材料事业部荣获重庆市“制造业皇冠上的明珠”荣誉称号，云变电气荣获“云南省制造业单项冠军企业”称号，为高质量增长提供了坚实保障。</w:t>
          </w:r>
        </w:p>
      </w:sdtContent>
    </w:sdt>
    <w:p>
      <w:pPr>
        <w:pStyle w:val="50"/>
        <w:numPr>
          <w:ilvl w:val="0"/>
          <w:numId w:val="5"/>
        </w:numPr>
        <w:tabs>
          <w:tab w:val="left" w:pos="426"/>
        </w:tabs>
        <w:ind w:left="0" w:firstLine="0"/>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报告期内主要经营情况</w:t>
      </w:r>
    </w:p>
    <w:p>
      <w:pPr>
        <w:pStyle w:val="4"/>
        <w:numPr>
          <w:ilvl w:val="0"/>
          <w:numId w:val="7"/>
        </w:numPr>
        <w:rPr>
          <w:rFonts w:hint="eastAsia" w:ascii="宋体" w:hAnsi="宋体"/>
          <w:color w:val="000000" w:themeColor="text1"/>
          <w14:textFill>
            <w14:solidFill>
              <w14:schemeClr w14:val="tx1"/>
            </w14:solidFill>
          </w14:textFill>
        </w:rPr>
      </w:pPr>
      <w:bookmarkStart w:id="52" w:name="_Toc342565895"/>
      <w:bookmarkStart w:id="53" w:name="_Toc342559738"/>
      <w:r>
        <w:rPr>
          <w:rFonts w:hint="eastAsia" w:ascii="宋体" w:hAnsi="宋体"/>
          <w:color w:val="000000" w:themeColor="text1"/>
          <w14:textFill>
            <w14:solidFill>
              <w14:schemeClr w14:val="tx1"/>
            </w14:solidFill>
          </w14:textFill>
        </w:rPr>
        <w:t>主营业务分析</w:t>
      </w:r>
      <w:bookmarkEnd w:id="52"/>
      <w:bookmarkEnd w:id="53"/>
    </w:p>
    <w:p>
      <w:pPr>
        <w:pStyle w:val="5"/>
        <w:numPr>
          <w:ilvl w:val="0"/>
          <w:numId w:val="8"/>
        </w:numPr>
        <w:rPr>
          <w:rFonts w:hint="eastAsia" w:ascii="宋体" w:hAnsi="宋体"/>
          <w:color w:val="000000" w:themeColor="text1"/>
          <w14:textFill>
            <w14:solidFill>
              <w14:schemeClr w14:val="tx1"/>
            </w14:solidFill>
          </w14:textFill>
        </w:rPr>
      </w:pPr>
      <w:bookmarkStart w:id="54" w:name="_Toc342559739"/>
      <w:bookmarkStart w:id="55" w:name="_Toc342565896"/>
      <w:r>
        <w:rPr>
          <w:rFonts w:hint="eastAsia" w:ascii="宋体" w:hAnsi="宋体"/>
          <w:color w:val="000000" w:themeColor="text1"/>
          <w14:textFill>
            <w14:solidFill>
              <w14:schemeClr w14:val="tx1"/>
            </w14:solidFill>
          </w14:textFill>
        </w:rPr>
        <w:t>财务报表相关科目变动分析表</w:t>
      </w:r>
      <w:bookmarkEnd w:id="54"/>
      <w:bookmarkEnd w:id="55"/>
    </w:p>
    <w:p>
      <w:pPr>
        <w:pStyle w:val="31"/>
        <w:ind w:left="360" w:firstLine="0" w:firstLineChars="0"/>
        <w:jc w:val="right"/>
        <w:rPr>
          <w:rFonts w:hint="eastAsia" w:ascii="宋体" w:hAnsi="宋体"/>
          <w:color w:val="000000" w:themeColor="text1"/>
          <w14:textFill>
            <w14:solidFill>
              <w14:schemeClr w14:val="tx1"/>
            </w14:solidFill>
          </w14:textFill>
        </w:rPr>
      </w:pPr>
      <w:bookmarkStart w:id="56" w:name="_Hlk10208083"/>
      <w:r>
        <w:rPr>
          <w:rFonts w:hint="eastAsia" w:ascii="宋体" w:hAnsi="宋体"/>
          <w:color w:val="000000" w:themeColor="text1"/>
          <w:szCs w:val="21"/>
          <w14:textFill>
            <w14:solidFill>
              <w14:schemeClr w14:val="tx1"/>
            </w14:solidFill>
          </w14:textFill>
        </w:rPr>
        <w:t>单位</w:t>
      </w:r>
      <w:r>
        <w:rPr>
          <w:rFonts w:ascii="宋体" w:hAnsi="宋体"/>
          <w:color w:val="000000" w:themeColor="text1"/>
          <w:szCs w:val="21"/>
          <w14:textFill>
            <w14:solidFill>
              <w14:schemeClr w14:val="tx1"/>
            </w14:solidFill>
          </w14:textFill>
        </w:rPr>
        <w:t>：</w:t>
      </w:r>
      <w:sdt>
        <w:sdtPr>
          <w:rPr>
            <w:rFonts w:ascii="宋体" w:hAnsi="宋体"/>
            <w:color w:val="000000" w:themeColor="text1"/>
            <w:szCs w:val="21"/>
            <w14:textFill>
              <w14:solidFill>
                <w14:schemeClr w14:val="tx1"/>
              </w14:solidFill>
            </w14:textFill>
          </w:rPr>
          <w:alias w:val="单位：利润表及现金流量表相关科目变动分析表"/>
          <w:tag w:val="_GBC_ece1a77905b94e6db0c76206578fe2db"/>
          <w:id w:val="212811924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ascii="宋体" w:hAnsi="宋体"/>
            <w:color w:val="000000" w:themeColor="text1"/>
            <w:szCs w:val="21"/>
            <w14:textFill>
              <w14:solidFill>
                <w14:schemeClr w14:val="tx1"/>
              </w14:solidFill>
            </w14:textFill>
          </w:rPr>
        </w:sdtEndPr>
        <w:sdtContent>
          <w:r>
            <w:rPr>
              <w:rFonts w:ascii="宋体" w:hAnsi="宋体"/>
              <w:color w:val="000000" w:themeColor="text1"/>
              <w:szCs w:val="21"/>
              <w14:textFill>
                <w14:solidFill>
                  <w14:schemeClr w14:val="tx1"/>
                </w14:solidFill>
              </w14:textFill>
            </w:rPr>
            <w:t>万元</w:t>
          </w:r>
        </w:sdtContent>
      </w:sdt>
      <w:r>
        <w:rPr>
          <w:rFonts w:hint="eastAsia" w:ascii="宋体" w:hAnsi="宋体"/>
          <w:color w:val="000000" w:themeColor="text1"/>
          <w:szCs w:val="21"/>
          <w14:textFill>
            <w14:solidFill>
              <w14:schemeClr w14:val="tx1"/>
            </w14:solidFill>
          </w14:textFill>
        </w:rPr>
        <w:t xml:space="preserve">  币种：</w:t>
      </w:r>
      <w:sdt>
        <w:sdtPr>
          <w:rPr>
            <w:rFonts w:ascii="宋体" w:hAnsi="宋体"/>
            <w:color w:val="000000" w:themeColor="text1"/>
            <w:szCs w:val="21"/>
            <w14:textFill>
              <w14:solidFill>
                <w14:schemeClr w14:val="tx1"/>
              </w14:solidFill>
            </w14:textFill>
          </w:rPr>
          <w:alias w:val="币种：利润表及现金流量表相关科目变动分析表"/>
          <w:tag w:val="_GBC_6c86f79f9e2349b09f37ad908cd43f73"/>
          <w:id w:val="-177270041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ascii="宋体" w:hAnsi="宋体"/>
            <w:color w:val="000000" w:themeColor="text1"/>
            <w:szCs w:val="21"/>
            <w14:textFill>
              <w14:solidFill>
                <w14:schemeClr w14:val="tx1"/>
              </w14:solidFill>
            </w14:textFill>
          </w:rPr>
        </w:sdtEndPr>
        <w:sdtContent>
          <w:r>
            <w:rPr>
              <w:rFonts w:ascii="宋体" w:hAnsi="宋体"/>
              <w:color w:val="000000" w:themeColor="text1"/>
              <w:szCs w:val="21"/>
              <w14:textFill>
                <w14:solidFill>
                  <w14:schemeClr w14:val="tx1"/>
                </w14:solidFill>
              </w14:textFill>
            </w:rPr>
            <w:t>人民币</w:t>
          </w:r>
        </w:sdtContent>
      </w:sdt>
    </w:p>
    <w:tbl>
      <w:tblPr>
        <w:tblStyle w:val="2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5"/>
        <w:gridCol w:w="2126"/>
        <w:gridCol w:w="1985"/>
        <w:gridCol w:w="1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e2e0d1bb8d44a278061305ea6808979"/>
            <w:id w:val="1989734654"/>
          </w:sdtPr>
          <w:sdtContent>
            <w:tc>
              <w:tcPr>
                <w:tcW w:w="1707" w:type="pct"/>
                <w:vAlign w:val="center"/>
              </w:tcPr>
              <w:p>
                <w:pPr>
                  <w:pStyle w:val="31"/>
                  <w:ind w:firstLine="0" w:firstLineChars="0"/>
                  <w:rPr>
                    <w:rFonts w:hint="eastAsia" w:ascii="宋体" w:hAnsi="宋体"/>
                    <w:color w:val="000000" w:themeColor="text1"/>
                    <w:szCs w:val="21"/>
                    <w14:textFill>
                      <w14:solidFill>
                        <w14:schemeClr w14:val="tx1"/>
                      </w14:solidFill>
                    </w14:textFill>
                  </w:rPr>
                </w:pPr>
                <w:bookmarkStart w:id="57" w:name="_Hlk10208057"/>
                <w:r>
                  <w:rPr>
                    <w:rFonts w:hint="eastAsia" w:ascii="宋体" w:hAnsi="宋体"/>
                    <w:color w:val="000000" w:themeColor="text1"/>
                    <w:szCs w:val="21"/>
                    <w14:textFill>
                      <w14:solidFill>
                        <w14:schemeClr w14:val="tx1"/>
                      </w14:solidFill>
                    </w14:textFill>
                  </w:rPr>
                  <w:t>科目</w:t>
                </w:r>
              </w:p>
            </w:tc>
          </w:sdtContent>
        </w:sdt>
        <w:sdt>
          <w:sdtPr>
            <w:tag w:val="_PLD_37391874ab08430b841a55f53c4d20e6"/>
            <w:id w:val="-1214737430"/>
          </w:sdtPr>
          <w:sdtContent>
            <w:tc>
              <w:tcPr>
                <w:tcW w:w="1176" w:type="pct"/>
                <w:vAlign w:val="center"/>
              </w:tcPr>
              <w:p>
                <w:pPr>
                  <w:pStyle w:val="31"/>
                  <w:ind w:firstLine="0" w:firstLineChars="0"/>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本期数</w:t>
                </w:r>
              </w:p>
            </w:tc>
          </w:sdtContent>
        </w:sdt>
        <w:sdt>
          <w:sdtPr>
            <w:tag w:val="_PLD_d061bf6d7e824e93a5540d2e36feb15d"/>
            <w:id w:val="-558553506"/>
          </w:sdtPr>
          <w:sdtContent>
            <w:tc>
              <w:tcPr>
                <w:tcW w:w="1098" w:type="pct"/>
                <w:vAlign w:val="center"/>
              </w:tcPr>
              <w:p>
                <w:pPr>
                  <w:pStyle w:val="31"/>
                  <w:ind w:firstLine="0" w:firstLineChars="0"/>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上年同期数</w:t>
                </w:r>
              </w:p>
            </w:tc>
          </w:sdtContent>
        </w:sdt>
        <w:sdt>
          <w:sdtPr>
            <w:tag w:val="_PLD_1792b71106c34c75af22292391c96e49"/>
            <w:id w:val="1055204142"/>
          </w:sdtPr>
          <w:sdtContent>
            <w:tc>
              <w:tcPr>
                <w:tcW w:w="1019" w:type="pct"/>
                <w:vAlign w:val="center"/>
              </w:tcPr>
              <w:p>
                <w:pPr>
                  <w:pStyle w:val="31"/>
                  <w:ind w:firstLine="0" w:firstLineChars="0"/>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变动比例（%）</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pPr>
              <w:pStyle w:val="31"/>
              <w:ind w:firstLine="0" w:firstLineChars="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营业收入</w:t>
            </w:r>
          </w:p>
        </w:tc>
        <w:tc>
          <w:tcPr>
            <w:tcW w:w="1176" w:type="pct"/>
          </w:tcPr>
          <w:p>
            <w:pPr>
              <w:pStyle w:val="31"/>
              <w:ind w:firstLine="0" w:firstLineChars="0"/>
              <w:jc w:val="right"/>
              <w:rPr>
                <w:rFonts w:ascii="Times New Roman" w:hAnsi="Times New Roman"/>
                <w:szCs w:val="21"/>
              </w:rPr>
            </w:pPr>
            <w:r>
              <w:t xml:space="preserve"> 187,045.09 </w:t>
            </w:r>
          </w:p>
        </w:tc>
        <w:tc>
          <w:tcPr>
            <w:tcW w:w="1098" w:type="pct"/>
          </w:tcPr>
          <w:p>
            <w:pPr>
              <w:pStyle w:val="31"/>
              <w:ind w:firstLine="0" w:firstLineChars="0"/>
              <w:jc w:val="right"/>
              <w:rPr>
                <w:rFonts w:ascii="Times New Roman" w:hAnsi="Times New Roman"/>
                <w:szCs w:val="21"/>
              </w:rPr>
            </w:pPr>
            <w:r>
              <w:t xml:space="preserve"> 183,598.31 </w:t>
            </w:r>
          </w:p>
        </w:tc>
        <w:tc>
          <w:tcPr>
            <w:tcW w:w="1019" w:type="pct"/>
          </w:tcPr>
          <w:p>
            <w:pPr>
              <w:pStyle w:val="31"/>
              <w:ind w:firstLine="0" w:firstLineChars="0"/>
              <w:jc w:val="right"/>
              <w:rPr>
                <w:rFonts w:ascii="Times New Roman" w:hAnsi="Times New Roman"/>
                <w:szCs w:val="21"/>
              </w:rPr>
            </w:pPr>
            <w:r>
              <w:t xml:space="preserve"> 1.88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pPr>
              <w:pStyle w:val="31"/>
              <w:ind w:firstLine="0" w:firstLineChars="0"/>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营业成本</w:t>
            </w:r>
          </w:p>
        </w:tc>
        <w:tc>
          <w:tcPr>
            <w:tcW w:w="1176" w:type="pct"/>
          </w:tcPr>
          <w:p>
            <w:pPr>
              <w:pStyle w:val="31"/>
              <w:ind w:firstLine="0" w:firstLineChars="0"/>
              <w:jc w:val="right"/>
              <w:rPr>
                <w:rFonts w:ascii="Times New Roman" w:hAnsi="Times New Roman"/>
                <w:szCs w:val="21"/>
              </w:rPr>
            </w:pPr>
            <w:r>
              <w:t xml:space="preserve"> 169,687.03 </w:t>
            </w:r>
          </w:p>
        </w:tc>
        <w:tc>
          <w:tcPr>
            <w:tcW w:w="1098" w:type="pct"/>
          </w:tcPr>
          <w:p>
            <w:pPr>
              <w:pStyle w:val="31"/>
              <w:ind w:firstLine="0" w:firstLineChars="0"/>
              <w:jc w:val="right"/>
              <w:rPr>
                <w:rFonts w:ascii="Times New Roman" w:hAnsi="Times New Roman"/>
                <w:szCs w:val="21"/>
              </w:rPr>
            </w:pPr>
            <w:r>
              <w:t xml:space="preserve"> 160,235.11 </w:t>
            </w:r>
          </w:p>
        </w:tc>
        <w:tc>
          <w:tcPr>
            <w:tcW w:w="1019" w:type="pct"/>
          </w:tcPr>
          <w:p>
            <w:pPr>
              <w:pStyle w:val="31"/>
              <w:ind w:firstLine="0" w:firstLineChars="0"/>
              <w:jc w:val="right"/>
              <w:rPr>
                <w:rFonts w:ascii="Times New Roman" w:hAnsi="Times New Roman"/>
                <w:szCs w:val="21"/>
              </w:rPr>
            </w:pPr>
            <w:r>
              <w:t xml:space="preserve"> 5.90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pPr>
              <w:pStyle w:val="31"/>
              <w:ind w:firstLine="0" w:firstLineChars="0"/>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销售费用</w:t>
            </w:r>
          </w:p>
        </w:tc>
        <w:tc>
          <w:tcPr>
            <w:tcW w:w="1176" w:type="pct"/>
          </w:tcPr>
          <w:p>
            <w:pPr>
              <w:pStyle w:val="31"/>
              <w:ind w:firstLine="0" w:firstLineChars="0"/>
              <w:jc w:val="right"/>
              <w:rPr>
                <w:rFonts w:ascii="Times New Roman" w:hAnsi="Times New Roman"/>
                <w:szCs w:val="21"/>
              </w:rPr>
            </w:pPr>
            <w:r>
              <w:t xml:space="preserve"> 4,991.33 </w:t>
            </w:r>
          </w:p>
        </w:tc>
        <w:tc>
          <w:tcPr>
            <w:tcW w:w="1098" w:type="pct"/>
          </w:tcPr>
          <w:p>
            <w:pPr>
              <w:pStyle w:val="31"/>
              <w:ind w:firstLine="0" w:firstLineChars="0"/>
              <w:jc w:val="right"/>
              <w:rPr>
                <w:rFonts w:ascii="Times New Roman" w:hAnsi="Times New Roman"/>
                <w:szCs w:val="21"/>
              </w:rPr>
            </w:pPr>
            <w:r>
              <w:t xml:space="preserve"> 5,949.14 </w:t>
            </w:r>
          </w:p>
        </w:tc>
        <w:tc>
          <w:tcPr>
            <w:tcW w:w="1019" w:type="pct"/>
          </w:tcPr>
          <w:p>
            <w:pPr>
              <w:pStyle w:val="31"/>
              <w:ind w:firstLine="0" w:firstLineChars="0"/>
              <w:jc w:val="right"/>
              <w:rPr>
                <w:rFonts w:ascii="Times New Roman" w:hAnsi="Times New Roman"/>
                <w:szCs w:val="21"/>
              </w:rPr>
            </w:pPr>
            <w:r>
              <w:t xml:space="preserve"> -16.10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pPr>
              <w:pStyle w:val="31"/>
              <w:ind w:firstLine="0" w:firstLineChars="0"/>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管理费用</w:t>
            </w:r>
          </w:p>
        </w:tc>
        <w:tc>
          <w:tcPr>
            <w:tcW w:w="1176" w:type="pct"/>
          </w:tcPr>
          <w:p>
            <w:pPr>
              <w:pStyle w:val="31"/>
              <w:ind w:firstLine="0" w:firstLineChars="0"/>
              <w:jc w:val="right"/>
              <w:rPr>
                <w:rFonts w:ascii="Times New Roman" w:hAnsi="Times New Roman"/>
                <w:szCs w:val="21"/>
              </w:rPr>
            </w:pPr>
            <w:r>
              <w:t xml:space="preserve"> 6,374.50 </w:t>
            </w:r>
          </w:p>
        </w:tc>
        <w:tc>
          <w:tcPr>
            <w:tcW w:w="1098" w:type="pct"/>
          </w:tcPr>
          <w:p>
            <w:pPr>
              <w:pStyle w:val="31"/>
              <w:ind w:firstLine="0" w:firstLineChars="0"/>
              <w:jc w:val="right"/>
              <w:rPr>
                <w:rFonts w:ascii="Times New Roman" w:hAnsi="Times New Roman"/>
                <w:szCs w:val="21"/>
              </w:rPr>
            </w:pPr>
            <w:r>
              <w:t xml:space="preserve"> 6,317.62 </w:t>
            </w:r>
          </w:p>
        </w:tc>
        <w:tc>
          <w:tcPr>
            <w:tcW w:w="1019" w:type="pct"/>
          </w:tcPr>
          <w:p>
            <w:pPr>
              <w:pStyle w:val="31"/>
              <w:ind w:firstLine="0" w:firstLineChars="0"/>
              <w:jc w:val="right"/>
              <w:rPr>
                <w:rFonts w:ascii="Times New Roman" w:hAnsi="Times New Roman"/>
                <w:szCs w:val="21"/>
              </w:rPr>
            </w:pPr>
            <w:r>
              <w:t xml:space="preserve"> 0.90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pPr>
              <w:pStyle w:val="31"/>
              <w:ind w:firstLine="0" w:firstLineChars="0"/>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财务费用</w:t>
            </w:r>
          </w:p>
        </w:tc>
        <w:tc>
          <w:tcPr>
            <w:tcW w:w="1176" w:type="pct"/>
          </w:tcPr>
          <w:p>
            <w:pPr>
              <w:pStyle w:val="31"/>
              <w:ind w:firstLine="0" w:firstLineChars="0"/>
              <w:jc w:val="right"/>
              <w:rPr>
                <w:rFonts w:ascii="Times New Roman" w:hAnsi="Times New Roman"/>
                <w:szCs w:val="21"/>
              </w:rPr>
            </w:pPr>
            <w:r>
              <w:t xml:space="preserve"> 1,954.02 </w:t>
            </w:r>
          </w:p>
        </w:tc>
        <w:tc>
          <w:tcPr>
            <w:tcW w:w="1098" w:type="pct"/>
          </w:tcPr>
          <w:p>
            <w:pPr>
              <w:pStyle w:val="31"/>
              <w:ind w:firstLine="0" w:firstLineChars="0"/>
              <w:jc w:val="right"/>
              <w:rPr>
                <w:rFonts w:ascii="Times New Roman" w:hAnsi="Times New Roman"/>
                <w:szCs w:val="21"/>
              </w:rPr>
            </w:pPr>
            <w:r>
              <w:t xml:space="preserve"> 961.74 </w:t>
            </w:r>
          </w:p>
        </w:tc>
        <w:tc>
          <w:tcPr>
            <w:tcW w:w="1019" w:type="pct"/>
          </w:tcPr>
          <w:p>
            <w:pPr>
              <w:pStyle w:val="31"/>
              <w:ind w:firstLine="0" w:firstLineChars="0"/>
              <w:jc w:val="right"/>
              <w:rPr>
                <w:rFonts w:ascii="Times New Roman" w:hAnsi="Times New Roman"/>
                <w:szCs w:val="21"/>
              </w:rPr>
            </w:pPr>
            <w:r>
              <w:t xml:space="preserve"> 103.18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pPr>
              <w:pStyle w:val="31"/>
              <w:ind w:firstLine="0" w:firstLineChars="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研发费用</w:t>
            </w:r>
          </w:p>
        </w:tc>
        <w:tc>
          <w:tcPr>
            <w:tcW w:w="1176" w:type="pct"/>
          </w:tcPr>
          <w:p>
            <w:pPr>
              <w:pStyle w:val="31"/>
              <w:ind w:firstLine="0" w:firstLineChars="0"/>
              <w:jc w:val="right"/>
              <w:rPr>
                <w:rFonts w:ascii="Times New Roman" w:hAnsi="Times New Roman"/>
                <w:szCs w:val="21"/>
              </w:rPr>
            </w:pPr>
            <w:r>
              <w:t xml:space="preserve"> 2,075.49 </w:t>
            </w:r>
          </w:p>
        </w:tc>
        <w:tc>
          <w:tcPr>
            <w:tcW w:w="1098" w:type="pct"/>
          </w:tcPr>
          <w:p>
            <w:pPr>
              <w:pStyle w:val="31"/>
              <w:ind w:firstLine="0" w:firstLineChars="0"/>
              <w:jc w:val="right"/>
              <w:rPr>
                <w:rFonts w:ascii="Times New Roman" w:hAnsi="Times New Roman"/>
                <w:szCs w:val="21"/>
              </w:rPr>
            </w:pPr>
            <w:r>
              <w:t xml:space="preserve"> 2,056.50 </w:t>
            </w:r>
          </w:p>
        </w:tc>
        <w:tc>
          <w:tcPr>
            <w:tcW w:w="1019" w:type="pct"/>
          </w:tcPr>
          <w:p>
            <w:pPr>
              <w:pStyle w:val="31"/>
              <w:ind w:firstLine="0" w:firstLineChars="0"/>
              <w:jc w:val="right"/>
              <w:rPr>
                <w:rFonts w:ascii="Times New Roman" w:hAnsi="Times New Roman"/>
                <w:szCs w:val="21"/>
              </w:rPr>
            </w:pPr>
            <w:r>
              <w:t xml:space="preserve"> 0.92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pPr>
              <w:pStyle w:val="31"/>
              <w:ind w:firstLine="0" w:firstLineChars="0"/>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经营活动产生的现金流量净额</w:t>
            </w:r>
          </w:p>
        </w:tc>
        <w:tc>
          <w:tcPr>
            <w:tcW w:w="1176" w:type="pct"/>
          </w:tcPr>
          <w:p>
            <w:pPr>
              <w:pStyle w:val="31"/>
              <w:ind w:firstLine="0" w:firstLineChars="0"/>
              <w:jc w:val="right"/>
              <w:rPr>
                <w:rFonts w:ascii="Times New Roman" w:hAnsi="Times New Roman"/>
                <w:szCs w:val="21"/>
              </w:rPr>
            </w:pPr>
            <w:r>
              <w:t xml:space="preserve"> -11,998.30 </w:t>
            </w:r>
          </w:p>
        </w:tc>
        <w:tc>
          <w:tcPr>
            <w:tcW w:w="1098" w:type="pct"/>
          </w:tcPr>
          <w:p>
            <w:pPr>
              <w:pStyle w:val="31"/>
              <w:ind w:firstLine="0" w:firstLineChars="0"/>
              <w:jc w:val="right"/>
              <w:rPr>
                <w:rFonts w:ascii="Times New Roman" w:hAnsi="Times New Roman"/>
                <w:szCs w:val="21"/>
              </w:rPr>
            </w:pPr>
            <w:r>
              <w:t xml:space="preserve"> 1,983.12 </w:t>
            </w:r>
          </w:p>
        </w:tc>
        <w:tc>
          <w:tcPr>
            <w:tcW w:w="1019" w:type="pct"/>
          </w:tcPr>
          <w:p>
            <w:pPr>
              <w:pStyle w:val="31"/>
              <w:ind w:firstLine="0" w:firstLineChars="0"/>
              <w:jc w:val="right"/>
              <w:rPr>
                <w:rFonts w:ascii="Times New Roman" w:hAnsi="Times New Roman"/>
                <w:szCs w:val="21"/>
              </w:rPr>
            </w:pPr>
            <w:r>
              <w:t xml:space="preserve"> -705.02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pPr>
              <w:pStyle w:val="31"/>
              <w:ind w:firstLine="0" w:firstLineChars="0"/>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投资活动产生的现金流量净额</w:t>
            </w:r>
          </w:p>
        </w:tc>
        <w:tc>
          <w:tcPr>
            <w:tcW w:w="1176" w:type="pct"/>
          </w:tcPr>
          <w:p>
            <w:pPr>
              <w:pStyle w:val="31"/>
              <w:ind w:firstLine="0" w:firstLineChars="0"/>
              <w:jc w:val="right"/>
              <w:rPr>
                <w:rFonts w:ascii="Times New Roman" w:hAnsi="Times New Roman"/>
                <w:szCs w:val="21"/>
              </w:rPr>
            </w:pPr>
            <w:r>
              <w:t xml:space="preserve"> -2,321.63 </w:t>
            </w:r>
          </w:p>
        </w:tc>
        <w:tc>
          <w:tcPr>
            <w:tcW w:w="1098" w:type="pct"/>
          </w:tcPr>
          <w:p>
            <w:pPr>
              <w:pStyle w:val="31"/>
              <w:ind w:firstLine="0" w:firstLineChars="0"/>
              <w:jc w:val="right"/>
              <w:rPr>
                <w:rFonts w:ascii="Times New Roman" w:hAnsi="Times New Roman"/>
                <w:szCs w:val="21"/>
              </w:rPr>
            </w:pPr>
            <w:r>
              <w:t xml:space="preserve"> -3,532.33 </w:t>
            </w:r>
          </w:p>
        </w:tc>
        <w:tc>
          <w:tcPr>
            <w:tcW w:w="1019" w:type="pct"/>
          </w:tcPr>
          <w:p>
            <w:pPr>
              <w:pStyle w:val="31"/>
              <w:ind w:firstLine="0" w:firstLineChars="0"/>
              <w:jc w:val="right"/>
              <w:rPr>
                <w:rFonts w:ascii="Times New Roman" w:hAnsi="Times New Roman"/>
                <w:szCs w:val="21"/>
              </w:rPr>
            </w:pPr>
            <w:r>
              <w:t xml:space="preserve"> -34.27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7" w:type="pct"/>
          </w:tcPr>
          <w:p>
            <w:pPr>
              <w:pStyle w:val="31"/>
              <w:ind w:firstLine="0" w:firstLineChars="0"/>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筹资活动产生的现金流量净额</w:t>
            </w:r>
          </w:p>
        </w:tc>
        <w:tc>
          <w:tcPr>
            <w:tcW w:w="1176" w:type="pct"/>
          </w:tcPr>
          <w:p>
            <w:pPr>
              <w:pStyle w:val="31"/>
              <w:ind w:firstLine="0" w:firstLineChars="0"/>
              <w:jc w:val="right"/>
              <w:rPr>
                <w:rFonts w:ascii="Times New Roman" w:hAnsi="Times New Roman"/>
                <w:szCs w:val="21"/>
              </w:rPr>
            </w:pPr>
            <w:r>
              <w:t xml:space="preserve"> -17,334.48 </w:t>
            </w:r>
          </w:p>
        </w:tc>
        <w:tc>
          <w:tcPr>
            <w:tcW w:w="1098" w:type="pct"/>
          </w:tcPr>
          <w:p>
            <w:pPr>
              <w:pStyle w:val="31"/>
              <w:ind w:firstLine="0" w:firstLineChars="0"/>
              <w:jc w:val="right"/>
              <w:rPr>
                <w:rFonts w:ascii="Times New Roman" w:hAnsi="Times New Roman"/>
                <w:szCs w:val="21"/>
              </w:rPr>
            </w:pPr>
            <w:r>
              <w:t xml:space="preserve"> 7,344.25 </w:t>
            </w:r>
          </w:p>
        </w:tc>
        <w:tc>
          <w:tcPr>
            <w:tcW w:w="1019" w:type="pct"/>
          </w:tcPr>
          <w:p>
            <w:pPr>
              <w:pStyle w:val="31"/>
              <w:ind w:firstLine="0" w:firstLineChars="0"/>
              <w:jc w:val="right"/>
              <w:rPr>
                <w:rFonts w:ascii="Times New Roman" w:hAnsi="Times New Roman"/>
                <w:szCs w:val="21"/>
              </w:rPr>
            </w:pPr>
            <w:r>
              <w:t xml:space="preserve"> -336.03 </w:t>
            </w:r>
          </w:p>
        </w:tc>
      </w:tr>
      <w:bookmarkEnd w:id="57"/>
    </w:tbl>
    <w:p>
      <w:pPr>
        <w:pStyle w:val="31"/>
        <w:spacing w:line="360" w:lineRule="exact"/>
        <w:ind w:firstLine="0" w:firstLineChars="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营业收入变动原因说明：</w:t>
      </w:r>
      <w:sdt>
        <w:sdtPr>
          <w:rPr>
            <w:rFonts w:ascii="Times New Roman" w:hAnsi="Times New Roman"/>
            <w:color w:val="000000" w:themeColor="text1"/>
            <w:szCs w:val="21"/>
            <w14:textFill>
              <w14:solidFill>
                <w14:schemeClr w14:val="tx1"/>
              </w14:solidFill>
            </w14:textFill>
          </w:rPr>
          <w:alias w:val="营业收入变动原因说明"/>
          <w:tag w:val="_GBC_f42c61e6c2ef46fe886ea6ecdd4ea15b"/>
          <w:id w:val="-338002984"/>
          <w:placeholder>
            <w:docPart w:val="GBC22222222222222222222222222222"/>
          </w:placeholder>
        </w:sdtPr>
        <w:sdtEndPr>
          <w:rPr>
            <w:rFonts w:ascii="Times New Roman" w:hAnsi="Times New Roman"/>
            <w:color w:val="000000" w:themeColor="text1"/>
            <w:szCs w:val="21"/>
            <w14:textFill>
              <w14:solidFill>
                <w14:schemeClr w14:val="tx1"/>
              </w14:solidFill>
            </w14:textFill>
          </w:rPr>
        </w:sdtEndPr>
        <w:sdtContent>
          <w:r>
            <w:rPr>
              <w:rFonts w:ascii="Times New Roman" w:hAnsi="Times New Roman"/>
              <w:color w:val="000000" w:themeColor="text1"/>
              <w:szCs w:val="21"/>
              <w14:textFill>
                <w14:solidFill>
                  <w14:schemeClr w14:val="tx1"/>
                </w14:solidFill>
              </w14:textFill>
            </w:rPr>
            <w:t>报告期实现营业收入187,045万元，同比增加3,447万元，增长1.88%。主营业务收入178,402万元，其中输配电及控制设备业务收入120,968万元，同比增加6,716万元，增长5.88%；取向硅钢业务收入57,434万元，同比下降6,189万元，下降9.73%。（1）输配电及控制设备业务增长主要系电力变压器营业收入从去年同期的77,503万元增加到85,494万元，增加7,991万元；（2）取向硅钢业务</w:t>
          </w:r>
          <w:r>
            <w:rPr>
              <w:rFonts w:hint="eastAsia" w:ascii="Times New Roman" w:hAnsi="Times New Roman"/>
              <w:color w:val="000000" w:themeColor="text1"/>
              <w:szCs w:val="21"/>
              <w14:textFill>
                <w14:solidFill>
                  <w14:schemeClr w14:val="tx1"/>
                </w14:solidFill>
              </w14:textFill>
            </w:rPr>
            <w:t>变动</w:t>
          </w:r>
          <w:r>
            <w:rPr>
              <w:rFonts w:ascii="Times New Roman" w:hAnsi="Times New Roman"/>
              <w:color w:val="000000" w:themeColor="text1"/>
              <w:szCs w:val="21"/>
              <w14:textFill>
                <w14:solidFill>
                  <w14:schemeClr w14:val="tx1"/>
                </w14:solidFill>
              </w14:textFill>
            </w:rPr>
            <w:t>主要系单位销售价格下滑和销售量增加共同影响所致，取向硅钢平均销售价格下降1,</w:t>
          </w:r>
          <w:r>
            <w:rPr>
              <w:rFonts w:hint="eastAsia" w:ascii="Times New Roman" w:hAnsi="Times New Roman"/>
              <w:color w:val="000000" w:themeColor="text1"/>
              <w:szCs w:val="21"/>
              <w14:textFill>
                <w14:solidFill>
                  <w14:schemeClr w14:val="tx1"/>
                </w14:solidFill>
              </w14:textFill>
            </w:rPr>
            <w:t>636</w:t>
          </w:r>
          <w:r>
            <w:rPr>
              <w:rFonts w:ascii="Times New Roman" w:hAnsi="Times New Roman"/>
              <w:color w:val="000000" w:themeColor="text1"/>
              <w:szCs w:val="21"/>
              <w14:textFill>
                <w14:solidFill>
                  <w14:schemeClr w14:val="tx1"/>
                </w14:solidFill>
              </w14:textFill>
            </w:rPr>
            <w:t>元/吨，影响收入下降12,904万元；对外销售量增加6,915吨，实现营业收入增长6,715万元。综合作用下，该业务收入净减少6,189万元。</w:t>
          </w:r>
        </w:sdtContent>
      </w:sdt>
    </w:p>
    <w:p>
      <w:pPr>
        <w:pStyle w:val="31"/>
        <w:spacing w:line="360" w:lineRule="exact"/>
        <w:ind w:firstLine="0" w:firstLineChars="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营业成本变动原因说明：</w:t>
      </w:r>
      <w:sdt>
        <w:sdtPr>
          <w:rPr>
            <w:rFonts w:hint="eastAsia" w:ascii="Times New Roman" w:hAnsi="Times New Roman"/>
            <w:color w:val="000000" w:themeColor="text1"/>
            <w14:textFill>
              <w14:solidFill>
                <w14:schemeClr w14:val="tx1"/>
              </w14:solidFill>
            </w14:textFill>
          </w:rPr>
          <w:alias w:val="营业成本变动原因说明"/>
          <w:tag w:val="_GBC_4ab47071f9844da58abe164f6bd272aa"/>
          <w:id w:val="1495225387"/>
          <w:placeholder>
            <w:docPart w:val="GBC22222222222222222222222222222"/>
          </w:placeholder>
        </w:sdtPr>
        <w:sdtEndPr>
          <w:rPr>
            <w:rFonts w:hint="eastAsia"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报告期营业成本169,687万元，同比增加9,452万元，增长5.90%。主营业务成本161,495万元，其中输配电及控制设备业务营业成本103,969万元，同比增加6,001万元，增长6.13%；取向硅钢业务营业成本57,526万元，同比增加804万元，增长1.42%。（1）输配电及控制设备业务增长主要系电力变压器营业收入增加7,991万元，增加营业成本8,750万元；（2）取向硅钢业务单位</w:t>
          </w:r>
          <w:r>
            <w:rPr>
              <w:rFonts w:hint="eastAsia" w:ascii="Times New Roman" w:hAnsi="Times New Roman"/>
              <w:color w:val="000000" w:themeColor="text1"/>
              <w14:textFill>
                <w14:solidFill>
                  <w14:schemeClr w14:val="tx1"/>
                </w14:solidFill>
              </w14:textFill>
            </w:rPr>
            <w:t>平均</w:t>
          </w:r>
          <w:r>
            <w:rPr>
              <w:rFonts w:ascii="Times New Roman" w:hAnsi="Times New Roman"/>
              <w:color w:val="000000" w:themeColor="text1"/>
              <w14:textFill>
                <w14:solidFill>
                  <w14:schemeClr w14:val="tx1"/>
                </w14:solidFill>
              </w14:textFill>
            </w:rPr>
            <w:t>销售成本下降带来总营业成本减少4,888万元，销售量的增加带来总营业成本增加5,692万元共同影响所致。</w:t>
          </w:r>
        </w:sdtContent>
      </w:sdt>
    </w:p>
    <w:p>
      <w:pPr>
        <w:pStyle w:val="31"/>
        <w:spacing w:line="360" w:lineRule="exact"/>
        <w:ind w:firstLine="0" w:firstLineChars="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财务费用变动原因说明：</w:t>
      </w:r>
      <w:sdt>
        <w:sdtPr>
          <w:rPr>
            <w:rFonts w:hint="eastAsia" w:ascii="Times New Roman" w:hAnsi="Times New Roman"/>
            <w:color w:val="000000" w:themeColor="text1"/>
            <w14:textFill>
              <w14:solidFill>
                <w14:schemeClr w14:val="tx1"/>
              </w14:solidFill>
            </w14:textFill>
          </w:rPr>
          <w:alias w:val="财务费用变动原因说明"/>
          <w:tag w:val="_GBC_2876360f1d844724b6ba84d6b9756580"/>
          <w:id w:val="-1007276735"/>
          <w:placeholder>
            <w:docPart w:val="GBC22222222222222222222222222222"/>
          </w:placeholder>
        </w:sdtPr>
        <w:sdtEndPr>
          <w:rPr>
            <w:rFonts w:hint="eastAsia" w:ascii="Times New Roman" w:hAnsi="Times New Roman"/>
            <w:color w:val="000000" w:themeColor="text1"/>
            <w14:textFill>
              <w14:solidFill>
                <w14:schemeClr w14:val="tx1"/>
              </w14:solidFill>
            </w14:textFill>
          </w:rPr>
        </w:sdtEndPr>
        <w:sdtContent>
          <w:r>
            <w:rPr>
              <w:rFonts w:ascii="Times New Roman" w:hAnsi="Times New Roman"/>
              <w:color w:val="000000" w:themeColor="text1"/>
              <w14:textFill>
                <w14:solidFill>
                  <w14:schemeClr w14:val="tx1"/>
                </w14:solidFill>
              </w14:textFill>
            </w:rPr>
            <w:t>财务费用本期增加992万元，主要系本期借款产生利息支出增加313万元，利息收入同比减少380万元，以及汇率波动导致本期汇兑净收益减少268万元共同影响所致。</w:t>
          </w:r>
        </w:sdtContent>
      </w:sdt>
    </w:p>
    <w:p>
      <w:pPr>
        <w:pStyle w:val="31"/>
        <w:spacing w:line="360" w:lineRule="exact"/>
        <w:ind w:firstLine="0" w:firstLineChars="0"/>
        <w:rPr>
          <w:rFonts w:ascii="Times New Roman" w:hAnsi="Times New Roman"/>
          <w:color w:val="000000" w:themeColor="text1"/>
          <w14:textFill>
            <w14:solidFill>
              <w14:schemeClr w14:val="tx1"/>
            </w14:solidFill>
          </w14:textFill>
        </w:rPr>
      </w:pPr>
      <w:r>
        <w:rPr>
          <w:rFonts w:ascii="Times New Roman" w:hAnsi="Times New Roman"/>
          <w:color w:val="000000" w:themeColor="text1"/>
          <w:szCs w:val="21"/>
          <w14:textFill>
            <w14:solidFill>
              <w14:schemeClr w14:val="tx1"/>
            </w14:solidFill>
          </w14:textFill>
        </w:rPr>
        <w:t>经营活动产生的现金流量净额</w:t>
      </w:r>
      <w:r>
        <w:rPr>
          <w:rFonts w:hint="eastAsia" w:ascii="Times New Roman" w:hAnsi="Times New Roman"/>
          <w:color w:val="000000" w:themeColor="text1"/>
          <w:szCs w:val="21"/>
          <w14:textFill>
            <w14:solidFill>
              <w14:schemeClr w14:val="tx1"/>
            </w14:solidFill>
          </w14:textFill>
        </w:rPr>
        <w:t>变动原因说明：</w:t>
      </w:r>
      <w:sdt>
        <w:sdtPr>
          <w:rPr>
            <w:rFonts w:hint="eastAsia" w:ascii="Times New Roman" w:hAnsi="Times New Roman"/>
            <w:color w:val="000000" w:themeColor="text1"/>
            <w:szCs w:val="21"/>
            <w14:textFill>
              <w14:solidFill>
                <w14:schemeClr w14:val="tx1"/>
              </w14:solidFill>
            </w14:textFill>
          </w:rPr>
          <w:alias w:val="经营活动产生的现金流量净额变动原因说明"/>
          <w:tag w:val="_GBC_309323bb8b0046e9bb6afe0231994d50"/>
          <w:id w:val="2124802679"/>
          <w:placeholder>
            <w:docPart w:val="GBC22222222222222222222222222222"/>
          </w:placeholder>
        </w:sdtPr>
        <w:sdtEndPr>
          <w:rPr>
            <w:rFonts w:hint="eastAsia" w:ascii="Times New Roman" w:hAnsi="Times New Roman"/>
            <w:color w:val="000000" w:themeColor="text1"/>
            <w:szCs w:val="21"/>
            <w14:textFill>
              <w14:solidFill>
                <w14:schemeClr w14:val="tx1"/>
              </w14:solidFill>
            </w14:textFill>
          </w:rPr>
        </w:sdtEndPr>
        <w:sdtContent>
          <w:r>
            <w:rPr>
              <w:rFonts w:ascii="Times New Roman" w:hAnsi="Times New Roman"/>
              <w:color w:val="000000" w:themeColor="text1"/>
              <w:szCs w:val="21"/>
              <w14:textFill>
                <w14:solidFill>
                  <w14:schemeClr w14:val="tx1"/>
                </w14:solidFill>
              </w14:textFill>
            </w:rPr>
            <w:t>报告期经营活动产生的现金流量为净流出</w:t>
          </w:r>
          <w:r>
            <w:rPr>
              <w:rFonts w:hint="eastAsia" w:ascii="Times New Roman" w:hAnsi="Times New Roman"/>
              <w:color w:val="000000" w:themeColor="text1"/>
              <w:szCs w:val="21"/>
              <w14:textFill>
                <w14:solidFill>
                  <w14:schemeClr w14:val="tx1"/>
                </w14:solidFill>
              </w14:textFill>
            </w:rPr>
            <w:t>11</w:t>
          </w:r>
          <w:r>
            <w:rPr>
              <w:rFonts w:ascii="Times New Roman" w:hAnsi="Times New Roman"/>
              <w:color w:val="000000" w:themeColor="text1"/>
              <w:szCs w:val="21"/>
              <w14:textFill>
                <w14:solidFill>
                  <w14:schemeClr w14:val="tx1"/>
                </w14:solidFill>
              </w14:textFill>
            </w:rPr>
            <w:t>,</w:t>
          </w:r>
          <w:r>
            <w:rPr>
              <w:rFonts w:hint="eastAsia" w:ascii="Times New Roman" w:hAnsi="Times New Roman"/>
              <w:color w:val="000000" w:themeColor="text1"/>
              <w:szCs w:val="21"/>
              <w14:textFill>
                <w14:solidFill>
                  <w14:schemeClr w14:val="tx1"/>
                </w14:solidFill>
              </w14:textFill>
            </w:rPr>
            <w:t>998</w:t>
          </w:r>
          <w:r>
            <w:rPr>
              <w:rFonts w:ascii="Times New Roman" w:hAnsi="Times New Roman"/>
              <w:color w:val="000000" w:themeColor="text1"/>
              <w:szCs w:val="21"/>
              <w14:textFill>
                <w14:solidFill>
                  <w14:schemeClr w14:val="tx1"/>
                </w14:solidFill>
              </w14:textFill>
            </w:rPr>
            <w:t>万元，</w:t>
          </w:r>
          <w:r>
            <w:rPr>
              <w:rFonts w:hint="eastAsia" w:ascii="Times New Roman" w:hAnsi="Times New Roman"/>
              <w:color w:val="000000" w:themeColor="text1"/>
              <w:szCs w:val="21"/>
              <w14:textFill>
                <w14:solidFill>
                  <w14:schemeClr w14:val="tx1"/>
                </w14:solidFill>
              </w14:textFill>
            </w:rPr>
            <w:t>净流出</w:t>
          </w:r>
          <w:r>
            <w:rPr>
              <w:rFonts w:ascii="Times New Roman" w:hAnsi="Times New Roman"/>
              <w:color w:val="000000" w:themeColor="text1"/>
              <w:szCs w:val="21"/>
              <w14:textFill>
                <w14:solidFill>
                  <w14:schemeClr w14:val="tx1"/>
                </w14:solidFill>
              </w14:textFill>
            </w:rPr>
            <w:t>较上年同期</w:t>
          </w:r>
          <w:r>
            <w:rPr>
              <w:rFonts w:hint="eastAsia" w:ascii="Times New Roman" w:hAnsi="Times New Roman"/>
              <w:color w:val="000000" w:themeColor="text1"/>
              <w:szCs w:val="21"/>
              <w14:textFill>
                <w14:solidFill>
                  <w14:schemeClr w14:val="tx1"/>
                </w14:solidFill>
              </w14:textFill>
            </w:rPr>
            <w:t>增加</w:t>
          </w:r>
          <w:r>
            <w:rPr>
              <w:rFonts w:ascii="Times New Roman" w:hAnsi="Times New Roman"/>
              <w:color w:val="000000" w:themeColor="text1"/>
              <w:szCs w:val="21"/>
              <w14:textFill>
                <w14:solidFill>
                  <w14:schemeClr w14:val="tx1"/>
                </w14:solidFill>
              </w14:textFill>
            </w:rPr>
            <w:t>13,98</w:t>
          </w:r>
          <w:r>
            <w:rPr>
              <w:rFonts w:hint="eastAsia" w:ascii="Times New Roman" w:hAnsi="Times New Roman"/>
              <w:color w:val="000000" w:themeColor="text1"/>
              <w:szCs w:val="21"/>
              <w14:textFill>
                <w14:solidFill>
                  <w14:schemeClr w14:val="tx1"/>
                </w14:solidFill>
              </w14:textFill>
            </w:rPr>
            <w:t>1</w:t>
          </w:r>
          <w:r>
            <w:rPr>
              <w:rFonts w:ascii="Times New Roman" w:hAnsi="Times New Roman"/>
              <w:color w:val="000000" w:themeColor="text1"/>
              <w:szCs w:val="21"/>
              <w14:textFill>
                <w14:solidFill>
                  <w14:schemeClr w14:val="tx1"/>
                </w14:solidFill>
              </w14:textFill>
            </w:rPr>
            <w:t>万元，主要系公司购买商品、接受劳务支付的现金</w:t>
          </w:r>
          <w:r>
            <w:rPr>
              <w:rFonts w:hint="eastAsia" w:ascii="Times New Roman" w:hAnsi="Times New Roman"/>
              <w:color w:val="000000" w:themeColor="text1"/>
              <w:szCs w:val="21"/>
              <w14:textFill>
                <w14:solidFill>
                  <w14:schemeClr w14:val="tx1"/>
                </w14:solidFill>
              </w14:textFill>
            </w:rPr>
            <w:t>增加</w:t>
          </w:r>
          <w:r>
            <w:rPr>
              <w:rFonts w:ascii="Times New Roman" w:hAnsi="Times New Roman"/>
              <w:color w:val="000000" w:themeColor="text1"/>
              <w:szCs w:val="21"/>
              <w14:textFill>
                <w14:solidFill>
                  <w14:schemeClr w14:val="tx1"/>
                </w14:solidFill>
              </w14:textFill>
            </w:rPr>
            <w:t>18,</w:t>
          </w:r>
          <w:r>
            <w:rPr>
              <w:rFonts w:hint="eastAsia" w:ascii="Times New Roman" w:hAnsi="Times New Roman"/>
              <w:color w:val="000000" w:themeColor="text1"/>
              <w:szCs w:val="21"/>
              <w14:textFill>
                <w14:solidFill>
                  <w14:schemeClr w14:val="tx1"/>
                </w14:solidFill>
              </w14:textFill>
            </w:rPr>
            <w:t>514</w:t>
          </w:r>
          <w:r>
            <w:rPr>
              <w:rFonts w:ascii="Times New Roman" w:hAnsi="Times New Roman"/>
              <w:color w:val="000000" w:themeColor="text1"/>
              <w:szCs w:val="21"/>
              <w14:textFill>
                <w14:solidFill>
                  <w14:schemeClr w14:val="tx1"/>
                </w14:solidFill>
              </w14:textFill>
            </w:rPr>
            <w:t>万元</w:t>
          </w:r>
          <w:r>
            <w:rPr>
              <w:rFonts w:hint="eastAsia" w:ascii="Times New Roman" w:hAnsi="Times New Roman"/>
              <w:color w:val="000000" w:themeColor="text1"/>
              <w:szCs w:val="21"/>
              <w14:textFill>
                <w14:solidFill>
                  <w14:schemeClr w14:val="tx1"/>
                </w14:solidFill>
              </w14:textFill>
            </w:rPr>
            <w:t>，同时</w:t>
          </w:r>
          <w:r>
            <w:rPr>
              <w:rFonts w:ascii="Times New Roman" w:hAnsi="Times New Roman"/>
              <w:color w:val="000000" w:themeColor="text1"/>
              <w:szCs w:val="21"/>
              <w14:textFill>
                <w14:solidFill>
                  <w14:schemeClr w14:val="tx1"/>
                </w14:solidFill>
              </w14:textFill>
            </w:rPr>
            <w:t>销售商品、提供劳务收到的现金增加7,957万元共同影响所致。</w:t>
          </w:r>
        </w:sdtContent>
      </w:sdt>
    </w:p>
    <w:p>
      <w:pPr>
        <w:pStyle w:val="31"/>
        <w:spacing w:line="360" w:lineRule="exact"/>
        <w:ind w:firstLine="0" w:firstLineChars="0"/>
        <w:rPr>
          <w:rFonts w:ascii="Times New Roman" w:hAnsi="Times New Roman"/>
          <w:color w:val="000000" w:themeColor="text1"/>
          <w14:textFill>
            <w14:solidFill>
              <w14:schemeClr w14:val="tx1"/>
            </w14:solidFill>
          </w14:textFill>
        </w:rPr>
      </w:pPr>
      <w:r>
        <w:rPr>
          <w:rFonts w:ascii="Times New Roman" w:hAnsi="Times New Roman"/>
          <w:color w:val="000000" w:themeColor="text1"/>
          <w:szCs w:val="21"/>
          <w14:textFill>
            <w14:solidFill>
              <w14:schemeClr w14:val="tx1"/>
            </w14:solidFill>
          </w14:textFill>
        </w:rPr>
        <w:t>投资活动产生的现金流量净额</w:t>
      </w:r>
      <w:r>
        <w:rPr>
          <w:rFonts w:hint="eastAsia" w:ascii="Times New Roman" w:hAnsi="Times New Roman"/>
          <w:color w:val="000000" w:themeColor="text1"/>
          <w:szCs w:val="21"/>
          <w14:textFill>
            <w14:solidFill>
              <w14:schemeClr w14:val="tx1"/>
            </w14:solidFill>
          </w14:textFill>
        </w:rPr>
        <w:t>变动原因说明：</w:t>
      </w:r>
      <w:sdt>
        <w:sdtPr>
          <w:rPr>
            <w:rFonts w:hint="eastAsia" w:ascii="Times New Roman" w:hAnsi="Times New Roman"/>
            <w:color w:val="000000" w:themeColor="text1"/>
            <w:szCs w:val="21"/>
            <w14:textFill>
              <w14:solidFill>
                <w14:schemeClr w14:val="tx1"/>
              </w14:solidFill>
            </w14:textFill>
          </w:rPr>
          <w:alias w:val="投资活动产生的现金流量净额变动原因说明"/>
          <w:tag w:val="_GBC_981bcb9573814b8080b52fae435fb1b0"/>
          <w:id w:val="816390392"/>
          <w:placeholder>
            <w:docPart w:val="GBC22222222222222222222222222222"/>
          </w:placeholder>
        </w:sdtPr>
        <w:sdtEndPr>
          <w:rPr>
            <w:rFonts w:hint="eastAsia" w:ascii="Times New Roman" w:hAnsi="Times New Roman"/>
            <w:color w:val="000000" w:themeColor="text1"/>
            <w:szCs w:val="21"/>
            <w14:textFill>
              <w14:solidFill>
                <w14:schemeClr w14:val="tx1"/>
              </w14:solidFill>
            </w14:textFill>
          </w:rPr>
        </w:sdtEndPr>
        <w:sdtContent>
          <w:r>
            <w:rPr>
              <w:rFonts w:ascii="Times New Roman" w:hAnsi="Times New Roman"/>
              <w:color w:val="000000" w:themeColor="text1"/>
              <w:szCs w:val="21"/>
              <w14:textFill>
                <w14:solidFill>
                  <w14:schemeClr w14:val="tx1"/>
                </w14:solidFill>
              </w14:textFill>
            </w:rPr>
            <w:t>报告期投资活动产生的现金流量为净流出2,3</w:t>
          </w:r>
          <w:r>
            <w:rPr>
              <w:rFonts w:hint="eastAsia" w:ascii="Times New Roman" w:hAnsi="Times New Roman"/>
              <w:color w:val="000000" w:themeColor="text1"/>
              <w:szCs w:val="21"/>
              <w14:textFill>
                <w14:solidFill>
                  <w14:schemeClr w14:val="tx1"/>
                </w14:solidFill>
              </w14:textFill>
            </w:rPr>
            <w:t>22</w:t>
          </w:r>
          <w:r>
            <w:rPr>
              <w:rFonts w:ascii="Times New Roman" w:hAnsi="Times New Roman"/>
              <w:color w:val="000000" w:themeColor="text1"/>
              <w:szCs w:val="21"/>
              <w14:textFill>
                <w14:solidFill>
                  <w14:schemeClr w14:val="tx1"/>
                </w14:solidFill>
              </w14:textFill>
            </w:rPr>
            <w:t>万元，</w:t>
          </w:r>
          <w:r>
            <w:rPr>
              <w:rFonts w:hint="eastAsia" w:ascii="Times New Roman" w:hAnsi="Times New Roman"/>
              <w:color w:val="000000" w:themeColor="text1"/>
              <w:szCs w:val="21"/>
              <w14:textFill>
                <w14:solidFill>
                  <w14:schemeClr w14:val="tx1"/>
                </w14:solidFill>
              </w14:textFill>
            </w:rPr>
            <w:t>净流出</w:t>
          </w:r>
          <w:r>
            <w:rPr>
              <w:rFonts w:ascii="Times New Roman" w:hAnsi="Times New Roman"/>
              <w:color w:val="000000" w:themeColor="text1"/>
              <w:szCs w:val="21"/>
              <w14:textFill>
                <w14:solidFill>
                  <w14:schemeClr w14:val="tx1"/>
                </w14:solidFill>
              </w14:textFill>
            </w:rPr>
            <w:t>较上年同期减少1,2</w:t>
          </w:r>
          <w:r>
            <w:rPr>
              <w:rFonts w:hint="eastAsia" w:ascii="Times New Roman" w:hAnsi="Times New Roman"/>
              <w:color w:val="000000" w:themeColor="text1"/>
              <w:szCs w:val="21"/>
              <w14:textFill>
                <w14:solidFill>
                  <w14:schemeClr w14:val="tx1"/>
                </w14:solidFill>
              </w14:textFill>
            </w:rPr>
            <w:t>11</w:t>
          </w:r>
          <w:r>
            <w:rPr>
              <w:rFonts w:ascii="Times New Roman" w:hAnsi="Times New Roman"/>
              <w:color w:val="000000" w:themeColor="text1"/>
              <w:szCs w:val="21"/>
              <w14:textFill>
                <w14:solidFill>
                  <w14:schemeClr w14:val="tx1"/>
                </w14:solidFill>
              </w14:textFill>
            </w:rPr>
            <w:t>万元，主要系</w:t>
          </w:r>
          <w:r>
            <w:rPr>
              <w:rFonts w:hint="eastAsia" w:ascii="Times New Roman" w:hAnsi="Times New Roman"/>
              <w:color w:val="000000" w:themeColor="text1"/>
              <w:szCs w:val="21"/>
              <w14:textFill>
                <w14:solidFill>
                  <w14:schemeClr w14:val="tx1"/>
                </w14:solidFill>
              </w14:textFill>
            </w:rPr>
            <w:t>公司</w:t>
          </w:r>
          <w:r>
            <w:rPr>
              <w:rFonts w:ascii="Times New Roman" w:hAnsi="Times New Roman"/>
              <w:color w:val="000000" w:themeColor="text1"/>
              <w:szCs w:val="21"/>
              <w14:textFill>
                <w14:solidFill>
                  <w14:schemeClr w14:val="tx1"/>
                </w14:solidFill>
              </w14:textFill>
            </w:rPr>
            <w:t>本期购买资产支付的现金较上期减少3,2</w:t>
          </w:r>
          <w:r>
            <w:rPr>
              <w:rFonts w:hint="eastAsia" w:ascii="Times New Roman" w:hAnsi="Times New Roman"/>
              <w:color w:val="000000" w:themeColor="text1"/>
              <w:szCs w:val="21"/>
              <w14:textFill>
                <w14:solidFill>
                  <w14:schemeClr w14:val="tx1"/>
                </w14:solidFill>
              </w14:textFill>
            </w:rPr>
            <w:t>48</w:t>
          </w:r>
          <w:r>
            <w:rPr>
              <w:rFonts w:ascii="Times New Roman" w:hAnsi="Times New Roman"/>
              <w:color w:val="000000" w:themeColor="text1"/>
              <w:szCs w:val="21"/>
              <w14:textFill>
                <w14:solidFill>
                  <w14:schemeClr w14:val="tx1"/>
                </w14:solidFill>
              </w14:textFill>
            </w:rPr>
            <w:t>万元</w:t>
          </w:r>
          <w:r>
            <w:rPr>
              <w:rFonts w:hint="eastAsia" w:ascii="Times New Roman" w:hAnsi="Times New Roman"/>
              <w:color w:val="000000" w:themeColor="text1"/>
              <w:szCs w:val="21"/>
              <w14:textFill>
                <w14:solidFill>
                  <w14:schemeClr w14:val="tx1"/>
                </w14:solidFill>
              </w14:textFill>
            </w:rPr>
            <w:t>，同时</w:t>
          </w:r>
          <w:r>
            <w:rPr>
              <w:rFonts w:ascii="Times New Roman" w:hAnsi="Times New Roman"/>
              <w:color w:val="000000" w:themeColor="text1"/>
              <w:szCs w:val="21"/>
              <w14:textFill>
                <w14:solidFill>
                  <w14:schemeClr w14:val="tx1"/>
                </w14:solidFill>
              </w14:textFill>
            </w:rPr>
            <w:t>上期结构性存款到期收到2,514万元共同影响所致。</w:t>
          </w:r>
        </w:sdtContent>
      </w:sdt>
    </w:p>
    <w:p>
      <w:pPr>
        <w:pStyle w:val="31"/>
        <w:spacing w:line="360" w:lineRule="exact"/>
        <w:ind w:firstLine="0" w:firstLineChars="0"/>
      </w:pPr>
      <w:r>
        <w:rPr>
          <w:rFonts w:ascii="Times New Roman" w:hAnsi="Times New Roman"/>
          <w:color w:val="000000" w:themeColor="text1"/>
          <w:szCs w:val="21"/>
          <w14:textFill>
            <w14:solidFill>
              <w14:schemeClr w14:val="tx1"/>
            </w14:solidFill>
          </w14:textFill>
        </w:rPr>
        <w:t>筹资活动产生的现金流量净额</w:t>
      </w:r>
      <w:r>
        <w:rPr>
          <w:rFonts w:hint="eastAsia" w:ascii="Times New Roman" w:hAnsi="Times New Roman"/>
          <w:color w:val="000000" w:themeColor="text1"/>
          <w:szCs w:val="21"/>
          <w14:textFill>
            <w14:solidFill>
              <w14:schemeClr w14:val="tx1"/>
            </w14:solidFill>
          </w14:textFill>
        </w:rPr>
        <w:t>变动原因说明：</w:t>
      </w:r>
      <w:sdt>
        <w:sdtPr>
          <w:rPr>
            <w:rFonts w:hint="eastAsia" w:ascii="Times New Roman" w:hAnsi="Times New Roman"/>
            <w:color w:val="000000" w:themeColor="text1"/>
            <w:szCs w:val="21"/>
            <w14:textFill>
              <w14:solidFill>
                <w14:schemeClr w14:val="tx1"/>
              </w14:solidFill>
            </w14:textFill>
          </w:rPr>
          <w:alias w:val="筹资活动产生的现金流量净额变动原因说明"/>
          <w:tag w:val="_GBC_900a9d8acfac4ec18a35c4034161c13e"/>
          <w:id w:val="678168950"/>
          <w:placeholder>
            <w:docPart w:val="GBC22222222222222222222222222222"/>
          </w:placeholder>
        </w:sdtPr>
        <w:sdtEndPr>
          <w:rPr>
            <w:rFonts w:hint="default" w:ascii="Calibri" w:hAnsi="Calibri"/>
            <w:color w:val="000000" w:themeColor="text1"/>
            <w:szCs w:val="22"/>
            <w14:textFill>
              <w14:solidFill>
                <w14:schemeClr w14:val="tx1"/>
              </w14:solidFill>
            </w14:textFill>
          </w:rPr>
        </w:sdtEndPr>
        <w:sdtContent>
          <w:r>
            <w:rPr>
              <w:rFonts w:ascii="Times New Roman" w:hAnsi="Times New Roman"/>
              <w:color w:val="000000" w:themeColor="text1"/>
              <w:szCs w:val="21"/>
              <w14:textFill>
                <w14:solidFill>
                  <w14:schemeClr w14:val="tx1"/>
                </w14:solidFill>
              </w14:textFill>
            </w:rPr>
            <w:t>报告期筹资活动产生的现金流量为净流出17,334万元，</w:t>
          </w:r>
          <w:r>
            <w:rPr>
              <w:rFonts w:hint="eastAsia" w:ascii="Times New Roman" w:hAnsi="Times New Roman"/>
              <w:color w:val="000000" w:themeColor="text1"/>
              <w:szCs w:val="21"/>
              <w14:textFill>
                <w14:solidFill>
                  <w14:schemeClr w14:val="tx1"/>
                </w14:solidFill>
              </w14:textFill>
            </w:rPr>
            <w:t>净流出</w:t>
          </w:r>
          <w:r>
            <w:rPr>
              <w:rFonts w:ascii="Times New Roman" w:hAnsi="Times New Roman"/>
              <w:color w:val="000000" w:themeColor="text1"/>
              <w:szCs w:val="21"/>
              <w14:textFill>
                <w14:solidFill>
                  <w14:schemeClr w14:val="tx1"/>
                </w14:solidFill>
              </w14:textFill>
            </w:rPr>
            <w:t>较上年同期</w:t>
          </w:r>
          <w:r>
            <w:rPr>
              <w:rFonts w:hint="eastAsia" w:ascii="Times New Roman" w:hAnsi="Times New Roman"/>
              <w:color w:val="000000" w:themeColor="text1"/>
              <w:szCs w:val="21"/>
              <w14:textFill>
                <w14:solidFill>
                  <w14:schemeClr w14:val="tx1"/>
                </w14:solidFill>
              </w14:textFill>
            </w:rPr>
            <w:t>增加</w:t>
          </w:r>
          <w:r>
            <w:rPr>
              <w:rFonts w:ascii="Times New Roman" w:hAnsi="Times New Roman"/>
              <w:color w:val="000000" w:themeColor="text1"/>
              <w:szCs w:val="21"/>
              <w14:textFill>
                <w14:solidFill>
                  <w14:schemeClr w14:val="tx1"/>
                </w14:solidFill>
              </w14:textFill>
            </w:rPr>
            <w:t>24,679万元，主要系公司本期借款</w:t>
          </w:r>
          <w:r>
            <w:rPr>
              <w:rFonts w:hint="eastAsia" w:ascii="Times New Roman" w:hAnsi="Times New Roman"/>
              <w:color w:val="000000" w:themeColor="text1"/>
              <w:szCs w:val="21"/>
              <w14:textFill>
                <w14:solidFill>
                  <w14:schemeClr w14:val="tx1"/>
                </w14:solidFill>
              </w14:textFill>
            </w:rPr>
            <w:t>收到的现金减少</w:t>
          </w:r>
          <w:r>
            <w:rPr>
              <w:rFonts w:ascii="Times New Roman" w:hAnsi="Times New Roman"/>
              <w:color w:val="000000" w:themeColor="text1"/>
              <w:szCs w:val="21"/>
              <w14:textFill>
                <w14:solidFill>
                  <w14:schemeClr w14:val="tx1"/>
                </w14:solidFill>
              </w14:textFill>
            </w:rPr>
            <w:t>71,01</w:t>
          </w:r>
          <w:r>
            <w:rPr>
              <w:rFonts w:hint="eastAsia" w:ascii="Times New Roman" w:hAnsi="Times New Roman"/>
              <w:color w:val="000000" w:themeColor="text1"/>
              <w:szCs w:val="21"/>
              <w14:textFill>
                <w14:solidFill>
                  <w14:schemeClr w14:val="tx1"/>
                </w14:solidFill>
              </w14:textFill>
            </w:rPr>
            <w:t>1万元，偿还借款现金减少</w:t>
          </w:r>
          <w:r>
            <w:rPr>
              <w:rFonts w:ascii="Times New Roman" w:hAnsi="Times New Roman"/>
              <w:color w:val="000000" w:themeColor="text1"/>
              <w:szCs w:val="21"/>
              <w14:textFill>
                <w14:solidFill>
                  <w14:schemeClr w14:val="tx1"/>
                </w14:solidFill>
              </w14:textFill>
            </w:rPr>
            <w:t>36,040</w:t>
          </w:r>
          <w:r>
            <w:rPr>
              <w:rFonts w:hint="eastAsia" w:ascii="Times New Roman" w:hAnsi="Times New Roman"/>
              <w:color w:val="000000" w:themeColor="text1"/>
              <w:szCs w:val="21"/>
              <w14:textFill>
                <w14:solidFill>
                  <w14:schemeClr w14:val="tx1"/>
                </w14:solidFill>
              </w14:textFill>
            </w:rPr>
            <w:t>万元，同时</w:t>
          </w:r>
          <w:r>
            <w:rPr>
              <w:rFonts w:ascii="Times New Roman" w:hAnsi="Times New Roman"/>
              <w:color w:val="000000" w:themeColor="text1"/>
              <w:szCs w:val="21"/>
              <w14:textFill>
                <w14:solidFill>
                  <w14:schemeClr w14:val="tx1"/>
                </w14:solidFill>
              </w14:textFill>
            </w:rPr>
            <w:t>上期收购云变电气少数股东股权支付12,841万元共同影响所致。</w:t>
          </w:r>
        </w:sdtContent>
      </w:sdt>
    </w:p>
    <w:bookmarkEnd w:id="56"/>
    <w:p>
      <w:pPr>
        <w:pStyle w:val="5"/>
        <w:numPr>
          <w:ilvl w:val="0"/>
          <w:numId w:val="8"/>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本期公司业务类型、利润构成或利润来源发生重大变动的详细说明</w:t>
      </w:r>
    </w:p>
    <w:sdt>
      <w:sdtPr>
        <w:rPr>
          <w:color w:val="000000" w:themeColor="text1"/>
          <w14:textFill>
            <w14:solidFill>
              <w14:schemeClr w14:val="tx1"/>
            </w14:solidFill>
          </w14:textFill>
        </w:rPr>
        <w:alias w:val="是否适用：公司利润构成或利润来源发生重大变动的详细说明[双击切换]"/>
        <w:tag w:val="_GBC_cf62b49cb7b54052a77aa6c4ec7218c8"/>
        <w:id w:val="96839562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主营业务构成情况的说明"/>
        <w:tag w:val="_GBC_41b59ccce05a44b68f8d6cbcf3c41007"/>
        <w:id w:val="1035621196"/>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本公司主营业务类型及毛利构成情况表：</w:t>
          </w:r>
        </w:p>
        <w:p>
          <w:pPr>
            <w:jc w:val="right"/>
          </w:pPr>
          <w:bookmarkStart w:id="58" w:name="OLE_LINK26"/>
          <w:r>
            <w:rPr>
              <w:rFonts w:hint="eastAsia"/>
            </w:rPr>
            <w:t>单位：万元 币种：人民币</w:t>
          </w:r>
        </w:p>
        <w:bookmarkEnd w:id="58"/>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1"/>
            <w:gridCol w:w="1308"/>
            <w:gridCol w:w="1453"/>
            <w:gridCol w:w="1600"/>
            <w:gridCol w:w="2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22" w:type="pct"/>
                <w:vAlign w:val="center"/>
              </w:tcPr>
              <w:p>
                <w:pPr>
                  <w:widowControl w:val="0"/>
                  <w:jc w:val="center"/>
                  <w:rPr>
                    <w:rFonts w:hint="eastAs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产品大类</w:t>
                </w:r>
              </w:p>
            </w:tc>
            <w:tc>
              <w:tcPr>
                <w:tcW w:w="723" w:type="pct"/>
                <w:vAlign w:val="center"/>
              </w:tcPr>
              <w:p>
                <w:pPr>
                  <w:widowControl w:val="0"/>
                  <w:jc w:val="center"/>
                  <w:rPr>
                    <w:rFonts w:hint="eastAs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营业收入</w:t>
                </w:r>
              </w:p>
            </w:tc>
            <w:tc>
              <w:tcPr>
                <w:tcW w:w="803" w:type="pct"/>
                <w:vAlign w:val="center"/>
              </w:tcPr>
              <w:p>
                <w:pPr>
                  <w:widowControl w:val="0"/>
                  <w:jc w:val="center"/>
                  <w:rPr>
                    <w:rFonts w:hint="eastAs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营业成本</w:t>
                </w:r>
              </w:p>
            </w:tc>
            <w:tc>
              <w:tcPr>
                <w:tcW w:w="884" w:type="pct"/>
                <w:vAlign w:val="center"/>
              </w:tcPr>
              <w:p>
                <w:pPr>
                  <w:widowControl w:val="0"/>
                  <w:jc w:val="center"/>
                  <w:rPr>
                    <w:rFonts w:hint="eastAs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毛利率（%）</w:t>
                </w:r>
              </w:p>
            </w:tc>
            <w:tc>
              <w:tcPr>
                <w:tcW w:w="1468" w:type="pct"/>
                <w:vAlign w:val="center"/>
              </w:tcPr>
              <w:p>
                <w:pPr>
                  <w:widowControl w:val="0"/>
                  <w:jc w:val="center"/>
                  <w:rPr>
                    <w:rFonts w:hint="eastAsia" w:asciiTheme="minorEastAsia" w:hAnsiTheme="minorEastAsia" w:eastAsiaTheme="minorEastAsia"/>
                  </w:rPr>
                </w:pPr>
                <w:r>
                  <w:rPr>
                    <w:rFonts w:hint="eastAsia" w:asciiTheme="minorEastAsia" w:hAnsiTheme="minorEastAsia" w:eastAsiaTheme="minorEastAsia"/>
                  </w:rPr>
                  <w:t>营业收入增长比例（%）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22" w:type="pct"/>
                <w:vAlign w:val="center"/>
              </w:tcPr>
              <w:p>
                <w:pPr>
                  <w:widowControl w:val="0"/>
                  <w:jc w:val="both"/>
                  <w:rPr>
                    <w:rFonts w:hint="eastAs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输配电及控制设备</w:t>
                </w:r>
              </w:p>
            </w:tc>
            <w:tc>
              <w:tcPr>
                <w:tcW w:w="723"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120,967.65</w:t>
                </w:r>
              </w:p>
            </w:tc>
            <w:tc>
              <w:tcPr>
                <w:tcW w:w="803"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103,969.34</w:t>
                </w:r>
              </w:p>
            </w:tc>
            <w:tc>
              <w:tcPr>
                <w:tcW w:w="884"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 xml:space="preserve"> 14.05 </w:t>
                </w:r>
              </w:p>
            </w:tc>
            <w:tc>
              <w:tcPr>
                <w:tcW w:w="1468" w:type="pct"/>
                <w:vAlign w:val="center"/>
              </w:tcPr>
              <w:p>
                <w:pPr>
                  <w:widowControl w:val="0"/>
                  <w:jc w:val="right"/>
                  <w:rPr>
                    <w:rFonts w:hint="eastAsia" w:asciiTheme="minorEastAsia" w:hAnsiTheme="minorEastAsia" w:eastAsiaTheme="minorEastAsia"/>
                  </w:rPr>
                </w:pPr>
                <w:r>
                  <w:t xml:space="preserve"> 5.88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22" w:type="pct"/>
                <w:vAlign w:val="center"/>
              </w:tcPr>
              <w:p>
                <w:pPr>
                  <w:widowControl w:val="0"/>
                  <w:jc w:val="both"/>
                  <w:rPr>
                    <w:rFonts w:hint="eastAs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取向硅钢</w:t>
                </w:r>
              </w:p>
            </w:tc>
            <w:tc>
              <w:tcPr>
                <w:tcW w:w="723"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57,434.24</w:t>
                </w:r>
              </w:p>
            </w:tc>
            <w:tc>
              <w:tcPr>
                <w:tcW w:w="803"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57,525.92</w:t>
                </w:r>
              </w:p>
            </w:tc>
            <w:tc>
              <w:tcPr>
                <w:tcW w:w="884"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 xml:space="preserve"> -0.16 </w:t>
                </w:r>
              </w:p>
            </w:tc>
            <w:tc>
              <w:tcPr>
                <w:tcW w:w="1468" w:type="pct"/>
                <w:vAlign w:val="center"/>
              </w:tcPr>
              <w:p>
                <w:pPr>
                  <w:widowControl w:val="0"/>
                  <w:jc w:val="right"/>
                  <w:rPr>
                    <w:rFonts w:hint="eastAsia" w:asciiTheme="minorEastAsia" w:hAnsiTheme="minorEastAsia" w:eastAsiaTheme="minorEastAsia"/>
                  </w:rPr>
                </w:pPr>
                <w:r>
                  <w:t xml:space="preserve"> -9.73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22" w:type="pct"/>
                <w:vAlign w:val="center"/>
              </w:tcPr>
              <w:p>
                <w:pPr>
                  <w:widowControl w:val="0"/>
                  <w:jc w:val="both"/>
                  <w:rPr>
                    <w:rFonts w:hint="eastAsia" w:asciiTheme="minorEastAsia" w:hAnsiTheme="minorEastAsia" w:eastAsiaTheme="minorEastAsia"/>
                    <w:color w:val="000000" w:themeColor="text1"/>
                    <w14:textFill>
                      <w14:solidFill>
                        <w14:schemeClr w14:val="tx1"/>
                      </w14:solidFill>
                    </w14:textFill>
                  </w:rPr>
                </w:pPr>
                <w:r>
                  <w:rPr>
                    <w:rFonts w:hint="eastAsia" w:asciiTheme="minorEastAsia" w:hAnsiTheme="minorEastAsia" w:eastAsiaTheme="minorEastAsia"/>
                  </w:rPr>
                  <w:t>合计</w:t>
                </w:r>
              </w:p>
            </w:tc>
            <w:tc>
              <w:tcPr>
                <w:tcW w:w="723"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178,401.89</w:t>
                </w:r>
              </w:p>
            </w:tc>
            <w:tc>
              <w:tcPr>
                <w:tcW w:w="803"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161,495.26</w:t>
                </w:r>
              </w:p>
            </w:tc>
            <w:tc>
              <w:tcPr>
                <w:tcW w:w="884"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 xml:space="preserve"> 9.48 </w:t>
                </w:r>
              </w:p>
            </w:tc>
            <w:tc>
              <w:tcPr>
                <w:tcW w:w="1468" w:type="pct"/>
                <w:vAlign w:val="center"/>
              </w:tcPr>
              <w:p>
                <w:pPr>
                  <w:widowControl w:val="0"/>
                  <w:jc w:val="right"/>
                  <w:rPr>
                    <w:rFonts w:hint="eastAsia" w:asciiTheme="minorEastAsia" w:hAnsiTheme="minorEastAsia" w:eastAsiaTheme="minorEastAsia"/>
                  </w:rPr>
                </w:pPr>
                <w:r>
                  <w:t xml:space="preserve"> 0.30 </w:t>
                </w:r>
              </w:p>
            </w:tc>
          </w:tr>
        </w:tbl>
        <w:p>
          <w:pPr>
            <w:spacing w:line="360" w:lineRule="exact"/>
            <w:ind w:firstLine="420" w:firstLineChars="200"/>
            <w:jc w:val="both"/>
            <w:rPr>
              <w:color w:val="000000" w:themeColor="text1"/>
              <w14:textFill>
                <w14:solidFill>
                  <w14:schemeClr w14:val="tx1"/>
                </w14:solidFill>
              </w14:textFill>
            </w:rPr>
          </w:pPr>
          <w:r>
            <w:rPr>
              <w:color w:val="000000" w:themeColor="text1"/>
              <w14:textFill>
                <w14:solidFill>
                  <w14:schemeClr w14:val="tx1"/>
                </w14:solidFill>
              </w14:textFill>
            </w:rPr>
            <w:t>本期公司主营业务类型由输配电及控制设备和取向硅钢业务构成，业务类型未发生重大变化。</w:t>
          </w:r>
        </w:p>
        <w:p>
          <w:pPr>
            <w:spacing w:line="36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利润构成同比有较大变动，主要影响如下：</w:t>
          </w:r>
        </w:p>
        <w:p>
          <w:pPr>
            <w:jc w:val="right"/>
          </w:pPr>
          <w:r>
            <w:rPr>
              <w:rFonts w:hint="eastAsia"/>
            </w:rPr>
            <w:t>单位：万元 币种：人民币</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4"/>
            <w:gridCol w:w="1889"/>
            <w:gridCol w:w="1889"/>
            <w:gridCol w:w="2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65" w:type="pct"/>
                <w:vAlign w:val="center"/>
              </w:tcPr>
              <w:p>
                <w:pPr>
                  <w:widowControl w:val="0"/>
                  <w:jc w:val="center"/>
                  <w:rPr>
                    <w:rFonts w:hint="eastAsia" w:asciiTheme="minorEastAsia" w:hAnsiTheme="minorEastAsia" w:eastAsiaTheme="minorEastAsia"/>
                    <w:color w:val="000000" w:themeColor="text1"/>
                    <w14:textFill>
                      <w14:solidFill>
                        <w14:schemeClr w14:val="tx1"/>
                      </w14:solidFill>
                    </w14:textFill>
                  </w:rPr>
                </w:pPr>
                <w:r>
                  <w:rPr>
                    <w:rFonts w:hint="eastAsia"/>
                  </w:rPr>
                  <w:t>主要会计数据</w:t>
                </w:r>
              </w:p>
            </w:tc>
            <w:tc>
              <w:tcPr>
                <w:tcW w:w="1044" w:type="pct"/>
                <w:vAlign w:val="center"/>
              </w:tcPr>
              <w:p>
                <w:pPr>
                  <w:widowControl w:val="0"/>
                  <w:jc w:val="center"/>
                  <w:rPr>
                    <w:rFonts w:hint="eastAsia" w:asciiTheme="minorEastAsia" w:hAnsiTheme="minorEastAsia" w:eastAsiaTheme="minorEastAsia"/>
                    <w:color w:val="000000" w:themeColor="text1"/>
                    <w14:textFill>
                      <w14:solidFill>
                        <w14:schemeClr w14:val="tx1"/>
                      </w14:solidFill>
                    </w14:textFill>
                  </w:rPr>
                </w:pPr>
                <w:r>
                  <w:rPr>
                    <w:rFonts w:hint="eastAsia"/>
                  </w:rPr>
                  <w:t>本报告期</w:t>
                </w:r>
              </w:p>
            </w:tc>
            <w:tc>
              <w:tcPr>
                <w:tcW w:w="1044" w:type="pct"/>
                <w:vAlign w:val="center"/>
              </w:tcPr>
              <w:p>
                <w:pPr>
                  <w:widowControl w:val="0"/>
                  <w:jc w:val="center"/>
                  <w:rPr>
                    <w:rFonts w:hint="eastAsia" w:asciiTheme="minorEastAsia" w:hAnsiTheme="minorEastAsia" w:eastAsiaTheme="minorEastAsia"/>
                    <w:color w:val="000000" w:themeColor="text1"/>
                    <w14:textFill>
                      <w14:solidFill>
                        <w14:schemeClr w14:val="tx1"/>
                      </w14:solidFill>
                    </w14:textFill>
                  </w:rPr>
                </w:pPr>
                <w:r>
                  <w:rPr>
                    <w:rFonts w:hint="eastAsia"/>
                  </w:rPr>
                  <w:t>上年同期</w:t>
                </w:r>
              </w:p>
            </w:tc>
            <w:tc>
              <w:tcPr>
                <w:tcW w:w="1147" w:type="pct"/>
                <w:vAlign w:val="center"/>
              </w:tcPr>
              <w:p>
                <w:pPr>
                  <w:widowControl w:val="0"/>
                  <w:jc w:val="center"/>
                  <w:rPr>
                    <w:rFonts w:hint="eastAsia" w:asciiTheme="minorEastAsia" w:hAnsiTheme="minorEastAsia" w:eastAsiaTheme="minorEastAsia"/>
                    <w:color w:val="000000" w:themeColor="text1"/>
                    <w14:textFill>
                      <w14:solidFill>
                        <w14:schemeClr w14:val="tx1"/>
                      </w14:solidFill>
                    </w14:textFill>
                  </w:rPr>
                </w:pPr>
                <w:r>
                  <w:rPr>
                    <w:rFonts w:hint="eastAsia"/>
                  </w:rPr>
                  <w:t>本报告期比上年同期增减（%）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65" w:type="pct"/>
                <w:vAlign w:val="center"/>
              </w:tcPr>
              <w:p>
                <w:pPr>
                  <w:widowControl w:val="0"/>
                  <w:jc w:val="both"/>
                  <w:rPr>
                    <w:rFonts w:hint="eastAsia" w:asciiTheme="minorEastAsia" w:hAnsiTheme="minorEastAsia" w:eastAsiaTheme="minorEastAsia"/>
                    <w:color w:val="000000" w:themeColor="text1"/>
                    <w14:textFill>
                      <w14:solidFill>
                        <w14:schemeClr w14:val="tx1"/>
                      </w14:solidFill>
                    </w14:textFill>
                  </w:rPr>
                </w:pPr>
                <w:r>
                  <w:rPr>
                    <w:rFonts w:hint="eastAsia"/>
                  </w:rPr>
                  <w:t>利润总额</w:t>
                </w:r>
              </w:p>
            </w:tc>
            <w:tc>
              <w:tcPr>
                <w:tcW w:w="1044"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2,089.35</w:t>
                </w:r>
              </w:p>
            </w:tc>
            <w:tc>
              <w:tcPr>
                <w:tcW w:w="1044"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6,979.19</w:t>
                </w:r>
              </w:p>
            </w:tc>
            <w:tc>
              <w:tcPr>
                <w:tcW w:w="1147"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-70.06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65" w:type="pct"/>
                <w:vAlign w:val="center"/>
              </w:tcPr>
              <w:p>
                <w:pPr>
                  <w:widowControl w:val="0"/>
                  <w:jc w:val="both"/>
                  <w:rPr>
                    <w:rFonts w:hint="eastAsia" w:asciiTheme="minorEastAsia" w:hAnsiTheme="minorEastAsia" w:eastAsiaTheme="minorEastAsia"/>
                    <w:color w:val="000000" w:themeColor="text1"/>
                    <w14:textFill>
                      <w14:solidFill>
                        <w14:schemeClr w14:val="tx1"/>
                      </w14:solidFill>
                    </w14:textFill>
                  </w:rPr>
                </w:pPr>
                <w:r>
                  <w:rPr>
                    <w:rFonts w:hint="eastAsia"/>
                  </w:rPr>
                  <w:t>归属于上市公司股东的净利润</w:t>
                </w:r>
              </w:p>
            </w:tc>
            <w:tc>
              <w:tcPr>
                <w:tcW w:w="1044"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1,907.69</w:t>
                </w:r>
              </w:p>
            </w:tc>
            <w:tc>
              <w:tcPr>
                <w:tcW w:w="1044"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5,463.22</w:t>
                </w:r>
              </w:p>
            </w:tc>
            <w:tc>
              <w:tcPr>
                <w:tcW w:w="1147"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-65.08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65" w:type="pct"/>
                <w:vAlign w:val="center"/>
              </w:tcPr>
              <w:p>
                <w:pPr>
                  <w:widowControl w:val="0"/>
                  <w:jc w:val="both"/>
                  <w:rPr>
                    <w:rFonts w:hint="eastAsia" w:asciiTheme="minorEastAsia" w:hAnsiTheme="minorEastAsia" w:eastAsiaTheme="minorEastAsia"/>
                    <w:color w:val="000000" w:themeColor="text1"/>
                    <w14:textFill>
                      <w14:solidFill>
                        <w14:schemeClr w14:val="tx1"/>
                      </w14:solidFill>
                    </w14:textFill>
                  </w:rPr>
                </w:pPr>
                <w:r>
                  <w:rPr>
                    <w:rFonts w:hint="eastAsia"/>
                  </w:rPr>
                  <w:t>归属于上市公司股东的扣除非经常性损益的净利润</w:t>
                </w:r>
              </w:p>
            </w:tc>
            <w:tc>
              <w:tcPr>
                <w:tcW w:w="1044"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242.17</w:t>
                </w:r>
              </w:p>
            </w:tc>
            <w:tc>
              <w:tcPr>
                <w:tcW w:w="1044"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4,921.56</w:t>
                </w:r>
              </w:p>
            </w:tc>
            <w:tc>
              <w:tcPr>
                <w:tcW w:w="1147" w:type="pct"/>
                <w:vAlign w:val="center"/>
              </w:tcPr>
              <w:p>
                <w:pPr>
                  <w:widowControl w:val="0"/>
                  <w:jc w:val="right"/>
                  <w:rPr>
                    <w:rFonts w:hint="eastAsia" w:asciiTheme="minorEastAsia" w:hAnsiTheme="minorEastAsia" w:eastAsiaTheme="minorEastAsia"/>
                    <w:color w:val="000000" w:themeColor="text1"/>
                    <w14:textFill>
                      <w14:solidFill>
                        <w14:schemeClr w14:val="tx1"/>
                      </w14:solidFill>
                    </w14:textFill>
                  </w:rPr>
                </w:pPr>
                <w:r>
                  <w:t>-95.08</w:t>
                </w:r>
              </w:p>
            </w:tc>
          </w:tr>
        </w:tbl>
        <w:p>
          <w:pPr>
            <w:spacing w:line="360" w:lineRule="exact"/>
            <w:ind w:firstLine="420" w:firstLineChars="200"/>
            <w:jc w:val="both"/>
            <w:rPr>
              <w:color w:val="000000" w:themeColor="text1"/>
              <w14:textFill>
                <w14:solidFill>
                  <w14:schemeClr w14:val="tx1"/>
                </w14:solidFill>
              </w14:textFill>
            </w:rPr>
          </w:pPr>
          <w:r>
            <w:rPr>
              <w:color w:val="000000" w:themeColor="text1"/>
              <w14:textFill>
                <w14:solidFill>
                  <w14:schemeClr w14:val="tx1"/>
                </w14:solidFill>
              </w14:textFill>
            </w:rPr>
            <w:t>报告期公司实现合并净利润2,084万元，较去年同期减少3,883万元，同比下降65.07%。归属于上市公司股东的净利润1,908万元，较去年同期减少3,556万元，同比下降65.08%。主要系：取向硅钢业务主要受2026年上半年单位销售价格下降影响，毛利率同比下降11.01个百分点，相应减少毛利额6,993万元；输配电及控制设备业务营业收入增长相应增加毛利额714万元；本期政府补助增加，以及所得税费用减少合计增加利润2,295万元。</w:t>
          </w:r>
        </w:p>
      </w:sdtContent>
    </w:sdt>
    <w:p>
      <w:pPr>
        <w:pStyle w:val="4"/>
        <w:numPr>
          <w:ilvl w:val="0"/>
          <w:numId w:val="7"/>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非主营业务导致利润重大变化的说明</w:t>
      </w:r>
    </w:p>
    <w:sdt>
      <w:sdtPr>
        <w:rPr>
          <w:rFonts w:hint="eastAsia"/>
          <w:color w:val="000000" w:themeColor="text1"/>
          <w14:textFill>
            <w14:solidFill>
              <w14:schemeClr w14:val="tx1"/>
            </w14:solidFill>
          </w14:textFill>
        </w:rPr>
        <w:alias w:val="是否适用：非主营业务来源分析[双击切换]"/>
        <w:tag w:val="_GBC_45f0580c6f114551af0270412b25ccd0"/>
        <w:id w:val="-289660603"/>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7"/>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资产、负债情况分析</w:t>
      </w:r>
    </w:p>
    <w:p>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资产、负债情况分析[双击切换]"/>
          <w:tag w:val="_GBC_7e768f46f428417e8696bff3cfaf9902"/>
          <w:id w:val="-1642029855"/>
          <w:lock w:val="contentLocked"/>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pStyle w:val="5"/>
        <w:numPr>
          <w:ilvl w:val="0"/>
          <w:numId w:val="9"/>
        </w:numPr>
        <w:rPr>
          <w:rFonts w:hint="eastAsia" w:ascii="宋体" w:hAnsi="宋体"/>
          <w:b w:val="0"/>
          <w:color w:val="000000" w:themeColor="text1"/>
          <w14:textFill>
            <w14:solidFill>
              <w14:schemeClr w14:val="tx1"/>
            </w14:solidFill>
          </w14:textFill>
        </w:rPr>
      </w:pPr>
      <w:bookmarkStart w:id="59" w:name="_Hlk74730011"/>
      <w:r>
        <w:rPr>
          <w:rFonts w:ascii="宋体" w:hAnsi="宋体"/>
          <w:color w:val="000000" w:themeColor="text1"/>
          <w14:textFill>
            <w14:solidFill>
              <w14:schemeClr w14:val="tx1"/>
            </w14:solidFill>
          </w14:textFill>
        </w:rPr>
        <w:t>资产</w:t>
      </w:r>
      <w:r>
        <w:rPr>
          <w:rFonts w:hint="eastAsia" w:ascii="宋体" w:hAnsi="宋体"/>
          <w:color w:val="000000" w:themeColor="text1"/>
          <w14:textFill>
            <w14:solidFill>
              <w14:schemeClr w14:val="tx1"/>
            </w14:solidFill>
          </w14:textFill>
        </w:rPr>
        <w:t>及</w:t>
      </w:r>
      <w:r>
        <w:rPr>
          <w:rFonts w:ascii="宋体" w:hAnsi="宋体"/>
          <w:color w:val="000000" w:themeColor="text1"/>
          <w14:textFill>
            <w14:solidFill>
              <w14:schemeClr w14:val="tx1"/>
            </w14:solidFill>
          </w14:textFill>
        </w:rPr>
        <w:t>负债</w:t>
      </w:r>
      <w:r>
        <w:rPr>
          <w:rFonts w:hint="eastAsia" w:ascii="宋体" w:hAnsi="宋体"/>
          <w:color w:val="000000" w:themeColor="text1"/>
          <w:szCs w:val="21"/>
          <w14:textFill>
            <w14:solidFill>
              <w14:schemeClr w14:val="tx1"/>
            </w14:solidFill>
          </w14:textFill>
        </w:rPr>
        <w:t>状</w:t>
      </w:r>
      <w:r>
        <w:rPr>
          <w:rFonts w:ascii="宋体" w:hAnsi="宋体"/>
          <w:color w:val="000000" w:themeColor="text1"/>
          <w:szCs w:val="21"/>
          <w14:textFill>
            <w14:solidFill>
              <w14:schemeClr w14:val="tx1"/>
            </w14:solidFill>
          </w14:textFill>
        </w:rPr>
        <w:t>况</w:t>
      </w:r>
    </w:p>
    <w:p>
      <w:pPr>
        <w:wordWrap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资产负债状况分析"/>
          <w:tag w:val="_GBC_21de4e2184d94baf8e19137a1d0d5b74"/>
          <w:id w:val="-92611380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资产负债状况分析"/>
          <w:tag w:val="_GBC_e164602c25b74bc8ab4e21cbfb9d8f51"/>
          <w:id w:val="-76901189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7"/>
        <w:gridCol w:w="1187"/>
        <w:gridCol w:w="1401"/>
        <w:gridCol w:w="1204"/>
        <w:gridCol w:w="1357"/>
        <w:gridCol w:w="1316"/>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sdt>
          <w:sdtPr>
            <w:tag w:val="_PLD_d0f356a255cd4ad2a1d809f43b17afe4"/>
            <w:id w:val="1832871258"/>
          </w:sdtPr>
          <w:sdtContent>
            <w:tc>
              <w:tcPr>
                <w:tcW w:w="844" w:type="pct"/>
                <w:vAlign w:val="center"/>
              </w:tcPr>
              <w:p>
                <w:pPr>
                  <w:widowControl w:val="0"/>
                  <w:jc w:val="center"/>
                  <w:rPr>
                    <w:rStyle w:val="28"/>
                    <w:rFonts w:hint="eastAsia" w:asciiTheme="minorEastAsia" w:hAnsiTheme="minorEastAsia" w:eastAsiaTheme="minorEastAsia"/>
                    <w:b w:val="0"/>
                    <w:color w:val="000000" w:themeColor="text1"/>
                    <w:szCs w:val="21"/>
                    <w14:textFill>
                      <w14:solidFill>
                        <w14:schemeClr w14:val="tx1"/>
                      </w14:solidFill>
                    </w14:textFill>
                  </w:rPr>
                </w:pPr>
                <w:bookmarkStart w:id="60" w:name="_Hlk74646362"/>
                <w:r>
                  <w:rPr>
                    <w:rFonts w:asciiTheme="minorEastAsia" w:hAnsiTheme="minorEastAsia" w:eastAsiaTheme="minorEastAsia"/>
                    <w:color w:val="000000" w:themeColor="text1"/>
                    <w14:textFill>
                      <w14:solidFill>
                        <w14:schemeClr w14:val="tx1"/>
                      </w14:solidFill>
                    </w14:textFill>
                  </w:rPr>
                  <w:t>项目名称</w:t>
                </w:r>
              </w:p>
            </w:tc>
          </w:sdtContent>
        </w:sdt>
        <w:sdt>
          <w:sdtPr>
            <w:tag w:val="_PLD_908740cf286747d79d5abbe407fef2b5"/>
            <w:id w:val="-2051599759"/>
          </w:sdtPr>
          <w:sdtContent>
            <w:tc>
              <w:tcPr>
                <w:tcW w:w="656" w:type="pct"/>
                <w:vAlign w:val="center"/>
              </w:tcPr>
              <w:p>
                <w:pPr>
                  <w:widowControl w:val="0"/>
                  <w:jc w:val="center"/>
                  <w:rPr>
                    <w:rStyle w:val="28"/>
                    <w:rFonts w:hint="eastAsia"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本期期末数</w:t>
                </w:r>
              </w:p>
            </w:tc>
          </w:sdtContent>
        </w:sdt>
        <w:sdt>
          <w:sdtPr>
            <w:tag w:val="_PLD_329bbbc9fa484c0990e705c4343b8bd2"/>
            <w:id w:val="-1021778017"/>
          </w:sdtPr>
          <w:sdtContent>
            <w:tc>
              <w:tcPr>
                <w:tcW w:w="774" w:type="pct"/>
                <w:vAlign w:val="center"/>
              </w:tcPr>
              <w:p>
                <w:pPr>
                  <w:widowControl w:val="0"/>
                  <w:jc w:val="center"/>
                  <w:rPr>
                    <w:rStyle w:val="28"/>
                    <w:rFonts w:hint="eastAsia"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本期期末数占总资产的比例（%）</w:t>
                </w:r>
              </w:p>
            </w:tc>
          </w:sdtContent>
        </w:sdt>
        <w:sdt>
          <w:sdtPr>
            <w:tag w:val="_PLD_56ec8d815a204f39816e77d18cf2ac7e"/>
            <w:id w:val="494840504"/>
          </w:sdtPr>
          <w:sdtContent>
            <w:tc>
              <w:tcPr>
                <w:tcW w:w="665" w:type="pct"/>
                <w:vAlign w:val="center"/>
              </w:tcPr>
              <w:p>
                <w:pPr>
                  <w:widowControl w:val="0"/>
                  <w:jc w:val="center"/>
                  <w:rPr>
                    <w:rStyle w:val="28"/>
                    <w:rFonts w:hint="eastAsia"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上</w:t>
                </w:r>
                <w:r>
                  <w:rPr>
                    <w:rFonts w:hint="eastAsia" w:asciiTheme="minorEastAsia" w:hAnsiTheme="minorEastAsia" w:eastAsiaTheme="minorEastAsia"/>
                    <w:color w:val="000000" w:themeColor="text1"/>
                    <w14:textFill>
                      <w14:solidFill>
                        <w14:schemeClr w14:val="tx1"/>
                      </w14:solidFill>
                    </w14:textFill>
                  </w:rPr>
                  <w:t>年</w:t>
                </w:r>
                <w:r>
                  <w:rPr>
                    <w:rFonts w:asciiTheme="minorEastAsia" w:hAnsiTheme="minorEastAsia" w:eastAsiaTheme="minorEastAsia"/>
                    <w:color w:val="000000" w:themeColor="text1"/>
                    <w14:textFill>
                      <w14:solidFill>
                        <w14:schemeClr w14:val="tx1"/>
                      </w14:solidFill>
                    </w14:textFill>
                  </w:rPr>
                  <w:t>期末数</w:t>
                </w:r>
              </w:p>
            </w:tc>
          </w:sdtContent>
        </w:sdt>
        <w:sdt>
          <w:sdtPr>
            <w:tag w:val="_PLD_4bc2806364aa476db7b5ac96d585ad18"/>
            <w:id w:val="-1187674129"/>
          </w:sdtPr>
          <w:sdtContent>
            <w:tc>
              <w:tcPr>
                <w:tcW w:w="750" w:type="pct"/>
                <w:vAlign w:val="center"/>
              </w:tcPr>
              <w:p>
                <w:pPr>
                  <w:widowControl w:val="0"/>
                  <w:jc w:val="center"/>
                  <w:rPr>
                    <w:rStyle w:val="28"/>
                    <w:rFonts w:hint="eastAsia"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上</w:t>
                </w:r>
                <w:r>
                  <w:rPr>
                    <w:rFonts w:hint="eastAsia" w:asciiTheme="minorEastAsia" w:hAnsiTheme="minorEastAsia" w:eastAsiaTheme="minorEastAsia"/>
                    <w:color w:val="000000" w:themeColor="text1"/>
                    <w14:textFill>
                      <w14:solidFill>
                        <w14:schemeClr w14:val="tx1"/>
                      </w14:solidFill>
                    </w14:textFill>
                  </w:rPr>
                  <w:t>年</w:t>
                </w:r>
                <w:r>
                  <w:rPr>
                    <w:rFonts w:asciiTheme="minorEastAsia" w:hAnsiTheme="minorEastAsia" w:eastAsiaTheme="minorEastAsia"/>
                    <w:color w:val="000000" w:themeColor="text1"/>
                    <w14:textFill>
                      <w14:solidFill>
                        <w14:schemeClr w14:val="tx1"/>
                      </w14:solidFill>
                    </w14:textFill>
                  </w:rPr>
                  <w:t>期末数占总资产的比例（%）</w:t>
                </w:r>
              </w:p>
            </w:tc>
          </w:sdtContent>
        </w:sdt>
        <w:sdt>
          <w:sdtPr>
            <w:tag w:val="_PLD_4cfcbfaae8d94f2d87cb33b122df7a82"/>
            <w:id w:val="978115060"/>
          </w:sdtPr>
          <w:sdtContent>
            <w:tc>
              <w:tcPr>
                <w:tcW w:w="727" w:type="pct"/>
                <w:vAlign w:val="center"/>
              </w:tcPr>
              <w:p>
                <w:pPr>
                  <w:widowControl w:val="0"/>
                  <w:jc w:val="center"/>
                  <w:rPr>
                    <w:rStyle w:val="28"/>
                    <w:rFonts w:hint="eastAsia"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本期期末金额较</w:t>
                </w:r>
                <w:bookmarkStart w:id="61" w:name="OLE_LINK9"/>
                <w:r>
                  <w:rPr>
                    <w:rFonts w:asciiTheme="minorEastAsia" w:hAnsiTheme="minorEastAsia" w:eastAsiaTheme="minorEastAsia"/>
                    <w:color w:val="000000" w:themeColor="text1"/>
                    <w14:textFill>
                      <w14:solidFill>
                        <w14:schemeClr w14:val="tx1"/>
                      </w14:solidFill>
                    </w14:textFill>
                  </w:rPr>
                  <w:t>上</w:t>
                </w:r>
                <w:r>
                  <w:rPr>
                    <w:rFonts w:hint="eastAsia" w:asciiTheme="minorEastAsia" w:hAnsiTheme="minorEastAsia" w:eastAsiaTheme="minorEastAsia"/>
                    <w:color w:val="000000" w:themeColor="text1"/>
                    <w14:textFill>
                      <w14:solidFill>
                        <w14:schemeClr w14:val="tx1"/>
                      </w14:solidFill>
                    </w14:textFill>
                  </w:rPr>
                  <w:t>年</w:t>
                </w:r>
                <w:r>
                  <w:rPr>
                    <w:rFonts w:asciiTheme="minorEastAsia" w:hAnsiTheme="minorEastAsia" w:eastAsiaTheme="minorEastAsia"/>
                    <w:color w:val="000000" w:themeColor="text1"/>
                    <w14:textFill>
                      <w14:solidFill>
                        <w14:schemeClr w14:val="tx1"/>
                      </w14:solidFill>
                    </w14:textFill>
                  </w:rPr>
                  <w:t>期末</w:t>
                </w:r>
                <w:bookmarkEnd w:id="61"/>
                <w:r>
                  <w:rPr>
                    <w:rFonts w:asciiTheme="minorEastAsia" w:hAnsiTheme="minorEastAsia" w:eastAsiaTheme="minorEastAsia"/>
                    <w:color w:val="000000" w:themeColor="text1"/>
                    <w14:textFill>
                      <w14:solidFill>
                        <w14:schemeClr w14:val="tx1"/>
                      </w14:solidFill>
                    </w14:textFill>
                  </w:rPr>
                  <w:t>变动比例（%）</w:t>
                </w:r>
              </w:p>
            </w:tc>
          </w:sdtContent>
        </w:sdt>
        <w:sdt>
          <w:sdtPr>
            <w:tag w:val="_PLD_2acc4b359fa846d5bfb9939daf2ce46b"/>
            <w:id w:val="-888183540"/>
          </w:sdtPr>
          <w:sdtContent>
            <w:tc>
              <w:tcPr>
                <w:tcW w:w="584" w:type="pct"/>
                <w:vAlign w:val="center"/>
              </w:tcPr>
              <w:p>
                <w:pPr>
                  <w:widowControl w:val="0"/>
                  <w:jc w:val="center"/>
                  <w:rPr>
                    <w:rStyle w:val="28"/>
                    <w:rFonts w:hint="eastAsia" w:asciiTheme="minorEastAsia" w:hAnsiTheme="minorEastAsia" w:eastAsiaTheme="minorEastAsia"/>
                    <w:b w:val="0"/>
                    <w:color w:val="000000" w:themeColor="text1"/>
                    <w:szCs w:val="2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t>情况说明</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预付款项</w:t>
            </w:r>
          </w:p>
        </w:tc>
        <w:tc>
          <w:tcPr>
            <w:tcW w:w="656" w:type="pct"/>
            <w:vAlign w:val="center"/>
          </w:tcPr>
          <w:p>
            <w:pPr>
              <w:widowControl w:val="0"/>
              <w:jc w:val="right"/>
              <w:rPr>
                <w:rFonts w:eastAsiaTheme="minorEastAsia"/>
              </w:rPr>
            </w:pPr>
            <w:r>
              <w:rPr>
                <w:rFonts w:hint="eastAsia"/>
              </w:rPr>
              <w:t xml:space="preserve"> 7,870.79 </w:t>
            </w:r>
          </w:p>
        </w:tc>
        <w:tc>
          <w:tcPr>
            <w:tcW w:w="774" w:type="pct"/>
            <w:vAlign w:val="center"/>
          </w:tcPr>
          <w:p>
            <w:pPr>
              <w:widowControl w:val="0"/>
              <w:jc w:val="right"/>
              <w:rPr>
                <w:rFonts w:eastAsiaTheme="minorEastAsia"/>
              </w:rPr>
            </w:pPr>
            <w:r>
              <w:rPr>
                <w:rFonts w:hint="eastAsia"/>
              </w:rPr>
              <w:t xml:space="preserve"> 1.11 </w:t>
            </w:r>
          </w:p>
        </w:tc>
        <w:tc>
          <w:tcPr>
            <w:tcW w:w="665" w:type="pct"/>
            <w:vAlign w:val="center"/>
          </w:tcPr>
          <w:p>
            <w:pPr>
              <w:widowControl w:val="0"/>
              <w:jc w:val="right"/>
              <w:rPr>
                <w:rFonts w:eastAsiaTheme="minorEastAsia"/>
              </w:rPr>
            </w:pPr>
            <w:r>
              <w:rPr>
                <w:rFonts w:hint="eastAsia"/>
              </w:rPr>
              <w:t xml:space="preserve"> 14,270.93 </w:t>
            </w:r>
          </w:p>
        </w:tc>
        <w:tc>
          <w:tcPr>
            <w:tcW w:w="750" w:type="pct"/>
            <w:vAlign w:val="center"/>
          </w:tcPr>
          <w:p>
            <w:pPr>
              <w:widowControl w:val="0"/>
              <w:jc w:val="right"/>
              <w:rPr>
                <w:rFonts w:eastAsiaTheme="minorEastAsia"/>
              </w:rPr>
            </w:pPr>
            <w:r>
              <w:rPr>
                <w:rFonts w:hint="eastAsia"/>
              </w:rPr>
              <w:t xml:space="preserve"> 1.97 </w:t>
            </w:r>
          </w:p>
        </w:tc>
        <w:tc>
          <w:tcPr>
            <w:tcW w:w="727" w:type="pct"/>
            <w:vAlign w:val="center"/>
          </w:tcPr>
          <w:p>
            <w:pPr>
              <w:widowControl w:val="0"/>
              <w:jc w:val="right"/>
              <w:rPr>
                <w:rFonts w:eastAsiaTheme="minorEastAsia"/>
              </w:rPr>
            </w:pPr>
            <w:r>
              <w:rPr>
                <w:rFonts w:hint="eastAsia"/>
              </w:rPr>
              <w:t xml:space="preserve"> -44.85 </w:t>
            </w:r>
          </w:p>
        </w:tc>
        <w:tc>
          <w:tcPr>
            <w:tcW w:w="584" w:type="pct"/>
            <w:vAlign w:val="center"/>
          </w:tcPr>
          <w:p>
            <w:pPr>
              <w:widowControl w:val="0"/>
              <w:jc w:val="center"/>
              <w:rPr>
                <w:rFonts w:hint="eastAsia" w:asciiTheme="minorEastAsia" w:hAnsiTheme="minorEastAsia" w:eastAsiaTheme="minorEastAsia"/>
              </w:rPr>
            </w:pPr>
            <w:r>
              <w:rPr>
                <w:rFonts w:hint="eastAsia"/>
              </w:rPr>
              <w:t>说明1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一年内到期的非流动资产</w:t>
            </w:r>
          </w:p>
        </w:tc>
        <w:tc>
          <w:tcPr>
            <w:tcW w:w="656" w:type="pct"/>
            <w:vAlign w:val="center"/>
          </w:tcPr>
          <w:p>
            <w:pPr>
              <w:widowControl w:val="0"/>
              <w:jc w:val="right"/>
              <w:rPr>
                <w:rFonts w:eastAsiaTheme="minorEastAsia"/>
              </w:rPr>
            </w:pPr>
            <w:r>
              <w:rPr>
                <w:rFonts w:hint="eastAsia"/>
              </w:rPr>
              <w:t xml:space="preserve"> 996.27 </w:t>
            </w:r>
          </w:p>
        </w:tc>
        <w:tc>
          <w:tcPr>
            <w:tcW w:w="774" w:type="pct"/>
            <w:vAlign w:val="center"/>
          </w:tcPr>
          <w:p>
            <w:pPr>
              <w:widowControl w:val="0"/>
              <w:jc w:val="right"/>
              <w:rPr>
                <w:rFonts w:eastAsiaTheme="minorEastAsia"/>
              </w:rPr>
            </w:pPr>
            <w:r>
              <w:rPr>
                <w:rFonts w:hint="eastAsia"/>
              </w:rPr>
              <w:t xml:space="preserve"> 0.14 </w:t>
            </w:r>
          </w:p>
        </w:tc>
        <w:tc>
          <w:tcPr>
            <w:tcW w:w="665" w:type="pct"/>
            <w:vAlign w:val="center"/>
          </w:tcPr>
          <w:p>
            <w:pPr>
              <w:widowControl w:val="0"/>
              <w:jc w:val="right"/>
              <w:rPr>
                <w:rFonts w:eastAsiaTheme="minorEastAsia"/>
              </w:rPr>
            </w:pPr>
          </w:p>
        </w:tc>
        <w:tc>
          <w:tcPr>
            <w:tcW w:w="750" w:type="pct"/>
            <w:vAlign w:val="center"/>
          </w:tcPr>
          <w:p>
            <w:pPr>
              <w:widowControl w:val="0"/>
              <w:jc w:val="right"/>
              <w:rPr>
                <w:rFonts w:eastAsiaTheme="minorEastAsia"/>
              </w:rPr>
            </w:pPr>
          </w:p>
        </w:tc>
        <w:tc>
          <w:tcPr>
            <w:tcW w:w="727" w:type="pct"/>
            <w:vAlign w:val="center"/>
          </w:tcPr>
          <w:p>
            <w:pPr>
              <w:widowControl w:val="0"/>
              <w:jc w:val="right"/>
              <w:rPr>
                <w:rFonts w:eastAsiaTheme="minorEastAsia"/>
              </w:rPr>
            </w:pPr>
          </w:p>
        </w:tc>
        <w:tc>
          <w:tcPr>
            <w:tcW w:w="584" w:type="pct"/>
            <w:vAlign w:val="center"/>
          </w:tcPr>
          <w:p>
            <w:pPr>
              <w:widowControl w:val="0"/>
              <w:jc w:val="center"/>
              <w:rPr>
                <w:rFonts w:hint="eastAsia" w:asciiTheme="minorEastAsia" w:hAnsiTheme="minorEastAsia" w:eastAsiaTheme="minorEastAsia"/>
              </w:rPr>
            </w:pPr>
            <w:r>
              <w:rPr>
                <w:rFonts w:hint="eastAsia"/>
              </w:rPr>
              <w:t>说明2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其他流动资产</w:t>
            </w:r>
          </w:p>
        </w:tc>
        <w:tc>
          <w:tcPr>
            <w:tcW w:w="656" w:type="pct"/>
            <w:vAlign w:val="center"/>
          </w:tcPr>
          <w:p>
            <w:pPr>
              <w:widowControl w:val="0"/>
              <w:jc w:val="right"/>
              <w:rPr>
                <w:rFonts w:eastAsiaTheme="minorEastAsia"/>
              </w:rPr>
            </w:pPr>
            <w:r>
              <w:rPr>
                <w:rFonts w:hint="eastAsia"/>
              </w:rPr>
              <w:t xml:space="preserve"> 953.35 </w:t>
            </w:r>
          </w:p>
        </w:tc>
        <w:tc>
          <w:tcPr>
            <w:tcW w:w="774" w:type="pct"/>
            <w:vAlign w:val="center"/>
          </w:tcPr>
          <w:p>
            <w:pPr>
              <w:widowControl w:val="0"/>
              <w:jc w:val="right"/>
              <w:rPr>
                <w:rFonts w:eastAsiaTheme="minorEastAsia"/>
              </w:rPr>
            </w:pPr>
            <w:r>
              <w:rPr>
                <w:rFonts w:hint="eastAsia"/>
              </w:rPr>
              <w:t xml:space="preserve"> 0.13 </w:t>
            </w:r>
          </w:p>
        </w:tc>
        <w:tc>
          <w:tcPr>
            <w:tcW w:w="665" w:type="pct"/>
            <w:vAlign w:val="center"/>
          </w:tcPr>
          <w:p>
            <w:pPr>
              <w:widowControl w:val="0"/>
              <w:jc w:val="right"/>
              <w:rPr>
                <w:rFonts w:eastAsiaTheme="minorEastAsia"/>
              </w:rPr>
            </w:pPr>
            <w:r>
              <w:rPr>
                <w:rFonts w:hint="eastAsia"/>
              </w:rPr>
              <w:t xml:space="preserve"> 192.37 </w:t>
            </w:r>
          </w:p>
        </w:tc>
        <w:tc>
          <w:tcPr>
            <w:tcW w:w="750" w:type="pct"/>
            <w:vAlign w:val="center"/>
          </w:tcPr>
          <w:p>
            <w:pPr>
              <w:widowControl w:val="0"/>
              <w:jc w:val="right"/>
              <w:rPr>
                <w:rFonts w:eastAsiaTheme="minorEastAsia"/>
              </w:rPr>
            </w:pPr>
            <w:r>
              <w:rPr>
                <w:rFonts w:hint="eastAsia"/>
              </w:rPr>
              <w:t xml:space="preserve"> 0.03 </w:t>
            </w:r>
          </w:p>
        </w:tc>
        <w:tc>
          <w:tcPr>
            <w:tcW w:w="727" w:type="pct"/>
            <w:vAlign w:val="center"/>
          </w:tcPr>
          <w:p>
            <w:pPr>
              <w:widowControl w:val="0"/>
              <w:jc w:val="right"/>
              <w:rPr>
                <w:rFonts w:eastAsiaTheme="minorEastAsia"/>
              </w:rPr>
            </w:pPr>
            <w:r>
              <w:rPr>
                <w:rFonts w:hint="eastAsia"/>
              </w:rPr>
              <w:t xml:space="preserve"> 395.57 </w:t>
            </w:r>
          </w:p>
        </w:tc>
        <w:tc>
          <w:tcPr>
            <w:tcW w:w="584" w:type="pct"/>
            <w:vAlign w:val="center"/>
          </w:tcPr>
          <w:p>
            <w:pPr>
              <w:widowControl w:val="0"/>
              <w:jc w:val="center"/>
              <w:rPr>
                <w:rFonts w:hint="eastAsia" w:asciiTheme="minorEastAsia" w:hAnsiTheme="minorEastAsia" w:eastAsiaTheme="minorEastAsia"/>
              </w:rPr>
            </w:pPr>
            <w:r>
              <w:rPr>
                <w:rFonts w:hint="eastAsia"/>
              </w:rPr>
              <w:t>说明3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长期应收款</w:t>
            </w:r>
          </w:p>
        </w:tc>
        <w:tc>
          <w:tcPr>
            <w:tcW w:w="656" w:type="pct"/>
            <w:vAlign w:val="center"/>
          </w:tcPr>
          <w:p>
            <w:pPr>
              <w:widowControl w:val="0"/>
              <w:jc w:val="right"/>
              <w:rPr>
                <w:rFonts w:eastAsiaTheme="minorEastAsia"/>
              </w:rPr>
            </w:pPr>
            <w:r>
              <w:rPr>
                <w:rFonts w:hint="eastAsia"/>
              </w:rPr>
              <w:t xml:space="preserve"> 2,349.98 </w:t>
            </w:r>
          </w:p>
        </w:tc>
        <w:tc>
          <w:tcPr>
            <w:tcW w:w="774" w:type="pct"/>
            <w:vAlign w:val="center"/>
          </w:tcPr>
          <w:p>
            <w:pPr>
              <w:widowControl w:val="0"/>
              <w:jc w:val="right"/>
              <w:rPr>
                <w:rFonts w:eastAsiaTheme="minorEastAsia"/>
              </w:rPr>
            </w:pPr>
            <w:r>
              <w:rPr>
                <w:rFonts w:hint="eastAsia"/>
              </w:rPr>
              <w:t xml:space="preserve"> 0.33 </w:t>
            </w:r>
          </w:p>
        </w:tc>
        <w:tc>
          <w:tcPr>
            <w:tcW w:w="665" w:type="pct"/>
            <w:vAlign w:val="center"/>
          </w:tcPr>
          <w:p>
            <w:pPr>
              <w:widowControl w:val="0"/>
              <w:jc w:val="right"/>
              <w:rPr>
                <w:rFonts w:eastAsiaTheme="minorEastAsia"/>
              </w:rPr>
            </w:pPr>
            <w:r>
              <w:rPr>
                <w:rFonts w:hint="eastAsia"/>
              </w:rPr>
              <w:t xml:space="preserve"> 364.21 </w:t>
            </w:r>
          </w:p>
        </w:tc>
        <w:tc>
          <w:tcPr>
            <w:tcW w:w="750" w:type="pct"/>
            <w:vAlign w:val="center"/>
          </w:tcPr>
          <w:p>
            <w:pPr>
              <w:widowControl w:val="0"/>
              <w:jc w:val="right"/>
              <w:rPr>
                <w:rFonts w:eastAsiaTheme="minorEastAsia"/>
              </w:rPr>
            </w:pPr>
            <w:r>
              <w:rPr>
                <w:rFonts w:hint="eastAsia"/>
              </w:rPr>
              <w:t xml:space="preserve"> 0.05 </w:t>
            </w:r>
          </w:p>
        </w:tc>
        <w:tc>
          <w:tcPr>
            <w:tcW w:w="727" w:type="pct"/>
            <w:vAlign w:val="center"/>
          </w:tcPr>
          <w:p>
            <w:pPr>
              <w:widowControl w:val="0"/>
              <w:jc w:val="right"/>
              <w:rPr>
                <w:rFonts w:eastAsiaTheme="minorEastAsia"/>
              </w:rPr>
            </w:pPr>
            <w:r>
              <w:rPr>
                <w:rFonts w:hint="eastAsia"/>
              </w:rPr>
              <w:t xml:space="preserve"> 545.23 </w:t>
            </w:r>
          </w:p>
        </w:tc>
        <w:tc>
          <w:tcPr>
            <w:tcW w:w="584" w:type="pct"/>
            <w:vAlign w:val="center"/>
          </w:tcPr>
          <w:p>
            <w:pPr>
              <w:widowControl w:val="0"/>
              <w:jc w:val="center"/>
              <w:rPr>
                <w:rFonts w:hint="eastAsia" w:asciiTheme="minorEastAsia" w:hAnsiTheme="minorEastAsia" w:eastAsiaTheme="minorEastAsia"/>
              </w:rPr>
            </w:pPr>
            <w:r>
              <w:rPr>
                <w:rFonts w:hint="eastAsia"/>
              </w:rPr>
              <w:t>说明4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在建工程</w:t>
            </w:r>
          </w:p>
        </w:tc>
        <w:tc>
          <w:tcPr>
            <w:tcW w:w="656" w:type="pct"/>
            <w:vAlign w:val="center"/>
          </w:tcPr>
          <w:p>
            <w:pPr>
              <w:widowControl w:val="0"/>
              <w:jc w:val="right"/>
              <w:rPr>
                <w:rFonts w:eastAsiaTheme="minorEastAsia"/>
              </w:rPr>
            </w:pPr>
            <w:r>
              <w:rPr>
                <w:rFonts w:hint="eastAsia"/>
              </w:rPr>
              <w:t xml:space="preserve"> 2,188.10 </w:t>
            </w:r>
          </w:p>
        </w:tc>
        <w:tc>
          <w:tcPr>
            <w:tcW w:w="774" w:type="pct"/>
            <w:vAlign w:val="center"/>
          </w:tcPr>
          <w:p>
            <w:pPr>
              <w:widowControl w:val="0"/>
              <w:jc w:val="right"/>
              <w:rPr>
                <w:rFonts w:eastAsiaTheme="minorEastAsia"/>
              </w:rPr>
            </w:pPr>
            <w:r>
              <w:rPr>
                <w:rFonts w:eastAsiaTheme="minorEastAsia"/>
              </w:rPr>
              <w:t>0.31</w:t>
            </w:r>
          </w:p>
        </w:tc>
        <w:tc>
          <w:tcPr>
            <w:tcW w:w="665" w:type="pct"/>
            <w:vAlign w:val="center"/>
          </w:tcPr>
          <w:p>
            <w:pPr>
              <w:widowControl w:val="0"/>
              <w:jc w:val="right"/>
              <w:rPr>
                <w:rFonts w:eastAsiaTheme="minorEastAsia"/>
              </w:rPr>
            </w:pPr>
            <w:r>
              <w:rPr>
                <w:rFonts w:hint="eastAsia"/>
              </w:rPr>
              <w:t xml:space="preserve"> 3,483.53 </w:t>
            </w:r>
          </w:p>
        </w:tc>
        <w:tc>
          <w:tcPr>
            <w:tcW w:w="750" w:type="pct"/>
            <w:vAlign w:val="center"/>
          </w:tcPr>
          <w:p>
            <w:pPr>
              <w:widowControl w:val="0"/>
              <w:jc w:val="right"/>
              <w:rPr>
                <w:rFonts w:eastAsiaTheme="minorEastAsia"/>
              </w:rPr>
            </w:pPr>
            <w:r>
              <w:rPr>
                <w:rFonts w:hint="eastAsia"/>
              </w:rPr>
              <w:t xml:space="preserve"> 0.48 </w:t>
            </w:r>
          </w:p>
        </w:tc>
        <w:tc>
          <w:tcPr>
            <w:tcW w:w="727" w:type="pct"/>
            <w:vAlign w:val="center"/>
          </w:tcPr>
          <w:p>
            <w:pPr>
              <w:widowControl w:val="0"/>
              <w:jc w:val="right"/>
              <w:rPr>
                <w:rFonts w:eastAsiaTheme="minorEastAsia"/>
              </w:rPr>
            </w:pPr>
            <w:r>
              <w:rPr>
                <w:rFonts w:hint="eastAsia"/>
              </w:rPr>
              <w:t xml:space="preserve"> -37.19 </w:t>
            </w:r>
          </w:p>
        </w:tc>
        <w:tc>
          <w:tcPr>
            <w:tcW w:w="584" w:type="pct"/>
            <w:vAlign w:val="center"/>
          </w:tcPr>
          <w:p>
            <w:pPr>
              <w:widowControl w:val="0"/>
              <w:jc w:val="center"/>
              <w:rPr>
                <w:rFonts w:hint="eastAsia" w:asciiTheme="minorEastAsia" w:hAnsiTheme="minorEastAsia" w:eastAsiaTheme="minorEastAsia"/>
              </w:rPr>
            </w:pPr>
            <w:r>
              <w:rPr>
                <w:rFonts w:hint="eastAsia"/>
              </w:rPr>
              <w:t>说明5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使用权资产</w:t>
            </w:r>
          </w:p>
        </w:tc>
        <w:tc>
          <w:tcPr>
            <w:tcW w:w="656" w:type="pct"/>
            <w:vAlign w:val="center"/>
          </w:tcPr>
          <w:p>
            <w:pPr>
              <w:widowControl w:val="0"/>
              <w:jc w:val="right"/>
              <w:rPr>
                <w:rFonts w:eastAsiaTheme="minorEastAsia"/>
              </w:rPr>
            </w:pPr>
            <w:r>
              <w:rPr>
                <w:rFonts w:hint="eastAsia"/>
              </w:rPr>
              <w:t xml:space="preserve"> 4,133.29 </w:t>
            </w:r>
          </w:p>
        </w:tc>
        <w:tc>
          <w:tcPr>
            <w:tcW w:w="774" w:type="pct"/>
            <w:vAlign w:val="center"/>
          </w:tcPr>
          <w:p>
            <w:pPr>
              <w:widowControl w:val="0"/>
              <w:jc w:val="right"/>
              <w:rPr>
                <w:rFonts w:eastAsiaTheme="minorEastAsia"/>
              </w:rPr>
            </w:pPr>
            <w:r>
              <w:rPr>
                <w:rFonts w:hint="eastAsia"/>
              </w:rPr>
              <w:t xml:space="preserve"> 0.58 </w:t>
            </w:r>
          </w:p>
        </w:tc>
        <w:tc>
          <w:tcPr>
            <w:tcW w:w="665" w:type="pct"/>
            <w:vAlign w:val="center"/>
          </w:tcPr>
          <w:p>
            <w:pPr>
              <w:widowControl w:val="0"/>
              <w:jc w:val="right"/>
              <w:rPr>
                <w:rFonts w:eastAsiaTheme="minorEastAsia"/>
              </w:rPr>
            </w:pPr>
            <w:r>
              <w:rPr>
                <w:rFonts w:hint="eastAsia"/>
              </w:rPr>
              <w:t xml:space="preserve"> 2,057.95 </w:t>
            </w:r>
          </w:p>
        </w:tc>
        <w:tc>
          <w:tcPr>
            <w:tcW w:w="750" w:type="pct"/>
            <w:vAlign w:val="center"/>
          </w:tcPr>
          <w:p>
            <w:pPr>
              <w:widowControl w:val="0"/>
              <w:jc w:val="right"/>
              <w:rPr>
                <w:rFonts w:eastAsiaTheme="minorEastAsia"/>
              </w:rPr>
            </w:pPr>
            <w:r>
              <w:rPr>
                <w:rFonts w:hint="eastAsia"/>
              </w:rPr>
              <w:t xml:space="preserve"> 0.28 </w:t>
            </w:r>
          </w:p>
        </w:tc>
        <w:tc>
          <w:tcPr>
            <w:tcW w:w="727" w:type="pct"/>
            <w:vAlign w:val="center"/>
          </w:tcPr>
          <w:p>
            <w:pPr>
              <w:widowControl w:val="0"/>
              <w:jc w:val="right"/>
              <w:rPr>
                <w:rFonts w:eastAsiaTheme="minorEastAsia"/>
              </w:rPr>
            </w:pPr>
            <w:r>
              <w:rPr>
                <w:rFonts w:hint="eastAsia"/>
              </w:rPr>
              <w:t xml:space="preserve"> 100.85 </w:t>
            </w:r>
          </w:p>
        </w:tc>
        <w:tc>
          <w:tcPr>
            <w:tcW w:w="584" w:type="pct"/>
            <w:vAlign w:val="center"/>
          </w:tcPr>
          <w:p>
            <w:pPr>
              <w:widowControl w:val="0"/>
              <w:jc w:val="center"/>
              <w:rPr>
                <w:rFonts w:hint="eastAsia" w:asciiTheme="minorEastAsia" w:hAnsiTheme="minorEastAsia" w:eastAsiaTheme="minorEastAsia"/>
              </w:rPr>
            </w:pPr>
            <w:r>
              <w:rPr>
                <w:rFonts w:hint="eastAsia"/>
              </w:rPr>
              <w:t>说明6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其他非流动资产</w:t>
            </w:r>
          </w:p>
        </w:tc>
        <w:tc>
          <w:tcPr>
            <w:tcW w:w="656" w:type="pct"/>
            <w:vAlign w:val="center"/>
          </w:tcPr>
          <w:p>
            <w:pPr>
              <w:widowControl w:val="0"/>
              <w:jc w:val="right"/>
              <w:rPr>
                <w:rFonts w:eastAsiaTheme="minorEastAsia"/>
              </w:rPr>
            </w:pPr>
            <w:r>
              <w:rPr>
                <w:rFonts w:hint="eastAsia"/>
              </w:rPr>
              <w:t xml:space="preserve"> 768.27 </w:t>
            </w:r>
          </w:p>
        </w:tc>
        <w:tc>
          <w:tcPr>
            <w:tcW w:w="774" w:type="pct"/>
            <w:vAlign w:val="center"/>
          </w:tcPr>
          <w:p>
            <w:pPr>
              <w:widowControl w:val="0"/>
              <w:jc w:val="right"/>
              <w:rPr>
                <w:rFonts w:eastAsiaTheme="minorEastAsia"/>
              </w:rPr>
            </w:pPr>
            <w:r>
              <w:rPr>
                <w:rFonts w:hint="eastAsia"/>
              </w:rPr>
              <w:t xml:space="preserve"> 0.11 </w:t>
            </w:r>
          </w:p>
        </w:tc>
        <w:tc>
          <w:tcPr>
            <w:tcW w:w="665" w:type="pct"/>
            <w:vAlign w:val="center"/>
          </w:tcPr>
          <w:p>
            <w:pPr>
              <w:widowControl w:val="0"/>
              <w:jc w:val="right"/>
              <w:rPr>
                <w:rFonts w:eastAsiaTheme="minorEastAsia"/>
              </w:rPr>
            </w:pPr>
            <w:r>
              <w:rPr>
                <w:rFonts w:hint="eastAsia"/>
              </w:rPr>
              <w:t xml:space="preserve"> 1,132.09 </w:t>
            </w:r>
          </w:p>
        </w:tc>
        <w:tc>
          <w:tcPr>
            <w:tcW w:w="750" w:type="pct"/>
            <w:vAlign w:val="center"/>
          </w:tcPr>
          <w:p>
            <w:pPr>
              <w:widowControl w:val="0"/>
              <w:jc w:val="right"/>
              <w:rPr>
                <w:rFonts w:eastAsiaTheme="minorEastAsia"/>
              </w:rPr>
            </w:pPr>
            <w:r>
              <w:rPr>
                <w:rFonts w:hint="eastAsia"/>
              </w:rPr>
              <w:t xml:space="preserve"> 0.16 </w:t>
            </w:r>
          </w:p>
        </w:tc>
        <w:tc>
          <w:tcPr>
            <w:tcW w:w="727" w:type="pct"/>
            <w:vAlign w:val="center"/>
          </w:tcPr>
          <w:p>
            <w:pPr>
              <w:widowControl w:val="0"/>
              <w:jc w:val="right"/>
              <w:rPr>
                <w:rFonts w:eastAsiaTheme="minorEastAsia"/>
              </w:rPr>
            </w:pPr>
            <w:r>
              <w:rPr>
                <w:rFonts w:hint="eastAsia"/>
              </w:rPr>
              <w:t xml:space="preserve"> -32.14 </w:t>
            </w:r>
          </w:p>
        </w:tc>
        <w:tc>
          <w:tcPr>
            <w:tcW w:w="584" w:type="pct"/>
            <w:vAlign w:val="center"/>
          </w:tcPr>
          <w:p>
            <w:pPr>
              <w:widowControl w:val="0"/>
              <w:jc w:val="center"/>
              <w:rPr>
                <w:rFonts w:hint="eastAsia" w:asciiTheme="minorEastAsia" w:hAnsiTheme="minorEastAsia" w:eastAsiaTheme="minorEastAsia"/>
              </w:rPr>
            </w:pPr>
            <w:r>
              <w:rPr>
                <w:rFonts w:hint="eastAsia"/>
              </w:rPr>
              <w:t>说明7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应付职工薪酬</w:t>
            </w:r>
          </w:p>
        </w:tc>
        <w:tc>
          <w:tcPr>
            <w:tcW w:w="656" w:type="pct"/>
            <w:vAlign w:val="center"/>
          </w:tcPr>
          <w:p>
            <w:pPr>
              <w:widowControl w:val="0"/>
              <w:jc w:val="right"/>
              <w:rPr>
                <w:rFonts w:eastAsiaTheme="minorEastAsia"/>
              </w:rPr>
            </w:pPr>
            <w:r>
              <w:rPr>
                <w:rFonts w:hint="eastAsia"/>
              </w:rPr>
              <w:t xml:space="preserve"> 2,278.40 </w:t>
            </w:r>
          </w:p>
        </w:tc>
        <w:tc>
          <w:tcPr>
            <w:tcW w:w="774" w:type="pct"/>
            <w:vAlign w:val="center"/>
          </w:tcPr>
          <w:p>
            <w:pPr>
              <w:widowControl w:val="0"/>
              <w:jc w:val="right"/>
              <w:rPr>
                <w:rFonts w:eastAsiaTheme="minorEastAsia"/>
              </w:rPr>
            </w:pPr>
            <w:r>
              <w:rPr>
                <w:rFonts w:hint="eastAsia"/>
              </w:rPr>
              <w:t xml:space="preserve"> 0.32 </w:t>
            </w:r>
          </w:p>
        </w:tc>
        <w:tc>
          <w:tcPr>
            <w:tcW w:w="665" w:type="pct"/>
            <w:vAlign w:val="center"/>
          </w:tcPr>
          <w:p>
            <w:pPr>
              <w:widowControl w:val="0"/>
              <w:jc w:val="right"/>
              <w:rPr>
                <w:rFonts w:eastAsiaTheme="minorEastAsia"/>
              </w:rPr>
            </w:pPr>
            <w:r>
              <w:rPr>
                <w:rFonts w:hint="eastAsia"/>
              </w:rPr>
              <w:t xml:space="preserve"> 5,804.30 </w:t>
            </w:r>
          </w:p>
        </w:tc>
        <w:tc>
          <w:tcPr>
            <w:tcW w:w="750" w:type="pct"/>
            <w:vAlign w:val="center"/>
          </w:tcPr>
          <w:p>
            <w:pPr>
              <w:widowControl w:val="0"/>
              <w:jc w:val="right"/>
              <w:rPr>
                <w:rFonts w:eastAsiaTheme="minorEastAsia"/>
              </w:rPr>
            </w:pPr>
            <w:r>
              <w:rPr>
                <w:rFonts w:hint="eastAsia"/>
              </w:rPr>
              <w:t xml:space="preserve"> 0.80 </w:t>
            </w:r>
          </w:p>
        </w:tc>
        <w:tc>
          <w:tcPr>
            <w:tcW w:w="727" w:type="pct"/>
            <w:vAlign w:val="center"/>
          </w:tcPr>
          <w:p>
            <w:pPr>
              <w:widowControl w:val="0"/>
              <w:jc w:val="right"/>
              <w:rPr>
                <w:rFonts w:eastAsiaTheme="minorEastAsia"/>
              </w:rPr>
            </w:pPr>
            <w:r>
              <w:rPr>
                <w:rFonts w:hint="eastAsia"/>
              </w:rPr>
              <w:t xml:space="preserve"> -60.75 </w:t>
            </w:r>
          </w:p>
        </w:tc>
        <w:tc>
          <w:tcPr>
            <w:tcW w:w="584" w:type="pct"/>
            <w:vAlign w:val="center"/>
          </w:tcPr>
          <w:p>
            <w:pPr>
              <w:widowControl w:val="0"/>
              <w:jc w:val="center"/>
              <w:rPr>
                <w:rFonts w:hint="eastAsia" w:asciiTheme="minorEastAsia" w:hAnsiTheme="minorEastAsia" w:eastAsiaTheme="minorEastAsia"/>
              </w:rPr>
            </w:pPr>
            <w:r>
              <w:rPr>
                <w:rFonts w:hint="eastAsia"/>
              </w:rPr>
              <w:t>说明8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应交税费</w:t>
            </w:r>
          </w:p>
        </w:tc>
        <w:tc>
          <w:tcPr>
            <w:tcW w:w="656" w:type="pct"/>
            <w:vAlign w:val="center"/>
          </w:tcPr>
          <w:p>
            <w:pPr>
              <w:widowControl w:val="0"/>
              <w:jc w:val="right"/>
              <w:rPr>
                <w:rFonts w:eastAsiaTheme="minorEastAsia"/>
              </w:rPr>
            </w:pPr>
            <w:r>
              <w:rPr>
                <w:rFonts w:hint="eastAsia"/>
              </w:rPr>
              <w:t xml:space="preserve"> 2,138.23 </w:t>
            </w:r>
          </w:p>
        </w:tc>
        <w:tc>
          <w:tcPr>
            <w:tcW w:w="774" w:type="pct"/>
            <w:vAlign w:val="center"/>
          </w:tcPr>
          <w:p>
            <w:pPr>
              <w:widowControl w:val="0"/>
              <w:jc w:val="right"/>
              <w:rPr>
                <w:rFonts w:eastAsiaTheme="minorEastAsia"/>
              </w:rPr>
            </w:pPr>
            <w:r>
              <w:rPr>
                <w:rFonts w:hint="eastAsia"/>
              </w:rPr>
              <w:t xml:space="preserve"> 0.30 </w:t>
            </w:r>
          </w:p>
        </w:tc>
        <w:tc>
          <w:tcPr>
            <w:tcW w:w="665" w:type="pct"/>
            <w:vAlign w:val="center"/>
          </w:tcPr>
          <w:p>
            <w:pPr>
              <w:widowControl w:val="0"/>
              <w:jc w:val="right"/>
              <w:rPr>
                <w:rFonts w:eastAsiaTheme="minorEastAsia"/>
              </w:rPr>
            </w:pPr>
            <w:r>
              <w:rPr>
                <w:rFonts w:hint="eastAsia"/>
              </w:rPr>
              <w:t xml:space="preserve"> 3,988.88 </w:t>
            </w:r>
          </w:p>
        </w:tc>
        <w:tc>
          <w:tcPr>
            <w:tcW w:w="750" w:type="pct"/>
            <w:vAlign w:val="center"/>
          </w:tcPr>
          <w:p>
            <w:pPr>
              <w:widowControl w:val="0"/>
              <w:jc w:val="right"/>
              <w:rPr>
                <w:rFonts w:eastAsiaTheme="minorEastAsia"/>
              </w:rPr>
            </w:pPr>
            <w:r>
              <w:rPr>
                <w:rFonts w:hint="eastAsia"/>
              </w:rPr>
              <w:t xml:space="preserve"> 0.55 </w:t>
            </w:r>
          </w:p>
        </w:tc>
        <w:tc>
          <w:tcPr>
            <w:tcW w:w="727" w:type="pct"/>
            <w:vAlign w:val="center"/>
          </w:tcPr>
          <w:p>
            <w:pPr>
              <w:widowControl w:val="0"/>
              <w:jc w:val="right"/>
              <w:rPr>
                <w:rFonts w:eastAsiaTheme="minorEastAsia"/>
              </w:rPr>
            </w:pPr>
            <w:r>
              <w:rPr>
                <w:rFonts w:hint="eastAsia"/>
              </w:rPr>
              <w:t xml:space="preserve"> -46.40 </w:t>
            </w:r>
          </w:p>
        </w:tc>
        <w:tc>
          <w:tcPr>
            <w:tcW w:w="584" w:type="pct"/>
            <w:vAlign w:val="center"/>
          </w:tcPr>
          <w:p>
            <w:pPr>
              <w:widowControl w:val="0"/>
              <w:jc w:val="center"/>
              <w:rPr>
                <w:rFonts w:hint="eastAsia" w:asciiTheme="minorEastAsia" w:hAnsiTheme="minorEastAsia" w:eastAsiaTheme="minorEastAsia"/>
              </w:rPr>
            </w:pPr>
            <w:r>
              <w:rPr>
                <w:rFonts w:hint="eastAsia"/>
              </w:rPr>
              <w:t>说明9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其他应付款</w:t>
            </w:r>
          </w:p>
        </w:tc>
        <w:tc>
          <w:tcPr>
            <w:tcW w:w="656" w:type="pct"/>
          </w:tcPr>
          <w:p>
            <w:pPr>
              <w:widowControl w:val="0"/>
              <w:jc w:val="right"/>
              <w:rPr>
                <w:rFonts w:eastAsiaTheme="minorEastAsia"/>
              </w:rPr>
            </w:pPr>
            <w:r>
              <w:t xml:space="preserve"> 3,557.24 </w:t>
            </w:r>
          </w:p>
        </w:tc>
        <w:tc>
          <w:tcPr>
            <w:tcW w:w="774" w:type="pct"/>
          </w:tcPr>
          <w:p>
            <w:pPr>
              <w:widowControl w:val="0"/>
              <w:jc w:val="right"/>
              <w:rPr>
                <w:rFonts w:eastAsiaTheme="minorEastAsia"/>
              </w:rPr>
            </w:pPr>
            <w:r>
              <w:t xml:space="preserve"> 0.50 </w:t>
            </w:r>
          </w:p>
        </w:tc>
        <w:tc>
          <w:tcPr>
            <w:tcW w:w="665" w:type="pct"/>
          </w:tcPr>
          <w:p>
            <w:pPr>
              <w:widowControl w:val="0"/>
              <w:jc w:val="right"/>
              <w:rPr>
                <w:rFonts w:eastAsiaTheme="minorEastAsia"/>
              </w:rPr>
            </w:pPr>
            <w:r>
              <w:t xml:space="preserve"> 6,216.88 </w:t>
            </w:r>
          </w:p>
        </w:tc>
        <w:tc>
          <w:tcPr>
            <w:tcW w:w="750" w:type="pct"/>
          </w:tcPr>
          <w:p>
            <w:pPr>
              <w:widowControl w:val="0"/>
              <w:jc w:val="right"/>
              <w:rPr>
                <w:rFonts w:eastAsiaTheme="minorEastAsia"/>
              </w:rPr>
            </w:pPr>
            <w:r>
              <w:t xml:space="preserve"> 0.86 </w:t>
            </w:r>
          </w:p>
        </w:tc>
        <w:tc>
          <w:tcPr>
            <w:tcW w:w="727" w:type="pct"/>
          </w:tcPr>
          <w:p>
            <w:pPr>
              <w:widowControl w:val="0"/>
              <w:jc w:val="right"/>
              <w:rPr>
                <w:rFonts w:eastAsiaTheme="minorEastAsia"/>
              </w:rPr>
            </w:pPr>
            <w:r>
              <w:t xml:space="preserve"> -42.78 </w:t>
            </w:r>
          </w:p>
        </w:tc>
        <w:tc>
          <w:tcPr>
            <w:tcW w:w="584" w:type="pct"/>
            <w:vAlign w:val="center"/>
          </w:tcPr>
          <w:p>
            <w:pPr>
              <w:widowControl w:val="0"/>
              <w:jc w:val="center"/>
              <w:rPr>
                <w:rFonts w:hint="eastAsia" w:asciiTheme="minorEastAsia" w:hAnsiTheme="minorEastAsia" w:eastAsiaTheme="minorEastAsia"/>
              </w:rPr>
            </w:pPr>
            <w:r>
              <w:rPr>
                <w:rFonts w:hint="eastAsia"/>
              </w:rPr>
              <w:t>说明10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一年内到期的非流动负债</w:t>
            </w:r>
          </w:p>
        </w:tc>
        <w:tc>
          <w:tcPr>
            <w:tcW w:w="656" w:type="pct"/>
            <w:vAlign w:val="center"/>
          </w:tcPr>
          <w:p>
            <w:pPr>
              <w:widowControl w:val="0"/>
              <w:jc w:val="right"/>
              <w:rPr>
                <w:rFonts w:eastAsiaTheme="minorEastAsia"/>
              </w:rPr>
            </w:pPr>
            <w:r>
              <w:rPr>
                <w:rFonts w:hint="eastAsia"/>
              </w:rPr>
              <w:t xml:space="preserve"> 68,635.58 </w:t>
            </w:r>
          </w:p>
        </w:tc>
        <w:tc>
          <w:tcPr>
            <w:tcW w:w="774" w:type="pct"/>
            <w:vAlign w:val="center"/>
          </w:tcPr>
          <w:p>
            <w:pPr>
              <w:widowControl w:val="0"/>
              <w:jc w:val="right"/>
              <w:rPr>
                <w:rFonts w:eastAsiaTheme="minorEastAsia"/>
              </w:rPr>
            </w:pPr>
            <w:r>
              <w:rPr>
                <w:rFonts w:hint="eastAsia"/>
              </w:rPr>
              <w:t xml:space="preserve"> 9.68 </w:t>
            </w:r>
          </w:p>
        </w:tc>
        <w:tc>
          <w:tcPr>
            <w:tcW w:w="665" w:type="pct"/>
            <w:vAlign w:val="center"/>
          </w:tcPr>
          <w:p>
            <w:pPr>
              <w:widowControl w:val="0"/>
              <w:jc w:val="right"/>
              <w:rPr>
                <w:rFonts w:eastAsiaTheme="minorEastAsia"/>
              </w:rPr>
            </w:pPr>
            <w:r>
              <w:rPr>
                <w:rFonts w:hint="eastAsia"/>
              </w:rPr>
              <w:t xml:space="preserve"> 46,546.81 </w:t>
            </w:r>
          </w:p>
        </w:tc>
        <w:tc>
          <w:tcPr>
            <w:tcW w:w="750" w:type="pct"/>
            <w:vAlign w:val="center"/>
          </w:tcPr>
          <w:p>
            <w:pPr>
              <w:widowControl w:val="0"/>
              <w:jc w:val="right"/>
              <w:rPr>
                <w:rFonts w:eastAsiaTheme="minorEastAsia"/>
              </w:rPr>
            </w:pPr>
            <w:r>
              <w:rPr>
                <w:rFonts w:hint="eastAsia"/>
              </w:rPr>
              <w:t xml:space="preserve"> 6.41 </w:t>
            </w:r>
          </w:p>
        </w:tc>
        <w:tc>
          <w:tcPr>
            <w:tcW w:w="727" w:type="pct"/>
            <w:vAlign w:val="center"/>
          </w:tcPr>
          <w:p>
            <w:pPr>
              <w:widowControl w:val="0"/>
              <w:jc w:val="right"/>
              <w:rPr>
                <w:rFonts w:eastAsiaTheme="minorEastAsia"/>
              </w:rPr>
            </w:pPr>
            <w:r>
              <w:rPr>
                <w:rFonts w:hint="eastAsia"/>
              </w:rPr>
              <w:t xml:space="preserve"> 47.45 </w:t>
            </w:r>
          </w:p>
        </w:tc>
        <w:tc>
          <w:tcPr>
            <w:tcW w:w="584" w:type="pct"/>
            <w:vAlign w:val="center"/>
          </w:tcPr>
          <w:p>
            <w:pPr>
              <w:widowControl w:val="0"/>
              <w:jc w:val="center"/>
              <w:rPr>
                <w:rFonts w:hint="eastAsia" w:asciiTheme="minorEastAsia" w:hAnsiTheme="minorEastAsia" w:eastAsiaTheme="minorEastAsia"/>
              </w:rPr>
            </w:pPr>
            <w:r>
              <w:rPr>
                <w:rFonts w:hint="eastAsia"/>
              </w:rPr>
              <w:t>说明11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4" w:type="pct"/>
          </w:tcPr>
          <w:p>
            <w:pPr>
              <w:widowControl w:val="0"/>
              <w:jc w:val="both"/>
              <w:rPr>
                <w:rStyle w:val="28"/>
                <w:rFonts w:hint="eastAsia" w:asciiTheme="minorEastAsia" w:hAnsiTheme="minorEastAsia" w:eastAsiaTheme="minorEastAsia"/>
                <w:b w:val="0"/>
                <w:color w:val="000000" w:themeColor="text1"/>
                <w:szCs w:val="21"/>
                <w14:textFill>
                  <w14:solidFill>
                    <w14:schemeClr w14:val="tx1"/>
                  </w14:solidFill>
                </w14:textFill>
              </w:rPr>
            </w:pPr>
            <w:r>
              <w:rPr>
                <w:rFonts w:hint="eastAsia"/>
              </w:rPr>
              <w:t>租赁负债</w:t>
            </w:r>
          </w:p>
        </w:tc>
        <w:tc>
          <w:tcPr>
            <w:tcW w:w="656" w:type="pct"/>
            <w:vAlign w:val="center"/>
          </w:tcPr>
          <w:p>
            <w:pPr>
              <w:widowControl w:val="0"/>
              <w:jc w:val="right"/>
              <w:rPr>
                <w:rFonts w:eastAsiaTheme="minorEastAsia"/>
              </w:rPr>
            </w:pPr>
            <w:r>
              <w:rPr>
                <w:rFonts w:hint="eastAsia"/>
              </w:rPr>
              <w:t xml:space="preserve"> 2,836.75 </w:t>
            </w:r>
          </w:p>
        </w:tc>
        <w:tc>
          <w:tcPr>
            <w:tcW w:w="774" w:type="pct"/>
            <w:vAlign w:val="center"/>
          </w:tcPr>
          <w:p>
            <w:pPr>
              <w:widowControl w:val="0"/>
              <w:jc w:val="right"/>
              <w:rPr>
                <w:rFonts w:eastAsiaTheme="minorEastAsia"/>
              </w:rPr>
            </w:pPr>
            <w:r>
              <w:rPr>
                <w:rFonts w:hint="eastAsia"/>
              </w:rPr>
              <w:t xml:space="preserve"> 0.40 </w:t>
            </w:r>
          </w:p>
        </w:tc>
        <w:tc>
          <w:tcPr>
            <w:tcW w:w="665" w:type="pct"/>
            <w:vAlign w:val="center"/>
          </w:tcPr>
          <w:p>
            <w:pPr>
              <w:widowControl w:val="0"/>
              <w:jc w:val="right"/>
              <w:rPr>
                <w:rFonts w:eastAsiaTheme="minorEastAsia"/>
              </w:rPr>
            </w:pPr>
            <w:r>
              <w:rPr>
                <w:rFonts w:hint="eastAsia"/>
              </w:rPr>
              <w:t xml:space="preserve"> 1,212.98 </w:t>
            </w:r>
          </w:p>
        </w:tc>
        <w:tc>
          <w:tcPr>
            <w:tcW w:w="750" w:type="pct"/>
            <w:vAlign w:val="center"/>
          </w:tcPr>
          <w:p>
            <w:pPr>
              <w:widowControl w:val="0"/>
              <w:jc w:val="right"/>
              <w:rPr>
                <w:rFonts w:eastAsiaTheme="minorEastAsia"/>
              </w:rPr>
            </w:pPr>
            <w:r>
              <w:rPr>
                <w:rFonts w:hint="eastAsia"/>
              </w:rPr>
              <w:t xml:space="preserve"> 0.17 </w:t>
            </w:r>
          </w:p>
        </w:tc>
        <w:tc>
          <w:tcPr>
            <w:tcW w:w="727" w:type="pct"/>
            <w:vAlign w:val="center"/>
          </w:tcPr>
          <w:p>
            <w:pPr>
              <w:widowControl w:val="0"/>
              <w:jc w:val="right"/>
              <w:rPr>
                <w:rFonts w:eastAsiaTheme="minorEastAsia"/>
              </w:rPr>
            </w:pPr>
            <w:r>
              <w:rPr>
                <w:rFonts w:hint="eastAsia"/>
              </w:rPr>
              <w:t xml:space="preserve"> 133.87 </w:t>
            </w:r>
          </w:p>
        </w:tc>
        <w:tc>
          <w:tcPr>
            <w:tcW w:w="584" w:type="pct"/>
            <w:vAlign w:val="center"/>
          </w:tcPr>
          <w:p>
            <w:pPr>
              <w:widowControl w:val="0"/>
              <w:jc w:val="center"/>
              <w:rPr>
                <w:rFonts w:hint="eastAsia" w:asciiTheme="minorEastAsia" w:hAnsiTheme="minorEastAsia" w:eastAsiaTheme="minorEastAsia"/>
              </w:rPr>
            </w:pPr>
            <w:r>
              <w:rPr>
                <w:rFonts w:hint="eastAsia"/>
              </w:rPr>
              <w:t>说明12</w:t>
            </w:r>
          </w:p>
        </w:tc>
      </w:tr>
      <w:bookmarkEnd w:id="60"/>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资产及负债状况的其他说明"/>
        <w:tag w:val="_GBC_cb3eda90e3e24589a444c633ca113f7e"/>
        <w:id w:val="-761219256"/>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说明1：预付款项较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减少</w:t>
          </w:r>
          <w:r>
            <w:rPr>
              <w:color w:val="000000" w:themeColor="text1"/>
              <w14:textFill>
                <w14:solidFill>
                  <w14:schemeClr w14:val="tx1"/>
                </w14:solidFill>
              </w14:textFill>
            </w:rPr>
            <w:t>6,400.15</w:t>
          </w:r>
          <w:r>
            <w:rPr>
              <w:rFonts w:hint="eastAsia"/>
              <w:color w:val="000000" w:themeColor="text1"/>
              <w14:textFill>
                <w14:solidFill>
                  <w14:schemeClr w14:val="tx1"/>
                </w14:solidFill>
              </w14:textFill>
            </w:rPr>
            <w:t>万元，</w:t>
          </w:r>
          <w:bookmarkStart w:id="62" w:name="OLE_LINK10"/>
          <w:r>
            <w:rPr>
              <w:rFonts w:hint="eastAsia"/>
              <w:color w:val="000000" w:themeColor="text1"/>
              <w14:textFill>
                <w14:solidFill>
                  <w14:schemeClr w14:val="tx1"/>
                </w14:solidFill>
              </w14:textFill>
            </w:rPr>
            <w:t>下降</w:t>
          </w:r>
          <w:bookmarkEnd w:id="62"/>
          <w:r>
            <w:rPr>
              <w:color w:val="000000" w:themeColor="text1"/>
              <w14:textFill>
                <w14:solidFill>
                  <w14:schemeClr w14:val="tx1"/>
                </w14:solidFill>
              </w14:textFill>
            </w:rPr>
            <w:t>44.85</w:t>
          </w:r>
          <w:r>
            <w:rPr>
              <w:rFonts w:hint="eastAsia"/>
              <w:color w:val="000000" w:themeColor="text1"/>
              <w14:textFill>
                <w14:solidFill>
                  <w14:schemeClr w14:val="tx1"/>
                </w14:solidFill>
              </w14:textFill>
            </w:rPr>
            <w:t>%，主要系上年末预付充电设备本期到货交付影响所致。</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说明2：一年内到期的非流动资产较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增加996.27万元，主要系本期</w:t>
          </w:r>
          <w:bookmarkStart w:id="63" w:name="OLE_LINK11"/>
          <w:r>
            <w:rPr>
              <w:rFonts w:hint="eastAsia"/>
              <w:color w:val="000000" w:themeColor="text1"/>
              <w14:textFill>
                <w14:solidFill>
                  <w14:schemeClr w14:val="tx1"/>
                </w14:solidFill>
              </w14:textFill>
            </w:rPr>
            <w:t>新增分期收款业务</w:t>
          </w:r>
          <w:bookmarkEnd w:id="63"/>
          <w:r>
            <w:rPr>
              <w:rFonts w:hint="eastAsia"/>
              <w:color w:val="000000" w:themeColor="text1"/>
              <w14:textFill>
                <w14:solidFill>
                  <w14:schemeClr w14:val="tx1"/>
                </w14:solidFill>
              </w14:textFill>
            </w:rPr>
            <w:t>，</w:t>
          </w:r>
          <w:r>
            <w:rPr>
              <w:color w:val="000000" w:themeColor="text1"/>
              <w14:textFill>
                <w14:solidFill>
                  <w14:schemeClr w14:val="tx1"/>
                </w14:solidFill>
              </w14:textFill>
            </w:rPr>
            <w:t>一年</w:t>
          </w:r>
          <w:r>
            <w:rPr>
              <w:rFonts w:hint="eastAsia"/>
              <w:color w:val="000000" w:themeColor="text1"/>
              <w14:textFill>
                <w14:solidFill>
                  <w14:schemeClr w14:val="tx1"/>
                </w14:solidFill>
              </w14:textFill>
            </w:rPr>
            <w:t>内</w:t>
          </w:r>
          <w:r>
            <w:rPr>
              <w:color w:val="000000" w:themeColor="text1"/>
              <w14:textFill>
                <w14:solidFill>
                  <w14:schemeClr w14:val="tx1"/>
                </w14:solidFill>
              </w14:textFill>
            </w:rPr>
            <w:t>到期的长期应收款重分类所致</w:t>
          </w:r>
          <w:r>
            <w:rPr>
              <w:rFonts w:hint="eastAsia"/>
              <w:color w:val="000000" w:themeColor="text1"/>
              <w14:textFill>
                <w14:solidFill>
                  <w14:schemeClr w14:val="tx1"/>
                </w14:solidFill>
              </w14:textFill>
            </w:rPr>
            <w:t>。</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说明3：其他流动资产较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增加760.98万元，增长395.57%，主要系本期待抵扣进项税增加所致。</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说明4：长期应收款较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增加1,985.77万元，增长545.23%，主要系本期</w:t>
          </w:r>
          <w:r>
            <w:rPr>
              <w:color w:val="000000" w:themeColor="text1"/>
              <w14:textFill>
                <w14:solidFill>
                  <w14:schemeClr w14:val="tx1"/>
                </w14:solidFill>
              </w14:textFill>
            </w:rPr>
            <w:t>新增分期收款业务</w:t>
          </w:r>
          <w:r>
            <w:rPr>
              <w:rFonts w:hint="eastAsia"/>
              <w:color w:val="000000" w:themeColor="text1"/>
              <w14:textFill>
                <w14:solidFill>
                  <w14:schemeClr w14:val="tx1"/>
                </w14:solidFill>
              </w14:textFill>
            </w:rPr>
            <w:t>所致。</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说明5：在建工程较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减少1,295.43万元，下降37.19%，主要系上期在建工程完工转固所致。</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说明6：使用权资产较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增加2,075.35万元，增长100.85%，主要系本期</w:t>
          </w:r>
          <w:r>
            <w:rPr>
              <w:color w:val="000000" w:themeColor="text1"/>
              <w14:textFill>
                <w14:solidFill>
                  <w14:schemeClr w14:val="tx1"/>
                </w14:solidFill>
              </w14:textFill>
            </w:rPr>
            <w:t>兆瓦级智能超充网络</w:t>
          </w:r>
          <w:r>
            <w:rPr>
              <w:rFonts w:hint="eastAsia"/>
              <w:color w:val="000000" w:themeColor="text1"/>
              <w14:textFill>
                <w14:solidFill>
                  <w14:schemeClr w14:val="tx1"/>
                </w14:solidFill>
              </w14:textFill>
            </w:rPr>
            <w:t>项目新增土地使用权租赁所致。</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说明7：其他非流动资产较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减少363.82万元，下降32.14%，主要系本期</w:t>
          </w:r>
          <w:r>
            <w:rPr>
              <w:color w:val="000000" w:themeColor="text1"/>
              <w14:textFill>
                <w14:solidFill>
                  <w14:schemeClr w14:val="tx1"/>
                </w14:solidFill>
              </w14:textFill>
            </w:rPr>
            <w:t>收到部分预付设备款对应的设备所致</w:t>
          </w:r>
          <w:r>
            <w:rPr>
              <w:rFonts w:hint="eastAsia"/>
              <w:color w:val="000000" w:themeColor="text1"/>
              <w14:textFill>
                <w14:solidFill>
                  <w14:schemeClr w14:val="tx1"/>
                </w14:solidFill>
              </w14:textFill>
            </w:rPr>
            <w:t>。</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说明8：应付职工薪酬较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减少3,525.90万元，下降60.75%，主要系本期支付上年年末职工薪酬所致。</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说明9：应交税费较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减少1,850.65万元，下降46.40%，主要系本期缴纳</w:t>
          </w:r>
          <w:r>
            <w:rPr>
              <w:color w:val="000000" w:themeColor="text1"/>
              <w14:textFill>
                <w14:solidFill>
                  <w14:schemeClr w14:val="tx1"/>
                </w14:solidFill>
              </w14:textFill>
            </w:rPr>
            <w:t>企业所得税</w:t>
          </w:r>
          <w:r>
            <w:rPr>
              <w:rFonts w:hint="eastAsia"/>
              <w:color w:val="000000" w:themeColor="text1"/>
              <w14:textFill>
                <w14:solidFill>
                  <w14:schemeClr w14:val="tx1"/>
                </w14:solidFill>
              </w14:textFill>
            </w:rPr>
            <w:t>、增值税所致。</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说明10：其他应付款较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减少2,659.64万元，下降42.78%，主要系本期限制性股票回购注销支付回购款所致。</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说明11：一年内到期的非流动负债较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增加22,088.77万元，增长47.45%，主要系中长期借款一年内到期增加所致。</w:t>
          </w:r>
        </w:p>
        <w:p>
          <w:pPr>
            <w:spacing w:line="360" w:lineRule="exact"/>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说明12：租赁负债较</w:t>
          </w:r>
          <w:r>
            <w:rPr>
              <w:color w:val="000000" w:themeColor="text1"/>
              <w14:textFill>
                <w14:solidFill>
                  <w14:schemeClr w14:val="tx1"/>
                </w14:solidFill>
              </w14:textFill>
            </w:rPr>
            <w:t>上年期末</w:t>
          </w:r>
          <w:r>
            <w:rPr>
              <w:rFonts w:hint="eastAsia"/>
              <w:color w:val="000000" w:themeColor="text1"/>
              <w14:textFill>
                <w14:solidFill>
                  <w14:schemeClr w14:val="tx1"/>
                </w14:solidFill>
              </w14:textFill>
            </w:rPr>
            <w:t>增加1,623.76万元，增长133.87%，主要系本期</w:t>
          </w:r>
          <w:r>
            <w:rPr>
              <w:color w:val="000000" w:themeColor="text1"/>
              <w14:textFill>
                <w14:solidFill>
                  <w14:schemeClr w14:val="tx1"/>
                </w14:solidFill>
              </w14:textFill>
            </w:rPr>
            <w:t>兆瓦级智能超充网络</w:t>
          </w:r>
          <w:r>
            <w:rPr>
              <w:rFonts w:hint="eastAsia"/>
              <w:color w:val="000000" w:themeColor="text1"/>
              <w14:textFill>
                <w14:solidFill>
                  <w14:schemeClr w14:val="tx1"/>
                </w14:solidFill>
              </w14:textFill>
            </w:rPr>
            <w:t>项目新增土地使用权租赁所致。</w:t>
          </w:r>
        </w:p>
      </w:sdtContent>
    </w:sdt>
    <w:bookmarkEnd w:id="59"/>
    <w:p>
      <w:pPr>
        <w:pStyle w:val="5"/>
        <w:numPr>
          <w:ilvl w:val="0"/>
          <w:numId w:val="9"/>
        </w:numPr>
        <w:spacing w:line="360" w:lineRule="exact"/>
        <w:rPr>
          <w:rFonts w:hint="eastAsia" w:ascii="宋体" w:hAnsi="宋体"/>
          <w:b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境外资产情况</w:t>
      </w:r>
    </w:p>
    <w:sdt>
      <w:sdtPr>
        <w:rPr>
          <w:color w:val="000000" w:themeColor="text1"/>
          <w14:textFill>
            <w14:solidFill>
              <w14:schemeClr w14:val="tx1"/>
            </w14:solidFill>
          </w14:textFill>
        </w:rPr>
        <w:alias w:val="是否适用：境外资产情况 [双击切换]"/>
        <w:tag w:val="_GBC_95d71e9a9dcd4966863ba2859a3bf0b7"/>
        <w:id w:val="-175203172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6"/>
        <w:numPr>
          <w:ilvl w:val="0"/>
          <w:numId w:val="10"/>
        </w:numPr>
        <w:spacing w:line="360" w:lineRule="exact"/>
        <w:ind w:left="450" w:hanging="450"/>
        <w:rPr>
          <w:rFonts w:hint="eastAsia" w:ascii="宋体" w:hAnsi="宋体"/>
          <w:color w:val="000000" w:themeColor="text1"/>
          <w:szCs w:val="21"/>
          <w14:textFill>
            <w14:solidFill>
              <w14:schemeClr w14:val="tx1"/>
            </w14:solidFill>
          </w14:textFill>
        </w:rPr>
      </w:pPr>
      <w:bookmarkStart w:id="64" w:name="_Hlk74646369"/>
      <w:r>
        <w:rPr>
          <w:rFonts w:hint="eastAsia" w:ascii="宋体" w:hAnsi="宋体"/>
          <w:color w:val="000000" w:themeColor="text1"/>
          <w:szCs w:val="21"/>
          <w14:textFill>
            <w14:solidFill>
              <w14:schemeClr w14:val="tx1"/>
            </w14:solidFill>
          </w14:textFill>
        </w:rPr>
        <w:t>资产规模</w:t>
      </w:r>
    </w:p>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其中：境外资产</w:t>
      </w:r>
      <w:sdt>
        <w:sdtPr>
          <w:rPr>
            <w:rFonts w:hint="eastAsia"/>
            <w:color w:val="000000" w:themeColor="text1"/>
            <w14:textFill>
              <w14:solidFill>
                <w14:schemeClr w14:val="tx1"/>
              </w14:solidFill>
            </w14:textFill>
          </w:rPr>
          <w:alias w:val="报告期内公司境外资产变化"/>
          <w:tag w:val="_GBC_7edcbeb27a8a4dc89717cd882c719546"/>
          <w:id w:val="-1481145197"/>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1,150.02</w:t>
          </w:r>
        </w:sdtContent>
      </w:sdt>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报告期内公司境外资产变化"/>
          <w:tag w:val="_GBC_5372243019964ba2af35a9061c614f89"/>
          <w:id w:val="118117233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报告期内公司境外资产变化"/>
          <w:tag w:val="_GBC_09b61176994d443a8e1c524c6afd9c93"/>
          <w:id w:val="167444276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r>
        <w:rPr>
          <w:rFonts w:hint="eastAsia"/>
          <w:color w:val="000000" w:themeColor="text1"/>
          <w14:textFill>
            <w14:solidFill>
              <w14:schemeClr w14:val="tx1"/>
            </w14:solidFill>
          </w14:textFill>
        </w:rPr>
        <w:t>），占总资产的比例为</w:t>
      </w:r>
      <w:sdt>
        <w:sdtPr>
          <w:rPr>
            <w:rFonts w:hint="eastAsia"/>
            <w:color w:val="000000" w:themeColor="text1"/>
            <w14:textFill>
              <w14:solidFill>
                <w14:schemeClr w14:val="tx1"/>
              </w14:solidFill>
            </w14:textFill>
          </w:rPr>
          <w:alias w:val="报告期内公司境外资产变化占总资产的比例"/>
          <w:tag w:val="_GBC_c83f06156a574d209e05b2246741ffae"/>
          <w:id w:val="-197704021"/>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0.16</w:t>
          </w:r>
        </w:sdtContent>
      </w:sdt>
      <w:r>
        <w:rPr>
          <w:rFonts w:hint="eastAsia"/>
          <w:color w:val="000000" w:themeColor="text1"/>
          <w14:textFill>
            <w14:solidFill>
              <w14:schemeClr w14:val="tx1"/>
            </w14:solidFill>
          </w14:textFill>
        </w:rPr>
        <w:t>%。</w:t>
      </w:r>
    </w:p>
    <w:bookmarkEnd w:id="64"/>
    <w:p>
      <w:pPr>
        <w:pStyle w:val="6"/>
        <w:numPr>
          <w:ilvl w:val="0"/>
          <w:numId w:val="10"/>
        </w:numPr>
        <w:spacing w:line="360" w:lineRule="exact"/>
        <w:ind w:left="450" w:hanging="450"/>
        <w:rPr>
          <w:rFonts w:hint="eastAsia" w:ascii="宋体" w:hAnsi="宋体"/>
          <w:color w:val="000000" w:themeColor="text1"/>
          <w:szCs w:val="21"/>
          <w14:textFill>
            <w14:solidFill>
              <w14:schemeClr w14:val="tx1"/>
            </w14:solidFill>
          </w14:textFill>
        </w:rPr>
      </w:pPr>
      <w:bookmarkStart w:id="65" w:name="_Hlk89176028"/>
      <w:bookmarkStart w:id="66" w:name="_Hlk105685192"/>
      <w:r>
        <w:rPr>
          <w:rFonts w:hint="eastAsia" w:ascii="宋体" w:hAnsi="宋体"/>
          <w:color w:val="000000" w:themeColor="text1"/>
          <w:szCs w:val="21"/>
          <w14:textFill>
            <w14:solidFill>
              <w14:schemeClr w14:val="tx1"/>
            </w14:solidFill>
          </w14:textFill>
        </w:rPr>
        <w:t>境外资产占比较高的相关说明</w:t>
      </w:r>
    </w:p>
    <w:sdt>
      <w:sdtPr>
        <w:rPr>
          <w:rFonts w:hint="eastAsia"/>
          <w:color w:val="000000" w:themeColor="text1"/>
          <w14:textFill>
            <w14:solidFill>
              <w14:schemeClr w14:val="tx1"/>
            </w14:solidFill>
          </w14:textFill>
        </w:rPr>
        <w:alias w:val="是否适用：境外资产占比较高的相关说明  [双击切换]"/>
        <w:tag w:val="_GBC_b94481189588466d82a6180c2e304194"/>
        <w:id w:val="1852379840"/>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65"/>
    <w:p>
      <w:pPr>
        <w:spacing w:line="360" w:lineRule="exact"/>
        <w:rPr>
          <w:color w:val="000000" w:themeColor="text1"/>
          <w14:textFill>
            <w14:solidFill>
              <w14:schemeClr w14:val="tx1"/>
            </w14:solidFill>
          </w14:textFill>
        </w:rPr>
      </w:pPr>
      <w:r>
        <w:rPr>
          <w:color w:val="000000" w:themeColor="text1"/>
          <w14:textFill>
            <w14:solidFill>
              <w14:schemeClr w14:val="tx1"/>
            </w14:solidFill>
          </w14:textFill>
        </w:rPr>
        <w:t>其他说明</w:t>
      </w:r>
    </w:p>
    <w:sdt>
      <w:sdtPr>
        <w:rPr>
          <w:color w:val="000000" w:themeColor="text1"/>
          <w14:textFill>
            <w14:solidFill>
              <w14:schemeClr w14:val="tx1"/>
            </w14:solidFill>
          </w14:textFill>
        </w:rPr>
        <w:alias w:val="境外资产相关说明 "/>
        <w:tag w:val="_GBC_41f1e6e9cf2548bb879088d0ad64be9c"/>
        <w:id w:val="-1686356355"/>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66"/>
    <w:p>
      <w:pPr>
        <w:pStyle w:val="5"/>
        <w:numPr>
          <w:ilvl w:val="0"/>
          <w:numId w:val="9"/>
        </w:numPr>
        <w:spacing w:line="360" w:lineRule="exact"/>
        <w:rPr>
          <w:rFonts w:hint="eastAsia" w:ascii="宋体" w:hAnsi="宋体"/>
          <w:b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截至报告期末主要资产受限情况</w:t>
      </w:r>
    </w:p>
    <w:sdt>
      <w:sdtPr>
        <w:rPr>
          <w:rFonts w:hint="eastAsia"/>
          <w:color w:val="000000" w:themeColor="text1"/>
          <w14:textFill>
            <w14:solidFill>
              <w14:schemeClr w14:val="tx1"/>
            </w14:solidFill>
          </w14:textFill>
        </w:rPr>
        <w:alias w:val="是否适用：主要资产受限情况[双击切换]"/>
        <w:tag w:val="_GBC_e9f1a2b3f13345eaac848c40837fffbb"/>
        <w:id w:val="-1949686326"/>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主要资产受限情况"/>
        <w:tag w:val="_GBC_a45de9537ca94b758cc1d9c201a60b53"/>
        <w:id w:val="81663207"/>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color w:val="000000" w:themeColor="text1"/>
              <w14:textFill>
                <w14:solidFill>
                  <w14:schemeClr w14:val="tx1"/>
                </w14:solidFill>
              </w14:textFill>
            </w:rPr>
            <w:t>详见“第八节.七、合并财务报表项目注释.31、所有权或使用权受限资产”</w:t>
          </w:r>
          <w:r>
            <w:rPr>
              <w:rFonts w:hint="eastAsia"/>
              <w:color w:val="000000" w:themeColor="text1"/>
              <w14:textFill>
                <w14:solidFill>
                  <w14:schemeClr w14:val="tx1"/>
                </w14:solidFill>
              </w14:textFill>
            </w:rPr>
            <w:t>。</w:t>
          </w:r>
        </w:p>
      </w:sdtContent>
    </w:sdt>
    <w:p>
      <w:pPr>
        <w:pStyle w:val="5"/>
        <w:numPr>
          <w:ilvl w:val="0"/>
          <w:numId w:val="9"/>
        </w:numPr>
        <w:spacing w:line="360" w:lineRule="exact"/>
        <w:rPr>
          <w:rFonts w:hint="eastAsia" w:ascii="宋体" w:hAnsi="宋体"/>
          <w:b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是否适用：资产及负债状况的其他说明[双击切换]"/>
        <w:tag w:val="_GBC_ba674147d80648fba521aedf33ce0b27"/>
        <w:id w:val="625972251"/>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pPr>
        <w:pStyle w:val="4"/>
        <w:numPr>
          <w:ilvl w:val="0"/>
          <w:numId w:val="7"/>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投资状况分析</w:t>
      </w:r>
    </w:p>
    <w:p>
      <w:pPr>
        <w:pStyle w:val="5"/>
        <w:numPr>
          <w:ilvl w:val="0"/>
          <w:numId w:val="11"/>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对外股权投资总体分析</w:t>
      </w:r>
    </w:p>
    <w:p>
      <w:pPr>
        <w:spacing w:line="360" w:lineRule="exact"/>
        <w:rPr>
          <w:color w:val="000000" w:themeColor="text1"/>
          <w14:textFill>
            <w14:solidFill>
              <w14:schemeClr w14:val="tx1"/>
            </w14:solidFill>
          </w14:textFill>
        </w:rPr>
      </w:pPr>
      <w:sdt>
        <w:sdtPr>
          <w:rPr>
            <w:color w:val="000000" w:themeColor="text1"/>
            <w14:textFill>
              <w14:solidFill>
                <w14:schemeClr w14:val="tx1"/>
              </w14:solidFill>
            </w14:textFill>
          </w:rPr>
          <w:alias w:val="是否适用：对外股权投资总体分析[双击切换]"/>
          <w:tag w:val="_GBC_d1852fb41d2a420f9f1d78c35235341a"/>
          <w:id w:val="1106779810"/>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pStyle w:val="6"/>
        <w:numPr>
          <w:ilvl w:val="0"/>
          <w:numId w:val="12"/>
        </w:numPr>
        <w:tabs>
          <w:tab w:val="left" w:pos="360"/>
        </w:tabs>
        <w:spacing w:line="360" w:lineRule="exact"/>
        <w:ind w:left="0" w:firstLine="0"/>
        <w:rPr>
          <w:color w:val="000000" w:themeColor="text1"/>
          <w:szCs w:val="21"/>
          <w14:textFill>
            <w14:solidFill>
              <w14:schemeClr w14:val="tx1"/>
            </w14:solidFill>
          </w14:textFill>
        </w:rPr>
      </w:pPr>
      <w:bookmarkStart w:id="67" w:name="_Hlk137045665"/>
      <w:r>
        <w:rPr>
          <w:rFonts w:hint="eastAsia"/>
          <w:color w:val="000000" w:themeColor="text1"/>
          <w:szCs w:val="21"/>
          <w14:textFill>
            <w14:solidFill>
              <w14:schemeClr w14:val="tx1"/>
            </w14:solidFill>
          </w14:textFill>
        </w:rPr>
        <w:t>重大的股权投资</w:t>
      </w:r>
    </w:p>
    <w:sdt>
      <w:sdtPr>
        <w:rPr>
          <w:rFonts w:hint="eastAsia"/>
          <w:color w:val="000000" w:themeColor="text1"/>
          <w14:textFill>
            <w14:solidFill>
              <w14:schemeClr w14:val="tx1"/>
            </w14:solidFill>
          </w14:textFill>
        </w:rPr>
        <w:alias w:val="是否适用：重大的股权投资[双击切换]"/>
        <w:tag w:val="_GBC_9d4d997d9f994cccbb938afa207cfaf2"/>
        <w:id w:val="1768727509"/>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67"/>
    <w:p>
      <w:pPr>
        <w:pStyle w:val="6"/>
        <w:numPr>
          <w:ilvl w:val="0"/>
          <w:numId w:val="12"/>
        </w:numPr>
        <w:tabs>
          <w:tab w:val="left" w:pos="360"/>
        </w:tabs>
        <w:spacing w:line="360" w:lineRule="exact"/>
        <w:ind w:left="0" w:firstLine="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重大的非股权投资</w:t>
      </w:r>
    </w:p>
    <w:sdt>
      <w:sdtPr>
        <w:rPr>
          <w:rFonts w:hint="eastAsia"/>
          <w:color w:val="000000" w:themeColor="text1"/>
          <w14:textFill>
            <w14:solidFill>
              <w14:schemeClr w14:val="tx1"/>
            </w14:solidFill>
          </w14:textFill>
        </w:rPr>
        <w:alias w:val="是否适用：重大的非股权投资[双击切换]"/>
        <w:tag w:val="_GBC_ea7fdcb7583549f38c0db41e73af0a8b"/>
        <w:id w:val="-1954391335"/>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6"/>
        <w:numPr>
          <w:ilvl w:val="0"/>
          <w:numId w:val="12"/>
        </w:numPr>
        <w:tabs>
          <w:tab w:val="left" w:pos="360"/>
        </w:tabs>
        <w:spacing w:line="360" w:lineRule="exact"/>
        <w:ind w:left="0" w:firstLine="0"/>
        <w:rPr>
          <w:color w:val="000000" w:themeColor="text1"/>
          <w:szCs w:val="21"/>
          <w14:textFill>
            <w14:solidFill>
              <w14:schemeClr w14:val="tx1"/>
            </w14:solidFill>
          </w14:textFill>
        </w:rPr>
      </w:pPr>
      <w:bookmarkStart w:id="68" w:name="_Hlk40532846"/>
      <w:bookmarkStart w:id="69" w:name="_Hlk137045755"/>
      <w:r>
        <w:rPr>
          <w:rFonts w:hint="eastAsia"/>
          <w:color w:val="000000" w:themeColor="text1"/>
          <w:szCs w:val="21"/>
          <w14:textFill>
            <w14:solidFill>
              <w14:schemeClr w14:val="tx1"/>
            </w14:solidFill>
          </w14:textFill>
        </w:rPr>
        <w:t>以公允价值计量的金融资产</w:t>
      </w:r>
    </w:p>
    <w:sdt>
      <w:sdtPr>
        <w:rPr>
          <w:rFonts w:hint="eastAsia"/>
          <w:color w:val="000000" w:themeColor="text1"/>
          <w14:textFill>
            <w14:solidFill>
              <w14:schemeClr w14:val="tx1"/>
            </w14:solidFill>
          </w14:textFill>
        </w:rPr>
        <w:alias w:val="是否适用：以公允价值计量的金融资产[双击切换]"/>
        <w:tag w:val="_GBC_541ff98e64424f46b08f9f3687c1ea7a"/>
        <w:id w:val="-2058151292"/>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8"/>
        <w:wordWrap w:val="0"/>
        <w:ind w:left="360" w:firstLine="0" w:firstLineChars="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以公允价值计量的金融资产"/>
          <w:tag w:val="_GBC_1c2aaa623bd0423791ad9edf7fcfb564"/>
          <w:id w:val="-175566677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以公允价值计量的金融资产"/>
          <w:tag w:val="_GBC_7946a1d9804e4752a8d28bb04a1c1fe2"/>
          <w:id w:val="-158414473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9"/>
        <w:gridCol w:w="1540"/>
        <w:gridCol w:w="1540"/>
        <w:gridCol w:w="1541"/>
        <w:gridCol w:w="1540"/>
        <w:gridCol w:w="1541"/>
        <w:gridCol w:w="1540"/>
        <w:gridCol w:w="1541"/>
        <w:gridCol w:w="1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4279fe84ffd49f892f0e4236d8485e0"/>
            <w:id w:val="-1511679560"/>
          </w:sdtPr>
          <w:sdtContent>
            <w:tc>
              <w:tcPr>
                <w:tcW w:w="1539" w:type="dxa"/>
                <w:vAlign w:val="center"/>
              </w:tcPr>
              <w:p>
                <w:pPr>
                  <w:widowControl w:val="0"/>
                  <w:jc w:val="center"/>
                  <w:rPr>
                    <w:color w:val="000000" w:themeColor="text1"/>
                    <w14:textFill>
                      <w14:solidFill>
                        <w14:schemeClr w14:val="tx1"/>
                      </w14:solidFill>
                    </w14:textFill>
                  </w:rPr>
                </w:pPr>
                <w:r>
                  <w:rPr>
                    <w:rFonts w:hint="eastAsia" w:cs="Times New Roman"/>
                    <w:color w:val="000000" w:themeColor="text1"/>
                    <w:kern w:val="2"/>
                    <w:szCs w:val="22"/>
                    <w14:textFill>
                      <w14:solidFill>
                        <w14:schemeClr w14:val="tx1"/>
                      </w14:solidFill>
                    </w14:textFill>
                  </w:rPr>
                  <w:t>资产类别</w:t>
                </w:r>
              </w:p>
            </w:tc>
          </w:sdtContent>
        </w:sdt>
        <w:sdt>
          <w:sdtPr>
            <w:tag w:val="_PLD_8c2e4dc1bb324e79bc03b22ad26f792e"/>
            <w:id w:val="-1777702937"/>
          </w:sdtPr>
          <w:sdtContent>
            <w:tc>
              <w:tcPr>
                <w:tcW w:w="1540"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期初数</w:t>
                </w:r>
              </w:p>
            </w:tc>
          </w:sdtContent>
        </w:sdt>
        <w:sdt>
          <w:sdtPr>
            <w:tag w:val="_PLD_7f931a153d8147eda6f368a9567bc298"/>
            <w:id w:val="1595274840"/>
          </w:sdtPr>
          <w:sdtContent>
            <w:tc>
              <w:tcPr>
                <w:tcW w:w="1540" w:type="dxa"/>
                <w:vAlign w:val="center"/>
              </w:tcPr>
              <w:p>
                <w:pPr>
                  <w:widowControl w:val="0"/>
                  <w:jc w:val="center"/>
                  <w:rPr>
                    <w:b/>
                    <w:color w:val="000000" w:themeColor="text1"/>
                    <w14:textFill>
                      <w14:solidFill>
                        <w14:schemeClr w14:val="tx1"/>
                      </w14:solidFill>
                    </w14:textFill>
                  </w:rPr>
                </w:pPr>
                <w:r>
                  <w:rPr>
                    <w:rFonts w:hint="eastAsia"/>
                    <w:color w:val="000000" w:themeColor="text1"/>
                    <w14:textFill>
                      <w14:solidFill>
                        <w14:schemeClr w14:val="tx1"/>
                      </w14:solidFill>
                    </w14:textFill>
                  </w:rPr>
                  <w:t>本期公允价值变动损益</w:t>
                </w:r>
              </w:p>
            </w:tc>
          </w:sdtContent>
        </w:sdt>
        <w:sdt>
          <w:sdtPr>
            <w:tag w:val="_PLD_27da79c178c64f67a920ab85f142ffda"/>
            <w:id w:val="245462373"/>
          </w:sdtPr>
          <w:sdtContent>
            <w:tc>
              <w:tcPr>
                <w:tcW w:w="1541"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计入权益的累计公允价值变动</w:t>
                </w:r>
              </w:p>
            </w:tc>
          </w:sdtContent>
        </w:sdt>
        <w:sdt>
          <w:sdtPr>
            <w:tag w:val="_PLD_0fad7d8c41374a0d890f4c32253b8649"/>
            <w:id w:val="7802592"/>
          </w:sdtPr>
          <w:sdtContent>
            <w:tc>
              <w:tcPr>
                <w:tcW w:w="1540"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本期计提的减值</w:t>
                </w:r>
              </w:p>
            </w:tc>
          </w:sdtContent>
        </w:sdt>
        <w:sdt>
          <w:sdtPr>
            <w:tag w:val="_PLD_8ff680d02d9d41dca633590f5d9750a8"/>
            <w:id w:val="40334853"/>
          </w:sdtPr>
          <w:sdtContent>
            <w:tc>
              <w:tcPr>
                <w:tcW w:w="1541"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本期购买金额</w:t>
                </w:r>
              </w:p>
            </w:tc>
          </w:sdtContent>
        </w:sdt>
        <w:sdt>
          <w:sdtPr>
            <w:tag w:val="_PLD_e83492f8af03443b91d02a1661f56291"/>
            <w:id w:val="59757372"/>
          </w:sdtPr>
          <w:sdtContent>
            <w:tc>
              <w:tcPr>
                <w:tcW w:w="1540"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本期出售/赎回金额</w:t>
                </w:r>
              </w:p>
            </w:tc>
          </w:sdtContent>
        </w:sdt>
        <w:sdt>
          <w:sdtPr>
            <w:tag w:val="_PLD_7aaffff291e240b5adc74b8ad3728c6e"/>
            <w:id w:val="275071731"/>
          </w:sdtPr>
          <w:sdtContent>
            <w:tc>
              <w:tcPr>
                <w:tcW w:w="1541"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tc>
          </w:sdtContent>
        </w:sdt>
        <w:sdt>
          <w:sdtPr>
            <w:tag w:val="_PLD_d765878830274571b732d6e366f7811e"/>
            <w:id w:val="-1400665803"/>
          </w:sdtPr>
          <w:sdtContent>
            <w:tc>
              <w:tcPr>
                <w:tcW w:w="1541"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期末数</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pPr>
              <w:widowControl w:val="0"/>
              <w:jc w:val="both"/>
              <w:rPr>
                <w:color w:val="000000" w:themeColor="text1"/>
                <w14:textFill>
                  <w14:solidFill>
                    <w14:schemeClr w14:val="tx1"/>
                  </w14:solidFill>
                </w14:textFill>
              </w:rPr>
            </w:pPr>
            <w:r>
              <w:rPr>
                <w:rFonts w:hint="eastAsia"/>
              </w:rPr>
              <w:t>其他权益工具投资</w:t>
            </w:r>
          </w:p>
        </w:tc>
        <w:tc>
          <w:tcPr>
            <w:tcW w:w="1540" w:type="dxa"/>
            <w:vAlign w:val="center"/>
          </w:tcPr>
          <w:p>
            <w:pPr>
              <w:widowControl w:val="0"/>
              <w:jc w:val="right"/>
            </w:pPr>
            <w:r>
              <w:t xml:space="preserve"> 1,512.30 </w:t>
            </w:r>
          </w:p>
        </w:tc>
        <w:tc>
          <w:tcPr>
            <w:tcW w:w="1540" w:type="dxa"/>
            <w:vAlign w:val="center"/>
          </w:tcPr>
          <w:p>
            <w:pPr>
              <w:widowControl w:val="0"/>
              <w:jc w:val="right"/>
            </w:pPr>
          </w:p>
        </w:tc>
        <w:tc>
          <w:tcPr>
            <w:tcW w:w="1541" w:type="dxa"/>
            <w:vAlign w:val="center"/>
          </w:tcPr>
          <w:p>
            <w:pPr>
              <w:widowControl w:val="0"/>
              <w:jc w:val="right"/>
            </w:pPr>
            <w:r>
              <w:t xml:space="preserve"> -171.05 </w:t>
            </w:r>
          </w:p>
        </w:tc>
        <w:tc>
          <w:tcPr>
            <w:tcW w:w="1540" w:type="dxa"/>
            <w:vAlign w:val="center"/>
          </w:tcPr>
          <w:p>
            <w:pPr>
              <w:widowControl w:val="0"/>
              <w:jc w:val="right"/>
            </w:pPr>
          </w:p>
        </w:tc>
        <w:tc>
          <w:tcPr>
            <w:tcW w:w="1541" w:type="dxa"/>
            <w:vAlign w:val="center"/>
          </w:tcPr>
          <w:p>
            <w:pPr>
              <w:widowControl w:val="0"/>
              <w:jc w:val="right"/>
            </w:pPr>
          </w:p>
        </w:tc>
        <w:tc>
          <w:tcPr>
            <w:tcW w:w="1540" w:type="dxa"/>
            <w:vAlign w:val="center"/>
          </w:tcPr>
          <w:p>
            <w:pPr>
              <w:widowControl w:val="0"/>
              <w:jc w:val="right"/>
            </w:pPr>
          </w:p>
        </w:tc>
        <w:tc>
          <w:tcPr>
            <w:tcW w:w="1541" w:type="dxa"/>
            <w:vAlign w:val="center"/>
          </w:tcPr>
          <w:p>
            <w:pPr>
              <w:widowControl w:val="0"/>
              <w:jc w:val="right"/>
            </w:pPr>
          </w:p>
        </w:tc>
        <w:tc>
          <w:tcPr>
            <w:tcW w:w="1541" w:type="dxa"/>
            <w:vAlign w:val="center"/>
          </w:tcPr>
          <w:p>
            <w:pPr>
              <w:widowControl w:val="0"/>
              <w:jc w:val="right"/>
            </w:pPr>
            <w:r>
              <w:t xml:space="preserve"> 1,341.25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pPr>
              <w:widowControl w:val="0"/>
              <w:jc w:val="both"/>
              <w:rPr>
                <w:color w:val="000000" w:themeColor="text1"/>
                <w14:textFill>
                  <w14:solidFill>
                    <w14:schemeClr w14:val="tx1"/>
                  </w14:solidFill>
                </w14:textFill>
              </w:rPr>
            </w:pPr>
            <w:r>
              <w:rPr>
                <w:rFonts w:hint="eastAsia"/>
              </w:rPr>
              <w:t>应收款项融资</w:t>
            </w:r>
          </w:p>
        </w:tc>
        <w:tc>
          <w:tcPr>
            <w:tcW w:w="1540" w:type="dxa"/>
            <w:vAlign w:val="center"/>
          </w:tcPr>
          <w:p>
            <w:pPr>
              <w:widowControl w:val="0"/>
              <w:jc w:val="right"/>
            </w:pPr>
            <w:r>
              <w:t xml:space="preserve"> 3,743.35 </w:t>
            </w:r>
          </w:p>
        </w:tc>
        <w:tc>
          <w:tcPr>
            <w:tcW w:w="1540" w:type="dxa"/>
            <w:vAlign w:val="center"/>
          </w:tcPr>
          <w:p>
            <w:pPr>
              <w:widowControl w:val="0"/>
              <w:jc w:val="right"/>
            </w:pPr>
          </w:p>
        </w:tc>
        <w:tc>
          <w:tcPr>
            <w:tcW w:w="1541" w:type="dxa"/>
            <w:vAlign w:val="center"/>
          </w:tcPr>
          <w:p>
            <w:pPr>
              <w:widowControl w:val="0"/>
              <w:jc w:val="right"/>
            </w:pPr>
          </w:p>
        </w:tc>
        <w:tc>
          <w:tcPr>
            <w:tcW w:w="1540" w:type="dxa"/>
            <w:vAlign w:val="center"/>
          </w:tcPr>
          <w:p>
            <w:pPr>
              <w:widowControl w:val="0"/>
              <w:jc w:val="right"/>
            </w:pPr>
            <w:r>
              <w:t xml:space="preserve"> -17.34 </w:t>
            </w:r>
          </w:p>
        </w:tc>
        <w:tc>
          <w:tcPr>
            <w:tcW w:w="1541" w:type="dxa"/>
            <w:vAlign w:val="center"/>
          </w:tcPr>
          <w:p>
            <w:pPr>
              <w:widowControl w:val="0"/>
              <w:jc w:val="right"/>
            </w:pPr>
          </w:p>
        </w:tc>
        <w:tc>
          <w:tcPr>
            <w:tcW w:w="1540" w:type="dxa"/>
            <w:vAlign w:val="center"/>
          </w:tcPr>
          <w:p>
            <w:pPr>
              <w:widowControl w:val="0"/>
              <w:jc w:val="right"/>
            </w:pPr>
          </w:p>
        </w:tc>
        <w:tc>
          <w:tcPr>
            <w:tcW w:w="1541" w:type="dxa"/>
            <w:vAlign w:val="center"/>
          </w:tcPr>
          <w:p>
            <w:pPr>
              <w:widowControl w:val="0"/>
              <w:jc w:val="right"/>
            </w:pPr>
            <w:r>
              <w:t xml:space="preserve"> -313.89 </w:t>
            </w:r>
          </w:p>
        </w:tc>
        <w:tc>
          <w:tcPr>
            <w:tcW w:w="1541" w:type="dxa"/>
            <w:vAlign w:val="center"/>
          </w:tcPr>
          <w:p>
            <w:pPr>
              <w:widowControl w:val="0"/>
              <w:jc w:val="right"/>
            </w:pPr>
            <w:r>
              <w:t xml:space="preserve"> 3,412.12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9" w:type="dxa"/>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540" w:type="dxa"/>
            <w:vAlign w:val="center"/>
          </w:tcPr>
          <w:p>
            <w:pPr>
              <w:widowControl w:val="0"/>
              <w:jc w:val="right"/>
            </w:pPr>
            <w:r>
              <w:t xml:space="preserve"> 5,255.65 </w:t>
            </w:r>
          </w:p>
        </w:tc>
        <w:tc>
          <w:tcPr>
            <w:tcW w:w="1540" w:type="dxa"/>
            <w:vAlign w:val="center"/>
          </w:tcPr>
          <w:p>
            <w:pPr>
              <w:widowControl w:val="0"/>
              <w:jc w:val="right"/>
            </w:pPr>
            <w:r>
              <w:t xml:space="preserve">   </w:t>
            </w:r>
          </w:p>
        </w:tc>
        <w:tc>
          <w:tcPr>
            <w:tcW w:w="1541" w:type="dxa"/>
            <w:vAlign w:val="center"/>
          </w:tcPr>
          <w:p>
            <w:pPr>
              <w:widowControl w:val="0"/>
              <w:jc w:val="right"/>
            </w:pPr>
            <w:r>
              <w:t xml:space="preserve"> -171.05 </w:t>
            </w:r>
          </w:p>
        </w:tc>
        <w:tc>
          <w:tcPr>
            <w:tcW w:w="1540" w:type="dxa"/>
            <w:vAlign w:val="center"/>
          </w:tcPr>
          <w:p>
            <w:pPr>
              <w:widowControl w:val="0"/>
              <w:jc w:val="right"/>
            </w:pPr>
            <w:r>
              <w:t xml:space="preserve"> -17.34 </w:t>
            </w:r>
          </w:p>
        </w:tc>
        <w:tc>
          <w:tcPr>
            <w:tcW w:w="1541" w:type="dxa"/>
            <w:vAlign w:val="center"/>
          </w:tcPr>
          <w:p>
            <w:pPr>
              <w:widowControl w:val="0"/>
              <w:jc w:val="right"/>
            </w:pPr>
          </w:p>
        </w:tc>
        <w:tc>
          <w:tcPr>
            <w:tcW w:w="1540" w:type="dxa"/>
            <w:vAlign w:val="center"/>
          </w:tcPr>
          <w:p>
            <w:pPr>
              <w:widowControl w:val="0"/>
              <w:jc w:val="right"/>
            </w:pPr>
          </w:p>
        </w:tc>
        <w:tc>
          <w:tcPr>
            <w:tcW w:w="1541" w:type="dxa"/>
            <w:vAlign w:val="center"/>
          </w:tcPr>
          <w:p>
            <w:pPr>
              <w:widowControl w:val="0"/>
              <w:jc w:val="right"/>
            </w:pPr>
            <w:r>
              <w:t xml:space="preserve"> -313.89 </w:t>
            </w:r>
          </w:p>
        </w:tc>
        <w:tc>
          <w:tcPr>
            <w:tcW w:w="1541" w:type="dxa"/>
            <w:vAlign w:val="center"/>
          </w:tcPr>
          <w:p>
            <w:pPr>
              <w:widowControl w:val="0"/>
              <w:jc w:val="right"/>
            </w:pPr>
            <w:r>
              <w:t xml:space="preserve"> 4,753.37 </w:t>
            </w:r>
          </w:p>
        </w:tc>
      </w:tr>
      <w:bookmarkEnd w:id="68"/>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证券投资情况</w:t>
      </w:r>
    </w:p>
    <w:sdt>
      <w:sdtPr>
        <w:rPr>
          <w:color w:val="000000" w:themeColor="text1"/>
          <w14:textFill>
            <w14:solidFill>
              <w14:schemeClr w14:val="tx1"/>
            </w14:solidFill>
          </w14:textFill>
        </w:rPr>
        <w:alias w:val="是否适用：证券投资情况[双击切换]"/>
        <w:tag w:val="_GBC_5a8828b10b2a437a9b496037ef93ad06"/>
        <w:id w:val="47341425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8"/>
        <w:wordWrap w:val="0"/>
        <w:ind w:left="360" w:firstLine="0" w:firstLineChars="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证券投资情况"/>
          <w:tag w:val="_GBC_5a75af14e433444597923ebce50689a8"/>
          <w:id w:val="-5139010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证券投资情况"/>
          <w:tag w:val="_GBC_47440d8bf014467ab6dfe74bc9d19131"/>
          <w:id w:val="-146488092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1"/>
        <w:gridCol w:w="1085"/>
        <w:gridCol w:w="1085"/>
        <w:gridCol w:w="1085"/>
        <w:gridCol w:w="1085"/>
        <w:gridCol w:w="1085"/>
        <w:gridCol w:w="1082"/>
        <w:gridCol w:w="1085"/>
        <w:gridCol w:w="1085"/>
        <w:gridCol w:w="1085"/>
        <w:gridCol w:w="1085"/>
        <w:gridCol w:w="1085"/>
        <w:gridCol w:w="10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a6385f8cdab43e88408479fba4d9229"/>
            <w:id w:val="-676040228"/>
          </w:sdtPr>
          <w:sdtContent>
            <w:tc>
              <w:tcPr>
                <w:tcW w:w="384" w:type="pct"/>
                <w:vAlign w:val="center"/>
              </w:tcPr>
              <w:p>
                <w:pPr>
                  <w:widowControl w:val="0"/>
                  <w:jc w:val="center"/>
                  <w:rPr>
                    <w:color w:val="000000" w:themeColor="text1"/>
                    <w14:textFill>
                      <w14:solidFill>
                        <w14:schemeClr w14:val="tx1"/>
                      </w14:solidFill>
                    </w14:textFill>
                  </w:rPr>
                </w:pPr>
                <w:bookmarkStart w:id="70" w:name="_Hlk40533881"/>
                <w:r>
                  <w:rPr>
                    <w:rFonts w:hint="eastAsia"/>
                    <w:color w:val="000000" w:themeColor="text1"/>
                    <w14:textFill>
                      <w14:solidFill>
                        <w14:schemeClr w14:val="tx1"/>
                      </w14:solidFill>
                    </w14:textFill>
                  </w:rPr>
                  <w:t>证券品种</w:t>
                </w:r>
              </w:p>
            </w:tc>
          </w:sdtContent>
        </w:sdt>
        <w:sdt>
          <w:sdtPr>
            <w:tag w:val="_PLD_f57d06c7b56240de84f37921f1d5f0a5"/>
            <w:id w:val="1790311991"/>
          </w:sdtPr>
          <w:sdtContent>
            <w:tc>
              <w:tcPr>
                <w:tcW w:w="385"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证券代码</w:t>
                </w:r>
              </w:p>
            </w:tc>
          </w:sdtContent>
        </w:sdt>
        <w:sdt>
          <w:sdtPr>
            <w:tag w:val="_PLD_c8973b349e6844f6b68aa45d2db197c6"/>
            <w:id w:val="-30800329"/>
          </w:sdtPr>
          <w:sdtContent>
            <w:tc>
              <w:tcPr>
                <w:tcW w:w="385" w:type="pct"/>
                <w:vAlign w:val="center"/>
              </w:tcPr>
              <w:p>
                <w:pPr>
                  <w:widowControl w:val="0"/>
                  <w:tabs>
                    <w:tab w:val="left" w:pos="60"/>
                  </w:tabs>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证券简称</w:t>
                </w:r>
              </w:p>
            </w:tc>
          </w:sdtContent>
        </w:sdt>
        <w:sdt>
          <w:sdtPr>
            <w:tag w:val="_PLD_347e7e935c4840d199d2a43abb9a0277"/>
            <w:id w:val="-1558930933"/>
          </w:sdtPr>
          <w:sdtContent>
            <w:tc>
              <w:tcPr>
                <w:tcW w:w="385"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最初投资成本</w:t>
                </w:r>
              </w:p>
            </w:tc>
          </w:sdtContent>
        </w:sdt>
        <w:sdt>
          <w:sdtPr>
            <w:tag w:val="_PLD_eaf04e6e781c40e2a2c9841ec22e9a3c"/>
            <w:id w:val="-166782880"/>
          </w:sdtPr>
          <w:sdtContent>
            <w:tc>
              <w:tcPr>
                <w:tcW w:w="385"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资金来源</w:t>
                </w:r>
              </w:p>
            </w:tc>
          </w:sdtContent>
        </w:sdt>
        <w:sdt>
          <w:sdtPr>
            <w:tag w:val="_PLD_9216cb595859499fb9e2aa94797691b7"/>
            <w:id w:val="1968085132"/>
          </w:sdtPr>
          <w:sdtContent>
            <w:tc>
              <w:tcPr>
                <w:tcW w:w="385"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期初账面价值</w:t>
                </w:r>
              </w:p>
            </w:tc>
          </w:sdtContent>
        </w:sdt>
        <w:sdt>
          <w:sdtPr>
            <w:tag w:val="_PLD_70bd034e9b744b00b4ed7fdd4f0a93f4"/>
            <w:id w:val="-1723285757"/>
          </w:sdtPr>
          <w:sdtContent>
            <w:tc>
              <w:tcPr>
                <w:tcW w:w="384"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本期公允价值变动损益</w:t>
                </w:r>
              </w:p>
            </w:tc>
          </w:sdtContent>
        </w:sdt>
        <w:sdt>
          <w:sdtPr>
            <w:tag w:val="_PLD_30b4adc6a16b4f11aeb1b5a776f3974a"/>
            <w:id w:val="1031539439"/>
          </w:sdtPr>
          <w:sdtContent>
            <w:tc>
              <w:tcPr>
                <w:tcW w:w="385"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计入权益的累计公允价值变动</w:t>
                </w:r>
              </w:p>
            </w:tc>
          </w:sdtContent>
        </w:sdt>
        <w:sdt>
          <w:sdtPr>
            <w:tag w:val="_PLD_3a4ce8b113e6440e88c4092cbb39ae07"/>
            <w:id w:val="-903759340"/>
          </w:sdtPr>
          <w:sdtContent>
            <w:tc>
              <w:tcPr>
                <w:tcW w:w="385"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本期购买金额</w:t>
                </w:r>
              </w:p>
            </w:tc>
          </w:sdtContent>
        </w:sdt>
        <w:sdt>
          <w:sdtPr>
            <w:tag w:val="_PLD_e7e0a0b50a064c0d90f4bb3d36650d56"/>
            <w:id w:val="83730808"/>
          </w:sdtPr>
          <w:sdtContent>
            <w:tc>
              <w:tcPr>
                <w:tcW w:w="385"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本期出售金额</w:t>
                </w:r>
              </w:p>
            </w:tc>
          </w:sdtContent>
        </w:sdt>
        <w:sdt>
          <w:sdtPr>
            <w:tag w:val="_PLD_56522d18099a4ba78a8ad3f3062f485d"/>
            <w:id w:val="-692147388"/>
          </w:sdtPr>
          <w:sdtContent>
            <w:tc>
              <w:tcPr>
                <w:tcW w:w="385"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本期投资损益</w:t>
                </w:r>
              </w:p>
            </w:tc>
          </w:sdtContent>
        </w:sdt>
        <w:sdt>
          <w:sdtPr>
            <w:tag w:val="_PLD_9146d628bb674fb68b7075af9f301304"/>
            <w:id w:val="-1274170459"/>
          </w:sdtPr>
          <w:sdtContent>
            <w:tc>
              <w:tcPr>
                <w:tcW w:w="385"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期末账面价值</w:t>
                </w:r>
              </w:p>
            </w:tc>
          </w:sdtContent>
        </w:sdt>
        <w:sdt>
          <w:sdtPr>
            <w:tag w:val="_PLD_002d877100d94db78bee085431d85d09"/>
            <w:id w:val="763894282"/>
          </w:sdtPr>
          <w:sdtContent>
            <w:tc>
              <w:tcPr>
                <w:tcW w:w="382"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会计核算科目</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color w:val="000000" w:themeColor="text1"/>
              <w14:textFill>
                <w14:solidFill>
                  <w14:schemeClr w14:val="tx1"/>
                </w14:solidFill>
              </w14:textFill>
            </w:rPr>
            <w:alias w:val="上市公司证券投资情况明细－证券品种"/>
            <w:tag w:val="_GBC_da25a1f6f6b84402a355faf78614b543"/>
            <w:id w:val="1277060697"/>
            <w:comboBox>
              <w:listItem w:displayText="股票" w:value="股票"/>
              <w:listItem w:displayText="债券" w:value="债券"/>
              <w:listItem w:displayText="可转债" w:value="可转债"/>
              <w:listItem w:displayText="基金" w:value="基金"/>
              <w:listItem w:displayText="信托产品" w:value="信托产品"/>
              <w:listItem w:displayText="其他" w:value="其他"/>
            </w:comboBox>
          </w:sdtPr>
          <w:sdtEndPr>
            <w:rPr>
              <w:color w:val="000000" w:themeColor="text1"/>
              <w14:textFill>
                <w14:solidFill>
                  <w14:schemeClr w14:val="tx1"/>
                </w14:solidFill>
              </w14:textFill>
            </w:rPr>
          </w:sdtEndPr>
          <w:sdtContent>
            <w:tc>
              <w:tcPr>
                <w:tcW w:w="384" w:type="pct"/>
                <w:vAlign w:val="center"/>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股票</w:t>
                </w:r>
              </w:p>
            </w:tc>
          </w:sdtContent>
        </w:sdt>
        <w:tc>
          <w:tcPr>
            <w:tcW w:w="385" w:type="pct"/>
            <w:vAlign w:val="center"/>
          </w:tcPr>
          <w:p>
            <w:pPr>
              <w:widowControl w:val="0"/>
              <w:jc w:val="right"/>
            </w:pPr>
            <w:r>
              <w:rPr>
                <w:rFonts w:hint="eastAsia"/>
              </w:rPr>
              <w:t>601328</w:t>
            </w:r>
          </w:p>
        </w:tc>
        <w:tc>
          <w:tcPr>
            <w:tcW w:w="385" w:type="pct"/>
            <w:vAlign w:val="center"/>
          </w:tcPr>
          <w:p>
            <w:pPr>
              <w:widowControl w:val="0"/>
              <w:jc w:val="right"/>
            </w:pPr>
            <w:r>
              <w:rPr>
                <w:rFonts w:hint="eastAsia"/>
              </w:rPr>
              <w:t>交通银行</w:t>
            </w:r>
          </w:p>
        </w:tc>
        <w:tc>
          <w:tcPr>
            <w:tcW w:w="385" w:type="pct"/>
            <w:vAlign w:val="center"/>
          </w:tcPr>
          <w:p>
            <w:pPr>
              <w:widowControl w:val="0"/>
              <w:jc w:val="right"/>
            </w:pPr>
            <w:r>
              <w:rPr>
                <w:rFonts w:hint="eastAsia"/>
              </w:rPr>
              <w:t xml:space="preserve"> 227.56 </w:t>
            </w:r>
          </w:p>
        </w:tc>
        <w:tc>
          <w:tcPr>
            <w:tcW w:w="385" w:type="pct"/>
            <w:vAlign w:val="center"/>
          </w:tcPr>
          <w:p>
            <w:pPr>
              <w:widowControl w:val="0"/>
              <w:jc w:val="right"/>
            </w:pPr>
            <w:r>
              <w:rPr>
                <w:rFonts w:hint="eastAsia"/>
              </w:rPr>
              <w:t>自有资金</w:t>
            </w:r>
          </w:p>
        </w:tc>
        <w:tc>
          <w:tcPr>
            <w:tcW w:w="385" w:type="pct"/>
            <w:vAlign w:val="center"/>
          </w:tcPr>
          <w:p>
            <w:pPr>
              <w:widowControl w:val="0"/>
              <w:jc w:val="right"/>
            </w:pPr>
            <w:r>
              <w:rPr>
                <w:rFonts w:hint="eastAsia"/>
              </w:rPr>
              <w:t xml:space="preserve"> 1,512.30 </w:t>
            </w:r>
          </w:p>
        </w:tc>
        <w:tc>
          <w:tcPr>
            <w:tcW w:w="384" w:type="pct"/>
            <w:vAlign w:val="center"/>
          </w:tcPr>
          <w:p>
            <w:pPr>
              <w:widowControl w:val="0"/>
              <w:jc w:val="right"/>
            </w:pPr>
          </w:p>
        </w:tc>
        <w:tc>
          <w:tcPr>
            <w:tcW w:w="385" w:type="pct"/>
            <w:vAlign w:val="center"/>
          </w:tcPr>
          <w:p>
            <w:pPr>
              <w:widowControl w:val="0"/>
              <w:jc w:val="right"/>
            </w:pPr>
            <w:r>
              <w:rPr>
                <w:rFonts w:hint="eastAsia"/>
              </w:rPr>
              <w:t xml:space="preserve"> -171.05 </w:t>
            </w:r>
          </w:p>
        </w:tc>
        <w:tc>
          <w:tcPr>
            <w:tcW w:w="385" w:type="pct"/>
            <w:vAlign w:val="center"/>
          </w:tcPr>
          <w:p>
            <w:pPr>
              <w:widowControl w:val="0"/>
              <w:jc w:val="right"/>
            </w:pPr>
          </w:p>
        </w:tc>
        <w:tc>
          <w:tcPr>
            <w:tcW w:w="385" w:type="pct"/>
            <w:vAlign w:val="center"/>
          </w:tcPr>
          <w:p>
            <w:pPr>
              <w:widowControl w:val="0"/>
              <w:jc w:val="right"/>
            </w:pPr>
          </w:p>
        </w:tc>
        <w:tc>
          <w:tcPr>
            <w:tcW w:w="385" w:type="pct"/>
            <w:vAlign w:val="center"/>
          </w:tcPr>
          <w:p>
            <w:pPr>
              <w:widowControl w:val="0"/>
              <w:jc w:val="right"/>
            </w:pPr>
            <w:r>
              <w:rPr>
                <w:rFonts w:hint="eastAsia"/>
              </w:rPr>
              <w:t xml:space="preserve">   </w:t>
            </w:r>
          </w:p>
        </w:tc>
        <w:tc>
          <w:tcPr>
            <w:tcW w:w="385" w:type="pct"/>
            <w:vAlign w:val="center"/>
          </w:tcPr>
          <w:p>
            <w:pPr>
              <w:widowControl w:val="0"/>
              <w:jc w:val="right"/>
            </w:pPr>
            <w:r>
              <w:rPr>
                <w:rFonts w:hint="eastAsia"/>
              </w:rPr>
              <w:t xml:space="preserve"> 1,341.25 </w:t>
            </w:r>
          </w:p>
        </w:tc>
        <w:sdt>
          <w:sdtPr>
            <w:rPr>
              <w:color w:val="000000" w:themeColor="text1"/>
              <w14:textFill>
                <w14:solidFill>
                  <w14:schemeClr w14:val="tx1"/>
                </w14:solidFill>
              </w14:textFill>
            </w:rPr>
            <w:alias w:val="上市公司证券投资情况明细－会计核算科目"/>
            <w:tag w:val="_GBC_414476e3ed004196953166bc33839d22"/>
            <w:id w:val="-838540656"/>
            <w:comboBox>
              <w:listItem w:displayText="债权投资" w:value="债权投资"/>
              <w:listItem w:displayText="交易性金融资产" w:value="交易性金融资产"/>
              <w:listItem w:displayText="其他债权投资" w:value="其他债权投资"/>
              <w:listItem w:displayText="其他权益工具投资" w:value="其他权益工具投资"/>
              <w:listItem w:displayText="其他非流动金融资产" w:value="其他非流动金融资产"/>
              <w:listItem w:displayText="其他" w:value="其他"/>
            </w:comboBox>
          </w:sdtPr>
          <w:sdtEndPr>
            <w:rPr>
              <w:color w:val="000000" w:themeColor="text1"/>
              <w14:textFill>
                <w14:solidFill>
                  <w14:schemeClr w14:val="tx1"/>
                </w14:solidFill>
              </w14:textFill>
            </w:rPr>
          </w:sdtEndPr>
          <w:sdtContent>
            <w:tc>
              <w:tcPr>
                <w:tcW w:w="382" w:type="pct"/>
              </w:tcPr>
              <w:p>
                <w:pPr>
                  <w:widowControl w:val="0"/>
                  <w:rPr>
                    <w:color w:val="000000" w:themeColor="text1"/>
                    <w14:textFill>
                      <w14:solidFill>
                        <w14:schemeClr w14:val="tx1"/>
                      </w14:solidFill>
                    </w14:textFill>
                  </w:rPr>
                </w:pPr>
                <w:r>
                  <w:rPr>
                    <w:color w:val="000000" w:themeColor="text1"/>
                    <w14:textFill>
                      <w14:solidFill>
                        <w14:schemeClr w14:val="tx1"/>
                      </w14:solidFill>
                    </w14:textFill>
                  </w:rPr>
                  <w:t>其他权益工具投资</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4" w:type="pct"/>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385" w:type="pct"/>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385" w:type="pct"/>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385" w:type="pct"/>
          </w:tcPr>
          <w:p>
            <w:pPr>
              <w:widowControl w:val="0"/>
              <w:jc w:val="right"/>
            </w:pPr>
          </w:p>
        </w:tc>
        <w:tc>
          <w:tcPr>
            <w:tcW w:w="385" w:type="pct"/>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385" w:type="pct"/>
          </w:tcPr>
          <w:p>
            <w:pPr>
              <w:widowControl w:val="0"/>
              <w:jc w:val="right"/>
            </w:pPr>
            <w:r>
              <w:t>1,512.30</w:t>
            </w:r>
          </w:p>
        </w:tc>
        <w:tc>
          <w:tcPr>
            <w:tcW w:w="384" w:type="pct"/>
          </w:tcPr>
          <w:p>
            <w:pPr>
              <w:widowControl w:val="0"/>
              <w:jc w:val="right"/>
            </w:pPr>
          </w:p>
        </w:tc>
        <w:tc>
          <w:tcPr>
            <w:tcW w:w="385" w:type="pct"/>
          </w:tcPr>
          <w:p>
            <w:pPr>
              <w:widowControl w:val="0"/>
              <w:jc w:val="right"/>
            </w:pPr>
            <w:r>
              <w:t xml:space="preserve"> -171.05 </w:t>
            </w:r>
          </w:p>
        </w:tc>
        <w:tc>
          <w:tcPr>
            <w:tcW w:w="385" w:type="pct"/>
          </w:tcPr>
          <w:p>
            <w:pPr>
              <w:widowControl w:val="0"/>
              <w:jc w:val="right"/>
            </w:pPr>
          </w:p>
        </w:tc>
        <w:tc>
          <w:tcPr>
            <w:tcW w:w="385" w:type="pct"/>
          </w:tcPr>
          <w:p>
            <w:pPr>
              <w:widowControl w:val="0"/>
              <w:jc w:val="right"/>
            </w:pPr>
          </w:p>
        </w:tc>
        <w:tc>
          <w:tcPr>
            <w:tcW w:w="385" w:type="pct"/>
          </w:tcPr>
          <w:p>
            <w:pPr>
              <w:widowControl w:val="0"/>
              <w:jc w:val="right"/>
            </w:pPr>
            <w:r>
              <w:t xml:space="preserve">   </w:t>
            </w:r>
          </w:p>
        </w:tc>
        <w:tc>
          <w:tcPr>
            <w:tcW w:w="385" w:type="pct"/>
          </w:tcPr>
          <w:p>
            <w:pPr>
              <w:widowControl w:val="0"/>
              <w:jc w:val="right"/>
            </w:pPr>
            <w:r>
              <w:t xml:space="preserve"> 1,341.25 </w:t>
            </w:r>
          </w:p>
        </w:tc>
        <w:tc>
          <w:tcPr>
            <w:tcW w:w="382" w:type="pct"/>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bookmarkEnd w:id="70"/>
    </w:tbl>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证券投资情况的说明</w:t>
      </w:r>
    </w:p>
    <w:sdt>
      <w:sdtPr>
        <w:rPr>
          <w:color w:val="000000" w:themeColor="text1"/>
          <w14:textFill>
            <w14:solidFill>
              <w14:schemeClr w14:val="tx1"/>
            </w14:solidFill>
          </w14:textFill>
        </w:rPr>
        <w:alias w:val="是否适用：证券投资情况的说明[双击切换]"/>
        <w:tag w:val="_GBC_8d1fa1a2f7a54e699abfdd630205bd35"/>
        <w:id w:val="317692920"/>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证券投资情况的说明"/>
        <w:tag w:val="_GBC_abdbfda8aa9943258e88072364f7c63a"/>
        <w:id w:val="-807863285"/>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color w:val="000000" w:themeColor="text1"/>
              <w14:textFill>
                <w14:solidFill>
                  <w14:schemeClr w14:val="tx1"/>
                </w14:solidFill>
              </w14:textFill>
            </w:rPr>
            <w:t>以上股票系收购云变电气增加，是云变电气早期持有的交通银行发行的原始股。</w:t>
          </w:r>
        </w:p>
      </w:sdtContent>
    </w:sdt>
    <w:p>
      <w:pPr>
        <w:spacing w:line="360" w:lineRule="exact"/>
        <w:rPr>
          <w:color w:val="000000" w:themeColor="text1"/>
          <w14:textFill>
            <w14:solidFill>
              <w14:schemeClr w14:val="tx1"/>
            </w14:solidFill>
          </w14:textFill>
        </w:rPr>
      </w:pPr>
      <w:bookmarkStart w:id="71" w:name="_Hlk40534809"/>
      <w:r>
        <w:rPr>
          <w:rFonts w:hint="eastAsia"/>
          <w:color w:val="000000" w:themeColor="text1"/>
          <w14:textFill>
            <w14:solidFill>
              <w14:schemeClr w14:val="tx1"/>
            </w14:solidFill>
          </w14:textFill>
        </w:rPr>
        <w:t>私募基金投资情况</w:t>
      </w:r>
    </w:p>
    <w:sdt>
      <w:sdtPr>
        <w:rPr>
          <w:color w:val="000000" w:themeColor="text1"/>
          <w14:textFill>
            <w14:solidFill>
              <w14:schemeClr w14:val="tx1"/>
            </w14:solidFill>
          </w14:textFill>
        </w:rPr>
        <w:alias w:val="是否适用：私募基金投资情况[双击切换]"/>
        <w:tag w:val="_GBC_56fccff6af834e4e8e9f8aea6f269d2f"/>
        <w:id w:val="-174663755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71"/>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衍生品投资情况</w:t>
      </w:r>
    </w:p>
    <w:sdt>
      <w:sdtPr>
        <w:rPr>
          <w:rFonts w:hint="eastAsia"/>
          <w:color w:val="000000" w:themeColor="text1"/>
          <w14:textFill>
            <w14:solidFill>
              <w14:schemeClr w14:val="tx1"/>
            </w14:solidFill>
          </w14:textFill>
        </w:rPr>
        <w:alias w:val="是否适用：衍生品投资情况  [双击切换]"/>
        <w:tag w:val="_GBC_bfd154b38b804edbb19ff4896b6b9c42"/>
        <w:id w:val="2101906556"/>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69"/>
    <w:p>
      <w:pPr>
        <w:pStyle w:val="4"/>
        <w:numPr>
          <w:ilvl w:val="0"/>
          <w:numId w:val="7"/>
        </w:numPr>
        <w:spacing w:line="360" w:lineRule="exact"/>
        <w:rPr>
          <w:rFonts w:hint="eastAsia" w:ascii="宋体" w:hAnsi="宋体"/>
          <w:color w:val="000000" w:themeColor="text1"/>
          <w14:textFill>
            <w14:solidFill>
              <w14:schemeClr w14:val="tx1"/>
            </w14:solidFill>
          </w14:textFill>
        </w:rPr>
      </w:pPr>
      <w:bookmarkStart w:id="72" w:name="_Hlk155617745"/>
      <w:bookmarkEnd w:id="72"/>
      <w:bookmarkStart w:id="73" w:name="_Hlk167797508"/>
      <w:bookmarkEnd w:id="73"/>
      <w:r>
        <w:rPr>
          <w:rFonts w:hint="eastAsia" w:ascii="宋体" w:hAnsi="宋体"/>
          <w:color w:val="000000" w:themeColor="text1"/>
          <w14:textFill>
            <w14:solidFill>
              <w14:schemeClr w14:val="tx1"/>
            </w14:solidFill>
          </w14:textFill>
        </w:rPr>
        <w:t>重大资产和股权出售</w:t>
      </w:r>
    </w:p>
    <w:sdt>
      <w:sdtPr>
        <w:rPr>
          <w:rFonts w:hint="eastAsia"/>
          <w:color w:val="000000" w:themeColor="text1"/>
          <w14:textFill>
            <w14:solidFill>
              <w14:schemeClr w14:val="tx1"/>
            </w14:solidFill>
          </w14:textFill>
        </w:rPr>
        <w:alias w:val="是否适用：重大资产和股权出售[双击切换]"/>
        <w:tag w:val="_GBC_f566f251245e49238092032f065852be"/>
        <w:id w:val="-891805560"/>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7"/>
        </w:numPr>
        <w:spacing w:line="360" w:lineRule="exact"/>
        <w:rPr>
          <w:rFonts w:hint="eastAsia" w:ascii="宋体" w:hAnsi="宋体"/>
          <w:color w:val="000000" w:themeColor="text1"/>
          <w14:textFill>
            <w14:solidFill>
              <w14:schemeClr w14:val="tx1"/>
            </w14:solidFill>
          </w14:textFill>
        </w:rPr>
      </w:pPr>
      <w:bookmarkStart w:id="74" w:name="_Hlk200011206"/>
      <w:r>
        <w:rPr>
          <w:rFonts w:hint="eastAsia" w:ascii="宋体" w:hAnsi="宋体"/>
          <w:color w:val="000000" w:themeColor="text1"/>
          <w14:textFill>
            <w14:solidFill>
              <w14:schemeClr w14:val="tx1"/>
            </w14:solidFill>
          </w14:textFill>
        </w:rPr>
        <w:t>主要控股参股公司分析</w:t>
      </w:r>
    </w:p>
    <w:sdt>
      <w:sdtPr>
        <w:rPr>
          <w:color w:val="000000" w:themeColor="text1"/>
          <w14:textFill>
            <w14:solidFill>
              <w14:schemeClr w14:val="tx1"/>
            </w14:solidFill>
          </w14:textFill>
        </w:rPr>
        <w:alias w:val="是否适用：主要控股参股公司分析[双击切换]"/>
        <w:tag w:val="_GBC_3f3bd67865a44413bcd1143c0df7558d"/>
        <w:id w:val="1537926036"/>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8"/>
        <w:spacing w:line="360" w:lineRule="exact"/>
      </w:pPr>
      <w:r>
        <w:rPr>
          <w:rFonts w:hint="eastAsia"/>
        </w:rPr>
        <w:t>主要子公司及对公司净利润影响达10%以上的参股公司情况</w:t>
      </w:r>
    </w:p>
    <w:sdt>
      <w:sdtPr>
        <w:rPr>
          <w:rFonts w:hint="eastAsia"/>
          <w:color w:val="000000"/>
        </w:rPr>
        <w:alias w:val="是否适用：主要子公司及对公司净利润影响达10%以上的参股公司情况[双击切换]"/>
        <w:tag w:val="_GBC_4b9f7b6cc7ff4175a466417ec956e9a1"/>
        <w:id w:val="27691872"/>
        <w:placeholder>
          <w:docPart w:val="GBC22222222222222222222222222222"/>
        </w:placeholder>
      </w:sdtPr>
      <w:sdtEndPr>
        <w:rPr>
          <w:rFonts w:hint="eastAsia"/>
          <w:color w:val="000000"/>
        </w:rPr>
      </w:sdtEndPr>
      <w:sdtContent>
        <w:p>
          <w:pPr>
            <w:spacing w:line="360" w:lineRule="exact"/>
            <w:rPr>
              <w:color w:val="000000"/>
            </w:rPr>
          </w:pPr>
          <w:r>
            <w:rPr>
              <w:rFonts w:hint="eastAsia" w:ascii="宋体" w:hAnsi="宋体"/>
              <w:color w:val="000000"/>
            </w:rPr>
            <w:fldChar w:fldCharType="begin"/>
          </w:r>
          <w:r>
            <w:rPr>
              <w:rFonts w:hint="eastAsia"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hint="eastAsia" w:ascii="宋体" w:hAnsi="宋体"/>
              <w:color w:val="000000"/>
            </w:rPr>
            <w:instrText xml:space="preserve"> MACROBUTTON  SnrToggleCheckbox □不适用 </w:instrText>
          </w:r>
          <w:r>
            <w:rPr>
              <w:rFonts w:hint="eastAsia" w:ascii="宋体" w:hAnsi="宋体"/>
              <w:color w:val="000000"/>
            </w:rPr>
            <w:fldChar w:fldCharType="end"/>
          </w:r>
        </w:p>
      </w:sdtContent>
    </w:sdt>
    <w:p>
      <w:pPr>
        <w:jc w:val="right"/>
        <w:rPr>
          <w:color w:val="000000"/>
        </w:rPr>
      </w:pPr>
      <w:r>
        <w:rPr>
          <w:rFonts w:hint="eastAsia"/>
          <w:color w:val="000000"/>
        </w:rPr>
        <w:t>单位：</w:t>
      </w:r>
      <w:sdt>
        <w:sdtPr>
          <w:rPr>
            <w:rFonts w:hint="eastAsia"/>
            <w:color w:val="000000"/>
          </w:rPr>
          <w:alias w:val="单位：主要控股参股公司分析"/>
          <w:tag w:val="_GBC_ce7ca356e78b431aa58669bcbfe4f636"/>
          <w:id w:val="11847094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rPr>
        </w:sdtEndPr>
        <w:sdtContent>
          <w:r>
            <w:rPr>
              <w:rFonts w:hint="eastAsia"/>
              <w:color w:val="000000"/>
            </w:rPr>
            <w:t>万元</w:t>
          </w:r>
        </w:sdtContent>
      </w:sdt>
      <w:r>
        <w:rPr>
          <w:rFonts w:hint="eastAsia"/>
          <w:color w:val="000000"/>
        </w:rPr>
        <w:t xml:space="preserve"> 币种：</w:t>
      </w:r>
      <w:sdt>
        <w:sdtPr>
          <w:rPr>
            <w:rFonts w:hint="eastAsia"/>
            <w:color w:val="000000"/>
          </w:rPr>
          <w:alias w:val="币种：主要控股参股公司分析"/>
          <w:tag w:val="_GBC_d54cbb72b883465cb4a40fd97ee74139"/>
          <w:id w:val="-187808032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rPr>
        </w:sdtEndPr>
        <w:sdtContent>
          <w:r>
            <w:rPr>
              <w:rFonts w:hint="eastAsia"/>
              <w:color w:val="000000"/>
            </w:rPr>
            <w:t>人民币</w:t>
          </w:r>
        </w:sdtContent>
      </w:sdt>
      <w:r>
        <w:rPr>
          <w:rFonts w:hint="eastAsia"/>
          <w:color w:val="000000"/>
        </w:rPr>
        <w:t xml:space="preserve"> </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541"/>
        <w:gridCol w:w="1627"/>
        <w:gridCol w:w="1524"/>
        <w:gridCol w:w="1524"/>
        <w:gridCol w:w="1524"/>
        <w:gridCol w:w="1524"/>
        <w:gridCol w:w="1524"/>
        <w:gridCol w:w="1522"/>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511822bad18243ca984a448b1d5e9c6d"/>
            <w:id w:val="421928089"/>
          </w:sdtPr>
          <w:sdtContent>
            <w:tc>
              <w:tcPr>
                <w:tcW w:w="553" w:type="pct"/>
              </w:tcPr>
              <w:p>
                <w:pPr>
                  <w:kinsoku w:val="0"/>
                  <w:overflowPunct w:val="0"/>
                  <w:autoSpaceDE w:val="0"/>
                  <w:autoSpaceDN w:val="0"/>
                  <w:adjustRightInd w:val="0"/>
                  <w:snapToGrid w:val="0"/>
                  <w:jc w:val="center"/>
                </w:pPr>
                <w:r>
                  <w:t>公司名称</w:t>
                </w:r>
              </w:p>
            </w:tc>
          </w:sdtContent>
        </w:sdt>
        <w:sdt>
          <w:sdtPr>
            <w:tag w:val="_PLD_d832e7bea43d415e86e5df292e30861d"/>
            <w:id w:val="1520050639"/>
          </w:sdtPr>
          <w:sdtContent>
            <w:tc>
              <w:tcPr>
                <w:tcW w:w="584" w:type="pct"/>
              </w:tcPr>
              <w:p>
                <w:pPr>
                  <w:kinsoku w:val="0"/>
                  <w:overflowPunct w:val="0"/>
                  <w:autoSpaceDE w:val="0"/>
                  <w:autoSpaceDN w:val="0"/>
                  <w:adjustRightInd w:val="0"/>
                  <w:snapToGrid w:val="0"/>
                  <w:jc w:val="center"/>
                </w:pPr>
                <w:r>
                  <w:t>公司类型</w:t>
                </w:r>
              </w:p>
            </w:tc>
          </w:sdtContent>
        </w:sdt>
        <w:sdt>
          <w:sdtPr>
            <w:tag w:val="_PLD_504000c87b6441849362fe7fcd841ffd"/>
            <w:id w:val="1504327137"/>
          </w:sdtPr>
          <w:sdtContent>
            <w:tc>
              <w:tcPr>
                <w:tcW w:w="547" w:type="pct"/>
              </w:tcPr>
              <w:p>
                <w:pPr>
                  <w:kinsoku w:val="0"/>
                  <w:overflowPunct w:val="0"/>
                  <w:autoSpaceDE w:val="0"/>
                  <w:autoSpaceDN w:val="0"/>
                  <w:adjustRightInd w:val="0"/>
                  <w:snapToGrid w:val="0"/>
                  <w:jc w:val="center"/>
                </w:pPr>
                <w:r>
                  <w:t>主要业务</w:t>
                </w:r>
              </w:p>
            </w:tc>
          </w:sdtContent>
        </w:sdt>
        <w:sdt>
          <w:sdtPr>
            <w:tag w:val="_PLD_4e755197acd74c7c8f261f7362539fe2"/>
            <w:id w:val="975260531"/>
          </w:sdtPr>
          <w:sdtContent>
            <w:tc>
              <w:tcPr>
                <w:tcW w:w="547" w:type="pct"/>
              </w:tcPr>
              <w:p>
                <w:pPr>
                  <w:kinsoku w:val="0"/>
                  <w:overflowPunct w:val="0"/>
                  <w:autoSpaceDE w:val="0"/>
                  <w:autoSpaceDN w:val="0"/>
                  <w:adjustRightInd w:val="0"/>
                  <w:snapToGrid w:val="0"/>
                  <w:jc w:val="center"/>
                </w:pPr>
                <w:r>
                  <w:t>注册资本</w:t>
                </w:r>
              </w:p>
            </w:tc>
          </w:sdtContent>
        </w:sdt>
        <w:sdt>
          <w:sdtPr>
            <w:tag w:val="_PLD_198557953dd6417b8383682dc2f22f88"/>
            <w:id w:val="-800915449"/>
          </w:sdtPr>
          <w:sdtContent>
            <w:tc>
              <w:tcPr>
                <w:tcW w:w="547" w:type="pct"/>
              </w:tcPr>
              <w:p>
                <w:pPr>
                  <w:kinsoku w:val="0"/>
                  <w:overflowPunct w:val="0"/>
                  <w:autoSpaceDE w:val="0"/>
                  <w:autoSpaceDN w:val="0"/>
                  <w:adjustRightInd w:val="0"/>
                  <w:snapToGrid w:val="0"/>
                  <w:jc w:val="center"/>
                </w:pPr>
                <w:r>
                  <w:t>总资产</w:t>
                </w:r>
              </w:p>
            </w:tc>
          </w:sdtContent>
        </w:sdt>
        <w:sdt>
          <w:sdtPr>
            <w:tag w:val="_PLD_970ef0a1e0e447cebd29209c05ba1fc2"/>
            <w:id w:val="1400251566"/>
          </w:sdtPr>
          <w:sdtContent>
            <w:tc>
              <w:tcPr>
                <w:tcW w:w="547" w:type="pct"/>
              </w:tcPr>
              <w:p>
                <w:pPr>
                  <w:kinsoku w:val="0"/>
                  <w:overflowPunct w:val="0"/>
                  <w:autoSpaceDE w:val="0"/>
                  <w:autoSpaceDN w:val="0"/>
                  <w:adjustRightInd w:val="0"/>
                  <w:snapToGrid w:val="0"/>
                  <w:jc w:val="center"/>
                </w:pPr>
                <w:r>
                  <w:t>净资产</w:t>
                </w:r>
              </w:p>
            </w:tc>
          </w:sdtContent>
        </w:sdt>
        <w:sdt>
          <w:sdtPr>
            <w:tag w:val="_PLD_0181251db664423ba29eb5f6a1e81eec"/>
            <w:id w:val="1696888269"/>
          </w:sdtPr>
          <w:sdtContent>
            <w:tc>
              <w:tcPr>
                <w:tcW w:w="547" w:type="pct"/>
              </w:tcPr>
              <w:p>
                <w:pPr>
                  <w:kinsoku w:val="0"/>
                  <w:overflowPunct w:val="0"/>
                  <w:autoSpaceDE w:val="0"/>
                  <w:autoSpaceDN w:val="0"/>
                  <w:adjustRightInd w:val="0"/>
                  <w:snapToGrid w:val="0"/>
                  <w:jc w:val="center"/>
                </w:pPr>
                <w:r>
                  <w:t>营业收入</w:t>
                </w:r>
              </w:p>
            </w:tc>
          </w:sdtContent>
        </w:sdt>
        <w:sdt>
          <w:sdtPr>
            <w:tag w:val="_PLD_a3b6a5568dbe49adac1f2f6a8954c8d8"/>
            <w:id w:val="-1564872109"/>
          </w:sdtPr>
          <w:sdtContent>
            <w:tc>
              <w:tcPr>
                <w:tcW w:w="546" w:type="pct"/>
              </w:tcPr>
              <w:p>
                <w:pPr>
                  <w:kinsoku w:val="0"/>
                  <w:overflowPunct w:val="0"/>
                  <w:autoSpaceDE w:val="0"/>
                  <w:autoSpaceDN w:val="0"/>
                  <w:adjustRightInd w:val="0"/>
                  <w:snapToGrid w:val="0"/>
                  <w:jc w:val="center"/>
                </w:pPr>
                <w:r>
                  <w:t>营业利润</w:t>
                </w:r>
              </w:p>
            </w:tc>
          </w:sdtContent>
        </w:sdt>
        <w:sdt>
          <w:sdtPr>
            <w:tag w:val="_PLD_a6776b47f9a845978fbed08d37050d0e"/>
            <w:id w:val="-862901274"/>
          </w:sdtPr>
          <w:sdtContent>
            <w:tc>
              <w:tcPr>
                <w:tcW w:w="582" w:type="pct"/>
              </w:tcPr>
              <w:p>
                <w:pPr>
                  <w:kinsoku w:val="0"/>
                  <w:overflowPunct w:val="0"/>
                  <w:autoSpaceDE w:val="0"/>
                  <w:autoSpaceDN w:val="0"/>
                  <w:adjustRightInd w:val="0"/>
                  <w:snapToGrid w:val="0"/>
                  <w:jc w:val="center"/>
                </w:pPr>
                <w:r>
                  <w:t>净利润</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553" w:type="pct"/>
            <w:vAlign w:val="center"/>
          </w:tcPr>
          <w:p>
            <w:pPr>
              <w:kinsoku w:val="0"/>
              <w:overflowPunct w:val="0"/>
              <w:autoSpaceDE w:val="0"/>
              <w:autoSpaceDN w:val="0"/>
              <w:adjustRightInd w:val="0"/>
              <w:snapToGrid w:val="0"/>
              <w:jc w:val="both"/>
            </w:pPr>
            <w:r>
              <w:rPr>
                <w:rFonts w:hint="eastAsia"/>
              </w:rPr>
              <w:t>云变电气</w:t>
            </w:r>
          </w:p>
        </w:tc>
        <w:tc>
          <w:tcPr>
            <w:tcW w:w="584" w:type="pct"/>
            <w:vAlign w:val="center"/>
          </w:tcPr>
          <w:p>
            <w:pPr>
              <w:kinsoku w:val="0"/>
              <w:overflowPunct w:val="0"/>
              <w:autoSpaceDE w:val="0"/>
              <w:autoSpaceDN w:val="0"/>
              <w:adjustRightInd w:val="0"/>
              <w:snapToGrid w:val="0"/>
              <w:jc w:val="both"/>
            </w:pPr>
            <w:r>
              <w:rPr>
                <w:rFonts w:hint="eastAsia"/>
              </w:rPr>
              <w:t>子公司</w:t>
            </w:r>
          </w:p>
        </w:tc>
        <w:tc>
          <w:tcPr>
            <w:tcW w:w="547" w:type="pct"/>
          </w:tcPr>
          <w:p>
            <w:pPr>
              <w:kinsoku w:val="0"/>
              <w:overflowPunct w:val="0"/>
              <w:autoSpaceDE w:val="0"/>
              <w:autoSpaceDN w:val="0"/>
              <w:adjustRightInd w:val="0"/>
              <w:snapToGrid w:val="0"/>
            </w:pPr>
            <w:r>
              <w:rPr>
                <w:rFonts w:hint="eastAsia"/>
              </w:rPr>
              <w:t>输配电及控制设备</w:t>
            </w:r>
          </w:p>
        </w:tc>
        <w:tc>
          <w:tcPr>
            <w:tcW w:w="547" w:type="pct"/>
            <w:vAlign w:val="center"/>
          </w:tcPr>
          <w:p>
            <w:pPr>
              <w:kinsoku w:val="0"/>
              <w:overflowPunct w:val="0"/>
              <w:autoSpaceDE w:val="0"/>
              <w:autoSpaceDN w:val="0"/>
              <w:adjustRightInd w:val="0"/>
              <w:snapToGrid w:val="0"/>
              <w:jc w:val="right"/>
            </w:pPr>
            <w:r>
              <w:t xml:space="preserve"> 10,041.36 </w:t>
            </w:r>
          </w:p>
        </w:tc>
        <w:tc>
          <w:tcPr>
            <w:tcW w:w="547" w:type="pct"/>
            <w:vAlign w:val="center"/>
          </w:tcPr>
          <w:p>
            <w:pPr>
              <w:kinsoku w:val="0"/>
              <w:overflowPunct w:val="0"/>
              <w:autoSpaceDE w:val="0"/>
              <w:autoSpaceDN w:val="0"/>
              <w:adjustRightInd w:val="0"/>
              <w:snapToGrid w:val="0"/>
              <w:jc w:val="right"/>
            </w:pPr>
            <w:r>
              <w:t xml:space="preserve"> 215,348.76 </w:t>
            </w:r>
          </w:p>
        </w:tc>
        <w:tc>
          <w:tcPr>
            <w:tcW w:w="547" w:type="pct"/>
            <w:vAlign w:val="center"/>
          </w:tcPr>
          <w:p>
            <w:pPr>
              <w:kinsoku w:val="0"/>
              <w:overflowPunct w:val="0"/>
              <w:autoSpaceDE w:val="0"/>
              <w:autoSpaceDN w:val="0"/>
              <w:adjustRightInd w:val="0"/>
              <w:snapToGrid w:val="0"/>
              <w:jc w:val="right"/>
            </w:pPr>
            <w:r>
              <w:t xml:space="preserve"> 68,536.65 </w:t>
            </w:r>
          </w:p>
        </w:tc>
        <w:tc>
          <w:tcPr>
            <w:tcW w:w="547" w:type="pct"/>
            <w:vAlign w:val="center"/>
          </w:tcPr>
          <w:p>
            <w:pPr>
              <w:kinsoku w:val="0"/>
              <w:overflowPunct w:val="0"/>
              <w:autoSpaceDE w:val="0"/>
              <w:autoSpaceDN w:val="0"/>
              <w:adjustRightInd w:val="0"/>
              <w:snapToGrid w:val="0"/>
              <w:jc w:val="right"/>
            </w:pPr>
            <w:r>
              <w:t xml:space="preserve"> 57,983.71 </w:t>
            </w:r>
          </w:p>
        </w:tc>
        <w:tc>
          <w:tcPr>
            <w:tcW w:w="546" w:type="pct"/>
            <w:vAlign w:val="center"/>
          </w:tcPr>
          <w:p>
            <w:pPr>
              <w:kinsoku w:val="0"/>
              <w:overflowPunct w:val="0"/>
              <w:autoSpaceDE w:val="0"/>
              <w:autoSpaceDN w:val="0"/>
              <w:adjustRightInd w:val="0"/>
              <w:snapToGrid w:val="0"/>
              <w:jc w:val="right"/>
            </w:pPr>
            <w:r>
              <w:t xml:space="preserve"> 2,974.95 </w:t>
            </w:r>
          </w:p>
        </w:tc>
        <w:tc>
          <w:tcPr>
            <w:tcW w:w="582" w:type="pct"/>
            <w:vAlign w:val="center"/>
          </w:tcPr>
          <w:p>
            <w:pPr>
              <w:kinsoku w:val="0"/>
              <w:overflowPunct w:val="0"/>
              <w:autoSpaceDE w:val="0"/>
              <w:autoSpaceDN w:val="0"/>
              <w:adjustRightInd w:val="0"/>
              <w:snapToGrid w:val="0"/>
              <w:jc w:val="right"/>
            </w:pPr>
            <w:r>
              <w:t xml:space="preserve"> 2,581.63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553" w:type="pct"/>
            <w:vAlign w:val="center"/>
          </w:tcPr>
          <w:p>
            <w:pPr>
              <w:kinsoku w:val="0"/>
              <w:overflowPunct w:val="0"/>
              <w:autoSpaceDE w:val="0"/>
              <w:autoSpaceDN w:val="0"/>
              <w:adjustRightInd w:val="0"/>
              <w:snapToGrid w:val="0"/>
              <w:jc w:val="both"/>
            </w:pPr>
            <w:r>
              <w:rPr>
                <w:rFonts w:hint="eastAsia"/>
              </w:rPr>
              <w:t>望来电</w:t>
            </w:r>
          </w:p>
        </w:tc>
        <w:tc>
          <w:tcPr>
            <w:tcW w:w="584" w:type="pct"/>
            <w:vAlign w:val="center"/>
          </w:tcPr>
          <w:p>
            <w:pPr>
              <w:kinsoku w:val="0"/>
              <w:overflowPunct w:val="0"/>
              <w:autoSpaceDE w:val="0"/>
              <w:autoSpaceDN w:val="0"/>
              <w:adjustRightInd w:val="0"/>
              <w:snapToGrid w:val="0"/>
              <w:jc w:val="both"/>
            </w:pPr>
            <w:r>
              <w:rPr>
                <w:rFonts w:hint="eastAsia"/>
              </w:rPr>
              <w:t>子公司</w:t>
            </w:r>
          </w:p>
        </w:tc>
        <w:tc>
          <w:tcPr>
            <w:tcW w:w="547" w:type="pct"/>
          </w:tcPr>
          <w:p>
            <w:pPr>
              <w:kinsoku w:val="0"/>
              <w:overflowPunct w:val="0"/>
              <w:autoSpaceDE w:val="0"/>
              <w:autoSpaceDN w:val="0"/>
              <w:adjustRightInd w:val="0"/>
              <w:snapToGrid w:val="0"/>
            </w:pPr>
            <w:r>
              <w:rPr>
                <w:rFonts w:hint="eastAsia"/>
              </w:rPr>
              <w:t>输配电及控制设备</w:t>
            </w:r>
          </w:p>
        </w:tc>
        <w:tc>
          <w:tcPr>
            <w:tcW w:w="547" w:type="pct"/>
            <w:vAlign w:val="center"/>
          </w:tcPr>
          <w:p>
            <w:pPr>
              <w:kinsoku w:val="0"/>
              <w:overflowPunct w:val="0"/>
              <w:autoSpaceDE w:val="0"/>
              <w:autoSpaceDN w:val="0"/>
              <w:adjustRightInd w:val="0"/>
              <w:snapToGrid w:val="0"/>
              <w:jc w:val="right"/>
            </w:pPr>
            <w:r>
              <w:t xml:space="preserve"> 5,000.00 </w:t>
            </w:r>
          </w:p>
        </w:tc>
        <w:tc>
          <w:tcPr>
            <w:tcW w:w="547" w:type="pct"/>
            <w:vAlign w:val="center"/>
          </w:tcPr>
          <w:p>
            <w:pPr>
              <w:kinsoku w:val="0"/>
              <w:overflowPunct w:val="0"/>
              <w:autoSpaceDE w:val="0"/>
              <w:autoSpaceDN w:val="0"/>
              <w:adjustRightInd w:val="0"/>
              <w:snapToGrid w:val="0"/>
              <w:jc w:val="right"/>
            </w:pPr>
            <w:r>
              <w:t xml:space="preserve"> 16,295.85 </w:t>
            </w:r>
          </w:p>
        </w:tc>
        <w:tc>
          <w:tcPr>
            <w:tcW w:w="547" w:type="pct"/>
            <w:vAlign w:val="center"/>
          </w:tcPr>
          <w:p>
            <w:pPr>
              <w:kinsoku w:val="0"/>
              <w:overflowPunct w:val="0"/>
              <w:autoSpaceDE w:val="0"/>
              <w:autoSpaceDN w:val="0"/>
              <w:adjustRightInd w:val="0"/>
              <w:snapToGrid w:val="0"/>
              <w:jc w:val="right"/>
            </w:pPr>
            <w:r>
              <w:t xml:space="preserve"> 6,166.00 </w:t>
            </w:r>
          </w:p>
        </w:tc>
        <w:tc>
          <w:tcPr>
            <w:tcW w:w="547" w:type="pct"/>
            <w:vAlign w:val="center"/>
          </w:tcPr>
          <w:p>
            <w:pPr>
              <w:kinsoku w:val="0"/>
              <w:overflowPunct w:val="0"/>
              <w:autoSpaceDE w:val="0"/>
              <w:autoSpaceDN w:val="0"/>
              <w:adjustRightInd w:val="0"/>
              <w:snapToGrid w:val="0"/>
              <w:jc w:val="right"/>
            </w:pPr>
            <w:r>
              <w:t xml:space="preserve"> 7,767.32 </w:t>
            </w:r>
          </w:p>
        </w:tc>
        <w:tc>
          <w:tcPr>
            <w:tcW w:w="546" w:type="pct"/>
            <w:vAlign w:val="center"/>
          </w:tcPr>
          <w:p>
            <w:pPr>
              <w:kinsoku w:val="0"/>
              <w:overflowPunct w:val="0"/>
              <w:autoSpaceDE w:val="0"/>
              <w:autoSpaceDN w:val="0"/>
              <w:adjustRightInd w:val="0"/>
              <w:snapToGrid w:val="0"/>
              <w:jc w:val="right"/>
            </w:pPr>
            <w:r>
              <w:t xml:space="preserve"> 1,371.76 </w:t>
            </w:r>
          </w:p>
        </w:tc>
        <w:tc>
          <w:tcPr>
            <w:tcW w:w="582" w:type="pct"/>
            <w:vAlign w:val="center"/>
          </w:tcPr>
          <w:p>
            <w:pPr>
              <w:kinsoku w:val="0"/>
              <w:overflowPunct w:val="0"/>
              <w:autoSpaceDE w:val="0"/>
              <w:autoSpaceDN w:val="0"/>
              <w:adjustRightInd w:val="0"/>
              <w:snapToGrid w:val="0"/>
              <w:jc w:val="right"/>
            </w:pPr>
            <w:r>
              <w:t xml:space="preserve"> 1,166.00 </w:t>
            </w:r>
          </w:p>
        </w:tc>
      </w:tr>
    </w:tbl>
    <w:p>
      <w:pPr>
        <w:pStyle w:val="48"/>
      </w:pPr>
      <w:r>
        <w:rPr>
          <w:rFonts w:hint="eastAsia"/>
        </w:rPr>
        <w:t>报告期内取得和处置子公司的情况</w:t>
      </w:r>
    </w:p>
    <w:sdt>
      <w:sdtPr>
        <w:rPr>
          <w:rFonts w:hint="eastAsia"/>
          <w:color w:val="000000"/>
        </w:rPr>
        <w:alias w:val="是否适用：报告期内取得和处置子公司的情况[双击切换]"/>
        <w:tag w:val="_GBC_317312bfb3a94aa5a285111b44182c04"/>
        <w:id w:val="1902867687"/>
        <w:placeholder>
          <w:docPart w:val="GBC22222222222222222222222222222"/>
        </w:placeholder>
      </w:sdtPr>
      <w:sdtEndPr>
        <w:rPr>
          <w:rFonts w:hint="eastAsia"/>
          <w:color w:val="000000"/>
        </w:rPr>
      </w:sdtEndPr>
      <w:sdtContent>
        <w:p>
          <w:pPr>
            <w:rPr>
              <w:color w:val="000000"/>
            </w:rPr>
          </w:pPr>
          <w:r>
            <w:rPr>
              <w:rFonts w:hint="eastAsia" w:ascii="宋体" w:hAnsi="宋体"/>
              <w:color w:val="000000"/>
            </w:rPr>
            <w:fldChar w:fldCharType="begin"/>
          </w:r>
          <w:r>
            <w:rPr>
              <w:rFonts w:hint="eastAsia"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hint="eastAsia" w:ascii="宋体" w:hAnsi="宋体"/>
              <w:color w:val="000000"/>
            </w:rPr>
            <w:instrText xml:space="preserve"> MACROBUTTON  SnrToggleCheckbox □不适用 </w:instrText>
          </w:r>
          <w:r>
            <w:rPr>
              <w:rFonts w:hint="eastAsia" w:ascii="宋体" w:hAnsi="宋体"/>
              <w:color w:val="000000"/>
            </w:rPr>
            <w:fldChar w:fldCharType="end"/>
          </w:r>
        </w:p>
      </w:sdtContent>
    </w:sdt>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4578"/>
        <w:gridCol w:w="4826"/>
        <w:gridCol w:w="4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74f30a5095f344d5857a80d2723d3eda"/>
            <w:id w:val="375984635"/>
          </w:sdtPr>
          <w:sdtContent>
            <w:tc>
              <w:tcPr>
                <w:tcW w:w="1643" w:type="pct"/>
              </w:tcPr>
              <w:p>
                <w:pPr>
                  <w:kinsoku w:val="0"/>
                  <w:overflowPunct w:val="0"/>
                  <w:autoSpaceDE w:val="0"/>
                  <w:autoSpaceDN w:val="0"/>
                  <w:adjustRightInd w:val="0"/>
                  <w:snapToGrid w:val="0"/>
                  <w:jc w:val="center"/>
                </w:pPr>
                <w:r>
                  <w:t>公司名称</w:t>
                </w:r>
              </w:p>
            </w:tc>
          </w:sdtContent>
        </w:sdt>
        <w:sdt>
          <w:sdtPr>
            <w:tag w:val="_PLD_e0ed6823345841f79490591489dae385"/>
            <w:id w:val="464552863"/>
          </w:sdtPr>
          <w:sdtContent>
            <w:tc>
              <w:tcPr>
                <w:tcW w:w="1732" w:type="pct"/>
              </w:tcPr>
              <w:p>
                <w:pPr>
                  <w:kinsoku w:val="0"/>
                  <w:overflowPunct w:val="0"/>
                  <w:autoSpaceDE w:val="0"/>
                  <w:autoSpaceDN w:val="0"/>
                  <w:adjustRightInd w:val="0"/>
                  <w:snapToGrid w:val="0"/>
                  <w:jc w:val="center"/>
                </w:pPr>
                <w:r>
                  <w:t>报告期内取得和处置子公司方式</w:t>
                </w:r>
              </w:p>
            </w:tc>
          </w:sdtContent>
        </w:sdt>
        <w:sdt>
          <w:sdtPr>
            <w:tag w:val="_PLD_2710e160ceda4828ac03b78ac25f8ef5"/>
            <w:id w:val="-1118216024"/>
          </w:sdtPr>
          <w:sdtContent>
            <w:tc>
              <w:tcPr>
                <w:tcW w:w="1625" w:type="pct"/>
              </w:tcPr>
              <w:p>
                <w:pPr>
                  <w:kinsoku w:val="0"/>
                  <w:overflowPunct w:val="0"/>
                  <w:autoSpaceDE w:val="0"/>
                  <w:autoSpaceDN w:val="0"/>
                  <w:adjustRightInd w:val="0"/>
                  <w:snapToGrid w:val="0"/>
                  <w:jc w:val="center"/>
                  <w:rPr>
                    <w:highlight w:val="cyan"/>
                  </w:rPr>
                </w:pPr>
                <w:r>
                  <w:t>对整体生产经营和业绩的影响</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43" w:type="pct"/>
          </w:tcPr>
          <w:p>
            <w:pPr>
              <w:kinsoku w:val="0"/>
              <w:overflowPunct w:val="0"/>
              <w:autoSpaceDE w:val="0"/>
              <w:autoSpaceDN w:val="0"/>
              <w:adjustRightInd w:val="0"/>
              <w:snapToGrid w:val="0"/>
            </w:pPr>
            <w:r>
              <w:rPr>
                <w:rFonts w:hint="eastAsia"/>
              </w:rPr>
              <w:t>重庆望来电智能装备科技有限公司</w:t>
            </w:r>
          </w:p>
        </w:tc>
        <w:tc>
          <w:tcPr>
            <w:tcW w:w="1732" w:type="pct"/>
          </w:tcPr>
          <w:p>
            <w:pPr>
              <w:kinsoku w:val="0"/>
              <w:overflowPunct w:val="0"/>
              <w:autoSpaceDE w:val="0"/>
              <w:autoSpaceDN w:val="0"/>
              <w:adjustRightInd w:val="0"/>
              <w:snapToGrid w:val="0"/>
            </w:pPr>
            <w:r>
              <w:rPr>
                <w:rFonts w:hint="eastAsia"/>
              </w:rPr>
              <w:t>新增投资设立</w:t>
            </w:r>
          </w:p>
        </w:tc>
        <w:tc>
          <w:tcPr>
            <w:tcW w:w="1625" w:type="pct"/>
          </w:tcPr>
          <w:p>
            <w:pPr>
              <w:kinsoku w:val="0"/>
              <w:overflowPunct w:val="0"/>
              <w:autoSpaceDE w:val="0"/>
              <w:autoSpaceDN w:val="0"/>
              <w:adjustRightInd w:val="0"/>
              <w:snapToGrid w:val="0"/>
            </w:pPr>
            <w:r>
              <w:rPr>
                <w:rFonts w:hint="eastAsia"/>
              </w:rPr>
              <w:t>对公司整体经营业绩起积极作用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43" w:type="pct"/>
          </w:tcPr>
          <w:p>
            <w:pPr>
              <w:kinsoku w:val="0"/>
              <w:overflowPunct w:val="0"/>
              <w:autoSpaceDE w:val="0"/>
              <w:autoSpaceDN w:val="0"/>
              <w:adjustRightInd w:val="0"/>
              <w:snapToGrid w:val="0"/>
            </w:pPr>
            <w:r>
              <w:rPr>
                <w:rFonts w:hint="eastAsia"/>
              </w:rPr>
              <w:t>准格尔旗望来充新能源科技有限公司</w:t>
            </w:r>
          </w:p>
        </w:tc>
        <w:tc>
          <w:tcPr>
            <w:tcW w:w="1732" w:type="pct"/>
          </w:tcPr>
          <w:p>
            <w:pPr>
              <w:kinsoku w:val="0"/>
              <w:overflowPunct w:val="0"/>
              <w:autoSpaceDE w:val="0"/>
              <w:autoSpaceDN w:val="0"/>
              <w:adjustRightInd w:val="0"/>
              <w:snapToGrid w:val="0"/>
            </w:pPr>
            <w:r>
              <w:rPr>
                <w:rFonts w:hint="eastAsia"/>
              </w:rPr>
              <w:t>新增投资设立</w:t>
            </w:r>
          </w:p>
        </w:tc>
        <w:tc>
          <w:tcPr>
            <w:tcW w:w="1625" w:type="pct"/>
          </w:tcPr>
          <w:p>
            <w:pPr>
              <w:kinsoku w:val="0"/>
              <w:overflowPunct w:val="0"/>
              <w:autoSpaceDE w:val="0"/>
              <w:autoSpaceDN w:val="0"/>
              <w:adjustRightInd w:val="0"/>
              <w:snapToGrid w:val="0"/>
            </w:pPr>
            <w:r>
              <w:rPr>
                <w:rFonts w:hint="eastAsia"/>
              </w:rPr>
              <w:t>无重大影响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43" w:type="pct"/>
          </w:tcPr>
          <w:p>
            <w:pPr>
              <w:kinsoku w:val="0"/>
              <w:overflowPunct w:val="0"/>
              <w:autoSpaceDE w:val="0"/>
              <w:autoSpaceDN w:val="0"/>
              <w:adjustRightInd w:val="0"/>
              <w:snapToGrid w:val="0"/>
            </w:pPr>
            <w:r>
              <w:rPr>
                <w:rFonts w:hint="eastAsia"/>
              </w:rPr>
              <w:t>望来充（陕西）科技有限责任公司</w:t>
            </w:r>
          </w:p>
        </w:tc>
        <w:tc>
          <w:tcPr>
            <w:tcW w:w="1732" w:type="pct"/>
          </w:tcPr>
          <w:p>
            <w:pPr>
              <w:kinsoku w:val="0"/>
              <w:overflowPunct w:val="0"/>
              <w:autoSpaceDE w:val="0"/>
              <w:autoSpaceDN w:val="0"/>
              <w:adjustRightInd w:val="0"/>
              <w:snapToGrid w:val="0"/>
            </w:pPr>
            <w:r>
              <w:rPr>
                <w:rFonts w:hint="eastAsia"/>
              </w:rPr>
              <w:t>新增投资设立</w:t>
            </w:r>
          </w:p>
        </w:tc>
        <w:tc>
          <w:tcPr>
            <w:tcW w:w="1625" w:type="pct"/>
          </w:tcPr>
          <w:p>
            <w:pPr>
              <w:kinsoku w:val="0"/>
              <w:overflowPunct w:val="0"/>
              <w:autoSpaceDE w:val="0"/>
              <w:autoSpaceDN w:val="0"/>
              <w:adjustRightInd w:val="0"/>
              <w:snapToGrid w:val="0"/>
            </w:pPr>
            <w:r>
              <w:rPr>
                <w:rFonts w:hint="eastAsia"/>
              </w:rPr>
              <w:t>无影响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43" w:type="pct"/>
          </w:tcPr>
          <w:p>
            <w:pPr>
              <w:kinsoku w:val="0"/>
              <w:overflowPunct w:val="0"/>
              <w:autoSpaceDE w:val="0"/>
              <w:autoSpaceDN w:val="0"/>
              <w:adjustRightInd w:val="0"/>
              <w:snapToGrid w:val="0"/>
            </w:pPr>
            <w:r>
              <w:rPr>
                <w:rFonts w:hint="eastAsia"/>
              </w:rPr>
              <w:t>重庆望来充渝合新能源有限公司</w:t>
            </w:r>
          </w:p>
        </w:tc>
        <w:tc>
          <w:tcPr>
            <w:tcW w:w="1732" w:type="pct"/>
          </w:tcPr>
          <w:p>
            <w:pPr>
              <w:kinsoku w:val="0"/>
              <w:overflowPunct w:val="0"/>
              <w:autoSpaceDE w:val="0"/>
              <w:autoSpaceDN w:val="0"/>
              <w:adjustRightInd w:val="0"/>
              <w:snapToGrid w:val="0"/>
            </w:pPr>
            <w:r>
              <w:rPr>
                <w:rFonts w:hint="eastAsia"/>
              </w:rPr>
              <w:t>新增投资设立</w:t>
            </w:r>
          </w:p>
        </w:tc>
        <w:tc>
          <w:tcPr>
            <w:tcW w:w="1625" w:type="pct"/>
          </w:tcPr>
          <w:p>
            <w:pPr>
              <w:kinsoku w:val="0"/>
              <w:overflowPunct w:val="0"/>
              <w:autoSpaceDE w:val="0"/>
              <w:autoSpaceDN w:val="0"/>
              <w:adjustRightInd w:val="0"/>
              <w:snapToGrid w:val="0"/>
            </w:pPr>
            <w:r>
              <w:rPr>
                <w:rFonts w:hint="eastAsia"/>
              </w:rPr>
              <w:t>无影响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43" w:type="pct"/>
          </w:tcPr>
          <w:p>
            <w:pPr>
              <w:kinsoku w:val="0"/>
              <w:overflowPunct w:val="0"/>
              <w:autoSpaceDE w:val="0"/>
              <w:autoSpaceDN w:val="0"/>
              <w:adjustRightInd w:val="0"/>
              <w:snapToGrid w:val="0"/>
            </w:pPr>
            <w:r>
              <w:rPr>
                <w:rFonts w:hint="eastAsia"/>
              </w:rPr>
              <w:t>云南望来充金池科技有限公司</w:t>
            </w:r>
          </w:p>
        </w:tc>
        <w:tc>
          <w:tcPr>
            <w:tcW w:w="1732" w:type="pct"/>
          </w:tcPr>
          <w:p>
            <w:pPr>
              <w:kinsoku w:val="0"/>
              <w:overflowPunct w:val="0"/>
              <w:autoSpaceDE w:val="0"/>
              <w:autoSpaceDN w:val="0"/>
              <w:adjustRightInd w:val="0"/>
              <w:snapToGrid w:val="0"/>
            </w:pPr>
            <w:r>
              <w:rPr>
                <w:rFonts w:hint="eastAsia"/>
              </w:rPr>
              <w:t>新增投资设立</w:t>
            </w:r>
          </w:p>
        </w:tc>
        <w:tc>
          <w:tcPr>
            <w:tcW w:w="1625" w:type="pct"/>
          </w:tcPr>
          <w:p>
            <w:pPr>
              <w:kinsoku w:val="0"/>
              <w:overflowPunct w:val="0"/>
              <w:autoSpaceDE w:val="0"/>
              <w:autoSpaceDN w:val="0"/>
              <w:adjustRightInd w:val="0"/>
              <w:snapToGrid w:val="0"/>
            </w:pPr>
            <w:r>
              <w:rPr>
                <w:rFonts w:hint="eastAsia"/>
              </w:rPr>
              <w:t>无重大影响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643" w:type="pct"/>
          </w:tcPr>
          <w:p>
            <w:pPr>
              <w:kinsoku w:val="0"/>
              <w:overflowPunct w:val="0"/>
              <w:autoSpaceDE w:val="0"/>
              <w:autoSpaceDN w:val="0"/>
              <w:adjustRightInd w:val="0"/>
              <w:snapToGrid w:val="0"/>
            </w:pPr>
            <w:r>
              <w:rPr>
                <w:rFonts w:hint="eastAsia"/>
              </w:rPr>
              <w:t>深圳南海电气科技有限公司</w:t>
            </w:r>
          </w:p>
        </w:tc>
        <w:tc>
          <w:tcPr>
            <w:tcW w:w="1732" w:type="pct"/>
          </w:tcPr>
          <w:p>
            <w:pPr>
              <w:kinsoku w:val="0"/>
              <w:overflowPunct w:val="0"/>
              <w:autoSpaceDE w:val="0"/>
              <w:autoSpaceDN w:val="0"/>
              <w:adjustRightInd w:val="0"/>
              <w:snapToGrid w:val="0"/>
            </w:pPr>
            <w:r>
              <w:rPr>
                <w:rFonts w:hint="eastAsia"/>
              </w:rPr>
              <w:t>非同一控制下合并</w:t>
            </w:r>
          </w:p>
        </w:tc>
        <w:tc>
          <w:tcPr>
            <w:tcW w:w="1625" w:type="pct"/>
          </w:tcPr>
          <w:p>
            <w:pPr>
              <w:kinsoku w:val="0"/>
              <w:overflowPunct w:val="0"/>
              <w:autoSpaceDE w:val="0"/>
              <w:autoSpaceDN w:val="0"/>
              <w:adjustRightInd w:val="0"/>
              <w:snapToGrid w:val="0"/>
            </w:pPr>
            <w:r>
              <w:rPr>
                <w:rFonts w:hint="eastAsia"/>
              </w:rPr>
              <w:t>无重大影响</w:t>
            </w:r>
          </w:p>
        </w:tc>
      </w:tr>
    </w:tbl>
    <w:p>
      <w:pPr>
        <w:pStyle w:val="48"/>
        <w:spacing w:line="360" w:lineRule="exact"/>
      </w:pPr>
      <w:r>
        <w:rPr>
          <w:rFonts w:hint="eastAsia"/>
        </w:rPr>
        <w:t>其他说明</w:t>
      </w:r>
    </w:p>
    <w:sdt>
      <w:sdtPr>
        <w:rPr>
          <w:rFonts w:hint="eastAsia"/>
          <w:color w:val="000000"/>
        </w:rPr>
        <w:alias w:val="是否适用：主要控股参股公司分析其他说明[双击切换]"/>
        <w:tag w:val="_GBC_97a87b72cb0240beb3adbde0107adfd5"/>
        <w:id w:val="1495222096"/>
        <w:placeholder>
          <w:docPart w:val="GBC22222222222222222222222222222"/>
        </w:placeholder>
      </w:sdtPr>
      <w:sdtEndPr>
        <w:rPr>
          <w:rFonts w:hint="eastAsia"/>
          <w:color w:val="000000"/>
        </w:rPr>
      </w:sdtEndPr>
      <w:sdtContent>
        <w:p>
          <w:pPr>
            <w:spacing w:line="360" w:lineRule="exact"/>
            <w:rPr>
              <w:color w:val="000000" w:themeColor="text1"/>
              <w14:textFill>
                <w14:solidFill>
                  <w14:schemeClr w14:val="tx1"/>
                </w14:solidFill>
              </w14:textFill>
            </w:rPr>
          </w:pPr>
          <w:r>
            <w:rPr>
              <w:rFonts w:hint="eastAsia" w:ascii="宋体" w:hAnsi="宋体"/>
              <w:color w:val="000000"/>
            </w:rPr>
            <w:fldChar w:fldCharType="begin"/>
          </w:r>
          <w:r>
            <w:rPr>
              <w:rFonts w:hint="eastAsia"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hint="eastAsia" w:ascii="宋体" w:hAnsi="宋体"/>
              <w:color w:val="000000"/>
            </w:rPr>
            <w:instrText xml:space="preserve"> MACROBUTTON  SnrToggleCheckbox √不适用 </w:instrText>
          </w:r>
          <w:r>
            <w:rPr>
              <w:rFonts w:hint="eastAsia" w:ascii="宋体" w:hAnsi="宋体"/>
              <w:color w:val="000000"/>
            </w:rPr>
            <w:fldChar w:fldCharType="end"/>
          </w:r>
        </w:p>
      </w:sdtContent>
    </w:sdt>
    <w:bookmarkEnd w:id="74"/>
    <w:p>
      <w:pPr>
        <w:pStyle w:val="4"/>
        <w:numPr>
          <w:ilvl w:val="0"/>
          <w:numId w:val="7"/>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公司控制的结构化主体情况</w:t>
      </w:r>
    </w:p>
    <w:sdt>
      <w:sdtPr>
        <w:rPr>
          <w:rFonts w:hint="eastAsia"/>
          <w:color w:val="000000" w:themeColor="text1"/>
          <w14:textFill>
            <w14:solidFill>
              <w14:schemeClr w14:val="tx1"/>
            </w14:solidFill>
          </w14:textFill>
        </w:rPr>
        <w:alias w:val="是否适用：公司控制的结构化主体情况[双击切换]"/>
        <w:tag w:val="_GBC_6dee8f13bc9a4596ad3e5af6f90f0b8b"/>
        <w:id w:val="172310722"/>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5"/>
        </w:numPr>
        <w:tabs>
          <w:tab w:val="left" w:pos="426"/>
        </w:tabs>
        <w:spacing w:line="360" w:lineRule="exact"/>
        <w:ind w:left="0" w:firstLine="0"/>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其他披露事项</w:t>
      </w:r>
    </w:p>
    <w:p>
      <w:pPr>
        <w:pStyle w:val="51"/>
        <w:numPr>
          <w:ilvl w:val="0"/>
          <w:numId w:val="13"/>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可能面对的风险</w:t>
      </w:r>
    </w:p>
    <w:sdt>
      <w:sdtPr>
        <w:rPr>
          <w:rFonts w:hint="eastAsia"/>
          <w:color w:val="000000" w:themeColor="text1"/>
          <w14:textFill>
            <w14:solidFill>
              <w14:schemeClr w14:val="tx1"/>
            </w14:solidFill>
          </w14:textFill>
        </w:rPr>
        <w:alias w:val="是否适用：可能面对的风险[双击切换]"/>
        <w:tag w:val="_GBC_2a971d8ab5884d3eb5547ede4e1e17c9"/>
        <w:id w:val="432413766"/>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154"/>
        <w:spacing w:line="360" w:lineRule="exact"/>
        <w:ind w:firstLine="422" w:firstLineChars="200"/>
        <w:jc w:val="both"/>
        <w:outlineLvl w:val="3"/>
        <w:rPr>
          <w:b/>
          <w:sz w:val="21"/>
          <w:szCs w:val="21"/>
        </w:rPr>
      </w:pPr>
      <w:r>
        <w:rPr>
          <w:b/>
          <w:sz w:val="21"/>
          <w:szCs w:val="21"/>
        </w:rPr>
        <w:t>1</w:t>
      </w:r>
      <w:r>
        <w:rPr>
          <w:rFonts w:ascii="宋体" w:hAnsi="宋体"/>
          <w:b/>
          <w:sz w:val="21"/>
          <w:szCs w:val="21"/>
        </w:rPr>
        <w:t>、宏观经济风险和行业风险</w:t>
      </w:r>
    </w:p>
    <w:p>
      <w:pPr>
        <w:spacing w:line="360" w:lineRule="exact"/>
        <w:ind w:firstLine="420" w:firstLineChars="200"/>
        <w:jc w:val="both"/>
        <w:rPr>
          <w:rFonts w:cs="Times New Roman"/>
          <w:bCs w:val="0"/>
        </w:rPr>
      </w:pPr>
      <w:r>
        <w:rPr>
          <w:rFonts w:ascii="宋体" w:hAnsi="宋体" w:cs="Times New Roman"/>
          <w:bCs w:val="0"/>
        </w:rPr>
        <w:t>公司所从事的取向硅钢和输配电及控制设备产业均与电力行业投资及需求紧密相关，电力行业是关系国民经济持续稳定发展的主要环节之一，行业整体需求与宏观经济情况以及社会用电需求密切相关；如果国际经济环境进一步恶化影响国内实体企业发展或者国家宏观政策变化、宏观经济风险加剧，电力能源发展战略、产业结构、市场结构调整、行业资源整合、市场供需变动等因素都有可能对公司的盈利能力造成冲击。</w:t>
      </w:r>
    </w:p>
    <w:p>
      <w:pPr>
        <w:spacing w:line="360" w:lineRule="exact"/>
        <w:ind w:firstLine="420" w:firstLineChars="200"/>
        <w:jc w:val="both"/>
        <w:rPr>
          <w:rFonts w:cs="Times New Roman"/>
          <w:bCs w:val="0"/>
        </w:rPr>
      </w:pPr>
      <w:r>
        <w:rPr>
          <w:rFonts w:ascii="宋体" w:hAnsi="宋体" w:cs="Times New Roman"/>
          <w:bCs w:val="0"/>
        </w:rPr>
        <w:t>应对措施：公司将加强对国际形势和国内宏观经济的研判，及时掌握国家、行业、区域相关政策，结合公司发展实际情况，保障公司生产经营、战略发展决策的科学、有效。</w:t>
      </w:r>
    </w:p>
    <w:p>
      <w:pPr>
        <w:spacing w:line="360" w:lineRule="exact"/>
        <w:ind w:firstLine="422" w:firstLineChars="200"/>
        <w:jc w:val="both"/>
        <w:outlineLvl w:val="3"/>
        <w:rPr>
          <w:rFonts w:cs="Times New Roman"/>
          <w:b/>
          <w:bCs w:val="0"/>
        </w:rPr>
      </w:pPr>
      <w:r>
        <w:rPr>
          <w:rFonts w:cs="Times New Roman"/>
          <w:b/>
          <w:bCs w:val="0"/>
        </w:rPr>
        <w:t>2</w:t>
      </w:r>
      <w:r>
        <w:rPr>
          <w:rFonts w:ascii="宋体" w:hAnsi="宋体" w:cs="Times New Roman"/>
          <w:b/>
          <w:bCs w:val="0"/>
        </w:rPr>
        <w:t>、市场竞争风险</w:t>
      </w:r>
    </w:p>
    <w:p>
      <w:pPr>
        <w:spacing w:line="360" w:lineRule="exact"/>
        <w:ind w:firstLine="420" w:firstLineChars="200"/>
        <w:jc w:val="both"/>
        <w:rPr>
          <w:rFonts w:hint="eastAsia" w:ascii="宋体" w:hAnsi="宋体" w:cs="Times New Roman"/>
          <w:bCs w:val="0"/>
        </w:rPr>
      </w:pPr>
      <w:r>
        <w:rPr>
          <w:rFonts w:hint="eastAsia" w:ascii="宋体" w:hAnsi="宋体" w:cs="Times New Roman"/>
          <w:bCs w:val="0"/>
        </w:rPr>
        <w:t>2026年上半年取向硅钢市场HiB产品占比由67%升至77%，CGO份额显著萎缩，高端化转型加速。全流程企业凭借技术装备优势稳居高端，部分半流程企业虽率先打通HiB路线，但多数半流程企业仍以CGO为主营产品，市场需求萎缩致近七成此类企业产量下滑，行业分化加剧。若CGO需求持续走弱，相关企业经营压力将进一步加大；同时，HiB产能释放或致高端产品价格承压；输配电及控制设备行业受宏观经济影响，普遍存在成本增加、毛利率下降、竞争日趋激烈的问题，给公司生产经营带来更多的市场风险，将对公司业绩构成潜在影响。</w:t>
      </w:r>
    </w:p>
    <w:p>
      <w:pPr>
        <w:spacing w:line="360" w:lineRule="exact"/>
        <w:ind w:firstLine="420" w:firstLineChars="200"/>
        <w:jc w:val="both"/>
        <w:outlineLvl w:val="3"/>
        <w:rPr>
          <w:rFonts w:cs="Times New Roman"/>
          <w:b/>
          <w:bCs w:val="0"/>
        </w:rPr>
      </w:pPr>
      <w:r>
        <w:rPr>
          <w:rFonts w:ascii="宋体" w:hAnsi="宋体" w:cs="Times New Roman"/>
          <w:bCs w:val="0"/>
        </w:rPr>
        <w:t>应对措施：公司整合优势资源加大取向硅钢高牌号研发力度，</w:t>
      </w:r>
      <w:r>
        <w:rPr>
          <w:rFonts w:hint="eastAsia" w:ascii="宋体" w:hAnsi="宋体" w:cs="Times New Roman"/>
          <w:bCs w:val="0"/>
        </w:rPr>
        <w:t>成功研发075牌号取向硅钢，同时逐年</w:t>
      </w:r>
      <w:r>
        <w:rPr>
          <w:rFonts w:ascii="宋体" w:hAnsi="宋体" w:cs="Times New Roman"/>
          <w:bCs w:val="0"/>
        </w:rPr>
        <w:t>提升优化产品牌号结构，以此提升公司产品市场竞争力；输配电及控制设备将通过加大科技创新投入、设备技改投入等多种方式降低制造成本、提升产品质量、增强客户定制化和一体化服务能力等手段不断增强公司市场竞争力，逐步巩固和提升行业品牌影响力和市场占有率。</w:t>
      </w:r>
    </w:p>
    <w:p>
      <w:pPr>
        <w:spacing w:line="360" w:lineRule="exact"/>
        <w:ind w:firstLine="422" w:firstLineChars="200"/>
        <w:jc w:val="both"/>
        <w:rPr>
          <w:rFonts w:hint="eastAsia" w:ascii="宋体" w:hAnsi="宋体" w:cs="Times New Roman"/>
          <w:b/>
        </w:rPr>
      </w:pPr>
      <w:r>
        <w:rPr>
          <w:rFonts w:hint="eastAsia" w:ascii="宋体" w:hAnsi="宋体" w:cs="Times New Roman"/>
          <w:b/>
        </w:rPr>
        <w:t>3、客户信用风险</w:t>
      </w:r>
    </w:p>
    <w:p>
      <w:pPr>
        <w:spacing w:line="360" w:lineRule="exact"/>
        <w:ind w:firstLine="420" w:firstLineChars="200"/>
        <w:jc w:val="both"/>
        <w:rPr>
          <w:rFonts w:cs="Times New Roman"/>
          <w:bCs w:val="0"/>
        </w:rPr>
      </w:pPr>
      <w:r>
        <w:rPr>
          <w:rFonts w:ascii="宋体" w:hAnsi="宋体" w:cs="Times New Roman"/>
          <w:bCs w:val="0"/>
        </w:rPr>
        <w:t>当前国内需求不足，重点领域风险隐患较多，国际大宗商品价格剧烈波动，国内外经济压力进一步加大，外部环境复杂严峻，公司部分客户可能存在信用风险增加，给公司持续稳定健康发展带来一定影响和冲击。</w:t>
      </w:r>
    </w:p>
    <w:p>
      <w:pPr>
        <w:spacing w:line="360" w:lineRule="exact"/>
        <w:ind w:firstLine="420" w:firstLineChars="200"/>
        <w:jc w:val="both"/>
        <w:rPr>
          <w:rFonts w:cs="Times New Roman"/>
          <w:bCs w:val="0"/>
        </w:rPr>
      </w:pPr>
      <w:r>
        <w:rPr>
          <w:rFonts w:ascii="宋体" w:hAnsi="宋体" w:cs="Times New Roman"/>
          <w:bCs w:val="0"/>
        </w:rPr>
        <w:t>截至本报告期末应收账款账面价值</w:t>
      </w:r>
      <w:r>
        <w:rPr>
          <w:rFonts w:hint="eastAsia" w:ascii="宋体" w:hAnsi="宋体" w:cs="Times New Roman"/>
          <w:bCs w:val="0"/>
        </w:rPr>
        <w:t>21.43</w:t>
      </w:r>
      <w:r>
        <w:rPr>
          <w:rFonts w:ascii="宋体" w:hAnsi="宋体" w:cs="Times New Roman"/>
          <w:bCs w:val="0"/>
        </w:rPr>
        <w:t>亿元，占总资产比例</w:t>
      </w:r>
      <w:r>
        <w:rPr>
          <w:rFonts w:hint="eastAsia" w:ascii="宋体" w:hAnsi="宋体" w:cs="Times New Roman"/>
          <w:bCs w:val="0"/>
        </w:rPr>
        <w:t>30.23</w:t>
      </w:r>
      <w:r>
        <w:rPr>
          <w:rFonts w:cs="Times New Roman"/>
          <w:bCs w:val="0"/>
        </w:rPr>
        <w:t>%</w:t>
      </w:r>
      <w:r>
        <w:rPr>
          <w:rFonts w:ascii="宋体" w:hAnsi="宋体" w:cs="Times New Roman"/>
          <w:bCs w:val="0"/>
        </w:rPr>
        <w:t>。若未来经济环境及产业政策变化，部分客户经营情况发生重大不利变化，则公司将面临不能按期收回或无法收回应收账款的风险，从而对公司经营活动净现金流量产生不利影响。</w:t>
      </w:r>
    </w:p>
    <w:p>
      <w:pPr>
        <w:spacing w:line="360" w:lineRule="exact"/>
        <w:ind w:firstLine="420" w:firstLineChars="200"/>
        <w:jc w:val="both"/>
        <w:rPr>
          <w:rFonts w:cs="Times New Roman"/>
          <w:bCs w:val="0"/>
        </w:rPr>
      </w:pPr>
      <w:r>
        <w:rPr>
          <w:rFonts w:ascii="宋体" w:hAnsi="宋体" w:cs="Times New Roman"/>
          <w:bCs w:val="0"/>
        </w:rPr>
        <w:t>应对措施：建立完善的客户信用评估体系，筛选优质客户；加强对客户进行事前、事中、事后全过程调研和跟踪，按公司相关流程和权限审批授信额度；成立客户信用管理专项小组，及时跟踪账期较长的客户基本面，若发现客户资信出现方向性变化，立即调整收款策略。</w:t>
      </w:r>
    </w:p>
    <w:p>
      <w:pPr>
        <w:spacing w:line="360" w:lineRule="exact"/>
        <w:ind w:firstLine="422" w:firstLineChars="200"/>
        <w:jc w:val="both"/>
        <w:outlineLvl w:val="3"/>
        <w:rPr>
          <w:rFonts w:cs="Times New Roman"/>
          <w:b/>
          <w:bCs w:val="0"/>
        </w:rPr>
      </w:pPr>
      <w:r>
        <w:rPr>
          <w:rFonts w:cs="Times New Roman"/>
          <w:b/>
          <w:bCs w:val="0"/>
        </w:rPr>
        <w:t>4</w:t>
      </w:r>
      <w:r>
        <w:rPr>
          <w:rFonts w:ascii="宋体" w:hAnsi="宋体" w:cs="Times New Roman"/>
          <w:b/>
          <w:bCs w:val="0"/>
        </w:rPr>
        <w:t>、大宗商品价格波动的风险</w:t>
      </w:r>
    </w:p>
    <w:p>
      <w:pPr>
        <w:spacing w:line="360" w:lineRule="exact"/>
        <w:ind w:firstLine="420" w:firstLineChars="200"/>
        <w:jc w:val="both"/>
        <w:rPr>
          <w:rFonts w:cs="Times New Roman"/>
          <w:bCs w:val="0"/>
        </w:rPr>
      </w:pPr>
      <w:r>
        <w:rPr>
          <w:rFonts w:ascii="宋体" w:hAnsi="宋体" w:cs="Times New Roman"/>
          <w:bCs w:val="0"/>
        </w:rPr>
        <w:t>公司产品的主要原材料包括铜、硅钢原料卷、电力变压器油等大宗材料价格波动，直接影响公司的生产成本，进而影响公司的盈利水平。同时，受经济周期波动、市场供求以及投机炒作的影响，大宗材料价格存在剧烈波动风险，将对公司的盈利能力产生较大不利影响。</w:t>
      </w:r>
    </w:p>
    <w:p>
      <w:pPr>
        <w:spacing w:line="360" w:lineRule="exact"/>
        <w:ind w:firstLine="420" w:firstLineChars="200"/>
        <w:jc w:val="both"/>
        <w:rPr>
          <w:rFonts w:cs="Times New Roman"/>
          <w:bCs w:val="0"/>
        </w:rPr>
      </w:pPr>
      <w:r>
        <w:rPr>
          <w:rFonts w:ascii="宋体" w:hAnsi="宋体" w:cs="Times New Roman"/>
          <w:bCs w:val="0"/>
        </w:rPr>
        <w:t>应对措施：公司将加强科技研发、自主创新能力建设，不断降低生产成本；加强大宗材料价格趋势研究、强化与大宗材料及设备供应商的战略合作关系，通过加大储备、集团科学采购、套期保值等多种方式有效降低大宗材料价格波动影响。</w:t>
      </w:r>
    </w:p>
    <w:p>
      <w:pPr>
        <w:spacing w:line="360" w:lineRule="exact"/>
        <w:ind w:firstLine="422" w:firstLineChars="200"/>
        <w:jc w:val="both"/>
        <w:outlineLvl w:val="3"/>
        <w:rPr>
          <w:rFonts w:cs="Times New Roman"/>
          <w:b/>
          <w:bCs w:val="0"/>
        </w:rPr>
      </w:pPr>
      <w:r>
        <w:rPr>
          <w:rFonts w:cs="Times New Roman"/>
          <w:b/>
          <w:bCs w:val="0"/>
        </w:rPr>
        <w:t>5</w:t>
      </w:r>
      <w:r>
        <w:rPr>
          <w:rFonts w:ascii="宋体" w:hAnsi="宋体" w:cs="Times New Roman"/>
          <w:b/>
          <w:bCs w:val="0"/>
        </w:rPr>
        <w:t>、汇率波动风险</w:t>
      </w:r>
    </w:p>
    <w:p>
      <w:pPr>
        <w:spacing w:line="360" w:lineRule="exact"/>
        <w:ind w:firstLine="420" w:firstLineChars="200"/>
        <w:jc w:val="both"/>
        <w:rPr>
          <w:rFonts w:cs="Times New Roman"/>
          <w:bCs w:val="0"/>
        </w:rPr>
      </w:pPr>
      <w:r>
        <w:rPr>
          <w:rFonts w:ascii="宋体" w:hAnsi="宋体" w:cs="Times New Roman"/>
          <w:bCs w:val="0"/>
        </w:rPr>
        <w:t>公司取向硅钢产品出口占比较高，且主要以美元作为结算货币，受外币汇率波动影响，汇率波动将直接影响公司的经营业绩。未来若公司主要结算外币的汇率出现大幅不利变动，导致公司汇兑损益持续上升，将对公司经营业绩产生不利影响。</w:t>
      </w:r>
    </w:p>
    <w:p>
      <w:pPr>
        <w:spacing w:line="360" w:lineRule="exact"/>
        <w:ind w:firstLine="420" w:firstLineChars="200"/>
        <w:jc w:val="both"/>
        <w:rPr>
          <w:rFonts w:cs="Times New Roman"/>
          <w:bCs w:val="0"/>
        </w:rPr>
      </w:pPr>
      <w:r>
        <w:rPr>
          <w:rFonts w:ascii="宋体" w:hAnsi="宋体" w:cs="Times New Roman"/>
          <w:bCs w:val="0"/>
        </w:rPr>
        <w:t>应对措施：公司将充分利用国家支持优势企业加快走出去的政策环境，通过外汇套期保值工具，通过选择合理币种结算、对人民币跨境结算试点地区业务尽量以人民币作为结算币种、利用国际信贷等多种方式降低汇率波动带来的风险。</w:t>
      </w:r>
    </w:p>
    <w:p>
      <w:pPr>
        <w:spacing w:line="360" w:lineRule="exact"/>
        <w:ind w:firstLine="422" w:firstLineChars="200"/>
        <w:jc w:val="both"/>
        <w:outlineLvl w:val="3"/>
        <w:rPr>
          <w:rFonts w:cs="Times New Roman"/>
          <w:b/>
          <w:bCs w:val="0"/>
        </w:rPr>
      </w:pPr>
      <w:r>
        <w:rPr>
          <w:rFonts w:cs="Times New Roman"/>
          <w:b/>
          <w:bCs w:val="0"/>
        </w:rPr>
        <w:t>6</w:t>
      </w:r>
      <w:r>
        <w:rPr>
          <w:rFonts w:ascii="宋体" w:hAnsi="宋体" w:cs="Times New Roman"/>
          <w:b/>
          <w:bCs w:val="0"/>
        </w:rPr>
        <w:t>、流动性风险</w:t>
      </w:r>
    </w:p>
    <w:p>
      <w:pPr>
        <w:spacing w:line="360" w:lineRule="exact"/>
        <w:ind w:firstLine="420" w:firstLineChars="200"/>
        <w:jc w:val="both"/>
        <w:rPr>
          <w:rFonts w:hint="eastAsia" w:ascii="宋体" w:hAnsi="宋体" w:cs="Times New Roman"/>
          <w:bCs w:val="0"/>
        </w:rPr>
      </w:pPr>
      <w:r>
        <w:rPr>
          <w:rFonts w:ascii="宋体" w:hAnsi="宋体" w:cs="Times New Roman"/>
          <w:bCs w:val="0"/>
        </w:rPr>
        <w:t>截止报告期末公司1年内需偿还的有息负债金额为</w:t>
      </w:r>
      <w:r>
        <w:rPr>
          <w:rFonts w:hint="eastAsia" w:ascii="宋体" w:hAnsi="宋体" w:cs="Times New Roman"/>
          <w:bCs w:val="0"/>
        </w:rPr>
        <w:t>7.25</w:t>
      </w:r>
      <w:r>
        <w:rPr>
          <w:rFonts w:ascii="宋体" w:hAnsi="宋体" w:cs="Times New Roman"/>
          <w:bCs w:val="0"/>
        </w:rPr>
        <w:t>亿元,存在因集中偿付导致短期流动性压力的潜在风险。</w:t>
      </w:r>
    </w:p>
    <w:p>
      <w:pPr>
        <w:spacing w:line="360" w:lineRule="exact"/>
        <w:ind w:firstLine="420" w:firstLineChars="200"/>
        <w:jc w:val="both"/>
        <w:rPr>
          <w:rFonts w:hint="eastAsia" w:ascii="宋体" w:hAnsi="宋体" w:cs="Times New Roman"/>
          <w:bCs w:val="0"/>
        </w:rPr>
      </w:pPr>
      <w:r>
        <w:rPr>
          <w:rFonts w:ascii="宋体" w:hAnsi="宋体" w:cs="Times New Roman"/>
          <w:bCs w:val="0"/>
        </w:rPr>
        <w:t>应对措施：</w:t>
      </w:r>
      <w:bookmarkStart w:id="75" w:name="OLE_LINK21"/>
      <w:bookmarkStart w:id="76" w:name="OLE_LINK23"/>
      <w:r>
        <w:rPr>
          <w:rFonts w:ascii="宋体" w:hAnsi="宋体" w:cs="Times New Roman"/>
          <w:bCs w:val="0"/>
        </w:rPr>
        <w:t>公司货币资金</w:t>
      </w:r>
      <w:r>
        <w:rPr>
          <w:rFonts w:hint="eastAsia" w:ascii="宋体" w:hAnsi="宋体" w:cs="Times New Roman"/>
          <w:bCs w:val="0"/>
        </w:rPr>
        <w:t>充足</w:t>
      </w:r>
      <w:r>
        <w:rPr>
          <w:rFonts w:ascii="宋体" w:hAnsi="宋体" w:cs="Times New Roman"/>
          <w:bCs w:val="0"/>
        </w:rPr>
        <w:t>，足以覆盖未来1年内需偿还的</w:t>
      </w:r>
      <w:r>
        <w:rPr>
          <w:rFonts w:hint="eastAsia" w:ascii="宋体" w:hAnsi="宋体" w:cs="Times New Roman"/>
          <w:bCs w:val="0"/>
        </w:rPr>
        <w:t>7.25</w:t>
      </w:r>
      <w:r>
        <w:rPr>
          <w:rFonts w:ascii="宋体" w:hAnsi="宋体" w:cs="Times New Roman"/>
          <w:bCs w:val="0"/>
        </w:rPr>
        <w:t>亿元有息负债，能够有效缓解短期集中偿付带来的流动性压力，保障公司资金安全与</w:t>
      </w:r>
      <w:r>
        <w:rPr>
          <w:rFonts w:hint="eastAsia" w:ascii="宋体" w:hAnsi="宋体" w:cs="Times New Roman"/>
          <w:bCs w:val="0"/>
        </w:rPr>
        <w:t>稳定</w:t>
      </w:r>
      <w:r>
        <w:rPr>
          <w:rFonts w:ascii="宋体" w:hAnsi="宋体" w:cs="Times New Roman"/>
          <w:bCs w:val="0"/>
        </w:rPr>
        <w:t>偿债能力。</w:t>
      </w:r>
      <w:bookmarkStart w:id="77" w:name="OLE_LINK1"/>
      <w:r>
        <w:rPr>
          <w:rFonts w:ascii="宋体" w:hAnsi="宋体" w:cs="Times New Roman"/>
          <w:bCs w:val="0"/>
        </w:rPr>
        <w:t>截止</w:t>
      </w:r>
      <w:r>
        <w:rPr>
          <w:rFonts w:hint="eastAsia" w:ascii="宋体" w:hAnsi="宋体" w:cs="Times New Roman"/>
          <w:bCs w:val="0"/>
        </w:rPr>
        <w:t>2026年6月30日</w:t>
      </w:r>
      <w:r>
        <w:rPr>
          <w:rFonts w:ascii="宋体" w:hAnsi="宋体" w:cs="Times New Roman"/>
          <w:bCs w:val="0"/>
        </w:rPr>
        <w:t>公司融资授信总额</w:t>
      </w:r>
      <w:r>
        <w:rPr>
          <w:rFonts w:hint="eastAsia" w:ascii="宋体" w:hAnsi="宋体" w:cs="Times New Roman"/>
          <w:bCs w:val="0"/>
        </w:rPr>
        <w:t>77.57</w:t>
      </w:r>
      <w:r>
        <w:rPr>
          <w:rFonts w:ascii="宋体" w:hAnsi="宋体" w:cs="Times New Roman"/>
          <w:bCs w:val="0"/>
        </w:rPr>
        <w:t>亿元，剩余可使用授信额度</w:t>
      </w:r>
      <w:r>
        <w:rPr>
          <w:rFonts w:hint="eastAsia" w:ascii="宋体" w:hAnsi="宋体" w:cs="Times New Roman"/>
          <w:bCs w:val="0"/>
        </w:rPr>
        <w:t>44.17</w:t>
      </w:r>
      <w:r>
        <w:rPr>
          <w:rFonts w:ascii="宋体" w:hAnsi="宋体" w:cs="Times New Roman"/>
          <w:bCs w:val="0"/>
        </w:rPr>
        <w:t>亿元且有</w:t>
      </w:r>
      <w:r>
        <w:rPr>
          <w:rFonts w:hint="eastAsia" w:ascii="宋体" w:hAnsi="宋体" w:cs="Times New Roman"/>
          <w:bCs w:val="0"/>
        </w:rPr>
        <w:t>17.92</w:t>
      </w:r>
      <w:r>
        <w:rPr>
          <w:rFonts w:ascii="宋体" w:hAnsi="宋体" w:cs="Times New Roman"/>
          <w:bCs w:val="0"/>
        </w:rPr>
        <w:t>亿元可以置换他行贷款</w:t>
      </w:r>
      <w:bookmarkEnd w:id="77"/>
      <w:r>
        <w:rPr>
          <w:rFonts w:hint="eastAsia" w:ascii="宋体" w:hAnsi="宋体" w:cs="Times New Roman"/>
          <w:bCs w:val="0"/>
        </w:rPr>
        <w:t>；同时，</w:t>
      </w:r>
      <w:r>
        <w:rPr>
          <w:rFonts w:ascii="宋体" w:hAnsi="宋体" w:cs="Times New Roman"/>
          <w:bCs w:val="0"/>
        </w:rPr>
        <w:t>公司</w:t>
      </w:r>
      <w:r>
        <w:rPr>
          <w:rFonts w:hint="eastAsia" w:ascii="宋体" w:hAnsi="宋体" w:cs="Times New Roman"/>
          <w:bCs w:val="0"/>
        </w:rPr>
        <w:t>将</w:t>
      </w:r>
      <w:r>
        <w:rPr>
          <w:rFonts w:ascii="宋体" w:hAnsi="宋体" w:cs="Times New Roman"/>
          <w:bCs w:val="0"/>
        </w:rPr>
        <w:t>通过多元化融资渠道安排偿债资金来源，并配合完善的资金预算管理体系，确保偿债资金充足。未来，公司将持续优化资产负债结构，保持合理的流动性储备，以有效应对潜在的营运资金周转需求。</w:t>
      </w:r>
      <w:bookmarkEnd w:id="75"/>
      <w:bookmarkEnd w:id="76"/>
    </w:p>
    <w:p>
      <w:pPr>
        <w:spacing w:line="360" w:lineRule="exact"/>
        <w:ind w:firstLine="420" w:firstLineChars="200"/>
        <w:jc w:val="both"/>
        <w:rPr>
          <w:rFonts w:hint="eastAsia" w:ascii="宋体" w:hAnsi="宋体" w:cs="Times New Roman"/>
          <w:bCs w:val="0"/>
        </w:rPr>
      </w:pPr>
    </w:p>
    <w:p>
      <w:pPr>
        <w:pStyle w:val="51"/>
        <w:numPr>
          <w:ilvl w:val="0"/>
          <w:numId w:val="13"/>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其他披露事项</w:t>
      </w:r>
    </w:p>
    <w:sdt>
      <w:sdtPr>
        <w:rPr>
          <w:rFonts w:hint="eastAsia"/>
          <w:color w:val="000000" w:themeColor="text1"/>
          <w14:textFill>
            <w14:solidFill>
              <w14:schemeClr w14:val="tx1"/>
            </w14:solidFill>
          </w14:textFill>
        </w:rPr>
        <w:alias w:val="是否适用：董事会其他需要披露的事项[双击切换]"/>
        <w:tag w:val="_GBC_4bd5ba6bf4044aee9ecd40a0c2fc29bf"/>
        <w:id w:val="-935989309"/>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p>
    <w:p>
      <w:pPr>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p>
    <w:p>
      <w:pPr>
        <w:rPr>
          <w:color w:val="000000" w:themeColor="text1"/>
          <w14:textFill>
            <w14:solidFill>
              <w14:schemeClr w14:val="tx1"/>
            </w14:solidFill>
          </w14:textFill>
        </w:rPr>
      </w:pPr>
    </w:p>
    <w:p>
      <w:pPr>
        <w:pStyle w:val="49"/>
        <w:numPr>
          <w:ilvl w:val="0"/>
          <w:numId w:val="2"/>
        </w:numPr>
        <w:rPr>
          <w:rFonts w:hint="eastAsia" w:ascii="黑体" w:hAnsi="黑体"/>
          <w:color w:val="000000" w:themeColor="text1"/>
          <w14:textFill>
            <w14:solidFill>
              <w14:schemeClr w14:val="tx1"/>
            </w14:solidFill>
          </w14:textFill>
        </w:rPr>
      </w:pPr>
      <w:bookmarkStart w:id="78" w:name="_Toc76114275"/>
      <w:bookmarkStart w:id="79" w:name="_Toc200030542"/>
      <w:r>
        <w:rPr>
          <w:rFonts w:hint="eastAsia" w:ascii="黑体" w:hAnsi="黑体"/>
          <w:color w:val="000000" w:themeColor="text1"/>
          <w14:textFill>
            <w14:solidFill>
              <w14:schemeClr w14:val="tx1"/>
            </w14:solidFill>
          </w14:textFill>
        </w:rPr>
        <w:t>公司治理</w:t>
      </w:r>
      <w:bookmarkEnd w:id="78"/>
      <w:r>
        <w:rPr>
          <w:rFonts w:hint="eastAsia" w:ascii="黑体" w:hAnsi="黑体"/>
          <w:color w:val="000000" w:themeColor="text1"/>
          <w14:textFill>
            <w14:solidFill>
              <w14:schemeClr w14:val="tx1"/>
            </w14:solidFill>
          </w14:textFill>
        </w:rPr>
        <w:t>、环境和社会</w:t>
      </w:r>
    </w:p>
    <w:bookmarkEnd w:id="79"/>
    <w:p>
      <w:pPr>
        <w:pStyle w:val="50"/>
        <w:numPr>
          <w:ilvl w:val="0"/>
          <w:numId w:val="14"/>
        </w:numPr>
        <w:tabs>
          <w:tab w:val="left" w:pos="426"/>
        </w:tabs>
        <w:spacing w:line="360" w:lineRule="exact"/>
        <w:jc w:val="left"/>
        <w:rPr>
          <w:rFonts w:hint="eastAsia" w:ascii="宋体" w:hAnsi="宋体"/>
          <w:color w:val="000000" w:themeColor="text1"/>
          <w14:textFill>
            <w14:solidFill>
              <w14:schemeClr w14:val="tx1"/>
            </w14:solidFill>
          </w14:textFill>
        </w:rPr>
      </w:pPr>
      <w:bookmarkStart w:id="80" w:name="_Toc342057949"/>
      <w:bookmarkStart w:id="81" w:name="_Toc342566009"/>
      <w:r>
        <w:rPr>
          <w:rFonts w:hint="eastAsia" w:ascii="宋体" w:hAnsi="宋体"/>
          <w:color w:val="000000" w:themeColor="text1"/>
          <w14:textFill>
            <w14:solidFill>
              <w14:schemeClr w14:val="tx1"/>
            </w14:solidFill>
          </w14:textFill>
        </w:rPr>
        <w:t>公司董事</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高级管理人员变动情况</w:t>
      </w:r>
      <w:bookmarkEnd w:id="80"/>
      <w:bookmarkEnd w:id="81"/>
    </w:p>
    <w:sdt>
      <w:sdtPr>
        <w:rPr>
          <w:color w:val="000000" w:themeColor="text1"/>
          <w14:textFill>
            <w14:solidFill>
              <w14:schemeClr w14:val="tx1"/>
            </w14:solidFill>
          </w14:textFill>
        </w:rPr>
        <w:alias w:val="是否适用：公司董事、监事、高级管理人员变动情况[双击切换]"/>
        <w:tag w:val="_GBC_001d837207464f1aaa52a7fb8cd9d226"/>
        <w:id w:val="299051559"/>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公司董事、高级管理人员变动的情况说明</w:t>
      </w:r>
    </w:p>
    <w:sdt>
      <w:sdtPr>
        <w:rPr>
          <w:rFonts w:hint="eastAsia"/>
          <w:color w:val="000000" w:themeColor="text1"/>
          <w14:textFill>
            <w14:solidFill>
              <w14:schemeClr w14:val="tx1"/>
            </w14:solidFill>
          </w14:textFill>
        </w:rPr>
        <w:alias w:val="是否适用：公司董事、监事、高级管理人员变动的情况说明 [双击切换]"/>
        <w:tag w:val="_GBC_1eda708e71a542fa89f6ad1bb8abbf70"/>
        <w:id w:val="-741253342"/>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14"/>
        </w:numPr>
        <w:tabs>
          <w:tab w:val="left" w:pos="426"/>
        </w:tabs>
        <w:spacing w:line="360" w:lineRule="exact"/>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利润分配或资本公积金转增预案</w:t>
      </w:r>
    </w:p>
    <w:p>
      <w:pPr>
        <w:spacing w:line="360" w:lineRule="exact"/>
        <w:rPr>
          <w:b/>
          <w:bCs w:val="0"/>
          <w:color w:val="000000" w:themeColor="text1"/>
          <w14:textFill>
            <w14:solidFill>
              <w14:schemeClr w14:val="tx1"/>
            </w14:solidFill>
          </w14:textFill>
        </w:rPr>
      </w:pPr>
      <w:r>
        <w:rPr>
          <w:b/>
          <w:color w:val="000000" w:themeColor="text1"/>
          <w14:textFill>
            <w14:solidFill>
              <w14:schemeClr w14:val="tx1"/>
            </w14:solidFill>
          </w14:textFill>
        </w:rPr>
        <w:t>半年度拟定的利润分配预案、公积金转增股本预案</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4"/>
        <w:gridCol w:w="4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ee68179c02c4ccc8a9b8d7e3f70f2c6"/>
            <w:id w:val="273763688"/>
          </w:sdtPr>
          <w:sdtContent>
            <w:tc>
              <w:tcPr>
                <w:tcW w:w="4524"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是否分配或转增</w:t>
                </w:r>
              </w:p>
            </w:tc>
          </w:sdtContent>
        </w:sdt>
        <w:sdt>
          <w:sdtPr>
            <w:rPr>
              <w:rFonts w:hint="eastAsia"/>
              <w:color w:val="000000" w:themeColor="text1"/>
              <w14:textFill>
                <w14:solidFill>
                  <w14:schemeClr w14:val="tx1"/>
                </w14:solidFill>
              </w14:textFill>
            </w:rPr>
            <w:alias w:val="是否分配或转增"/>
            <w:tag w:val="_GBC_1aa3bb539f35454da0536200efcc4f60"/>
            <w:id w:val="-262532338"/>
            <w:comboBox>
              <w:listItem w:displayText="是" w:value="true"/>
              <w:listItem w:displayText="否" w:value="false"/>
            </w:comboBox>
          </w:sdtPr>
          <w:sdtEndPr>
            <w:rPr>
              <w:rFonts w:hint="eastAsia"/>
              <w:color w:val="000000" w:themeColor="text1"/>
              <w14:textFill>
                <w14:solidFill>
                  <w14:schemeClr w14:val="tx1"/>
                </w14:solidFill>
              </w14:textFill>
            </w:rPr>
          </w:sdtEndPr>
          <w:sdtContent>
            <w:tc>
              <w:tcPr>
                <w:tcW w:w="4524" w:type="dxa"/>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否</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每10股送红股数（股）</w:t>
            </w:r>
          </w:p>
        </w:tc>
        <w:tc>
          <w:tcPr>
            <w:tcW w:w="4524" w:type="dxa"/>
          </w:tcPr>
          <w:p>
            <w:pPr>
              <w:widowControl w:val="0"/>
              <w:jc w:val="right"/>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每10股派息数(元)（含税）</w:t>
            </w:r>
          </w:p>
        </w:tc>
        <w:tc>
          <w:tcPr>
            <w:tcW w:w="4524" w:type="dxa"/>
          </w:tcPr>
          <w:p>
            <w:pPr>
              <w:widowControl w:val="0"/>
              <w:jc w:val="right"/>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每10股转增数（股）</w:t>
            </w:r>
          </w:p>
        </w:tc>
        <w:tc>
          <w:tcPr>
            <w:tcW w:w="4524" w:type="dxa"/>
          </w:tcPr>
          <w:p>
            <w:pPr>
              <w:widowControl w:val="0"/>
              <w:jc w:val="right"/>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f4b1db2793f4d00b5b11589fa8a57fc"/>
            <w:id w:val="-32809377"/>
          </w:sdtPr>
          <w:sdtContent>
            <w:tc>
              <w:tcPr>
                <w:tcW w:w="9048" w:type="dxa"/>
                <w:gridSpan w:val="2"/>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利润分配或资本公积金转增预案的相关情况说明</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8" w:type="dxa"/>
            <w:gridSpan w:val="2"/>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不适用</w:t>
            </w:r>
          </w:p>
        </w:tc>
      </w:tr>
    </w:tbl>
    <w:p>
      <w:pPr>
        <w:rPr>
          <w:color w:val="000000" w:themeColor="text1"/>
          <w14:textFill>
            <w14:solidFill>
              <w14:schemeClr w14:val="tx1"/>
            </w14:solidFill>
          </w14:textFill>
        </w:rPr>
      </w:pPr>
    </w:p>
    <w:p>
      <w:pPr>
        <w:pStyle w:val="50"/>
        <w:numPr>
          <w:ilvl w:val="0"/>
          <w:numId w:val="14"/>
        </w:numPr>
        <w:tabs>
          <w:tab w:val="left" w:pos="426"/>
        </w:tabs>
        <w:spacing w:line="360" w:lineRule="exact"/>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公司股权激励计划、员工持股计划或其他员工激励措施的情况及其影响</w:t>
      </w:r>
    </w:p>
    <w:p>
      <w:pPr>
        <w:pStyle w:val="51"/>
        <w:numPr>
          <w:ilvl w:val="1"/>
          <w:numId w:val="15"/>
        </w:numPr>
        <w:spacing w:line="360" w:lineRule="exact"/>
        <w:rPr>
          <w:rFonts w:hint="eastAsia" w:ascii="宋体" w:hAnsi="宋体"/>
          <w:color w:val="000000" w:themeColor="text1"/>
          <w:kern w:val="44"/>
          <w14:textFill>
            <w14:solidFill>
              <w14:schemeClr w14:val="tx1"/>
            </w14:solidFill>
          </w14:textFill>
        </w:rPr>
      </w:pPr>
      <w:bookmarkStart w:id="82" w:name="_Hlk74641818"/>
      <w:r>
        <w:rPr>
          <w:rFonts w:hint="eastAsia" w:ascii="宋体" w:hAnsi="宋体"/>
          <w:color w:val="000000" w:themeColor="text1"/>
          <w:kern w:val="44"/>
          <w14:textFill>
            <w14:solidFill>
              <w14:schemeClr w14:val="tx1"/>
            </w14:solidFill>
          </w14:textFill>
        </w:rPr>
        <w:t>相关股权激励事项已在临时公告披露且后续实施无进展或变化的</w:t>
      </w:r>
    </w:p>
    <w:sdt>
      <w:sdtPr>
        <w:rPr>
          <w:color w:val="000000" w:themeColor="text1"/>
          <w14:textFill>
            <w14:solidFill>
              <w14:schemeClr w14:val="tx1"/>
            </w14:solidFill>
          </w14:textFill>
        </w:rPr>
        <w:alias w:val="是否适用：相关激励事项已在临时公告披露且后续实施无进展或变化的[双击切换]"/>
        <w:tag w:val="_GBC_3c43a5cea9ef47daa40f133532dcd63c"/>
        <w:id w:val="1080185491"/>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82"/>
    <w:p>
      <w:pPr>
        <w:pStyle w:val="51"/>
        <w:numPr>
          <w:ilvl w:val="1"/>
          <w:numId w:val="15"/>
        </w:numPr>
        <w:spacing w:line="360" w:lineRule="exact"/>
        <w:rPr>
          <w:rFonts w:hint="eastAsia" w:ascii="宋体" w:hAnsi="宋体"/>
          <w:color w:val="000000" w:themeColor="text1"/>
          <w:kern w:val="44"/>
          <w14:textFill>
            <w14:solidFill>
              <w14:schemeClr w14:val="tx1"/>
            </w14:solidFill>
          </w14:textFill>
        </w:rPr>
      </w:pPr>
      <w:r>
        <w:rPr>
          <w:rFonts w:hint="eastAsia" w:ascii="宋体" w:hAnsi="宋体"/>
          <w:color w:val="000000" w:themeColor="text1"/>
          <w:kern w:val="44"/>
          <w14:textFill>
            <w14:solidFill>
              <w14:schemeClr w14:val="tx1"/>
            </w14:solidFill>
          </w14:textFill>
        </w:rPr>
        <w:t>临时公告未披露或有后续进展的激励情况</w:t>
      </w:r>
    </w:p>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股权激励情况</w:t>
      </w:r>
    </w:p>
    <w:sdt>
      <w:sdtPr>
        <w:rPr>
          <w:color w:val="000000" w:themeColor="text1"/>
          <w14:textFill>
            <w14:solidFill>
              <w14:schemeClr w14:val="tx1"/>
            </w14:solidFill>
          </w14:textFill>
        </w:rPr>
        <w:alias w:val="是否适用：股权激励情况[双击切换]"/>
        <w:tag w:val="_GBC_388221bc7be24cdca55be337256c8bc1"/>
        <w:id w:val="133056142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p>
      <w:pPr>
        <w:spacing w:line="360" w:lineRule="exact"/>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股权激励情况的说明[双击切换]"/>
          <w:tag w:val="_GBC_e5a032ecd3e24335b29a38809f65a990"/>
          <w:id w:val="1444348623"/>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员工持股计划情况</w:t>
      </w:r>
    </w:p>
    <w:sdt>
      <w:sdtPr>
        <w:rPr>
          <w:color w:val="000000" w:themeColor="text1"/>
          <w14:textFill>
            <w14:solidFill>
              <w14:schemeClr w14:val="tx1"/>
            </w14:solidFill>
          </w14:textFill>
        </w:rPr>
        <w:alias w:val="是否适用：员工持股计划情况[双击切换]"/>
        <w:tag w:val="_GBC_60a13b60efda4715a83fed9c5960ee3b"/>
        <w:id w:val="543183314"/>
        <w:placeholder>
          <w:docPart w:val="GBC22222222222222222222222222222"/>
        </w:placeholder>
      </w:sdtPr>
      <w:sdtEndPr>
        <w:rPr>
          <w:color w:val="000000" w:themeColor="text1"/>
          <w14:textFill>
            <w14:solidFill>
              <w14:schemeClr w14:val="tx1"/>
            </w14:solidFill>
          </w14:textFill>
        </w:rPr>
      </w:sdtEndPr>
      <w:sdtContent>
        <w:p>
          <w:pPr>
            <w:spacing w:line="360" w:lineRule="exact"/>
            <w:rPr>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其他激励措施</w:t>
      </w:r>
    </w:p>
    <w:sdt>
      <w:sdtPr>
        <w:rPr>
          <w:color w:val="000000" w:themeColor="text1"/>
          <w14:textFill>
            <w14:solidFill>
              <w14:schemeClr w14:val="tx1"/>
            </w14:solidFill>
          </w14:textFill>
        </w:rPr>
        <w:alias w:val="是否适用：其他激励措施[双击切换]"/>
        <w:tag w:val="_GBC_87e3c04518ac4bed97846d84cc8784e1"/>
        <w:id w:val="1380743601"/>
        <w:placeholder>
          <w:docPart w:val="GBC22222222222222222222222222222"/>
        </w:placeholder>
      </w:sdtPr>
      <w:sdtEndPr>
        <w:rPr>
          <w:color w:val="000000" w:themeColor="text1"/>
          <w14:textFill>
            <w14:solidFill>
              <w14:schemeClr w14:val="tx1"/>
            </w14:solidFill>
          </w14:textFill>
        </w:rPr>
      </w:sdtEndPr>
      <w:sdtContent>
        <w:p>
          <w:pPr>
            <w:spacing w:line="360" w:lineRule="exact"/>
            <w:rPr>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p>
    <w:p>
      <w:pPr>
        <w:pStyle w:val="50"/>
        <w:numPr>
          <w:ilvl w:val="0"/>
          <w:numId w:val="14"/>
        </w:numPr>
        <w:tabs>
          <w:tab w:val="left" w:pos="426"/>
        </w:tabs>
        <w:spacing w:line="360" w:lineRule="exact"/>
        <w:jc w:val="left"/>
        <w:rPr>
          <w:rFonts w:hint="eastAsia" w:ascii="宋体" w:hAnsi="宋体"/>
          <w:color w:val="000000" w:themeColor="text1"/>
          <w14:textFill>
            <w14:solidFill>
              <w14:schemeClr w14:val="tx1"/>
            </w14:solidFill>
          </w14:textFill>
        </w:rPr>
      </w:pPr>
      <w:bookmarkStart w:id="83" w:name="_Hlk199840683"/>
      <w:bookmarkStart w:id="84" w:name="_Hlk200011887"/>
      <w:r>
        <w:rPr>
          <w:rFonts w:hint="eastAsia" w:ascii="宋体" w:hAnsi="宋体"/>
          <w:color w:val="000000" w:themeColor="text1"/>
          <w14:textFill>
            <w14:solidFill>
              <w14:schemeClr w14:val="tx1"/>
            </w14:solidFill>
          </w14:textFill>
        </w:rPr>
        <w:t>纳入环境信息依法披露企业名单的上市公司及其主要子公司的环境信息情况</w:t>
      </w:r>
    </w:p>
    <w:sdt>
      <w:sdtPr>
        <w:rPr>
          <w:rFonts w:hint="eastAsia"/>
          <w:color w:val="000000"/>
        </w:rPr>
        <w:alias w:val="是否适用：纳入环境信息依法披露企业名单的上市公司及其主要子公司的环境信息情况[双击切换]"/>
        <w:tag w:val="_GBC_b74e72cb07f94db28869a8424482d034"/>
        <w:id w:val="-1090154721"/>
        <w:placeholder>
          <w:docPart w:val="GBC22222222222222222222222222222"/>
        </w:placeholder>
      </w:sdtPr>
      <w:sdtEndPr>
        <w:rPr>
          <w:rFonts w:hint="eastAsia"/>
          <w:color w:val="000000"/>
        </w:rPr>
      </w:sdtEndPr>
      <w:sdtContent>
        <w:p>
          <w:pPr>
            <w:spacing w:line="360" w:lineRule="exact"/>
            <w:rPr>
              <w:color w:val="000000"/>
            </w:rPr>
          </w:pPr>
          <w:r>
            <w:rPr>
              <w:rFonts w:hint="eastAsia" w:ascii="宋体" w:hAnsi="宋体"/>
              <w:color w:val="000000"/>
            </w:rPr>
            <w:fldChar w:fldCharType="begin"/>
          </w:r>
          <w:r>
            <w:rPr>
              <w:rFonts w:hint="eastAsia"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hint="eastAsia" w:ascii="宋体" w:hAnsi="宋体"/>
              <w:color w:val="000000"/>
            </w:rPr>
            <w:instrText xml:space="preserve"> MACROBUTTON  SnrToggleCheckbox □不适用 </w:instrText>
          </w:r>
          <w:r>
            <w:rPr>
              <w:rFonts w:hint="eastAsia" w:ascii="宋体" w:hAnsi="宋体"/>
              <w:color w:val="000000"/>
            </w:rPr>
            <w:fldChar w:fldCharType="end"/>
          </w:r>
        </w:p>
      </w:sdtContent>
    </w:sdt>
    <w:p>
      <w:pPr>
        <w:pStyle w:val="48"/>
      </w:pP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4217"/>
        <w:gridCol w:w="3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sdt>
          <w:sdtPr>
            <w:tag w:val="_PLD_7288e62233d246828b89afc3b35261ec"/>
            <w:id w:val="175691306"/>
          </w:sdtPr>
          <w:sdtEndPr>
            <w:rPr>
              <w:rFonts w:hint="eastAsia"/>
            </w:rPr>
          </w:sdtEndPr>
          <w:sdtContent>
            <w:tc>
              <w:tcPr>
                <w:tcW w:w="2970" w:type="pct"/>
                <w:gridSpan w:val="2"/>
                <w:vAlign w:val="center"/>
              </w:tcPr>
              <w:p>
                <w:pPr>
                  <w:rPr>
                    <w:color w:val="000000"/>
                  </w:rPr>
                </w:pPr>
                <w:r>
                  <w:rPr>
                    <w:color w:val="000000"/>
                  </w:rPr>
                  <w:t>纳入环境信息依法披露企业名单中的企业数量</w:t>
                </w:r>
                <w:r>
                  <w:rPr>
                    <w:rFonts w:hint="eastAsia"/>
                    <w:color w:val="000000"/>
                  </w:rPr>
                  <w:t>（个）</w:t>
                </w:r>
              </w:p>
            </w:tc>
          </w:sdtContent>
        </w:sdt>
        <w:sdt>
          <w:sdtPr>
            <w:rPr>
              <w:rFonts w:hint="eastAsia"/>
              <w:color w:val="000000"/>
            </w:rPr>
            <w:alias w:val="纳入环境信息依法披露企业名单中的企业数量"/>
            <w:tag w:val="_GBC_dd7d38af30cb4c86b3e38770129e8965"/>
            <w:id w:val="-374537916"/>
            <w:showingPlcHdr/>
          </w:sdtPr>
          <w:sdtEndPr>
            <w:rPr>
              <w:rFonts w:hint="eastAsia"/>
              <w:color w:val="000000"/>
            </w:rPr>
          </w:sdtEndPr>
          <w:sdtContent>
            <w:tc>
              <w:tcPr>
                <w:tcW w:w="2030" w:type="pct"/>
                <w:vAlign w:val="center"/>
              </w:tcPr>
              <w:p>
                <w:pPr>
                  <w:rPr>
                    <w:color w:val="000000"/>
                  </w:rPr>
                </w:pPr>
                <w:r>
                  <w:rPr>
                    <w:rFonts w:hint="eastAsia"/>
                  </w:rPr>
                  <w:t>　</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sdt>
          <w:sdtPr>
            <w:tag w:val="_PLD_cd9b676999aa473ca7d99a3f88297e23"/>
            <w:id w:val="-282276439"/>
          </w:sdtPr>
          <w:sdtContent>
            <w:tc>
              <w:tcPr>
                <w:tcW w:w="640" w:type="pct"/>
              </w:tcPr>
              <w:p>
                <w:pPr>
                  <w:jc w:val="center"/>
                  <w:rPr>
                    <w:color w:val="000000"/>
                  </w:rPr>
                </w:pPr>
                <w:r>
                  <w:rPr>
                    <w:rFonts w:hint="eastAsia"/>
                    <w:color w:val="000000"/>
                  </w:rPr>
                  <w:t>序号</w:t>
                </w:r>
              </w:p>
            </w:tc>
          </w:sdtContent>
        </w:sdt>
        <w:sdt>
          <w:sdtPr>
            <w:tag w:val="_PLD_01a5b693c5604d2bb52f37ceb750fdc5"/>
            <w:id w:val="1345524306"/>
          </w:sdtPr>
          <w:sdtContent>
            <w:tc>
              <w:tcPr>
                <w:tcW w:w="2330" w:type="pct"/>
                <w:vAlign w:val="center"/>
              </w:tcPr>
              <w:p>
                <w:pPr>
                  <w:jc w:val="center"/>
                  <w:rPr>
                    <w:color w:val="000000"/>
                  </w:rPr>
                </w:pPr>
                <w:r>
                  <w:rPr>
                    <w:rFonts w:hint="eastAsia"/>
                    <w:color w:val="000000"/>
                  </w:rPr>
                  <w:t>企业名称</w:t>
                </w:r>
              </w:p>
            </w:tc>
          </w:sdtContent>
        </w:sdt>
        <w:sdt>
          <w:sdtPr>
            <w:tag w:val="_PLD_452bbf5c81084d18bf0f995d0240bf2f"/>
            <w:id w:val="714777809"/>
          </w:sdtPr>
          <w:sdtContent>
            <w:tc>
              <w:tcPr>
                <w:tcW w:w="2030" w:type="pct"/>
                <w:vAlign w:val="center"/>
              </w:tcPr>
              <w:p>
                <w:pPr>
                  <w:jc w:val="center"/>
                  <w:rPr>
                    <w:iCs/>
                    <w:color w:val="000000"/>
                  </w:rPr>
                </w:pPr>
                <w:r>
                  <w:rPr>
                    <w:rFonts w:hint="eastAsia"/>
                    <w:iCs/>
                    <w:color w:val="000000"/>
                  </w:rPr>
                  <w:t>环境信息依法披露报告的查询索引</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40" w:type="pct"/>
            <w:vAlign w:val="center"/>
          </w:tcPr>
          <w:p>
            <w:pPr>
              <w:pStyle w:val="48"/>
            </w:pPr>
            <w:r>
              <w:rPr>
                <w:rFonts w:hint="eastAsia"/>
              </w:rPr>
              <w:t>1</w:t>
            </w:r>
          </w:p>
        </w:tc>
        <w:tc>
          <w:tcPr>
            <w:tcW w:w="2330" w:type="pct"/>
            <w:vAlign w:val="center"/>
          </w:tcPr>
          <w:p>
            <w:pPr>
              <w:pStyle w:val="48"/>
            </w:pPr>
            <w:r>
              <w:rPr>
                <w:rFonts w:hint="eastAsia" w:ascii="宋体" w:hAnsi="宋体"/>
                <w:sz w:val="20"/>
                <w:szCs w:val="20"/>
              </w:rPr>
              <w:t>望变电气</w:t>
            </w:r>
          </w:p>
        </w:tc>
        <w:tc>
          <w:tcPr>
            <w:tcW w:w="2030" w:type="pct"/>
            <w:vAlign w:val="center"/>
          </w:tcPr>
          <w:p>
            <w:pPr>
              <w:pStyle w:val="154"/>
              <w:rPr>
                <w:sz w:val="20"/>
                <w:szCs w:val="20"/>
              </w:rPr>
            </w:pPr>
            <w:r>
              <w:rPr>
                <w:rFonts w:hint="eastAsia"/>
                <w:sz w:val="20"/>
                <w:szCs w:val="20"/>
              </w:rPr>
              <w:t>1、</w:t>
            </w:r>
            <w:r>
              <w:rPr>
                <w:sz w:val="20"/>
                <w:szCs w:val="20"/>
              </w:rPr>
              <w:t>permit.mee.gov.cn   </w:t>
            </w:r>
          </w:p>
          <w:p>
            <w:pPr>
              <w:pStyle w:val="154"/>
              <w:rPr>
                <w:sz w:val="20"/>
                <w:szCs w:val="20"/>
              </w:rPr>
            </w:pPr>
            <w:r>
              <w:rPr>
                <w:rFonts w:hint="eastAsia" w:ascii="宋体" w:hAnsi="宋体"/>
                <w:sz w:val="20"/>
                <w:szCs w:val="20"/>
              </w:rPr>
              <w:t>全国排污许可证管理信息平台</w:t>
            </w:r>
          </w:p>
          <w:p>
            <w:pPr>
              <w:pStyle w:val="48"/>
              <w:numPr>
                <w:ilvl w:val="0"/>
                <w:numId w:val="11"/>
              </w:numPr>
              <w:rPr>
                <w:sz w:val="20"/>
                <w:szCs w:val="20"/>
              </w:rPr>
            </w:pPr>
            <w:r>
              <w:rPr>
                <w:sz w:val="20"/>
                <w:szCs w:val="20"/>
              </w:rPr>
              <w:t>https://byzf.cqree.cn/   </w:t>
            </w:r>
          </w:p>
          <w:p>
            <w:pPr>
              <w:pStyle w:val="48"/>
              <w:rPr>
                <w:rFonts w:hint="eastAsia" w:eastAsia="宋体"/>
                <w:sz w:val="20"/>
                <w:szCs w:val="20"/>
                <w:lang w:eastAsia="zh-CN"/>
              </w:rPr>
            </w:pPr>
            <w:r>
              <w:rPr>
                <w:rFonts w:hint="eastAsia" w:ascii="宋体" w:hAnsi="宋体"/>
                <w:sz w:val="20"/>
                <w:szCs w:val="20"/>
              </w:rPr>
              <w:t>巴渝治废管理信息系统</w:t>
            </w:r>
          </w:p>
          <w:p>
            <w:pPr>
              <w:pStyle w:val="48"/>
              <w:rPr>
                <w:sz w:val="20"/>
                <w:szCs w:val="20"/>
              </w:rPr>
            </w:pPr>
            <w:r>
              <w:rPr>
                <w:sz w:val="20"/>
                <w:szCs w:val="20"/>
              </w:rPr>
              <w:t>3</w:t>
            </w:r>
            <w:r>
              <w:rPr>
                <w:rFonts w:hint="eastAsia" w:ascii="宋体" w:hAnsi="宋体"/>
                <w:sz w:val="20"/>
                <w:szCs w:val="20"/>
              </w:rPr>
              <w:t>、</w:t>
            </w:r>
            <w:r>
              <w:rPr>
                <w:sz w:val="20"/>
                <w:szCs w:val="20"/>
              </w:rPr>
              <w:t>https://hjtj.cnemc.cn/htqy   </w:t>
            </w:r>
          </w:p>
          <w:p>
            <w:pPr>
              <w:pStyle w:val="48"/>
              <w:rPr>
                <w:rFonts w:hint="eastAsia" w:eastAsia="宋体"/>
                <w:sz w:val="20"/>
                <w:szCs w:val="20"/>
                <w:lang w:eastAsia="zh-CN"/>
              </w:rPr>
            </w:pPr>
            <w:r>
              <w:rPr>
                <w:rFonts w:hint="eastAsia" w:ascii="宋体" w:hAnsi="宋体"/>
                <w:sz w:val="20"/>
                <w:szCs w:val="20"/>
              </w:rPr>
              <w:t>环境统计业务系统</w:t>
            </w:r>
          </w:p>
          <w:p>
            <w:pPr>
              <w:pStyle w:val="48"/>
              <w:rPr>
                <w:sz w:val="20"/>
                <w:szCs w:val="20"/>
              </w:rPr>
            </w:pPr>
            <w:r>
              <w:rPr>
                <w:sz w:val="20"/>
                <w:szCs w:val="20"/>
              </w:rPr>
              <w:t>4</w:t>
            </w:r>
            <w:r>
              <w:rPr>
                <w:rFonts w:hint="eastAsia" w:ascii="宋体" w:hAnsi="宋体"/>
                <w:sz w:val="20"/>
                <w:szCs w:val="20"/>
              </w:rPr>
              <w:t>、</w:t>
            </w:r>
            <w:r>
              <w:fldChar w:fldCharType="begin"/>
            </w:r>
            <w:r>
              <w:instrText xml:space="preserve">HYPERLINK "http://183.66.66.47:10001/eps/"</w:instrText>
            </w:r>
            <w:r>
              <w:fldChar w:fldCharType="separate"/>
            </w:r>
            <w:r>
              <w:rPr>
                <w:rStyle w:val="22"/>
                <w:sz w:val="20"/>
                <w:szCs w:val="20"/>
              </w:rPr>
              <w:t>http://183.66.66.47:10001/eps/</w:t>
            </w:r>
            <w:r>
              <w:fldChar w:fldCharType="end"/>
            </w:r>
          </w:p>
          <w:p>
            <w:pPr>
              <w:pStyle w:val="48"/>
            </w:pPr>
            <w:r>
              <w:rPr>
                <w:rFonts w:hint="eastAsia" w:ascii="宋体" w:hAnsi="宋体"/>
                <w:sz w:val="20"/>
                <w:szCs w:val="20"/>
              </w:rPr>
              <w:t>企业环境信息依法披露系统</w:t>
            </w:r>
            <w:r>
              <w:rPr>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40" w:type="pct"/>
            <w:vAlign w:val="center"/>
          </w:tcPr>
          <w:p>
            <w:pPr>
              <w:pStyle w:val="48"/>
            </w:pPr>
            <w:r>
              <w:rPr>
                <w:rFonts w:hint="eastAsia"/>
              </w:rPr>
              <w:t>2</w:t>
            </w:r>
          </w:p>
        </w:tc>
        <w:tc>
          <w:tcPr>
            <w:tcW w:w="2330" w:type="pct"/>
            <w:vAlign w:val="center"/>
          </w:tcPr>
          <w:p>
            <w:pPr>
              <w:pStyle w:val="48"/>
            </w:pPr>
            <w:r>
              <w:rPr>
                <w:rFonts w:hint="eastAsia" w:ascii="宋体" w:hAnsi="宋体"/>
                <w:sz w:val="20"/>
                <w:szCs w:val="20"/>
              </w:rPr>
              <w:t>云变电气</w:t>
            </w:r>
          </w:p>
        </w:tc>
        <w:tc>
          <w:tcPr>
            <w:tcW w:w="2030" w:type="pct"/>
            <w:vAlign w:val="center"/>
          </w:tcPr>
          <w:p>
            <w:pPr>
              <w:pStyle w:val="154"/>
              <w:rPr>
                <w:sz w:val="20"/>
                <w:szCs w:val="20"/>
              </w:rPr>
            </w:pPr>
            <w:r>
              <w:rPr>
                <w:sz w:val="20"/>
                <w:szCs w:val="20"/>
              </w:rPr>
              <w:t>1</w:t>
            </w:r>
            <w:r>
              <w:rPr>
                <w:rFonts w:hint="eastAsia" w:ascii="宋体" w:hAnsi="宋体"/>
                <w:sz w:val="20"/>
                <w:szCs w:val="20"/>
              </w:rPr>
              <w:t>、</w:t>
            </w:r>
            <w:r>
              <w:rPr>
                <w:sz w:val="20"/>
                <w:szCs w:val="20"/>
              </w:rPr>
              <w:t>permit.mee.gov.cn   </w:t>
            </w:r>
          </w:p>
          <w:p>
            <w:pPr>
              <w:pStyle w:val="154"/>
              <w:rPr>
                <w:sz w:val="20"/>
                <w:szCs w:val="20"/>
              </w:rPr>
            </w:pPr>
            <w:r>
              <w:rPr>
                <w:rFonts w:hint="eastAsia" w:ascii="宋体" w:hAnsi="宋体"/>
                <w:sz w:val="20"/>
                <w:szCs w:val="20"/>
              </w:rPr>
              <w:t>全国排污许可证管理信息平台</w:t>
            </w:r>
          </w:p>
          <w:p>
            <w:pPr>
              <w:pStyle w:val="48"/>
              <w:numPr>
                <w:ilvl w:val="0"/>
                <w:numId w:val="11"/>
              </w:numPr>
              <w:rPr>
                <w:sz w:val="20"/>
                <w:szCs w:val="20"/>
              </w:rPr>
            </w:pPr>
            <w:r>
              <w:fldChar w:fldCharType="begin"/>
            </w:r>
            <w:r>
              <w:instrText xml:space="preserve"> HYPERLINK "https://gfmh.meescc.cn" </w:instrText>
            </w:r>
            <w:r>
              <w:fldChar w:fldCharType="separate"/>
            </w:r>
            <w:r>
              <w:rPr>
                <w:rStyle w:val="22"/>
                <w:sz w:val="20"/>
                <w:szCs w:val="20"/>
              </w:rPr>
              <w:t>https://gfmh.meescc.cn</w:t>
            </w:r>
            <w:r>
              <w:rPr>
                <w:rStyle w:val="22"/>
                <w:sz w:val="20"/>
                <w:szCs w:val="20"/>
              </w:rPr>
              <w:fldChar w:fldCharType="end"/>
            </w:r>
            <w:r>
              <w:rPr>
                <w:sz w:val="20"/>
                <w:szCs w:val="20"/>
              </w:rPr>
              <w:t xml:space="preserve"> </w:t>
            </w:r>
          </w:p>
          <w:p>
            <w:pPr>
              <w:pStyle w:val="48"/>
            </w:pPr>
            <w:r>
              <w:rPr>
                <w:rFonts w:hint="eastAsia" w:ascii="宋体" w:hAnsi="宋体"/>
                <w:sz w:val="20"/>
                <w:szCs w:val="20"/>
              </w:rPr>
              <w:t>全国固体废物（危险废物）管理信息系统</w:t>
            </w:r>
          </w:p>
        </w:tc>
      </w:tr>
    </w:tbl>
    <w:p>
      <w:pPr>
        <w:pStyle w:val="48"/>
      </w:pPr>
    </w:p>
    <w:p>
      <w:pPr>
        <w:rPr>
          <w:color w:val="000000"/>
        </w:rPr>
      </w:pPr>
      <w:r>
        <w:rPr>
          <w:rFonts w:hint="eastAsia"/>
          <w:color w:val="000000"/>
        </w:rPr>
        <w:t>其他说明</w:t>
      </w:r>
    </w:p>
    <w:sdt>
      <w:sdtPr>
        <w:rPr>
          <w:rFonts w:hint="eastAsia"/>
          <w:color w:val="000000"/>
        </w:rPr>
        <w:alias w:val="是否适用：纳入环境信息依法披露企业名单的上市公司及其主要子公司的环境信息情况其他说明[双击切换]"/>
        <w:tag w:val="_GBC_047d333fc006452891574305ff7e477a"/>
        <w:id w:val="1214697156"/>
        <w:placeholder>
          <w:docPart w:val="GBC22222222222222222222222222222"/>
        </w:placeholder>
      </w:sdtPr>
      <w:sdtEndPr>
        <w:rPr>
          <w:rFonts w:hint="eastAsia"/>
          <w:color w:val="000000"/>
        </w:rPr>
      </w:sdtEndPr>
      <w:sdtContent>
        <w:p>
          <w:pPr>
            <w:rPr>
              <w:color w:val="000000"/>
            </w:rPr>
          </w:pPr>
          <w:r>
            <w:rPr>
              <w:rFonts w:hint="eastAsia" w:ascii="宋体" w:hAnsi="宋体"/>
              <w:color w:val="000000"/>
            </w:rPr>
            <w:fldChar w:fldCharType="begin"/>
          </w:r>
          <w:r>
            <w:rPr>
              <w:rFonts w:hint="eastAsia"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hint="eastAsia" w:ascii="宋体" w:hAnsi="宋体"/>
              <w:color w:val="000000"/>
            </w:rPr>
            <w:instrText xml:space="preserve"> MACROBUTTON  SnrToggleCheckbox √不适用 </w:instrText>
          </w:r>
          <w:r>
            <w:rPr>
              <w:rFonts w:hint="eastAsia" w:ascii="宋体" w:hAnsi="宋体"/>
              <w:color w:val="000000"/>
            </w:rPr>
            <w:fldChar w:fldCharType="end"/>
          </w:r>
        </w:p>
      </w:sdtContent>
    </w:sdt>
    <w:bookmarkEnd w:id="83"/>
    <w:bookmarkEnd w:id="84"/>
    <w:p>
      <w:pPr>
        <w:pStyle w:val="50"/>
        <w:numPr>
          <w:ilvl w:val="0"/>
          <w:numId w:val="14"/>
        </w:numPr>
        <w:tabs>
          <w:tab w:val="left" w:pos="426"/>
        </w:tabs>
        <w:jc w:val="left"/>
        <w:rPr>
          <w:rFonts w:hint="eastAsia" w:ascii="宋体" w:hAnsi="宋体"/>
          <w:color w:val="000000" w:themeColor="text1"/>
          <w14:textFill>
            <w14:solidFill>
              <w14:schemeClr w14:val="tx1"/>
            </w14:solidFill>
          </w14:textFill>
        </w:rPr>
      </w:pPr>
      <w:bookmarkStart w:id="85" w:name="_Hlk138060542"/>
      <w:bookmarkStart w:id="86" w:name="_Hlk137046383"/>
      <w:r>
        <w:rPr>
          <w:rFonts w:hint="eastAsia" w:ascii="宋体" w:hAnsi="宋体"/>
          <w:color w:val="000000" w:themeColor="text1"/>
          <w14:textFill>
            <w14:solidFill>
              <w14:schemeClr w14:val="tx1"/>
            </w14:solidFill>
          </w14:textFill>
        </w:rPr>
        <w:t>巩固拓展脱贫攻坚成果、乡村振兴等工作具体情况</w:t>
      </w:r>
    </w:p>
    <w:sdt>
      <w:sdtPr>
        <w:rPr>
          <w:color w:val="000000" w:themeColor="text1"/>
          <w14:textFill>
            <w14:solidFill>
              <w14:schemeClr w14:val="tx1"/>
            </w14:solidFill>
          </w14:textFill>
        </w:rPr>
        <w:alias w:val="是否适用：巩固拓展脱贫攻坚成果、乡村振兴工作具体情况[双击切换]"/>
        <w:tag w:val="_GBC_7f424183824c43c9809b2bbaefe89688"/>
        <w:id w:val="1982644435"/>
        <w:placeholder>
          <w:docPart w:val="GBC22222222222222222222222222222"/>
        </w:placeholder>
      </w:sdtPr>
      <w:sdtEndPr>
        <w:rPr>
          <w:color w:val="000000" w:themeColor="text1"/>
          <w14:textFill>
            <w14:solidFill>
              <w14:schemeClr w14:val="tx1"/>
            </w14:solidFill>
          </w14:textFill>
        </w:rPr>
      </w:sdtEndPr>
      <w:sdtContent>
        <w:p>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85"/>
    <w:p>
      <w:pPr>
        <w:rPr>
          <w:color w:val="000000" w:themeColor="text1"/>
          <w14:textFill>
            <w14:solidFill>
              <w14:schemeClr w14:val="tx1"/>
            </w14:solidFill>
          </w14:textFill>
        </w:rPr>
      </w:pPr>
    </w:p>
    <w:p>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bookmarkEnd w:id="86"/>
    <w:p>
      <w:pPr>
        <w:pStyle w:val="49"/>
        <w:numPr>
          <w:ilvl w:val="0"/>
          <w:numId w:val="2"/>
        </w:numPr>
        <w:rPr>
          <w:rFonts w:hint="eastAsia" w:ascii="黑体" w:hAnsi="黑体"/>
          <w:color w:val="000000" w:themeColor="text1"/>
          <w14:textFill>
            <w14:solidFill>
              <w14:schemeClr w14:val="tx1"/>
            </w14:solidFill>
          </w14:textFill>
        </w:rPr>
      </w:pPr>
      <w:bookmarkStart w:id="87" w:name="_Toc200030543"/>
      <w:bookmarkStart w:id="88" w:name="_Toc76114277"/>
      <w:r>
        <w:rPr>
          <w:rFonts w:hint="eastAsia" w:ascii="黑体" w:hAnsi="黑体"/>
          <w:color w:val="000000" w:themeColor="text1"/>
          <w14:textFill>
            <w14:solidFill>
              <w14:schemeClr w14:val="tx1"/>
            </w14:solidFill>
          </w14:textFill>
        </w:rPr>
        <w:t>重要事项</w:t>
      </w:r>
    </w:p>
    <w:bookmarkEnd w:id="87"/>
    <w:bookmarkEnd w:id="88"/>
    <w:p>
      <w:pPr>
        <w:rPr>
          <w:color w:val="000000" w:themeColor="text1"/>
          <w14:textFill>
            <w14:solidFill>
              <w14:schemeClr w14:val="tx1"/>
            </w14:solidFill>
          </w14:textFill>
        </w:rPr>
      </w:pPr>
    </w:p>
    <w:p>
      <w:pPr>
        <w:pStyle w:val="50"/>
        <w:numPr>
          <w:ilvl w:val="0"/>
          <w:numId w:val="16"/>
        </w:numPr>
        <w:tabs>
          <w:tab w:val="left" w:pos="426"/>
        </w:tabs>
        <w:jc w:val="left"/>
        <w:rPr>
          <w:rFonts w:hint="eastAsia" w:ascii="宋体" w:hAnsi="宋体"/>
          <w:color w:val="000000" w:themeColor="text1"/>
          <w14:textFill>
            <w14:solidFill>
              <w14:schemeClr w14:val="tx1"/>
            </w14:solidFill>
          </w14:textFill>
        </w:rPr>
      </w:pPr>
      <w:bookmarkStart w:id="89" w:name="_Toc342565988"/>
      <w:r>
        <w:rPr>
          <w:rFonts w:hint="eastAsia" w:ascii="宋体" w:hAnsi="宋体"/>
          <w:color w:val="000000" w:themeColor="text1"/>
          <w14:textFill>
            <w14:solidFill>
              <w14:schemeClr w14:val="tx1"/>
            </w14:solidFill>
          </w14:textFill>
        </w:rPr>
        <w:t>承诺事项履行情况</w:t>
      </w:r>
    </w:p>
    <w:p>
      <w:pPr>
        <w:pStyle w:val="51"/>
        <w:numPr>
          <w:ilvl w:val="1"/>
          <w:numId w:val="17"/>
        </w:numPr>
        <w:rPr>
          <w:color w:val="000000" w:themeColor="text1"/>
          <w:szCs w:val="21"/>
          <w14:textFill>
            <w14:solidFill>
              <w14:schemeClr w14:val="tx1"/>
            </w14:solidFill>
          </w14:textFill>
        </w:rPr>
      </w:pPr>
      <w:bookmarkStart w:id="90" w:name="_Hlk167798036"/>
      <w:r>
        <w:rPr>
          <w:rFonts w:hint="eastAsia"/>
          <w:color w:val="000000" w:themeColor="text1"/>
          <w:szCs w:val="21"/>
          <w14:textFill>
            <w14:solidFill>
              <w14:schemeClr w14:val="tx1"/>
            </w14:solidFill>
          </w14:textFill>
        </w:rPr>
        <w:t>公司实际控制人、股东、关联方、收购人以及公司等承诺相关方在报告期内或持续到报告期内的承诺事项</w:t>
      </w:r>
    </w:p>
    <w:sdt>
      <w:sdtPr>
        <w:rPr>
          <w:color w:val="000000" w:themeColor="text1"/>
          <w14:textFill>
            <w14:solidFill>
              <w14:schemeClr w14:val="tx1"/>
            </w14:solidFill>
          </w14:textFill>
        </w:rPr>
        <w:alias w:val="是否适用：公司实际控制人、股东、关联方、收购人以及公司等承诺相关方在报告期内或持续到报告期内的承诺事项 [双击切换]"/>
        <w:tag w:val="_GBC_1b3cd268fdf44711b46a5537ed6234e6"/>
        <w:id w:val="-31766130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0"/>
        <w:gridCol w:w="1237"/>
        <w:gridCol w:w="1274"/>
        <w:gridCol w:w="1327"/>
        <w:gridCol w:w="1361"/>
        <w:gridCol w:w="1361"/>
        <w:gridCol w:w="1338"/>
        <w:gridCol w:w="1338"/>
        <w:gridCol w:w="1544"/>
        <w:gridCol w:w="1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2f48c631d4f145bb89e0b412b579c044"/>
            <w:id w:val="1219084432"/>
          </w:sdtPr>
          <w:sdtContent>
            <w:tc>
              <w:tcPr>
                <w:tcW w:w="73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承诺背景</w:t>
                </w:r>
              </w:p>
            </w:tc>
          </w:sdtContent>
        </w:sdt>
        <w:sdt>
          <w:sdtPr>
            <w:tag w:val="_PLD_9a17726fa949480a8fa734c2daa367c5"/>
            <w:id w:val="1681164757"/>
          </w:sdtPr>
          <w:sdtContent>
            <w:tc>
              <w:tcPr>
                <w:tcW w:w="43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类型</w:t>
                </w:r>
              </w:p>
            </w:tc>
          </w:sdtContent>
        </w:sdt>
        <w:sdt>
          <w:sdtPr>
            <w:tag w:val="_PLD_dd4d33263e224736aca1317e23b8393b"/>
            <w:id w:val="-1424555103"/>
          </w:sdtPr>
          <w:sdtContent>
            <w:tc>
              <w:tcPr>
                <w:tcW w:w="45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承诺方</w:t>
                </w:r>
              </w:p>
            </w:tc>
          </w:sdtContent>
        </w:sdt>
        <w:sdt>
          <w:sdtPr>
            <w:tag w:val="_PLD_2827daa4881746e8af82dd1a4a5cdfc9"/>
            <w:id w:val="-46539023"/>
          </w:sdtPr>
          <w:sdtContent>
            <w:tc>
              <w:tcPr>
                <w:tcW w:w="47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内容</w:t>
                </w:r>
              </w:p>
            </w:tc>
          </w:sdtContent>
        </w:sdt>
        <w:sdt>
          <w:sdtPr>
            <w:tag w:val="_PLD_0faf19b77a3a4c9f9dfef5d67a6c073e"/>
            <w:id w:val="-623778810"/>
          </w:sdtPr>
          <w:sdtContent>
            <w:tc>
              <w:tcPr>
                <w:tcW w:w="48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承诺时间</w:t>
                </w:r>
              </w:p>
            </w:tc>
          </w:sdtContent>
        </w:sdt>
        <w:sdt>
          <w:sdtPr>
            <w:tag w:val="_PLD_5712764119844cacbd807a7b3cc06229"/>
            <w:id w:val="1020674856"/>
          </w:sdtPr>
          <w:sdtContent>
            <w:tc>
              <w:tcPr>
                <w:tcW w:w="48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是否有履行期限</w:t>
                </w:r>
              </w:p>
            </w:tc>
          </w:sdtContent>
        </w:sdt>
        <w:sdt>
          <w:sdtPr>
            <w:tag w:val="_PLD_086966425efd4cf5aa843a606f19d41f"/>
            <w:id w:val="1210457693"/>
          </w:sdtPr>
          <w:sdtContent>
            <w:tc>
              <w:tcPr>
                <w:tcW w:w="47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承诺期限</w:t>
                </w:r>
              </w:p>
            </w:tc>
          </w:sdtContent>
        </w:sdt>
        <w:sdt>
          <w:sdtPr>
            <w:tag w:val="_PLD_c57f62b5ce044c04a606e760d1fb2925"/>
            <w:id w:val="216857840"/>
          </w:sdtPr>
          <w:sdtContent>
            <w:tc>
              <w:tcPr>
                <w:tcW w:w="47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是否及时严格履行</w:t>
                </w:r>
              </w:p>
            </w:tc>
          </w:sdtContent>
        </w:sdt>
        <w:sdt>
          <w:sdtPr>
            <w:tag w:val="_PLD_aa8ea8bcfcba4d8d9cf09df53934a60e"/>
            <w:id w:val="-1414230564"/>
          </w:sdtPr>
          <w:sdtContent>
            <w:tc>
              <w:tcPr>
                <w:tcW w:w="54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如未能及时履行应说明未完成履行的具体原因</w:t>
                </w:r>
              </w:p>
            </w:tc>
          </w:sdtContent>
        </w:sdt>
        <w:sdt>
          <w:sdtPr>
            <w:tag w:val="_PLD_10e867610a5447f294ff667276bb94e5"/>
            <w:id w:val="-297067396"/>
          </w:sdtPr>
          <w:sdtContent>
            <w:tc>
              <w:tcPr>
                <w:tcW w:w="43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如未能及时履行应说明下一步计划</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Merge w:val="restar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与首次公开发行相关的承诺</w:t>
            </w:r>
          </w:p>
        </w:tc>
        <w:tc>
          <w:tcPr>
            <w:tcW w:w="439" w:type="pct"/>
            <w:vAlign w:val="center"/>
          </w:tcPr>
          <w:p>
            <w:pPr>
              <w:rPr>
                <w:color w:val="000000" w:themeColor="text1"/>
                <w14:textFill>
                  <w14:solidFill>
                    <w14:schemeClr w14:val="tx1"/>
                  </w14:solidFill>
                </w14:textFill>
              </w:rPr>
            </w:pPr>
            <w:r>
              <w:rPr>
                <w:rFonts w:ascii="宋体" w:hAnsi="宋体"/>
              </w:rPr>
              <w:t>其他</w:t>
            </w:r>
          </w:p>
        </w:tc>
        <w:tc>
          <w:tcPr>
            <w:tcW w:w="452" w:type="pct"/>
          </w:tcPr>
          <w:p>
            <w:pPr>
              <w:pStyle w:val="48"/>
            </w:pPr>
            <w:r>
              <w:rPr>
                <w:rFonts w:hint="eastAsia" w:ascii="宋体" w:hAnsi="宋体"/>
              </w:rPr>
              <w:t>杨泽民、秦惠兰、杨耀、杨秦、杨厚群</w:t>
            </w:r>
          </w:p>
        </w:tc>
        <w:tc>
          <w:tcPr>
            <w:tcW w:w="471" w:type="pct"/>
          </w:tcPr>
          <w:p>
            <w:pPr>
              <w:pStyle w:val="48"/>
            </w:pPr>
            <w:r>
              <w:rPr>
                <w:rFonts w:hint="eastAsia"/>
              </w:rPr>
              <w:t>5%</w:t>
            </w:r>
            <w:r>
              <w:rPr>
                <w:rFonts w:hint="eastAsia" w:ascii="宋体" w:hAnsi="宋体"/>
              </w:rPr>
              <w:t>以上股东的减持意向承诺，详见注</w:t>
            </w:r>
            <w:r>
              <w:rPr>
                <w:rFonts w:hint="eastAsia"/>
              </w:rPr>
              <w:t>1</w:t>
            </w:r>
          </w:p>
        </w:tc>
        <w:tc>
          <w:tcPr>
            <w:tcW w:w="483" w:type="pct"/>
            <w:vAlign w:val="center"/>
          </w:tcPr>
          <w:p>
            <w:pPr>
              <w:pStyle w:val="48"/>
            </w:pPr>
            <w:r>
              <w:rPr>
                <w:rFonts w:hint="eastAsia" w:ascii="宋体" w:hAnsi="宋体"/>
              </w:rPr>
              <w:t>注</w:t>
            </w:r>
            <w:r>
              <w:rPr>
                <w:rFonts w:hint="eastAsia"/>
              </w:rPr>
              <w:t>1</w:t>
            </w:r>
          </w:p>
        </w:tc>
        <w:tc>
          <w:tcPr>
            <w:tcW w:w="483" w:type="pct"/>
            <w:vAlign w:val="center"/>
          </w:tcPr>
          <w:p>
            <w:pPr>
              <w:rPr>
                <w:color w:val="000000" w:themeColor="text1"/>
                <w14:textFill>
                  <w14:solidFill>
                    <w14:schemeClr w14:val="tx1"/>
                  </w14:solidFill>
                </w14:textFill>
              </w:rPr>
            </w:pPr>
            <w:r>
              <w:rPr>
                <w:rFonts w:hint="eastAsia" w:ascii="宋体" w:hAnsi="宋体"/>
              </w:rPr>
              <w:t>是</w:t>
            </w:r>
          </w:p>
        </w:tc>
        <w:tc>
          <w:tcPr>
            <w:tcW w:w="475" w:type="pct"/>
            <w:vAlign w:val="center"/>
          </w:tcPr>
          <w:p>
            <w:pPr>
              <w:pStyle w:val="48"/>
            </w:pPr>
            <w:r>
              <w:rPr>
                <w:rFonts w:hint="eastAsia" w:ascii="宋体" w:hAnsi="宋体"/>
              </w:rPr>
              <w:t>注</w:t>
            </w:r>
            <w:r>
              <w:rPr>
                <w:rFonts w:hint="eastAsia"/>
              </w:rPr>
              <w:t>1</w:t>
            </w:r>
          </w:p>
        </w:tc>
        <w:tc>
          <w:tcPr>
            <w:tcW w:w="475" w:type="pct"/>
            <w:vAlign w:val="center"/>
          </w:tcPr>
          <w:p>
            <w:pPr>
              <w:rPr>
                <w:color w:val="000000" w:themeColor="text1"/>
                <w14:textFill>
                  <w14:solidFill>
                    <w14:schemeClr w14:val="tx1"/>
                  </w14:solidFill>
                </w14:textFill>
              </w:rPr>
            </w:pPr>
            <w:r>
              <w:rPr>
                <w:rFonts w:hint="eastAsia" w:ascii="宋体" w:hAnsi="宋体"/>
              </w:rPr>
              <w:t>是</w:t>
            </w:r>
          </w:p>
        </w:tc>
        <w:tc>
          <w:tcPr>
            <w:tcW w:w="548" w:type="pct"/>
            <w:vAlign w:val="center"/>
          </w:tcPr>
          <w:p>
            <w:pPr>
              <w:pStyle w:val="48"/>
            </w:pPr>
            <w:r>
              <w:rPr>
                <w:rFonts w:hint="eastAsia" w:ascii="宋体" w:hAnsi="宋体"/>
              </w:rPr>
              <w:t>不适用</w:t>
            </w:r>
          </w:p>
        </w:tc>
        <w:tc>
          <w:tcPr>
            <w:tcW w:w="436" w:type="pct"/>
            <w:vAlign w:val="center"/>
          </w:tcPr>
          <w:p>
            <w:pPr>
              <w:pStyle w:val="48"/>
            </w:pPr>
            <w:r>
              <w:rPr>
                <w:rFonts w:hint="eastAsia" w:ascii="宋体" w:hAnsi="宋体"/>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Merge w:val="continue"/>
            <w:vAlign w:val="center"/>
          </w:tcPr>
          <w:p>
            <w:pPr>
              <w:rPr>
                <w:color w:val="000000" w:themeColor="text1"/>
                <w14:textFill>
                  <w14:solidFill>
                    <w14:schemeClr w14:val="tx1"/>
                  </w14:solidFill>
                </w14:textFill>
              </w:rPr>
            </w:pPr>
          </w:p>
        </w:tc>
        <w:tc>
          <w:tcPr>
            <w:tcW w:w="439" w:type="pct"/>
            <w:vAlign w:val="center"/>
          </w:tcPr>
          <w:p>
            <w:pPr>
              <w:rPr>
                <w:color w:val="000000" w:themeColor="text1"/>
                <w14:textFill>
                  <w14:solidFill>
                    <w14:schemeClr w14:val="tx1"/>
                  </w14:solidFill>
                </w14:textFill>
              </w:rPr>
            </w:pPr>
            <w:sdt>
              <w:sdtPr>
                <w:alias w:val="其他承诺相关方的承诺事项-承诺类型"/>
                <w:tag w:val="_GBC_1e6cdc3ff68c4d3ba573b65b281d79f3"/>
                <w:id w:val="396869924"/>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r>
                  <w:rPr>
                    <w:rFonts w:ascii="宋体" w:hAnsi="宋体"/>
                  </w:rPr>
                  <w:t>其他</w:t>
                </w:r>
              </w:sdtContent>
            </w:sdt>
          </w:p>
        </w:tc>
        <w:tc>
          <w:tcPr>
            <w:tcW w:w="452" w:type="pct"/>
          </w:tcPr>
          <w:p>
            <w:pPr>
              <w:pStyle w:val="48"/>
            </w:pPr>
            <w:r>
              <w:rPr>
                <w:rFonts w:hint="eastAsia" w:ascii="宋体" w:hAnsi="宋体"/>
              </w:rPr>
              <w:t>公司、杨泽民、秦惠兰、杨耀、杨秦、董事、高级管理人员</w:t>
            </w:r>
          </w:p>
        </w:tc>
        <w:tc>
          <w:tcPr>
            <w:tcW w:w="471" w:type="pct"/>
          </w:tcPr>
          <w:p>
            <w:pPr>
              <w:pStyle w:val="48"/>
            </w:pPr>
            <w:r>
              <w:rPr>
                <w:rFonts w:hint="eastAsia" w:ascii="宋体" w:hAnsi="宋体"/>
              </w:rPr>
              <w:t>摊薄即期回报采取填补措施的承诺，详见注</w:t>
            </w:r>
            <w:r>
              <w:rPr>
                <w:rFonts w:hint="eastAsia"/>
              </w:rPr>
              <w:t>2</w:t>
            </w:r>
          </w:p>
        </w:tc>
        <w:tc>
          <w:tcPr>
            <w:tcW w:w="483" w:type="pct"/>
            <w:vAlign w:val="center"/>
          </w:tcPr>
          <w:p>
            <w:pPr>
              <w:pStyle w:val="48"/>
            </w:pPr>
            <w:r>
              <w:rPr>
                <w:rFonts w:hint="eastAsia" w:ascii="宋体" w:hAnsi="宋体"/>
              </w:rPr>
              <w:t>注</w:t>
            </w:r>
            <w:r>
              <w:rPr>
                <w:rFonts w:hint="eastAsia"/>
              </w:rPr>
              <w:t>2</w:t>
            </w:r>
          </w:p>
        </w:tc>
        <w:tc>
          <w:tcPr>
            <w:tcW w:w="483" w:type="pct"/>
            <w:vAlign w:val="center"/>
          </w:tcPr>
          <w:p>
            <w:pPr>
              <w:rPr>
                <w:color w:val="000000" w:themeColor="text1"/>
                <w14:textFill>
                  <w14:solidFill>
                    <w14:schemeClr w14:val="tx1"/>
                  </w14:solidFill>
                </w14:textFill>
              </w:rPr>
            </w:pPr>
            <w:r>
              <w:rPr>
                <w:rFonts w:hint="eastAsia" w:ascii="宋体" w:hAnsi="宋体"/>
              </w:rPr>
              <w:t>否</w:t>
            </w:r>
          </w:p>
        </w:tc>
        <w:tc>
          <w:tcPr>
            <w:tcW w:w="475" w:type="pct"/>
            <w:vAlign w:val="center"/>
          </w:tcPr>
          <w:p>
            <w:pPr>
              <w:pStyle w:val="48"/>
            </w:pPr>
            <w:r>
              <w:rPr>
                <w:rFonts w:hint="eastAsia" w:ascii="宋体" w:hAnsi="宋体"/>
              </w:rPr>
              <w:t>注</w:t>
            </w:r>
            <w:r>
              <w:rPr>
                <w:rFonts w:hint="eastAsia"/>
              </w:rPr>
              <w:t>2</w:t>
            </w:r>
          </w:p>
        </w:tc>
        <w:tc>
          <w:tcPr>
            <w:tcW w:w="475" w:type="pct"/>
            <w:vAlign w:val="center"/>
          </w:tcPr>
          <w:p>
            <w:pPr>
              <w:rPr>
                <w:color w:val="000000" w:themeColor="text1"/>
                <w14:textFill>
                  <w14:solidFill>
                    <w14:schemeClr w14:val="tx1"/>
                  </w14:solidFill>
                </w14:textFill>
              </w:rPr>
            </w:pPr>
            <w:r>
              <w:rPr>
                <w:rFonts w:hint="eastAsia" w:ascii="宋体" w:hAnsi="宋体"/>
              </w:rPr>
              <w:t>是</w:t>
            </w:r>
          </w:p>
        </w:tc>
        <w:tc>
          <w:tcPr>
            <w:tcW w:w="548" w:type="pct"/>
            <w:vAlign w:val="center"/>
          </w:tcPr>
          <w:p>
            <w:pPr>
              <w:pStyle w:val="48"/>
            </w:pPr>
            <w:r>
              <w:rPr>
                <w:rFonts w:hint="eastAsia" w:ascii="宋体" w:hAnsi="宋体"/>
              </w:rPr>
              <w:t>不适用</w:t>
            </w:r>
          </w:p>
        </w:tc>
        <w:tc>
          <w:tcPr>
            <w:tcW w:w="436" w:type="pct"/>
            <w:vAlign w:val="center"/>
          </w:tcPr>
          <w:p>
            <w:pPr>
              <w:pStyle w:val="48"/>
            </w:pPr>
            <w:r>
              <w:rPr>
                <w:rFonts w:hint="eastAsia" w:ascii="宋体" w:hAnsi="宋体"/>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Merge w:val="continue"/>
            <w:vAlign w:val="center"/>
          </w:tcPr>
          <w:p>
            <w:pPr>
              <w:rPr>
                <w:color w:val="000000" w:themeColor="text1"/>
                <w14:textFill>
                  <w14:solidFill>
                    <w14:schemeClr w14:val="tx1"/>
                  </w14:solidFill>
                </w14:textFill>
              </w:rPr>
            </w:pPr>
          </w:p>
        </w:tc>
        <w:tc>
          <w:tcPr>
            <w:tcW w:w="439" w:type="pct"/>
            <w:vAlign w:val="center"/>
          </w:tcPr>
          <w:p>
            <w:pPr>
              <w:rPr>
                <w:color w:val="000000" w:themeColor="text1"/>
                <w14:textFill>
                  <w14:solidFill>
                    <w14:schemeClr w14:val="tx1"/>
                  </w14:solidFill>
                </w14:textFill>
              </w:rPr>
            </w:pPr>
            <w:r>
              <w:rPr>
                <w:rFonts w:hint="eastAsia" w:ascii="宋体" w:hAnsi="宋体"/>
              </w:rPr>
              <w:t>其他</w:t>
            </w:r>
          </w:p>
        </w:tc>
        <w:tc>
          <w:tcPr>
            <w:tcW w:w="452" w:type="pct"/>
          </w:tcPr>
          <w:p>
            <w:pPr>
              <w:pStyle w:val="48"/>
            </w:pPr>
            <w:r>
              <w:rPr>
                <w:rFonts w:hint="eastAsia" w:ascii="宋体" w:hAnsi="宋体"/>
              </w:rPr>
              <w:t>杨泽民、秦惠兰、杨耀、杨秦</w:t>
            </w:r>
          </w:p>
        </w:tc>
        <w:tc>
          <w:tcPr>
            <w:tcW w:w="471" w:type="pct"/>
          </w:tcPr>
          <w:p>
            <w:pPr>
              <w:pStyle w:val="48"/>
            </w:pPr>
            <w:r>
              <w:rPr>
                <w:rFonts w:hint="eastAsia" w:ascii="宋体" w:hAnsi="宋体"/>
              </w:rPr>
              <w:t>避免同业竞争的承诺，详见注</w:t>
            </w:r>
            <w:r>
              <w:rPr>
                <w:rFonts w:hint="eastAsia"/>
              </w:rPr>
              <w:t>3</w:t>
            </w:r>
          </w:p>
        </w:tc>
        <w:tc>
          <w:tcPr>
            <w:tcW w:w="483" w:type="pct"/>
            <w:vAlign w:val="center"/>
          </w:tcPr>
          <w:p>
            <w:pPr>
              <w:pStyle w:val="48"/>
            </w:pPr>
            <w:r>
              <w:rPr>
                <w:rFonts w:hint="eastAsia" w:ascii="宋体" w:hAnsi="宋体"/>
              </w:rPr>
              <w:t>注</w:t>
            </w:r>
            <w:r>
              <w:rPr>
                <w:rFonts w:hint="eastAsia"/>
              </w:rPr>
              <w:t>3</w:t>
            </w:r>
          </w:p>
        </w:tc>
        <w:tc>
          <w:tcPr>
            <w:tcW w:w="483" w:type="pct"/>
            <w:vAlign w:val="center"/>
          </w:tcPr>
          <w:p>
            <w:pPr>
              <w:rPr>
                <w:color w:val="000000" w:themeColor="text1"/>
                <w14:textFill>
                  <w14:solidFill>
                    <w14:schemeClr w14:val="tx1"/>
                  </w14:solidFill>
                </w14:textFill>
              </w:rPr>
            </w:pPr>
            <w:r>
              <w:rPr>
                <w:rFonts w:hint="eastAsia" w:ascii="宋体" w:hAnsi="宋体"/>
              </w:rPr>
              <w:t>否</w:t>
            </w:r>
          </w:p>
        </w:tc>
        <w:tc>
          <w:tcPr>
            <w:tcW w:w="475" w:type="pct"/>
            <w:vAlign w:val="center"/>
          </w:tcPr>
          <w:p>
            <w:pPr>
              <w:pStyle w:val="48"/>
            </w:pPr>
            <w:r>
              <w:rPr>
                <w:rFonts w:hint="eastAsia" w:ascii="宋体" w:hAnsi="宋体"/>
              </w:rPr>
              <w:t>注</w:t>
            </w:r>
            <w:r>
              <w:rPr>
                <w:rFonts w:hint="eastAsia"/>
              </w:rPr>
              <w:t>3</w:t>
            </w:r>
          </w:p>
        </w:tc>
        <w:tc>
          <w:tcPr>
            <w:tcW w:w="475" w:type="pct"/>
            <w:vAlign w:val="center"/>
          </w:tcPr>
          <w:p>
            <w:pPr>
              <w:rPr>
                <w:color w:val="000000" w:themeColor="text1"/>
                <w14:textFill>
                  <w14:solidFill>
                    <w14:schemeClr w14:val="tx1"/>
                  </w14:solidFill>
                </w14:textFill>
              </w:rPr>
            </w:pPr>
            <w:r>
              <w:rPr>
                <w:rFonts w:hint="eastAsia" w:ascii="宋体" w:hAnsi="宋体"/>
              </w:rPr>
              <w:t>是</w:t>
            </w:r>
          </w:p>
        </w:tc>
        <w:tc>
          <w:tcPr>
            <w:tcW w:w="548" w:type="pct"/>
            <w:vAlign w:val="center"/>
          </w:tcPr>
          <w:p>
            <w:pPr>
              <w:pStyle w:val="48"/>
            </w:pPr>
            <w:r>
              <w:rPr>
                <w:rFonts w:hint="eastAsia" w:ascii="宋体" w:hAnsi="宋体"/>
              </w:rPr>
              <w:t>不适用</w:t>
            </w:r>
          </w:p>
        </w:tc>
        <w:tc>
          <w:tcPr>
            <w:tcW w:w="436" w:type="pct"/>
            <w:vAlign w:val="center"/>
          </w:tcPr>
          <w:p>
            <w:pPr>
              <w:pStyle w:val="48"/>
            </w:pPr>
            <w:r>
              <w:rPr>
                <w:rFonts w:hint="eastAsia" w:ascii="宋体" w:hAnsi="宋体"/>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Merge w:val="continue"/>
            <w:vAlign w:val="center"/>
          </w:tcPr>
          <w:p>
            <w:pPr>
              <w:rPr>
                <w:color w:val="000000" w:themeColor="text1"/>
                <w14:textFill>
                  <w14:solidFill>
                    <w14:schemeClr w14:val="tx1"/>
                  </w14:solidFill>
                </w14:textFill>
              </w:rPr>
            </w:pPr>
          </w:p>
        </w:tc>
        <w:tc>
          <w:tcPr>
            <w:tcW w:w="439" w:type="pct"/>
            <w:vAlign w:val="center"/>
          </w:tcPr>
          <w:p>
            <w:pPr>
              <w:rPr>
                <w:color w:val="000000" w:themeColor="text1"/>
                <w14:textFill>
                  <w14:solidFill>
                    <w14:schemeClr w14:val="tx1"/>
                  </w14:solidFill>
                </w14:textFill>
              </w:rPr>
            </w:pPr>
            <w:r>
              <w:rPr>
                <w:rFonts w:hint="eastAsia" w:ascii="宋体" w:hAnsi="宋体"/>
              </w:rPr>
              <w:t>其他</w:t>
            </w:r>
          </w:p>
        </w:tc>
        <w:tc>
          <w:tcPr>
            <w:tcW w:w="452" w:type="pct"/>
          </w:tcPr>
          <w:p>
            <w:pPr>
              <w:pStyle w:val="48"/>
            </w:pPr>
            <w:r>
              <w:rPr>
                <w:rFonts w:hint="eastAsia" w:ascii="宋体" w:hAnsi="宋体"/>
              </w:rPr>
              <w:t>杨泽民、秦惠兰、杨耀、杨秦和董监高</w:t>
            </w:r>
          </w:p>
        </w:tc>
        <w:tc>
          <w:tcPr>
            <w:tcW w:w="471" w:type="pct"/>
          </w:tcPr>
          <w:p>
            <w:pPr>
              <w:pStyle w:val="48"/>
            </w:pPr>
            <w:r>
              <w:rPr>
                <w:rFonts w:hint="eastAsia" w:ascii="宋体" w:hAnsi="宋体"/>
              </w:rPr>
              <w:t>规范和减少关联交易的承诺，详见注</w:t>
            </w:r>
            <w:r>
              <w:rPr>
                <w:rFonts w:hint="eastAsia"/>
              </w:rPr>
              <w:t>4</w:t>
            </w:r>
          </w:p>
        </w:tc>
        <w:tc>
          <w:tcPr>
            <w:tcW w:w="483" w:type="pct"/>
            <w:vAlign w:val="center"/>
          </w:tcPr>
          <w:p>
            <w:pPr>
              <w:pStyle w:val="48"/>
            </w:pPr>
            <w:r>
              <w:rPr>
                <w:rFonts w:hint="eastAsia" w:ascii="宋体" w:hAnsi="宋体"/>
              </w:rPr>
              <w:t>注</w:t>
            </w:r>
            <w:r>
              <w:rPr>
                <w:rFonts w:hint="eastAsia"/>
              </w:rPr>
              <w:t>4</w:t>
            </w:r>
          </w:p>
        </w:tc>
        <w:tc>
          <w:tcPr>
            <w:tcW w:w="483" w:type="pct"/>
            <w:vAlign w:val="center"/>
          </w:tcPr>
          <w:p>
            <w:pPr>
              <w:rPr>
                <w:color w:val="000000" w:themeColor="text1"/>
                <w14:textFill>
                  <w14:solidFill>
                    <w14:schemeClr w14:val="tx1"/>
                  </w14:solidFill>
                </w14:textFill>
              </w:rPr>
            </w:pPr>
            <w:r>
              <w:rPr>
                <w:rFonts w:hint="eastAsia" w:ascii="宋体" w:hAnsi="宋体"/>
              </w:rPr>
              <w:t>否</w:t>
            </w:r>
          </w:p>
        </w:tc>
        <w:tc>
          <w:tcPr>
            <w:tcW w:w="475" w:type="pct"/>
            <w:vAlign w:val="center"/>
          </w:tcPr>
          <w:p>
            <w:pPr>
              <w:pStyle w:val="48"/>
            </w:pPr>
            <w:r>
              <w:rPr>
                <w:rFonts w:hint="eastAsia" w:ascii="宋体" w:hAnsi="宋体"/>
              </w:rPr>
              <w:t>注</w:t>
            </w:r>
            <w:r>
              <w:rPr>
                <w:rFonts w:hint="eastAsia"/>
              </w:rPr>
              <w:t>4</w:t>
            </w:r>
          </w:p>
        </w:tc>
        <w:tc>
          <w:tcPr>
            <w:tcW w:w="475" w:type="pct"/>
            <w:vAlign w:val="center"/>
          </w:tcPr>
          <w:p>
            <w:pPr>
              <w:rPr>
                <w:color w:val="000000" w:themeColor="text1"/>
                <w14:textFill>
                  <w14:solidFill>
                    <w14:schemeClr w14:val="tx1"/>
                  </w14:solidFill>
                </w14:textFill>
              </w:rPr>
            </w:pPr>
            <w:r>
              <w:rPr>
                <w:rFonts w:hint="eastAsia" w:ascii="宋体" w:hAnsi="宋体"/>
              </w:rPr>
              <w:t>是</w:t>
            </w:r>
          </w:p>
        </w:tc>
        <w:tc>
          <w:tcPr>
            <w:tcW w:w="548" w:type="pct"/>
            <w:vAlign w:val="center"/>
          </w:tcPr>
          <w:p>
            <w:pPr>
              <w:pStyle w:val="48"/>
            </w:pPr>
            <w:r>
              <w:rPr>
                <w:rFonts w:hint="eastAsia" w:ascii="宋体" w:hAnsi="宋体"/>
              </w:rPr>
              <w:t>不适用</w:t>
            </w:r>
          </w:p>
        </w:tc>
        <w:tc>
          <w:tcPr>
            <w:tcW w:w="436" w:type="pct"/>
            <w:vAlign w:val="center"/>
          </w:tcPr>
          <w:p>
            <w:pPr>
              <w:pStyle w:val="48"/>
            </w:pPr>
            <w:r>
              <w:rPr>
                <w:rFonts w:hint="eastAsia" w:ascii="宋体" w:hAnsi="宋体"/>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Merge w:val="continue"/>
            <w:vAlign w:val="center"/>
          </w:tcPr>
          <w:p>
            <w:pPr>
              <w:rPr>
                <w:color w:val="000000" w:themeColor="text1"/>
                <w14:textFill>
                  <w14:solidFill>
                    <w14:schemeClr w14:val="tx1"/>
                  </w14:solidFill>
                </w14:textFill>
              </w:rPr>
            </w:pPr>
          </w:p>
        </w:tc>
        <w:tc>
          <w:tcPr>
            <w:tcW w:w="439" w:type="pct"/>
            <w:vAlign w:val="center"/>
          </w:tcPr>
          <w:p>
            <w:pPr>
              <w:rPr>
                <w:color w:val="000000" w:themeColor="text1"/>
                <w14:textFill>
                  <w14:solidFill>
                    <w14:schemeClr w14:val="tx1"/>
                  </w14:solidFill>
                </w14:textFill>
              </w:rPr>
            </w:pPr>
            <w:r>
              <w:rPr>
                <w:rFonts w:hint="eastAsia" w:ascii="宋体" w:hAnsi="宋体"/>
              </w:rPr>
              <w:t>其他</w:t>
            </w:r>
          </w:p>
        </w:tc>
        <w:tc>
          <w:tcPr>
            <w:tcW w:w="452" w:type="pct"/>
          </w:tcPr>
          <w:p>
            <w:pPr>
              <w:pStyle w:val="48"/>
            </w:pPr>
            <w:r>
              <w:rPr>
                <w:rFonts w:hint="eastAsia" w:ascii="宋体" w:hAnsi="宋体"/>
              </w:rPr>
              <w:t>杨泽民、秦惠兰、杨耀、杨秦</w:t>
            </w:r>
          </w:p>
        </w:tc>
        <w:tc>
          <w:tcPr>
            <w:tcW w:w="471" w:type="pct"/>
          </w:tcPr>
          <w:p>
            <w:pPr>
              <w:pStyle w:val="48"/>
            </w:pPr>
            <w:r>
              <w:rPr>
                <w:rFonts w:hint="eastAsia" w:ascii="宋体" w:hAnsi="宋体"/>
              </w:rPr>
              <w:t>避免资金占用的承诺，详见注</w:t>
            </w:r>
            <w:r>
              <w:rPr>
                <w:rFonts w:hint="eastAsia"/>
              </w:rPr>
              <w:t>5</w:t>
            </w:r>
          </w:p>
        </w:tc>
        <w:tc>
          <w:tcPr>
            <w:tcW w:w="483" w:type="pct"/>
            <w:vAlign w:val="center"/>
          </w:tcPr>
          <w:p>
            <w:pPr>
              <w:pStyle w:val="48"/>
            </w:pPr>
            <w:r>
              <w:rPr>
                <w:rFonts w:hint="eastAsia" w:ascii="宋体" w:hAnsi="宋体"/>
              </w:rPr>
              <w:t>注</w:t>
            </w:r>
            <w:r>
              <w:rPr>
                <w:rFonts w:hint="eastAsia"/>
              </w:rPr>
              <w:t>5</w:t>
            </w:r>
          </w:p>
        </w:tc>
        <w:tc>
          <w:tcPr>
            <w:tcW w:w="483" w:type="pct"/>
            <w:vAlign w:val="center"/>
          </w:tcPr>
          <w:p>
            <w:pPr>
              <w:rPr>
                <w:color w:val="000000" w:themeColor="text1"/>
                <w14:textFill>
                  <w14:solidFill>
                    <w14:schemeClr w14:val="tx1"/>
                  </w14:solidFill>
                </w14:textFill>
              </w:rPr>
            </w:pPr>
            <w:r>
              <w:rPr>
                <w:rFonts w:hint="eastAsia" w:ascii="宋体" w:hAnsi="宋体"/>
              </w:rPr>
              <w:t>否</w:t>
            </w:r>
          </w:p>
        </w:tc>
        <w:tc>
          <w:tcPr>
            <w:tcW w:w="475" w:type="pct"/>
            <w:vAlign w:val="center"/>
          </w:tcPr>
          <w:p>
            <w:pPr>
              <w:pStyle w:val="48"/>
            </w:pPr>
            <w:r>
              <w:rPr>
                <w:rFonts w:hint="eastAsia" w:ascii="宋体" w:hAnsi="宋体"/>
              </w:rPr>
              <w:t>注</w:t>
            </w:r>
            <w:r>
              <w:rPr>
                <w:rFonts w:hint="eastAsia"/>
              </w:rPr>
              <w:t>5</w:t>
            </w:r>
          </w:p>
        </w:tc>
        <w:tc>
          <w:tcPr>
            <w:tcW w:w="475" w:type="pct"/>
            <w:vAlign w:val="center"/>
          </w:tcPr>
          <w:p>
            <w:pPr>
              <w:rPr>
                <w:color w:val="000000" w:themeColor="text1"/>
                <w14:textFill>
                  <w14:solidFill>
                    <w14:schemeClr w14:val="tx1"/>
                  </w14:solidFill>
                </w14:textFill>
              </w:rPr>
            </w:pPr>
            <w:r>
              <w:rPr>
                <w:rFonts w:hint="eastAsia" w:ascii="宋体" w:hAnsi="宋体"/>
              </w:rPr>
              <w:t>是</w:t>
            </w:r>
          </w:p>
        </w:tc>
        <w:tc>
          <w:tcPr>
            <w:tcW w:w="548" w:type="pct"/>
            <w:vAlign w:val="center"/>
          </w:tcPr>
          <w:p>
            <w:pPr>
              <w:pStyle w:val="48"/>
            </w:pPr>
            <w:r>
              <w:rPr>
                <w:rFonts w:hint="eastAsia" w:ascii="宋体" w:hAnsi="宋体"/>
              </w:rPr>
              <w:t>不适用</w:t>
            </w:r>
          </w:p>
        </w:tc>
        <w:tc>
          <w:tcPr>
            <w:tcW w:w="436" w:type="pct"/>
            <w:vAlign w:val="center"/>
          </w:tcPr>
          <w:p>
            <w:pPr>
              <w:pStyle w:val="48"/>
            </w:pPr>
            <w:r>
              <w:rPr>
                <w:rFonts w:hint="eastAsia" w:ascii="宋体" w:hAnsi="宋体"/>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Merge w:val="continue"/>
            <w:vAlign w:val="center"/>
          </w:tcPr>
          <w:p>
            <w:pPr>
              <w:rPr>
                <w:color w:val="000000" w:themeColor="text1"/>
                <w14:textFill>
                  <w14:solidFill>
                    <w14:schemeClr w14:val="tx1"/>
                  </w14:solidFill>
                </w14:textFill>
              </w:rPr>
            </w:pPr>
          </w:p>
        </w:tc>
        <w:tc>
          <w:tcPr>
            <w:tcW w:w="439" w:type="pct"/>
            <w:vAlign w:val="center"/>
          </w:tcPr>
          <w:p>
            <w:pPr>
              <w:rPr>
                <w:color w:val="000000" w:themeColor="text1"/>
                <w14:textFill>
                  <w14:solidFill>
                    <w14:schemeClr w14:val="tx1"/>
                  </w14:solidFill>
                </w14:textFill>
              </w:rPr>
            </w:pPr>
            <w:r>
              <w:rPr>
                <w:rFonts w:hint="eastAsia" w:ascii="宋体" w:hAnsi="宋体"/>
              </w:rPr>
              <w:t>其他</w:t>
            </w:r>
          </w:p>
        </w:tc>
        <w:tc>
          <w:tcPr>
            <w:tcW w:w="452" w:type="pct"/>
          </w:tcPr>
          <w:p>
            <w:pPr>
              <w:pStyle w:val="48"/>
            </w:pPr>
            <w:r>
              <w:rPr>
                <w:rFonts w:hint="eastAsia" w:ascii="宋体" w:hAnsi="宋体"/>
              </w:rPr>
              <w:t>公司、杨泽民、秦惠兰、杨耀、杨秦</w:t>
            </w:r>
          </w:p>
        </w:tc>
        <w:tc>
          <w:tcPr>
            <w:tcW w:w="471" w:type="pct"/>
          </w:tcPr>
          <w:p>
            <w:pPr>
              <w:pStyle w:val="48"/>
            </w:pPr>
            <w:r>
              <w:rPr>
                <w:rFonts w:hint="eastAsia" w:ascii="宋体" w:hAnsi="宋体"/>
              </w:rPr>
              <w:t>股份回购和股份购回的措施和承诺，详见注</w:t>
            </w:r>
            <w:r>
              <w:rPr>
                <w:rFonts w:hint="eastAsia"/>
              </w:rPr>
              <w:t>6</w:t>
            </w:r>
          </w:p>
        </w:tc>
        <w:tc>
          <w:tcPr>
            <w:tcW w:w="483" w:type="pct"/>
            <w:vAlign w:val="center"/>
          </w:tcPr>
          <w:p>
            <w:pPr>
              <w:pStyle w:val="48"/>
            </w:pPr>
            <w:r>
              <w:rPr>
                <w:rFonts w:hint="eastAsia" w:ascii="宋体" w:hAnsi="宋体"/>
              </w:rPr>
              <w:t>注</w:t>
            </w:r>
            <w:r>
              <w:rPr>
                <w:rFonts w:hint="eastAsia"/>
              </w:rPr>
              <w:t>6</w:t>
            </w:r>
          </w:p>
        </w:tc>
        <w:tc>
          <w:tcPr>
            <w:tcW w:w="483" w:type="pct"/>
            <w:vAlign w:val="center"/>
          </w:tcPr>
          <w:p>
            <w:pPr>
              <w:rPr>
                <w:color w:val="000000" w:themeColor="text1"/>
                <w14:textFill>
                  <w14:solidFill>
                    <w14:schemeClr w14:val="tx1"/>
                  </w14:solidFill>
                </w14:textFill>
              </w:rPr>
            </w:pPr>
            <w:r>
              <w:rPr>
                <w:rFonts w:hint="eastAsia" w:ascii="宋体" w:hAnsi="宋体"/>
              </w:rPr>
              <w:t>否</w:t>
            </w:r>
          </w:p>
        </w:tc>
        <w:tc>
          <w:tcPr>
            <w:tcW w:w="475" w:type="pct"/>
            <w:vAlign w:val="center"/>
          </w:tcPr>
          <w:p>
            <w:pPr>
              <w:pStyle w:val="48"/>
            </w:pPr>
            <w:r>
              <w:rPr>
                <w:rFonts w:hint="eastAsia" w:ascii="宋体" w:hAnsi="宋体"/>
              </w:rPr>
              <w:t>注</w:t>
            </w:r>
            <w:r>
              <w:rPr>
                <w:rFonts w:hint="eastAsia"/>
              </w:rPr>
              <w:t>6</w:t>
            </w:r>
          </w:p>
        </w:tc>
        <w:tc>
          <w:tcPr>
            <w:tcW w:w="475" w:type="pct"/>
            <w:vAlign w:val="center"/>
          </w:tcPr>
          <w:p>
            <w:pPr>
              <w:rPr>
                <w:color w:val="000000" w:themeColor="text1"/>
                <w14:textFill>
                  <w14:solidFill>
                    <w14:schemeClr w14:val="tx1"/>
                  </w14:solidFill>
                </w14:textFill>
              </w:rPr>
            </w:pPr>
            <w:r>
              <w:rPr>
                <w:rFonts w:hint="eastAsia" w:ascii="宋体" w:hAnsi="宋体"/>
              </w:rPr>
              <w:t>是</w:t>
            </w:r>
          </w:p>
        </w:tc>
        <w:tc>
          <w:tcPr>
            <w:tcW w:w="548" w:type="pct"/>
            <w:vAlign w:val="center"/>
          </w:tcPr>
          <w:p>
            <w:pPr>
              <w:pStyle w:val="48"/>
            </w:pPr>
            <w:r>
              <w:rPr>
                <w:rFonts w:hint="eastAsia" w:ascii="宋体" w:hAnsi="宋体"/>
              </w:rPr>
              <w:t>不适用</w:t>
            </w:r>
          </w:p>
        </w:tc>
        <w:tc>
          <w:tcPr>
            <w:tcW w:w="436" w:type="pct"/>
            <w:vAlign w:val="center"/>
          </w:tcPr>
          <w:p>
            <w:pPr>
              <w:pStyle w:val="48"/>
            </w:pPr>
            <w:r>
              <w:rPr>
                <w:rFonts w:hint="eastAsia" w:ascii="宋体" w:hAnsi="宋体"/>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Merge w:val="continue"/>
            <w:vAlign w:val="center"/>
          </w:tcPr>
          <w:p>
            <w:pPr>
              <w:rPr>
                <w:color w:val="000000" w:themeColor="text1"/>
                <w14:textFill>
                  <w14:solidFill>
                    <w14:schemeClr w14:val="tx1"/>
                  </w14:solidFill>
                </w14:textFill>
              </w:rPr>
            </w:pPr>
          </w:p>
        </w:tc>
        <w:tc>
          <w:tcPr>
            <w:tcW w:w="439" w:type="pct"/>
            <w:vAlign w:val="center"/>
          </w:tcPr>
          <w:p>
            <w:pPr>
              <w:rPr>
                <w:color w:val="000000" w:themeColor="text1"/>
                <w14:textFill>
                  <w14:solidFill>
                    <w14:schemeClr w14:val="tx1"/>
                  </w14:solidFill>
                </w14:textFill>
              </w:rPr>
            </w:pPr>
            <w:r>
              <w:rPr>
                <w:rFonts w:hint="eastAsia" w:ascii="宋体" w:hAnsi="宋体"/>
              </w:rPr>
              <w:t>其他</w:t>
            </w:r>
          </w:p>
        </w:tc>
        <w:tc>
          <w:tcPr>
            <w:tcW w:w="452" w:type="pct"/>
          </w:tcPr>
          <w:p>
            <w:pPr>
              <w:pStyle w:val="48"/>
            </w:pPr>
            <w:r>
              <w:rPr>
                <w:rFonts w:hint="eastAsia" w:ascii="宋体" w:hAnsi="宋体"/>
              </w:rPr>
              <w:t>公司、杨泽民、秦惠兰、杨耀、杨秦、董监高</w:t>
            </w:r>
          </w:p>
        </w:tc>
        <w:tc>
          <w:tcPr>
            <w:tcW w:w="471" w:type="pct"/>
          </w:tcPr>
          <w:p>
            <w:pPr>
              <w:pStyle w:val="48"/>
            </w:pPr>
            <w:r>
              <w:rPr>
                <w:rFonts w:hint="eastAsia" w:ascii="宋体" w:hAnsi="宋体"/>
              </w:rPr>
              <w:t>未履行承诺的约束措施的承诺，详见注</w:t>
            </w:r>
            <w:r>
              <w:rPr>
                <w:rFonts w:hint="eastAsia"/>
              </w:rPr>
              <w:t>7</w:t>
            </w:r>
          </w:p>
        </w:tc>
        <w:tc>
          <w:tcPr>
            <w:tcW w:w="483" w:type="pct"/>
            <w:vAlign w:val="center"/>
          </w:tcPr>
          <w:p>
            <w:pPr>
              <w:pStyle w:val="48"/>
            </w:pPr>
            <w:r>
              <w:rPr>
                <w:rFonts w:hint="eastAsia" w:ascii="宋体" w:hAnsi="宋体"/>
              </w:rPr>
              <w:t>注</w:t>
            </w:r>
            <w:r>
              <w:rPr>
                <w:rFonts w:hint="eastAsia"/>
              </w:rPr>
              <w:t>7</w:t>
            </w:r>
          </w:p>
        </w:tc>
        <w:tc>
          <w:tcPr>
            <w:tcW w:w="483" w:type="pct"/>
            <w:vAlign w:val="center"/>
          </w:tcPr>
          <w:p>
            <w:pPr>
              <w:rPr>
                <w:color w:val="000000" w:themeColor="text1"/>
                <w14:textFill>
                  <w14:solidFill>
                    <w14:schemeClr w14:val="tx1"/>
                  </w14:solidFill>
                </w14:textFill>
              </w:rPr>
            </w:pPr>
            <w:r>
              <w:rPr>
                <w:rFonts w:hint="eastAsia" w:ascii="宋体" w:hAnsi="宋体"/>
              </w:rPr>
              <w:t>否</w:t>
            </w:r>
          </w:p>
        </w:tc>
        <w:tc>
          <w:tcPr>
            <w:tcW w:w="475" w:type="pct"/>
            <w:vAlign w:val="center"/>
          </w:tcPr>
          <w:p>
            <w:pPr>
              <w:pStyle w:val="48"/>
            </w:pPr>
            <w:r>
              <w:rPr>
                <w:rFonts w:hint="eastAsia" w:ascii="宋体" w:hAnsi="宋体"/>
              </w:rPr>
              <w:t>注</w:t>
            </w:r>
            <w:r>
              <w:rPr>
                <w:rFonts w:hint="eastAsia"/>
              </w:rPr>
              <w:t>7</w:t>
            </w:r>
          </w:p>
        </w:tc>
        <w:tc>
          <w:tcPr>
            <w:tcW w:w="475" w:type="pct"/>
            <w:vAlign w:val="center"/>
          </w:tcPr>
          <w:p>
            <w:pPr>
              <w:rPr>
                <w:color w:val="000000" w:themeColor="text1"/>
                <w14:textFill>
                  <w14:solidFill>
                    <w14:schemeClr w14:val="tx1"/>
                  </w14:solidFill>
                </w14:textFill>
              </w:rPr>
            </w:pPr>
            <w:r>
              <w:rPr>
                <w:rFonts w:hint="eastAsia" w:ascii="宋体" w:hAnsi="宋体"/>
              </w:rPr>
              <w:t>是</w:t>
            </w:r>
          </w:p>
        </w:tc>
        <w:tc>
          <w:tcPr>
            <w:tcW w:w="548" w:type="pct"/>
            <w:vAlign w:val="center"/>
          </w:tcPr>
          <w:p>
            <w:pPr>
              <w:pStyle w:val="48"/>
            </w:pPr>
            <w:r>
              <w:rPr>
                <w:rFonts w:hint="eastAsia" w:ascii="宋体" w:hAnsi="宋体"/>
              </w:rPr>
              <w:t>不适用</w:t>
            </w:r>
          </w:p>
        </w:tc>
        <w:tc>
          <w:tcPr>
            <w:tcW w:w="436" w:type="pct"/>
            <w:vAlign w:val="center"/>
          </w:tcPr>
          <w:p>
            <w:pPr>
              <w:pStyle w:val="48"/>
            </w:pPr>
            <w:r>
              <w:rPr>
                <w:rFonts w:hint="eastAsia" w:ascii="宋体" w:hAnsi="宋体"/>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Merge w:val="restar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与再融资相关的承诺</w:t>
            </w:r>
          </w:p>
        </w:tc>
        <w:sdt>
          <w:sdtPr>
            <w:rPr>
              <w:color w:val="000000" w:themeColor="text1"/>
              <w14:textFill>
                <w14:solidFill>
                  <w14:schemeClr w14:val="tx1"/>
                </w14:solidFill>
              </w14:textFill>
            </w:rPr>
            <w:alias w:val="与再融资相关的承诺-承诺类型"/>
            <w:tag w:val="_GBC_7184dc3b7ba745be9df82d8c95f5c4c3"/>
            <w:id w:val="1602762117"/>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color w:val="000000" w:themeColor="text1"/>
              <w14:textFill>
                <w14:solidFill>
                  <w14:schemeClr w14:val="tx1"/>
                </w14:solidFill>
              </w14:textFill>
            </w:rPr>
          </w:sdtEndPr>
          <w:sdtContent>
            <w:tc>
              <w:tcPr>
                <w:tcW w:w="439"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股份限售</w:t>
                </w:r>
              </w:p>
            </w:tc>
          </w:sdtContent>
        </w:sdt>
        <w:tc>
          <w:tcPr>
            <w:tcW w:w="452" w:type="pct"/>
            <w:vAlign w:val="center"/>
          </w:tcPr>
          <w:p>
            <w:pPr>
              <w:pStyle w:val="48"/>
            </w:pPr>
            <w:r>
              <w:rPr>
                <w:rFonts w:hint="eastAsia"/>
              </w:rPr>
              <w:t>杨泽民、杨耀控制的企业“</w:t>
            </w:r>
            <w:r>
              <w:t>重庆耀泽商业管理有限公司</w:t>
            </w:r>
            <w:r>
              <w:rPr>
                <w:rFonts w:hint="eastAsia"/>
              </w:rPr>
              <w:t>”</w:t>
            </w:r>
          </w:p>
        </w:tc>
        <w:tc>
          <w:tcPr>
            <w:tcW w:w="471" w:type="pct"/>
            <w:vAlign w:val="center"/>
          </w:tcPr>
          <w:p>
            <w:pPr>
              <w:pStyle w:val="48"/>
            </w:pPr>
            <w:r>
              <w:t>发行对象关于股份锁定的承诺函</w:t>
            </w:r>
            <w:r>
              <w:rPr>
                <w:rFonts w:hint="eastAsia"/>
              </w:rPr>
              <w:t>，详见注8</w:t>
            </w:r>
          </w:p>
        </w:tc>
        <w:tc>
          <w:tcPr>
            <w:tcW w:w="483" w:type="pct"/>
            <w:vAlign w:val="center"/>
          </w:tcPr>
          <w:p>
            <w:pPr>
              <w:pStyle w:val="48"/>
            </w:pPr>
            <w:r>
              <w:rPr>
                <w:rFonts w:hint="eastAsia"/>
              </w:rPr>
              <w:t>注8</w:t>
            </w:r>
          </w:p>
        </w:tc>
        <w:sdt>
          <w:sdtPr>
            <w:rPr>
              <w:color w:val="000000" w:themeColor="text1"/>
              <w14:textFill>
                <w14:solidFill>
                  <w14:schemeClr w14:val="tx1"/>
                </w14:solidFill>
              </w14:textFill>
            </w:rPr>
            <w:alias w:val="与再融资相关的承诺-是否有履行期限"/>
            <w:tag w:val="_GBC_77634daf8466492580d11262325f7c2c"/>
            <w:id w:val="330098517"/>
            <w:comboBox>
              <w:listItem w:displayText="是" w:value="true"/>
              <w:listItem w:displayText="否" w:value="false"/>
            </w:comboBox>
          </w:sdtPr>
          <w:sdtEndPr>
            <w:rPr>
              <w:color w:val="000000" w:themeColor="text1"/>
              <w14:textFill>
                <w14:solidFill>
                  <w14:schemeClr w14:val="tx1"/>
                </w14:solidFill>
              </w14:textFill>
            </w:rPr>
          </w:sdtEndPr>
          <w:sdtContent>
            <w:tc>
              <w:tcPr>
                <w:tcW w:w="48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是</w:t>
                </w:r>
              </w:p>
            </w:tc>
          </w:sdtContent>
        </w:sdt>
        <w:tc>
          <w:tcPr>
            <w:tcW w:w="475" w:type="pct"/>
            <w:vAlign w:val="center"/>
          </w:tcPr>
          <w:p>
            <w:pPr>
              <w:pStyle w:val="48"/>
            </w:pPr>
            <w:r>
              <w:t>注8</w:t>
            </w:r>
          </w:p>
        </w:tc>
        <w:sdt>
          <w:sdtPr>
            <w:rPr>
              <w:color w:val="000000" w:themeColor="text1"/>
              <w14:textFill>
                <w14:solidFill>
                  <w14:schemeClr w14:val="tx1"/>
                </w14:solidFill>
              </w14:textFill>
            </w:rPr>
            <w:alias w:val="与再融资相关的承诺-是否及时严格履行"/>
            <w:tag w:val="_GBC_d1b20eaba6ae4f6fa79aa8a484b852d3"/>
            <w:id w:val="-820124874"/>
            <w:comboBox>
              <w:listItem w:displayText="是" w:value="true"/>
              <w:listItem w:displayText="否" w:value="false"/>
            </w:comboBox>
          </w:sdtPr>
          <w:sdtEndPr>
            <w:rPr>
              <w:color w:val="000000" w:themeColor="text1"/>
              <w14:textFill>
                <w14:solidFill>
                  <w14:schemeClr w14:val="tx1"/>
                </w14:solidFill>
              </w14:textFill>
            </w:rPr>
          </w:sdtEndPr>
          <w:sdtContent>
            <w:tc>
              <w:tcPr>
                <w:tcW w:w="475"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是</w:t>
                </w:r>
              </w:p>
            </w:tc>
          </w:sdtContent>
        </w:sdt>
        <w:tc>
          <w:tcPr>
            <w:tcW w:w="548" w:type="pct"/>
            <w:vAlign w:val="center"/>
          </w:tcPr>
          <w:p>
            <w:pPr>
              <w:pStyle w:val="48"/>
            </w:pPr>
            <w:r>
              <w:rPr>
                <w:rFonts w:hint="eastAsia"/>
              </w:rPr>
              <w:t>不适用</w:t>
            </w:r>
          </w:p>
        </w:tc>
        <w:tc>
          <w:tcPr>
            <w:tcW w:w="436" w:type="pct"/>
            <w:vAlign w:val="center"/>
          </w:tcPr>
          <w:p>
            <w:pPr>
              <w:pStyle w:val="48"/>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Merge w:val="continue"/>
            <w:vAlign w:val="center"/>
          </w:tcPr>
          <w:p>
            <w:pPr>
              <w:pStyle w:val="48"/>
            </w:pPr>
          </w:p>
        </w:tc>
        <w:sdt>
          <w:sdtPr>
            <w:rPr>
              <w:color w:val="000000" w:themeColor="text1"/>
              <w14:textFill>
                <w14:solidFill>
                  <w14:schemeClr w14:val="tx1"/>
                </w14:solidFill>
              </w14:textFill>
            </w:rPr>
            <w:alias w:val="与再融资相关的承诺-承诺类型"/>
            <w:tag w:val="_GBC_7184dc3b7ba745be9df82d8c95f5c4c3"/>
            <w:id w:val="1014883670"/>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rPr>
              <w:color w:val="000000" w:themeColor="text1"/>
              <w14:textFill>
                <w14:solidFill>
                  <w14:schemeClr w14:val="tx1"/>
                </w14:solidFill>
              </w14:textFill>
            </w:rPr>
          </w:sdtEndPr>
          <w:sdtContent>
            <w:tc>
              <w:tcPr>
                <w:tcW w:w="439"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其他</w:t>
                </w:r>
              </w:p>
            </w:tc>
          </w:sdtContent>
        </w:sdt>
        <w:tc>
          <w:tcPr>
            <w:tcW w:w="452" w:type="pct"/>
            <w:vAlign w:val="center"/>
          </w:tcPr>
          <w:p>
            <w:pPr>
              <w:pStyle w:val="48"/>
            </w:pPr>
            <w:r>
              <w:t>杨泽民、杨耀控制的企业“重庆耀泽商业管理有限公司”</w:t>
            </w:r>
          </w:p>
        </w:tc>
        <w:tc>
          <w:tcPr>
            <w:tcW w:w="471" w:type="pct"/>
            <w:vAlign w:val="center"/>
          </w:tcPr>
          <w:p>
            <w:pPr>
              <w:pStyle w:val="48"/>
            </w:pPr>
            <w:r>
              <w:t>发行对象关于本次认购资金来源的承诺函</w:t>
            </w:r>
            <w:r>
              <w:rPr>
                <w:rFonts w:hint="eastAsia"/>
              </w:rPr>
              <w:t>，</w:t>
            </w:r>
            <w:r>
              <w:t>详见注</w:t>
            </w:r>
            <w:r>
              <w:rPr>
                <w:rFonts w:hint="eastAsia"/>
              </w:rPr>
              <w:t>9</w:t>
            </w:r>
          </w:p>
        </w:tc>
        <w:tc>
          <w:tcPr>
            <w:tcW w:w="483" w:type="pct"/>
            <w:vAlign w:val="center"/>
          </w:tcPr>
          <w:p>
            <w:pPr>
              <w:pStyle w:val="48"/>
            </w:pPr>
            <w:r>
              <w:rPr>
                <w:rFonts w:hint="eastAsia"/>
              </w:rPr>
              <w:t>注9</w:t>
            </w:r>
          </w:p>
        </w:tc>
        <w:sdt>
          <w:sdtPr>
            <w:rPr>
              <w:color w:val="000000" w:themeColor="text1"/>
              <w14:textFill>
                <w14:solidFill>
                  <w14:schemeClr w14:val="tx1"/>
                </w14:solidFill>
              </w14:textFill>
            </w:rPr>
            <w:alias w:val="与再融资相关的承诺-是否有履行期限"/>
            <w:tag w:val="_GBC_77634daf8466492580d11262325f7c2c"/>
            <w:id w:val="-605888567"/>
            <w:comboBox>
              <w:listItem w:displayText="是" w:value="true"/>
              <w:listItem w:displayText="否" w:value="false"/>
            </w:comboBox>
          </w:sdtPr>
          <w:sdtEndPr>
            <w:rPr>
              <w:color w:val="000000" w:themeColor="text1"/>
              <w14:textFill>
                <w14:solidFill>
                  <w14:schemeClr w14:val="tx1"/>
                </w14:solidFill>
              </w14:textFill>
            </w:rPr>
          </w:sdtEndPr>
          <w:sdtContent>
            <w:tc>
              <w:tcPr>
                <w:tcW w:w="48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否</w:t>
                </w:r>
              </w:p>
            </w:tc>
          </w:sdtContent>
        </w:sdt>
        <w:tc>
          <w:tcPr>
            <w:tcW w:w="475" w:type="pct"/>
            <w:vAlign w:val="center"/>
          </w:tcPr>
          <w:p>
            <w:pPr>
              <w:pStyle w:val="48"/>
            </w:pPr>
            <w:r>
              <w:t>注</w:t>
            </w:r>
            <w:r>
              <w:rPr>
                <w:rFonts w:hint="eastAsia"/>
              </w:rPr>
              <w:t>9</w:t>
            </w:r>
          </w:p>
        </w:tc>
        <w:sdt>
          <w:sdtPr>
            <w:rPr>
              <w:color w:val="000000" w:themeColor="text1"/>
              <w14:textFill>
                <w14:solidFill>
                  <w14:schemeClr w14:val="tx1"/>
                </w14:solidFill>
              </w14:textFill>
            </w:rPr>
            <w:alias w:val="与再融资相关的承诺-是否及时严格履行"/>
            <w:tag w:val="_GBC_d1b20eaba6ae4f6fa79aa8a484b852d3"/>
            <w:id w:val="573094054"/>
            <w:comboBox>
              <w:listItem w:displayText="是" w:value="true"/>
              <w:listItem w:displayText="否" w:value="false"/>
            </w:comboBox>
          </w:sdtPr>
          <w:sdtEndPr>
            <w:rPr>
              <w:color w:val="000000" w:themeColor="text1"/>
              <w14:textFill>
                <w14:solidFill>
                  <w14:schemeClr w14:val="tx1"/>
                </w14:solidFill>
              </w14:textFill>
            </w:rPr>
          </w:sdtEndPr>
          <w:sdtContent>
            <w:tc>
              <w:tcPr>
                <w:tcW w:w="475"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是</w:t>
                </w:r>
              </w:p>
            </w:tc>
          </w:sdtContent>
        </w:sdt>
        <w:tc>
          <w:tcPr>
            <w:tcW w:w="548" w:type="pct"/>
            <w:vAlign w:val="center"/>
          </w:tcPr>
          <w:p>
            <w:pPr>
              <w:pStyle w:val="48"/>
            </w:pPr>
            <w:r>
              <w:rPr>
                <w:rFonts w:hint="eastAsia"/>
              </w:rPr>
              <w:t>不适用</w:t>
            </w:r>
          </w:p>
        </w:tc>
        <w:tc>
          <w:tcPr>
            <w:tcW w:w="436" w:type="pct"/>
            <w:vAlign w:val="center"/>
          </w:tcPr>
          <w:p>
            <w:pPr>
              <w:pStyle w:val="48"/>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Align w:val="center"/>
          </w:tcPr>
          <w:p>
            <w:pPr>
              <w:pStyle w:val="48"/>
            </w:pPr>
          </w:p>
        </w:tc>
        <w:tc>
          <w:tcPr>
            <w:tcW w:w="439"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c>
          <w:tcPr>
            <w:tcW w:w="452" w:type="pct"/>
            <w:vAlign w:val="center"/>
          </w:tcPr>
          <w:p>
            <w:pPr>
              <w:pStyle w:val="48"/>
            </w:pPr>
            <w:r>
              <w:t>杨泽民、杨耀控制的企业“重庆耀泽商业管理有限公司”</w:t>
            </w:r>
          </w:p>
        </w:tc>
        <w:tc>
          <w:tcPr>
            <w:tcW w:w="471" w:type="pct"/>
            <w:vAlign w:val="center"/>
          </w:tcPr>
          <w:p>
            <w:pPr>
              <w:pStyle w:val="48"/>
            </w:pPr>
            <w:r>
              <w:rPr>
                <w:rFonts w:hint="eastAsia"/>
              </w:rPr>
              <w:t>关于从定价基准日至本次发行完成后六个月内</w:t>
            </w:r>
          </w:p>
          <w:p>
            <w:pPr>
              <w:pStyle w:val="48"/>
            </w:pPr>
            <w:r>
              <w:rPr>
                <w:rFonts w:hint="eastAsia"/>
              </w:rPr>
              <w:t>不减持发行人股份的承诺函，详见注10</w:t>
            </w:r>
          </w:p>
        </w:tc>
        <w:tc>
          <w:tcPr>
            <w:tcW w:w="483" w:type="pct"/>
            <w:vAlign w:val="center"/>
          </w:tcPr>
          <w:p>
            <w:pPr>
              <w:pStyle w:val="48"/>
            </w:pPr>
            <w:r>
              <w:rPr>
                <w:rFonts w:hint="eastAsia"/>
              </w:rPr>
              <w:t>注10</w:t>
            </w:r>
          </w:p>
        </w:tc>
        <w:sdt>
          <w:sdtPr>
            <w:rPr>
              <w:color w:val="000000" w:themeColor="text1"/>
              <w14:textFill>
                <w14:solidFill>
                  <w14:schemeClr w14:val="tx1"/>
                </w14:solidFill>
              </w14:textFill>
            </w:rPr>
            <w:alias w:val="与再融资相关的承诺-是否有履行期限"/>
            <w:tag w:val="_GBC_77634daf8466492580d11262325f7c2c"/>
            <w:id w:val="577798466"/>
            <w:comboBox>
              <w:listItem w:displayText="是" w:value="true"/>
              <w:listItem w:displayText="否" w:value="false"/>
            </w:comboBox>
          </w:sdtPr>
          <w:sdtEndPr>
            <w:rPr>
              <w:color w:val="000000" w:themeColor="text1"/>
              <w14:textFill>
                <w14:solidFill>
                  <w14:schemeClr w14:val="tx1"/>
                </w14:solidFill>
              </w14:textFill>
            </w:rPr>
          </w:sdtEndPr>
          <w:sdtContent>
            <w:tc>
              <w:tcPr>
                <w:tcW w:w="48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是</w:t>
                </w:r>
              </w:p>
            </w:tc>
          </w:sdtContent>
        </w:sdt>
        <w:tc>
          <w:tcPr>
            <w:tcW w:w="475" w:type="pct"/>
            <w:vAlign w:val="center"/>
          </w:tcPr>
          <w:p>
            <w:pPr>
              <w:pStyle w:val="48"/>
            </w:pPr>
            <w:r>
              <w:t>注</w:t>
            </w:r>
            <w:r>
              <w:rPr>
                <w:rFonts w:hint="eastAsia"/>
              </w:rPr>
              <w:t>10</w:t>
            </w:r>
          </w:p>
        </w:tc>
        <w:sdt>
          <w:sdtPr>
            <w:rPr>
              <w:color w:val="000000" w:themeColor="text1"/>
              <w14:textFill>
                <w14:solidFill>
                  <w14:schemeClr w14:val="tx1"/>
                </w14:solidFill>
              </w14:textFill>
            </w:rPr>
            <w:alias w:val="与再融资相关的承诺-是否及时严格履行"/>
            <w:tag w:val="_GBC_d1b20eaba6ae4f6fa79aa8a484b852d3"/>
            <w:id w:val="1835343888"/>
            <w:comboBox>
              <w:listItem w:displayText="是" w:value="true"/>
              <w:listItem w:displayText="否" w:value="false"/>
            </w:comboBox>
          </w:sdtPr>
          <w:sdtEndPr>
            <w:rPr>
              <w:color w:val="000000" w:themeColor="text1"/>
              <w14:textFill>
                <w14:solidFill>
                  <w14:schemeClr w14:val="tx1"/>
                </w14:solidFill>
              </w14:textFill>
            </w:rPr>
          </w:sdtEndPr>
          <w:sdtContent>
            <w:tc>
              <w:tcPr>
                <w:tcW w:w="475"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是</w:t>
                </w:r>
              </w:p>
            </w:tc>
          </w:sdtContent>
        </w:sdt>
        <w:tc>
          <w:tcPr>
            <w:tcW w:w="548" w:type="pct"/>
            <w:vAlign w:val="center"/>
          </w:tcPr>
          <w:p>
            <w:pPr>
              <w:pStyle w:val="48"/>
            </w:pPr>
            <w:r>
              <w:rPr>
                <w:rFonts w:hint="eastAsia"/>
              </w:rPr>
              <w:t>不适用</w:t>
            </w:r>
          </w:p>
        </w:tc>
        <w:tc>
          <w:tcPr>
            <w:tcW w:w="436" w:type="pct"/>
          </w:tcPr>
          <w:p>
            <w:pPr>
              <w:pStyle w:val="48"/>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Align w:val="center"/>
          </w:tcPr>
          <w:p>
            <w:pPr>
              <w:pStyle w:val="48"/>
            </w:pPr>
          </w:p>
        </w:tc>
        <w:tc>
          <w:tcPr>
            <w:tcW w:w="439"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c>
          <w:tcPr>
            <w:tcW w:w="452" w:type="pct"/>
            <w:vAlign w:val="center"/>
          </w:tcPr>
          <w:p>
            <w:pPr>
              <w:pStyle w:val="48"/>
            </w:pPr>
            <w:r>
              <w:t>杨泽民、杨耀控制的企业“重庆耀泽商业管理有限公司”</w:t>
            </w:r>
          </w:p>
        </w:tc>
        <w:tc>
          <w:tcPr>
            <w:tcW w:w="471" w:type="pct"/>
            <w:vAlign w:val="center"/>
          </w:tcPr>
          <w:p>
            <w:pPr>
              <w:pStyle w:val="48"/>
            </w:pPr>
            <w:r>
              <w:t>关于本次发行最低认购股票数量及金额的承诺函</w:t>
            </w:r>
            <w:r>
              <w:rPr>
                <w:rFonts w:hint="eastAsia"/>
              </w:rPr>
              <w:t>，详见注11</w:t>
            </w:r>
          </w:p>
        </w:tc>
        <w:tc>
          <w:tcPr>
            <w:tcW w:w="483" w:type="pct"/>
            <w:vAlign w:val="center"/>
          </w:tcPr>
          <w:p>
            <w:pPr>
              <w:pStyle w:val="48"/>
            </w:pPr>
            <w:r>
              <w:rPr>
                <w:rFonts w:hint="eastAsia"/>
              </w:rPr>
              <w:t>注11</w:t>
            </w:r>
          </w:p>
        </w:tc>
        <w:sdt>
          <w:sdtPr>
            <w:rPr>
              <w:color w:val="000000" w:themeColor="text1"/>
              <w14:textFill>
                <w14:solidFill>
                  <w14:schemeClr w14:val="tx1"/>
                </w14:solidFill>
              </w14:textFill>
            </w:rPr>
            <w:alias w:val="与再融资相关的承诺-是否有履行期限"/>
            <w:tag w:val="_GBC_77634daf8466492580d11262325f7c2c"/>
            <w:id w:val="900716974"/>
            <w:comboBox>
              <w:listItem w:displayText="是" w:value="true"/>
              <w:listItem w:displayText="否" w:value="false"/>
            </w:comboBox>
          </w:sdtPr>
          <w:sdtEndPr>
            <w:rPr>
              <w:color w:val="000000" w:themeColor="text1"/>
              <w14:textFill>
                <w14:solidFill>
                  <w14:schemeClr w14:val="tx1"/>
                </w14:solidFill>
              </w14:textFill>
            </w:rPr>
          </w:sdtEndPr>
          <w:sdtContent>
            <w:tc>
              <w:tcPr>
                <w:tcW w:w="48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否</w:t>
                </w:r>
              </w:p>
            </w:tc>
          </w:sdtContent>
        </w:sdt>
        <w:tc>
          <w:tcPr>
            <w:tcW w:w="475" w:type="pct"/>
            <w:vAlign w:val="center"/>
          </w:tcPr>
          <w:p>
            <w:pPr>
              <w:pStyle w:val="48"/>
            </w:pPr>
            <w:r>
              <w:t>注</w:t>
            </w:r>
            <w:r>
              <w:rPr>
                <w:rFonts w:hint="eastAsia"/>
              </w:rPr>
              <w:t>11</w:t>
            </w:r>
          </w:p>
        </w:tc>
        <w:sdt>
          <w:sdtPr>
            <w:rPr>
              <w:color w:val="000000" w:themeColor="text1"/>
              <w14:textFill>
                <w14:solidFill>
                  <w14:schemeClr w14:val="tx1"/>
                </w14:solidFill>
              </w14:textFill>
            </w:rPr>
            <w:alias w:val="与再融资相关的承诺-是否及时严格履行"/>
            <w:tag w:val="_GBC_d1b20eaba6ae4f6fa79aa8a484b852d3"/>
            <w:id w:val="-911460105"/>
            <w:comboBox>
              <w:listItem w:displayText="是" w:value="true"/>
              <w:listItem w:displayText="否" w:value="false"/>
            </w:comboBox>
          </w:sdtPr>
          <w:sdtEndPr>
            <w:rPr>
              <w:color w:val="000000" w:themeColor="text1"/>
              <w14:textFill>
                <w14:solidFill>
                  <w14:schemeClr w14:val="tx1"/>
                </w14:solidFill>
              </w14:textFill>
            </w:rPr>
          </w:sdtEndPr>
          <w:sdtContent>
            <w:tc>
              <w:tcPr>
                <w:tcW w:w="475"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是</w:t>
                </w:r>
              </w:p>
            </w:tc>
          </w:sdtContent>
        </w:sdt>
        <w:tc>
          <w:tcPr>
            <w:tcW w:w="548" w:type="pct"/>
            <w:vAlign w:val="center"/>
          </w:tcPr>
          <w:p>
            <w:pPr>
              <w:pStyle w:val="48"/>
            </w:pPr>
            <w:r>
              <w:rPr>
                <w:rFonts w:hint="eastAsia"/>
              </w:rPr>
              <w:t>不适用</w:t>
            </w:r>
          </w:p>
        </w:tc>
        <w:tc>
          <w:tcPr>
            <w:tcW w:w="436" w:type="pct"/>
          </w:tcPr>
          <w:p>
            <w:pPr>
              <w:pStyle w:val="48"/>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Align w:val="center"/>
          </w:tcPr>
          <w:p>
            <w:pPr>
              <w:pStyle w:val="48"/>
            </w:pPr>
          </w:p>
        </w:tc>
        <w:tc>
          <w:tcPr>
            <w:tcW w:w="439"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c>
          <w:tcPr>
            <w:tcW w:w="452" w:type="pct"/>
            <w:vAlign w:val="center"/>
          </w:tcPr>
          <w:p>
            <w:pPr>
              <w:pStyle w:val="48"/>
            </w:pPr>
            <w:r>
              <w:rPr>
                <w:rFonts w:hint="eastAsia"/>
              </w:rPr>
              <w:t>杨泽民、秦惠兰、杨秦、杨耀</w:t>
            </w:r>
          </w:p>
        </w:tc>
        <w:tc>
          <w:tcPr>
            <w:tcW w:w="471" w:type="pct"/>
            <w:vAlign w:val="center"/>
          </w:tcPr>
          <w:p>
            <w:pPr>
              <w:pStyle w:val="48"/>
            </w:pPr>
            <w:r>
              <w:rPr>
                <w:rFonts w:hint="eastAsia"/>
              </w:rPr>
              <w:t>控股股东及实际控制人</w:t>
            </w:r>
          </w:p>
          <w:p>
            <w:pPr>
              <w:pStyle w:val="48"/>
            </w:pPr>
            <w:r>
              <w:rPr>
                <w:rFonts w:hint="eastAsia"/>
              </w:rPr>
              <w:t>关于公司向特定对象发行股票填补回报措施</w:t>
            </w:r>
          </w:p>
          <w:p>
            <w:pPr>
              <w:pStyle w:val="48"/>
            </w:pPr>
            <w:r>
              <w:rPr>
                <w:rFonts w:hint="eastAsia"/>
              </w:rPr>
              <w:t>能够切实履行的承诺函，详见注12</w:t>
            </w:r>
          </w:p>
        </w:tc>
        <w:tc>
          <w:tcPr>
            <w:tcW w:w="483" w:type="pct"/>
            <w:vAlign w:val="center"/>
          </w:tcPr>
          <w:p>
            <w:pPr>
              <w:pStyle w:val="48"/>
            </w:pPr>
            <w:r>
              <w:rPr>
                <w:rFonts w:hint="eastAsia"/>
              </w:rPr>
              <w:t>注12</w:t>
            </w:r>
          </w:p>
        </w:tc>
        <w:sdt>
          <w:sdtPr>
            <w:rPr>
              <w:color w:val="000000" w:themeColor="text1"/>
              <w14:textFill>
                <w14:solidFill>
                  <w14:schemeClr w14:val="tx1"/>
                </w14:solidFill>
              </w14:textFill>
            </w:rPr>
            <w:alias w:val="与再融资相关的承诺-是否有履行期限"/>
            <w:tag w:val="_GBC_77634daf8466492580d11262325f7c2c"/>
            <w:id w:val="-547915755"/>
            <w:comboBox>
              <w:listItem w:displayText="是" w:value="true"/>
              <w:listItem w:displayText="否" w:value="false"/>
            </w:comboBox>
          </w:sdtPr>
          <w:sdtEndPr>
            <w:rPr>
              <w:color w:val="000000" w:themeColor="text1"/>
              <w14:textFill>
                <w14:solidFill>
                  <w14:schemeClr w14:val="tx1"/>
                </w14:solidFill>
              </w14:textFill>
            </w:rPr>
          </w:sdtEndPr>
          <w:sdtContent>
            <w:tc>
              <w:tcPr>
                <w:tcW w:w="48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否</w:t>
                </w:r>
              </w:p>
            </w:tc>
          </w:sdtContent>
        </w:sdt>
        <w:tc>
          <w:tcPr>
            <w:tcW w:w="475" w:type="pct"/>
            <w:vAlign w:val="center"/>
          </w:tcPr>
          <w:p>
            <w:pPr>
              <w:pStyle w:val="48"/>
            </w:pPr>
            <w:r>
              <w:t>注</w:t>
            </w:r>
            <w:r>
              <w:rPr>
                <w:rFonts w:hint="eastAsia"/>
              </w:rPr>
              <w:t>12</w:t>
            </w:r>
          </w:p>
        </w:tc>
        <w:sdt>
          <w:sdtPr>
            <w:rPr>
              <w:color w:val="000000" w:themeColor="text1"/>
              <w14:textFill>
                <w14:solidFill>
                  <w14:schemeClr w14:val="tx1"/>
                </w14:solidFill>
              </w14:textFill>
            </w:rPr>
            <w:alias w:val="与再融资相关的承诺-是否及时严格履行"/>
            <w:tag w:val="_GBC_d1b20eaba6ae4f6fa79aa8a484b852d3"/>
            <w:id w:val="1281074347"/>
            <w:comboBox>
              <w:listItem w:displayText="是" w:value="true"/>
              <w:listItem w:displayText="否" w:value="false"/>
            </w:comboBox>
          </w:sdtPr>
          <w:sdtEndPr>
            <w:rPr>
              <w:color w:val="000000" w:themeColor="text1"/>
              <w14:textFill>
                <w14:solidFill>
                  <w14:schemeClr w14:val="tx1"/>
                </w14:solidFill>
              </w14:textFill>
            </w:rPr>
          </w:sdtEndPr>
          <w:sdtContent>
            <w:tc>
              <w:tcPr>
                <w:tcW w:w="475"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是</w:t>
                </w:r>
              </w:p>
            </w:tc>
          </w:sdtContent>
        </w:sdt>
        <w:tc>
          <w:tcPr>
            <w:tcW w:w="548" w:type="pct"/>
            <w:vAlign w:val="center"/>
          </w:tcPr>
          <w:p>
            <w:pPr>
              <w:pStyle w:val="48"/>
            </w:pPr>
            <w:r>
              <w:rPr>
                <w:rFonts w:hint="eastAsia"/>
              </w:rPr>
              <w:t>不适用</w:t>
            </w:r>
          </w:p>
        </w:tc>
        <w:tc>
          <w:tcPr>
            <w:tcW w:w="436" w:type="pct"/>
          </w:tcPr>
          <w:p>
            <w:pPr>
              <w:pStyle w:val="48"/>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Align w:val="center"/>
          </w:tcPr>
          <w:p>
            <w:pPr>
              <w:pStyle w:val="48"/>
            </w:pPr>
          </w:p>
        </w:tc>
        <w:tc>
          <w:tcPr>
            <w:tcW w:w="439" w:type="pct"/>
          </w:tcPr>
          <w:p>
            <w:pPr>
              <w:rPr>
                <w:color w:val="000000" w:themeColor="text1"/>
                <w14:textFill>
                  <w14:solidFill>
                    <w14:schemeClr w14:val="tx1"/>
                  </w14:solidFill>
                </w14:textFill>
              </w:rPr>
            </w:pPr>
          </w:p>
        </w:tc>
        <w:tc>
          <w:tcPr>
            <w:tcW w:w="452" w:type="pct"/>
            <w:vAlign w:val="center"/>
          </w:tcPr>
          <w:p>
            <w:pPr>
              <w:pStyle w:val="48"/>
            </w:pPr>
            <w:r>
              <w:rPr>
                <w:rFonts w:hint="eastAsia"/>
              </w:rPr>
              <w:t>董事、高管</w:t>
            </w:r>
          </w:p>
        </w:tc>
        <w:tc>
          <w:tcPr>
            <w:tcW w:w="471" w:type="pct"/>
            <w:vAlign w:val="center"/>
          </w:tcPr>
          <w:p>
            <w:pPr>
              <w:pStyle w:val="48"/>
            </w:pPr>
            <w:r>
              <w:rPr>
                <w:rFonts w:hint="eastAsia"/>
              </w:rPr>
              <w:t>董事、高级管理人员</w:t>
            </w:r>
          </w:p>
          <w:p>
            <w:pPr>
              <w:pStyle w:val="48"/>
            </w:pPr>
            <w:r>
              <w:rPr>
                <w:rFonts w:hint="eastAsia"/>
              </w:rPr>
              <w:t>关于公司向特定对象发行股票填补回报措施</w:t>
            </w:r>
          </w:p>
          <w:p>
            <w:pPr>
              <w:pStyle w:val="48"/>
            </w:pPr>
            <w:r>
              <w:rPr>
                <w:rFonts w:hint="eastAsia"/>
              </w:rPr>
              <w:t>能够切实履行的承诺函，详见注13</w:t>
            </w:r>
          </w:p>
        </w:tc>
        <w:tc>
          <w:tcPr>
            <w:tcW w:w="483" w:type="pct"/>
            <w:vAlign w:val="center"/>
          </w:tcPr>
          <w:p>
            <w:pPr>
              <w:pStyle w:val="48"/>
            </w:pPr>
            <w:r>
              <w:rPr>
                <w:rFonts w:hint="eastAsia"/>
              </w:rPr>
              <w:t>注13</w:t>
            </w:r>
          </w:p>
        </w:tc>
        <w:sdt>
          <w:sdtPr>
            <w:rPr>
              <w:color w:val="000000" w:themeColor="text1"/>
              <w14:textFill>
                <w14:solidFill>
                  <w14:schemeClr w14:val="tx1"/>
                </w14:solidFill>
              </w14:textFill>
            </w:rPr>
            <w:alias w:val="与再融资相关的承诺-是否有履行期限"/>
            <w:tag w:val="_GBC_77634daf8466492580d11262325f7c2c"/>
            <w:id w:val="1057589949"/>
            <w:comboBox>
              <w:listItem w:displayText="是" w:value="true"/>
              <w:listItem w:displayText="否" w:value="false"/>
            </w:comboBox>
          </w:sdtPr>
          <w:sdtEndPr>
            <w:rPr>
              <w:color w:val="000000" w:themeColor="text1"/>
              <w14:textFill>
                <w14:solidFill>
                  <w14:schemeClr w14:val="tx1"/>
                </w14:solidFill>
              </w14:textFill>
            </w:rPr>
          </w:sdtEndPr>
          <w:sdtContent>
            <w:tc>
              <w:tcPr>
                <w:tcW w:w="48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否</w:t>
                </w:r>
              </w:p>
            </w:tc>
          </w:sdtContent>
        </w:sdt>
        <w:tc>
          <w:tcPr>
            <w:tcW w:w="475" w:type="pct"/>
            <w:vAlign w:val="center"/>
          </w:tcPr>
          <w:p>
            <w:pPr>
              <w:pStyle w:val="48"/>
            </w:pPr>
            <w:r>
              <w:t>注</w:t>
            </w:r>
            <w:r>
              <w:rPr>
                <w:rFonts w:hint="eastAsia"/>
              </w:rPr>
              <w:t>13</w:t>
            </w:r>
          </w:p>
        </w:tc>
        <w:sdt>
          <w:sdtPr>
            <w:rPr>
              <w:color w:val="000000" w:themeColor="text1"/>
              <w14:textFill>
                <w14:solidFill>
                  <w14:schemeClr w14:val="tx1"/>
                </w14:solidFill>
              </w14:textFill>
            </w:rPr>
            <w:alias w:val="与再融资相关的承诺-是否及时严格履行"/>
            <w:tag w:val="_GBC_d1b20eaba6ae4f6fa79aa8a484b852d3"/>
            <w:id w:val="1078558307"/>
            <w:comboBox>
              <w:listItem w:displayText="是" w:value="true"/>
              <w:listItem w:displayText="否" w:value="false"/>
            </w:comboBox>
          </w:sdtPr>
          <w:sdtEndPr>
            <w:rPr>
              <w:color w:val="000000" w:themeColor="text1"/>
              <w14:textFill>
                <w14:solidFill>
                  <w14:schemeClr w14:val="tx1"/>
                </w14:solidFill>
              </w14:textFill>
            </w:rPr>
          </w:sdtEndPr>
          <w:sdtContent>
            <w:tc>
              <w:tcPr>
                <w:tcW w:w="475"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是</w:t>
                </w:r>
              </w:p>
            </w:tc>
          </w:sdtContent>
        </w:sdt>
        <w:tc>
          <w:tcPr>
            <w:tcW w:w="548" w:type="pct"/>
            <w:vAlign w:val="center"/>
          </w:tcPr>
          <w:p>
            <w:pPr>
              <w:pStyle w:val="48"/>
            </w:pPr>
            <w:r>
              <w:rPr>
                <w:rFonts w:hint="eastAsia"/>
              </w:rPr>
              <w:t>不适用</w:t>
            </w:r>
          </w:p>
        </w:tc>
        <w:tc>
          <w:tcPr>
            <w:tcW w:w="436" w:type="pct"/>
          </w:tcPr>
          <w:p>
            <w:pPr>
              <w:pStyle w:val="48"/>
            </w:pPr>
          </w:p>
        </w:tc>
      </w:tr>
    </w:tbl>
    <w:p>
      <w:pPr>
        <w:spacing w:line="360" w:lineRule="exact"/>
        <w:rPr>
          <w:rFonts w:cs="Times New Roman"/>
          <w:bCs w:val="0"/>
        </w:rPr>
      </w:pPr>
      <w:r>
        <w:rPr>
          <w:rFonts w:ascii="宋体" w:hAnsi="宋体" w:cs="Times New Roman"/>
          <w:bCs w:val="0"/>
        </w:rPr>
        <w:t>注</w:t>
      </w:r>
      <w:r>
        <w:rPr>
          <w:rFonts w:hint="eastAsia" w:cs="Times New Roman"/>
          <w:bCs w:val="0"/>
        </w:rPr>
        <w:t>1</w:t>
      </w:r>
      <w:r>
        <w:rPr>
          <w:rFonts w:ascii="宋体" w:hAnsi="宋体" w:cs="Times New Roman"/>
          <w:bCs w:val="0"/>
        </w:rPr>
        <w:t>：关于持股</w:t>
      </w:r>
      <w:r>
        <w:rPr>
          <w:rFonts w:cs="Times New Roman"/>
          <w:bCs w:val="0"/>
        </w:rPr>
        <w:t>5%</w:t>
      </w:r>
      <w:r>
        <w:rPr>
          <w:rFonts w:ascii="宋体" w:hAnsi="宋体" w:cs="Times New Roman"/>
          <w:bCs w:val="0"/>
        </w:rPr>
        <w:t>以上股东的减持意向承诺</w:t>
      </w:r>
    </w:p>
    <w:p>
      <w:pPr>
        <w:spacing w:line="360" w:lineRule="exact"/>
        <w:rPr>
          <w:rFonts w:cs="Times New Roman"/>
          <w:bCs w:val="0"/>
        </w:rPr>
      </w:pPr>
      <w:r>
        <w:rPr>
          <w:rFonts w:cs="Times New Roman"/>
          <w:bCs w:val="0"/>
        </w:rPr>
        <w:t>1</w:t>
      </w:r>
      <w:r>
        <w:rPr>
          <w:rFonts w:ascii="宋体" w:hAnsi="宋体" w:cs="Times New Roman"/>
          <w:bCs w:val="0"/>
        </w:rPr>
        <w:t>、公司控股股东、实际控制人杨泽民、秦惠兰，公司持股</w:t>
      </w:r>
      <w:r>
        <w:rPr>
          <w:rFonts w:cs="Times New Roman"/>
          <w:bCs w:val="0"/>
        </w:rPr>
        <w:t>5%</w:t>
      </w:r>
      <w:r>
        <w:rPr>
          <w:rFonts w:ascii="宋体" w:hAnsi="宋体" w:cs="Times New Roman"/>
          <w:bCs w:val="0"/>
        </w:rPr>
        <w:t>以上股东、实际控制人杨耀、杨秦，公司实际控制人一致行动人杨厚群分别承诺：“</w:t>
      </w:r>
      <w:r>
        <w:rPr>
          <w:rFonts w:cs="Times New Roman"/>
          <w:bCs w:val="0"/>
        </w:rPr>
        <w:t>1</w:t>
      </w:r>
      <w:r>
        <w:rPr>
          <w:rFonts w:ascii="宋体" w:hAnsi="宋体" w:cs="Times New Roman"/>
          <w:bCs w:val="0"/>
        </w:rPr>
        <w:t>、本人持续看好公司业务前景，拟长期持有公司股票。</w:t>
      </w:r>
      <w:r>
        <w:rPr>
          <w:rFonts w:cs="Times New Roman"/>
          <w:bCs w:val="0"/>
        </w:rPr>
        <w:t>2</w:t>
      </w:r>
      <w:r>
        <w:rPr>
          <w:rFonts w:ascii="宋体" w:hAnsi="宋体" w:cs="Times New Roman"/>
          <w:bCs w:val="0"/>
        </w:rPr>
        <w:t>、减持前提：如果在锁定期满后拟减持股票的，将认真遵守中国证监会、证券交易所关于股东减持的相关规定，结合公司稳定股价、开展经营、资本运作的需要，审慎制定股票减持计划，在股票锁定期满后逐步减持，且不违反在公司首次公开发行时所作出的公开承诺。</w:t>
      </w:r>
      <w:r>
        <w:rPr>
          <w:rFonts w:cs="Times New Roman"/>
          <w:bCs w:val="0"/>
        </w:rPr>
        <w:t>3</w:t>
      </w:r>
      <w:r>
        <w:rPr>
          <w:rFonts w:ascii="宋体" w:hAnsi="宋体" w:cs="Times New Roman"/>
          <w:bCs w:val="0"/>
        </w:rPr>
        <w:t>、减持方式：本人减持所持有的公司股份的方式应符合届时适用的相关法律、法规、规章及规范性文件的规定，包括但不限于二级市场集中竞价交易、大宗交易、协议转让等。</w:t>
      </w:r>
      <w:r>
        <w:rPr>
          <w:rFonts w:cs="Times New Roman"/>
          <w:bCs w:val="0"/>
        </w:rPr>
        <w:t>4</w:t>
      </w:r>
      <w:r>
        <w:rPr>
          <w:rFonts w:ascii="宋体" w:hAnsi="宋体" w:cs="Times New Roman"/>
          <w:bCs w:val="0"/>
        </w:rPr>
        <w:t>、减持价格：本人所持股票在锁定期满后两年内减持的，减持价格不低于公司首次公开发行股票时的发行价，若公司自股票上市至本人减持前有派息、送股、资本公积金转增股本、增发、配股等除权、除息事项，减持价格下限和股份数将相应进行调整。若本人所持股票在锁定期满后两年内减持价格低于发行价的，则减持价格与发行价之间的差额由公司在现金分红时从本人应获得分配的当年及以后年度的现金分红中予以先行扣除，且扣除的现金分红归公司所有。</w:t>
      </w:r>
      <w:r>
        <w:rPr>
          <w:rFonts w:cs="Times New Roman"/>
          <w:bCs w:val="0"/>
        </w:rPr>
        <w:t>5</w:t>
      </w:r>
      <w:r>
        <w:rPr>
          <w:rFonts w:ascii="宋体" w:hAnsi="宋体" w:cs="Times New Roman"/>
          <w:bCs w:val="0"/>
        </w:rPr>
        <w:t>、减持公告：本人通过集中竞价交易方式减持的，应在首次卖出股份的</w:t>
      </w:r>
      <w:r>
        <w:rPr>
          <w:rFonts w:cs="Times New Roman"/>
          <w:bCs w:val="0"/>
        </w:rPr>
        <w:t>15</w:t>
      </w:r>
      <w:r>
        <w:rPr>
          <w:rFonts w:ascii="宋体" w:hAnsi="宋体" w:cs="Times New Roman"/>
          <w:bCs w:val="0"/>
        </w:rPr>
        <w:t>个交易日前向证券交易所报告备案减持计划，并予以公告。但届时本人持有公司股份比例低于</w:t>
      </w:r>
      <w:r>
        <w:rPr>
          <w:rFonts w:cs="Times New Roman"/>
          <w:bCs w:val="0"/>
        </w:rPr>
        <w:t>5%</w:t>
      </w:r>
      <w:r>
        <w:rPr>
          <w:rFonts w:ascii="宋体" w:hAnsi="宋体" w:cs="Times New Roman"/>
          <w:bCs w:val="0"/>
        </w:rPr>
        <w:t>时除外。本人通过其他方式减持公司股票，将提前</w:t>
      </w:r>
      <w:r>
        <w:rPr>
          <w:rFonts w:cs="Times New Roman"/>
          <w:bCs w:val="0"/>
        </w:rPr>
        <w:t>3</w:t>
      </w:r>
      <w:r>
        <w:rPr>
          <w:rFonts w:ascii="宋体" w:hAnsi="宋体" w:cs="Times New Roman"/>
          <w:bCs w:val="0"/>
        </w:rPr>
        <w:t>个交易日，并按照证券监管机构、证券交易所届时适用的规则及时、准确地履行信息披露义务。</w:t>
      </w:r>
      <w:r>
        <w:rPr>
          <w:rFonts w:cs="Times New Roman"/>
          <w:bCs w:val="0"/>
        </w:rPr>
        <w:t>6</w:t>
      </w:r>
      <w:r>
        <w:rPr>
          <w:rFonts w:ascii="宋体" w:hAnsi="宋体" w:cs="Times New Roman"/>
          <w:bCs w:val="0"/>
        </w:rPr>
        <w:t>、除上述限制外，本次发行上市后本人所持有公司股份的持股变动及申报工作将严格遵守《中华人民共和国公司法》《上海证券交易所股票上市规则》《上海证券交易所上市公司股东及董事、监事、高级管理人员减持股份实施细则》及其他法律、行政法规及规范性文件的相关规定。</w:t>
      </w:r>
      <w:r>
        <w:rPr>
          <w:rFonts w:cs="Times New Roman"/>
          <w:bCs w:val="0"/>
        </w:rPr>
        <w:t>7</w:t>
      </w:r>
      <w:r>
        <w:rPr>
          <w:rFonts w:ascii="宋体" w:hAnsi="宋体" w:cs="Times New Roman"/>
          <w:bCs w:val="0"/>
        </w:rPr>
        <w:t>、本人如未履行上述减持意向的承诺事项，将在公司股东大会及中国证监会指定的披露媒体上公开说明未履行承诺的具体原因并向公司的其他股东和社会公众投资者道歉；因违反上述承诺减持股票获得的收益归公司所有。”</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ascii="宋体" w:hAnsi="宋体" w:cs="Times New Roman"/>
          <w:bCs w:val="0"/>
        </w:rPr>
        <w:t>注</w:t>
      </w:r>
      <w:r>
        <w:rPr>
          <w:rFonts w:hint="eastAsia" w:cs="Times New Roman"/>
          <w:bCs w:val="0"/>
        </w:rPr>
        <w:t>2</w:t>
      </w:r>
      <w:r>
        <w:rPr>
          <w:rFonts w:ascii="宋体" w:hAnsi="宋体" w:cs="Times New Roman"/>
          <w:bCs w:val="0"/>
        </w:rPr>
        <w:t>：关于摊薄即期回报采取填补措施的承诺</w:t>
      </w:r>
    </w:p>
    <w:p>
      <w:pPr>
        <w:spacing w:line="360" w:lineRule="exact"/>
        <w:rPr>
          <w:rFonts w:cs="Times New Roman"/>
          <w:bCs w:val="0"/>
        </w:rPr>
      </w:pPr>
      <w:r>
        <w:rPr>
          <w:rFonts w:cs="Times New Roman"/>
          <w:bCs w:val="0"/>
        </w:rPr>
        <w:t>1</w:t>
      </w:r>
      <w:r>
        <w:rPr>
          <w:rFonts w:ascii="宋体" w:hAnsi="宋体" w:cs="Times New Roman"/>
          <w:bCs w:val="0"/>
        </w:rPr>
        <w:t>、公司承诺：“</w:t>
      </w:r>
      <w:r>
        <w:rPr>
          <w:rFonts w:cs="Times New Roman"/>
          <w:bCs w:val="0"/>
        </w:rPr>
        <w:t>1</w:t>
      </w:r>
      <w:r>
        <w:rPr>
          <w:rFonts w:ascii="宋体" w:hAnsi="宋体" w:cs="Times New Roman"/>
          <w:bCs w:val="0"/>
        </w:rPr>
        <w:t>、迅速提升公司整体实力，扩大公司业务规模</w:t>
      </w:r>
    </w:p>
    <w:p>
      <w:pPr>
        <w:spacing w:line="360" w:lineRule="exact"/>
        <w:rPr>
          <w:rFonts w:cs="Times New Roman"/>
          <w:bCs w:val="0"/>
        </w:rPr>
      </w:pPr>
      <w:r>
        <w:rPr>
          <w:rFonts w:ascii="宋体" w:hAnsi="宋体" w:cs="Times New Roman"/>
          <w:bCs w:val="0"/>
        </w:rPr>
        <w:t>公司首次公开发行股票并上市完成后，公司的总资产将大幅度增加，抗风险能力和综合实力明显增强，市场价值明显提升。公司将借助资本市场和良好的发展机遇，不断拓展公司主营业务规模，充分发挥公司在客户忠诚度领域的优势地位，推动公司持续、健康、稳定的发展。</w:t>
      </w:r>
    </w:p>
    <w:p>
      <w:pPr>
        <w:spacing w:line="360" w:lineRule="exact"/>
        <w:rPr>
          <w:rFonts w:cs="Times New Roman"/>
          <w:bCs w:val="0"/>
        </w:rPr>
      </w:pPr>
      <w:r>
        <w:rPr>
          <w:rFonts w:cs="Times New Roman"/>
          <w:bCs w:val="0"/>
        </w:rPr>
        <w:t>2</w:t>
      </w:r>
      <w:r>
        <w:rPr>
          <w:rFonts w:ascii="宋体" w:hAnsi="宋体" w:cs="Times New Roman"/>
          <w:bCs w:val="0"/>
        </w:rPr>
        <w:t>、全面提升公司管理水平，提高资金使用效率</w:t>
      </w:r>
    </w:p>
    <w:p>
      <w:pPr>
        <w:spacing w:line="360" w:lineRule="exact"/>
        <w:rPr>
          <w:rFonts w:cs="Times New Roman"/>
          <w:bCs w:val="0"/>
        </w:rPr>
      </w:pPr>
      <w:r>
        <w:rPr>
          <w:rFonts w:ascii="宋体" w:hAnsi="宋体" w:cs="Times New Roman"/>
          <w:bCs w:val="0"/>
        </w:rPr>
        <w:t>公司将采取措施努力提高运营效率，加强预算管理，控制公司的各项费用支出，提升资金使用效率，全面有效地控制公司经营和管理风险，提升公司的经营效率和盈利能力。此外，公司将积极完善薪酬和激励机制，引进市场优秀人才，最大限度地激发员工工作的积极性，充分提升员工创新意识，发挥员工的创造力。通过以上措施，公司将全面提升公司的运营效率，降低成本，进一步提升公司的经营业绩。</w:t>
      </w:r>
    </w:p>
    <w:p>
      <w:pPr>
        <w:spacing w:line="360" w:lineRule="exact"/>
        <w:rPr>
          <w:rFonts w:cs="Times New Roman"/>
          <w:bCs w:val="0"/>
        </w:rPr>
      </w:pPr>
      <w:r>
        <w:rPr>
          <w:rFonts w:cs="Times New Roman"/>
          <w:bCs w:val="0"/>
        </w:rPr>
        <w:t>3</w:t>
      </w:r>
      <w:r>
        <w:rPr>
          <w:rFonts w:ascii="宋体" w:hAnsi="宋体" w:cs="Times New Roman"/>
          <w:bCs w:val="0"/>
        </w:rPr>
        <w:t>、加快募集资金投资项目建设，加强募集资金管理</w:t>
      </w:r>
    </w:p>
    <w:p>
      <w:pPr>
        <w:spacing w:line="360" w:lineRule="exact"/>
        <w:rPr>
          <w:rFonts w:cs="Times New Roman"/>
          <w:bCs w:val="0"/>
        </w:rPr>
      </w:pPr>
      <w:r>
        <w:rPr>
          <w:rFonts w:ascii="宋体" w:hAnsi="宋体" w:cs="Times New Roman"/>
          <w:bCs w:val="0"/>
        </w:rPr>
        <w:t>公司本次发行募集资金投资项目符合国家产业政策和公司的发展战略，具有良好的市场前景和经济效益。公司将结合自身的实际情况和需要，积极实施募集资金投资项目建设，争取早日建成并实现预期效益，增强以后年度的股东回报，降低本次发行导致的股东即期回报被摊薄的风险。公司将严格按照上海证券交易所关于募集资金管理的相关规定，将募集资金存放于董事会指定的专项账户，专户存储，专款专用，严格规范募集资金的管理和使用，保障募集资金得到充分、有效的利用。</w:t>
      </w:r>
    </w:p>
    <w:p>
      <w:pPr>
        <w:spacing w:line="360" w:lineRule="exact"/>
        <w:rPr>
          <w:rFonts w:cs="Times New Roman"/>
          <w:bCs w:val="0"/>
        </w:rPr>
      </w:pPr>
      <w:r>
        <w:rPr>
          <w:rFonts w:cs="Times New Roman"/>
          <w:bCs w:val="0"/>
        </w:rPr>
        <w:t>4</w:t>
      </w:r>
      <w:r>
        <w:rPr>
          <w:rFonts w:ascii="宋体" w:hAnsi="宋体" w:cs="Times New Roman"/>
          <w:bCs w:val="0"/>
        </w:rPr>
        <w:t>、完善利润分配机制，强化投资者回报</w:t>
      </w:r>
    </w:p>
    <w:p>
      <w:pPr>
        <w:spacing w:line="360" w:lineRule="exact"/>
        <w:rPr>
          <w:rFonts w:cs="Times New Roman"/>
          <w:bCs w:val="0"/>
        </w:rPr>
      </w:pPr>
      <w:r>
        <w:rPr>
          <w:rFonts w:ascii="宋体" w:hAnsi="宋体" w:cs="Times New Roman"/>
          <w:bCs w:val="0"/>
        </w:rPr>
        <w:t>公司已根据中国证监会的相关规定制定了《重庆望变电气（集团）股份有限公司上市后三年股东分红回报规划》，明确了分红的原则、形式、条件、比例、决策程序和机制等，建立了较为完善的利润分配制度。未来，公司将进一步按照中国证监会的要求和公司自身的实际情况完善利润分配机制，强化投资者回报。”</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cs="Times New Roman"/>
          <w:bCs w:val="0"/>
        </w:rPr>
        <w:t>2</w:t>
      </w:r>
      <w:r>
        <w:rPr>
          <w:rFonts w:ascii="宋体" w:hAnsi="宋体" w:cs="Times New Roman"/>
          <w:bCs w:val="0"/>
        </w:rPr>
        <w:t>、公司控股股东、实际控制人、董事长、总经理杨泽民承诺：</w:t>
      </w:r>
    </w:p>
    <w:p>
      <w:pPr>
        <w:spacing w:line="360" w:lineRule="exact"/>
        <w:rPr>
          <w:rFonts w:cs="Times New Roman"/>
          <w:bCs w:val="0"/>
        </w:rPr>
      </w:pPr>
      <w:r>
        <w:rPr>
          <w:rFonts w:ascii="宋体" w:hAnsi="宋体" w:cs="Times New Roman"/>
          <w:bCs w:val="0"/>
        </w:rPr>
        <w:t>“</w:t>
      </w:r>
      <w:r>
        <w:rPr>
          <w:rFonts w:cs="Times New Roman"/>
          <w:bCs w:val="0"/>
        </w:rPr>
        <w:t>1</w:t>
      </w:r>
      <w:r>
        <w:rPr>
          <w:rFonts w:ascii="宋体" w:hAnsi="宋体" w:cs="Times New Roman"/>
          <w:bCs w:val="0"/>
        </w:rPr>
        <w:t>、承诺将严格执行关于上市公司治理的各项法律、法规、规章制度，保护公司和公众利益，加强公司独立性，完善公司治理，不越权干预公司经营管理活动；</w:t>
      </w:r>
      <w:r>
        <w:rPr>
          <w:rFonts w:cs="Times New Roman"/>
          <w:bCs w:val="0"/>
        </w:rPr>
        <w:t>2</w:t>
      </w:r>
      <w:r>
        <w:rPr>
          <w:rFonts w:ascii="宋体" w:hAnsi="宋体" w:cs="Times New Roman"/>
          <w:bCs w:val="0"/>
        </w:rPr>
        <w:t>、承诺不以任何方式侵占公司利益；</w:t>
      </w:r>
      <w:r>
        <w:rPr>
          <w:rFonts w:cs="Times New Roman"/>
          <w:bCs w:val="0"/>
        </w:rPr>
        <w:t>3</w:t>
      </w:r>
      <w:r>
        <w:rPr>
          <w:rFonts w:ascii="宋体" w:hAnsi="宋体" w:cs="Times New Roman"/>
          <w:bCs w:val="0"/>
        </w:rPr>
        <w:t>、不无偿或以不公平条件向其他单位或者个人输送利益，也不采用其他方式损害公司利益；</w:t>
      </w:r>
      <w:r>
        <w:rPr>
          <w:rFonts w:cs="Times New Roman"/>
          <w:bCs w:val="0"/>
        </w:rPr>
        <w:t>4</w:t>
      </w:r>
      <w:r>
        <w:rPr>
          <w:rFonts w:ascii="宋体" w:hAnsi="宋体" w:cs="Times New Roman"/>
          <w:bCs w:val="0"/>
        </w:rPr>
        <w:t>、对职务消费行为进行约束；</w:t>
      </w:r>
      <w:r>
        <w:rPr>
          <w:rFonts w:cs="Times New Roman"/>
          <w:bCs w:val="0"/>
        </w:rPr>
        <w:t>5</w:t>
      </w:r>
      <w:r>
        <w:rPr>
          <w:rFonts w:ascii="宋体" w:hAnsi="宋体" w:cs="Times New Roman"/>
          <w:bCs w:val="0"/>
        </w:rPr>
        <w:t>、不动用公司资产从事与履行职责无关的投资、消费活动；</w:t>
      </w:r>
      <w:r>
        <w:rPr>
          <w:rFonts w:cs="Times New Roman"/>
          <w:bCs w:val="0"/>
        </w:rPr>
        <w:t>6</w:t>
      </w:r>
      <w:r>
        <w:rPr>
          <w:rFonts w:ascii="宋体" w:hAnsi="宋体" w:cs="Times New Roman"/>
          <w:bCs w:val="0"/>
        </w:rPr>
        <w:t>、在自身职责和权限范围内，全力促使公司董事会或者薪酬与考核委员会制定的薪酬制度与公司填补回报措施的执行情况相挂钩，并对公司董事会和股东大会审议的相关议案投票赞成（如有表决权）；</w:t>
      </w:r>
      <w:r>
        <w:rPr>
          <w:rFonts w:cs="Times New Roman"/>
          <w:bCs w:val="0"/>
        </w:rPr>
        <w:t>7</w:t>
      </w:r>
      <w:r>
        <w:rPr>
          <w:rFonts w:ascii="宋体" w:hAnsi="宋体" w:cs="Times New Roman"/>
          <w:bCs w:val="0"/>
        </w:rPr>
        <w:t>、如果公司未来拟实施股权激励，在自身职责和权限范围内，全力促使公司拟公布的股权激励行权条件与公司填补回报措施的执行情况相挂钩，并对公司董事会和股东大会审议的相关议案投票赞成（如有表决权）；</w:t>
      </w:r>
      <w:r>
        <w:rPr>
          <w:rFonts w:cs="Times New Roman"/>
          <w:bCs w:val="0"/>
        </w:rPr>
        <w:t>8</w:t>
      </w:r>
      <w:r>
        <w:rPr>
          <w:rFonts w:ascii="宋体" w:hAnsi="宋体" w:cs="Times New Roman"/>
          <w:bCs w:val="0"/>
        </w:rPr>
        <w:t>、在中国证监会、证券交易所另行发布摊薄即期填补回报措施及其承诺的相关意见及实施细则后，使得公司的相关规定及上述承诺与该等规定不符时，承诺将立即按照中国证监会及证券交易所的规定出具补充承诺，并积极推进公司作出新的规定，以符合中国证监会及证券交易所的要求；</w:t>
      </w:r>
      <w:r>
        <w:rPr>
          <w:rFonts w:cs="Times New Roman"/>
          <w:bCs w:val="0"/>
        </w:rPr>
        <w:t>9</w:t>
      </w:r>
      <w:r>
        <w:rPr>
          <w:rFonts w:ascii="宋体" w:hAnsi="宋体" w:cs="Times New Roman"/>
          <w:bCs w:val="0"/>
        </w:rPr>
        <w:t>、全面、完整、及时履行公司制定的有关填补被摊薄即期回报措施以及公司对此作出的任何有关填补被摊薄即期回报措施的承诺；</w:t>
      </w:r>
      <w:r>
        <w:rPr>
          <w:rFonts w:cs="Times New Roman"/>
          <w:bCs w:val="0"/>
        </w:rPr>
        <w:t>10</w:t>
      </w:r>
      <w:r>
        <w:rPr>
          <w:rFonts w:ascii="宋体" w:hAnsi="宋体" w:cs="Times New Roman"/>
          <w:bCs w:val="0"/>
        </w:rPr>
        <w:t>、若本人违反前述承诺或拒不履行前述承诺的，本人将在公司股东大会及中国证监会指定媒体上公开说明未履行承诺的具体原因并向股东和社会公众投资者道歉；对公司或其他股东造成损失的，本人将依法给予赔偿；</w:t>
      </w:r>
      <w:r>
        <w:rPr>
          <w:rFonts w:cs="Times New Roman"/>
          <w:bCs w:val="0"/>
        </w:rPr>
        <w:t>11</w:t>
      </w:r>
      <w:r>
        <w:rPr>
          <w:rFonts w:ascii="宋体" w:hAnsi="宋体" w:cs="Times New Roman"/>
          <w:bCs w:val="0"/>
        </w:rPr>
        <w:t>、若上述承诺适用的法律、法规、规范性文件、政策及证券监管机构的要求发生变化，则本人愿意自动适用变更后的法律、法规、规范性文件、政策及证券监管机构的要求。”</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cs="Times New Roman"/>
          <w:bCs w:val="0"/>
        </w:rPr>
        <w:t>3</w:t>
      </w:r>
      <w:r>
        <w:rPr>
          <w:rFonts w:ascii="宋体" w:hAnsi="宋体" w:cs="Times New Roman"/>
          <w:bCs w:val="0"/>
        </w:rPr>
        <w:t>、公司控股股东、实际控制人秦惠兰，公司实际控制人杨耀、杨秦分别承诺：</w:t>
      </w:r>
    </w:p>
    <w:p>
      <w:pPr>
        <w:spacing w:line="360" w:lineRule="exact"/>
        <w:rPr>
          <w:rFonts w:cs="Times New Roman"/>
          <w:bCs w:val="0"/>
        </w:rPr>
      </w:pPr>
      <w:r>
        <w:rPr>
          <w:rFonts w:ascii="宋体" w:hAnsi="宋体" w:cs="Times New Roman"/>
          <w:bCs w:val="0"/>
        </w:rPr>
        <w:t>“</w:t>
      </w:r>
      <w:r>
        <w:rPr>
          <w:rFonts w:cs="Times New Roman"/>
          <w:bCs w:val="0"/>
        </w:rPr>
        <w:t>1</w:t>
      </w:r>
      <w:r>
        <w:rPr>
          <w:rFonts w:ascii="宋体" w:hAnsi="宋体" w:cs="Times New Roman"/>
          <w:bCs w:val="0"/>
        </w:rPr>
        <w:t>、承诺将严格执行关于上市公司治理的各项法律、法规、规章制度，保护公司和公众利益，加强公司独立性，完善公司治理，不越权干预公司经营管理活动；</w:t>
      </w:r>
      <w:r>
        <w:rPr>
          <w:rFonts w:cs="Times New Roman"/>
          <w:bCs w:val="0"/>
        </w:rPr>
        <w:t>2</w:t>
      </w:r>
      <w:r>
        <w:rPr>
          <w:rFonts w:ascii="宋体" w:hAnsi="宋体" w:cs="Times New Roman"/>
          <w:bCs w:val="0"/>
        </w:rPr>
        <w:t>、承诺不以任何方式侵占公司利益；</w:t>
      </w:r>
      <w:r>
        <w:rPr>
          <w:rFonts w:cs="Times New Roman"/>
          <w:bCs w:val="0"/>
        </w:rPr>
        <w:t>3</w:t>
      </w:r>
      <w:r>
        <w:rPr>
          <w:rFonts w:ascii="宋体" w:hAnsi="宋体" w:cs="Times New Roman"/>
          <w:bCs w:val="0"/>
        </w:rPr>
        <w:t>、若本人违反前述承诺或拒不履行前述承诺的，本人将在公司股东大会及中国证监会指定媒体上公开说明未履行承诺的具体原因并向股东和社会公众投资者道歉；对公司或其他股东造成损失的，本人将依法给予赔偿；</w:t>
      </w:r>
      <w:r>
        <w:rPr>
          <w:rFonts w:cs="Times New Roman"/>
          <w:bCs w:val="0"/>
        </w:rPr>
        <w:t>4</w:t>
      </w:r>
      <w:r>
        <w:rPr>
          <w:rFonts w:ascii="宋体" w:hAnsi="宋体" w:cs="Times New Roman"/>
          <w:bCs w:val="0"/>
        </w:rPr>
        <w:t>、若上述承诺适用的法律、法规、规范性文件、政策及证券监管机构的要求发生变化，则本人愿意自动适用变更后的法律、法规、规范性文件、政策及证券监管机构的要求。”</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cs="Times New Roman"/>
          <w:bCs w:val="0"/>
        </w:rPr>
        <w:t>4</w:t>
      </w:r>
      <w:r>
        <w:rPr>
          <w:rFonts w:ascii="宋体" w:hAnsi="宋体" w:cs="Times New Roman"/>
          <w:bCs w:val="0"/>
        </w:rPr>
        <w:t>、公司全体董事（杨泽民除外）、高级管理人员分别承诺：</w:t>
      </w:r>
    </w:p>
    <w:p>
      <w:pPr>
        <w:spacing w:line="360" w:lineRule="exact"/>
        <w:rPr>
          <w:rFonts w:cs="Times New Roman"/>
          <w:bCs w:val="0"/>
        </w:rPr>
      </w:pPr>
      <w:r>
        <w:rPr>
          <w:rFonts w:ascii="宋体" w:hAnsi="宋体" w:cs="Times New Roman"/>
          <w:bCs w:val="0"/>
        </w:rPr>
        <w:t>“</w:t>
      </w:r>
      <w:r>
        <w:rPr>
          <w:rFonts w:cs="Times New Roman"/>
          <w:bCs w:val="0"/>
        </w:rPr>
        <w:t>1</w:t>
      </w:r>
      <w:r>
        <w:rPr>
          <w:rFonts w:ascii="宋体" w:hAnsi="宋体" w:cs="Times New Roman"/>
          <w:bCs w:val="0"/>
        </w:rPr>
        <w:t>、不无偿或以不公平条件向其他单位或者个人输送利益，也不采用其他方式损害公司利益；</w:t>
      </w:r>
      <w:r>
        <w:rPr>
          <w:rFonts w:cs="Times New Roman"/>
          <w:bCs w:val="0"/>
        </w:rPr>
        <w:t>2</w:t>
      </w:r>
      <w:r>
        <w:rPr>
          <w:rFonts w:ascii="宋体" w:hAnsi="宋体" w:cs="Times New Roman"/>
          <w:bCs w:val="0"/>
        </w:rPr>
        <w:t>、对职务消费行为进行约束；</w:t>
      </w:r>
      <w:r>
        <w:rPr>
          <w:rFonts w:cs="Times New Roman"/>
          <w:bCs w:val="0"/>
        </w:rPr>
        <w:t>3</w:t>
      </w:r>
      <w:r>
        <w:rPr>
          <w:rFonts w:ascii="宋体" w:hAnsi="宋体" w:cs="Times New Roman"/>
          <w:bCs w:val="0"/>
        </w:rPr>
        <w:t>、不动用公司资产从事与履行职责无关的投资、消费活动；</w:t>
      </w:r>
      <w:r>
        <w:rPr>
          <w:rFonts w:cs="Times New Roman"/>
          <w:bCs w:val="0"/>
        </w:rPr>
        <w:t>4</w:t>
      </w:r>
      <w:r>
        <w:rPr>
          <w:rFonts w:ascii="宋体" w:hAnsi="宋体" w:cs="Times New Roman"/>
          <w:bCs w:val="0"/>
        </w:rPr>
        <w:t>、在自身职责和权限范围内，全力促使公司董事会或者薪酬与考核委员会制定的薪酬制度与公司填补回报措施的执行情况相挂钩，并对公司董事会和股东大会审议的相关议案投票赞成（如有表决权）；</w:t>
      </w:r>
      <w:r>
        <w:rPr>
          <w:rFonts w:cs="Times New Roman"/>
          <w:bCs w:val="0"/>
        </w:rPr>
        <w:t>5</w:t>
      </w:r>
      <w:r>
        <w:rPr>
          <w:rFonts w:ascii="宋体" w:hAnsi="宋体" w:cs="Times New Roman"/>
          <w:bCs w:val="0"/>
        </w:rPr>
        <w:t>、如果公司未来拟实施股权激励，在自身职责和权限范围内，全力促使公司拟公布的股权激励行权条件与公司填补回报措施的执行情况相挂钩，并对公司董事会和股东大会审议的相关议案投票赞成（如有表决权）；</w:t>
      </w:r>
      <w:r>
        <w:rPr>
          <w:rFonts w:cs="Times New Roman"/>
          <w:bCs w:val="0"/>
        </w:rPr>
        <w:t>6</w:t>
      </w:r>
      <w:r>
        <w:rPr>
          <w:rFonts w:ascii="宋体" w:hAnsi="宋体" w:cs="Times New Roman"/>
          <w:bCs w:val="0"/>
        </w:rPr>
        <w:t>、在中国证监会、证券交易所另行发布摊薄即期填补回报措施及其承诺的相关意见及实施细则后，使得公司的相关规定及上述承诺与该等规定不符时，承诺将立即按照中国证监会及证券交易所的规定出具补充承诺，并积极推进公司作出新的规定，以符合中国证监会及证券交易所的要求；</w:t>
      </w:r>
      <w:r>
        <w:rPr>
          <w:rFonts w:cs="Times New Roman"/>
          <w:bCs w:val="0"/>
        </w:rPr>
        <w:t>7</w:t>
      </w:r>
      <w:r>
        <w:rPr>
          <w:rFonts w:ascii="宋体" w:hAnsi="宋体" w:cs="Times New Roman"/>
          <w:bCs w:val="0"/>
        </w:rPr>
        <w:t>、全面、完整、及时履行公司制定的有关填补被摊薄即期回报措施以及公司对此作出的任何有关填补被摊薄即期回报措施的承诺。</w:t>
      </w:r>
    </w:p>
    <w:p>
      <w:pPr>
        <w:spacing w:line="360" w:lineRule="exact"/>
        <w:rPr>
          <w:rFonts w:cs="Times New Roman"/>
          <w:bCs w:val="0"/>
        </w:rPr>
      </w:pPr>
      <w:r>
        <w:rPr>
          <w:rFonts w:ascii="宋体" w:hAnsi="宋体" w:cs="Times New Roman"/>
          <w:bCs w:val="0"/>
        </w:rPr>
        <w:t>如违反上述承诺或拒不履行上述承诺，本人同意按照中国证监会和证券交易所等证券监管机构制定或发布的有关规定、规则，对本人作出相关处罚或采取相关管理措施。”</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ascii="宋体" w:hAnsi="宋体" w:cs="Times New Roman"/>
          <w:bCs w:val="0"/>
        </w:rPr>
        <w:t>注</w:t>
      </w:r>
      <w:r>
        <w:rPr>
          <w:rFonts w:hint="eastAsia" w:cs="Times New Roman"/>
          <w:bCs w:val="0"/>
        </w:rPr>
        <w:t>3</w:t>
      </w:r>
      <w:r>
        <w:rPr>
          <w:rFonts w:ascii="宋体" w:hAnsi="宋体" w:cs="Times New Roman"/>
          <w:bCs w:val="0"/>
        </w:rPr>
        <w:t>：关于避免同业竞争的承诺</w:t>
      </w:r>
    </w:p>
    <w:p>
      <w:pPr>
        <w:spacing w:line="360" w:lineRule="exact"/>
        <w:rPr>
          <w:rFonts w:cs="Times New Roman"/>
          <w:bCs w:val="0"/>
        </w:rPr>
      </w:pPr>
      <w:r>
        <w:rPr>
          <w:rFonts w:ascii="宋体" w:hAnsi="宋体" w:cs="Times New Roman"/>
          <w:bCs w:val="0"/>
        </w:rPr>
        <w:t>公司控股股东、实际控制人杨泽民、秦惠兰，公司实际控制人杨耀、杨秦分别承诺：“</w:t>
      </w:r>
      <w:r>
        <w:rPr>
          <w:rFonts w:cs="Times New Roman"/>
          <w:bCs w:val="0"/>
        </w:rPr>
        <w:t>1</w:t>
      </w:r>
      <w:r>
        <w:rPr>
          <w:rFonts w:ascii="宋体" w:hAnsi="宋体" w:cs="Times New Roman"/>
          <w:bCs w:val="0"/>
        </w:rPr>
        <w:t>、本人及本人所控制的其他企业目前没有以任何形式于中国境内和境外从事与望变电气及其控制企业所从事的主营业务构成或可能构成直接或间接竞争关系的业务或活动。</w:t>
      </w:r>
      <w:r>
        <w:rPr>
          <w:rFonts w:cs="Times New Roman"/>
          <w:bCs w:val="0"/>
        </w:rPr>
        <w:t>2</w:t>
      </w:r>
      <w:r>
        <w:rPr>
          <w:rFonts w:ascii="宋体" w:hAnsi="宋体" w:cs="Times New Roman"/>
          <w:bCs w:val="0"/>
        </w:rPr>
        <w:t>、自本承诺函签署之日起，本人及本人所控制的其他企业在中国境内和境外将继续不直接或间接从事或参与对望变电气及其控制企业从事的主营业务构成直接或间接竞争关系的业务或活动。</w:t>
      </w:r>
      <w:r>
        <w:rPr>
          <w:rFonts w:cs="Times New Roman"/>
          <w:bCs w:val="0"/>
        </w:rPr>
        <w:t>3</w:t>
      </w:r>
      <w:r>
        <w:rPr>
          <w:rFonts w:ascii="宋体" w:hAnsi="宋体" w:cs="Times New Roman"/>
          <w:bCs w:val="0"/>
        </w:rPr>
        <w:t>、对本人直接或间接控制的其他企业，本人将通过各公司的股东（大）会、董事会（执行董事）等公司治理机制和派出机构及人员（包括但不限于董事、高级管理人员）敦促该等企业履行本承诺项下的义务，并愿意对违反上述承诺而给望变电气或其控制企业造成的经济损失承担赔偿责任。</w:t>
      </w:r>
      <w:r>
        <w:rPr>
          <w:rFonts w:cs="Times New Roman"/>
          <w:bCs w:val="0"/>
        </w:rPr>
        <w:t>4</w:t>
      </w:r>
      <w:r>
        <w:rPr>
          <w:rFonts w:ascii="宋体" w:hAnsi="宋体" w:cs="Times New Roman"/>
          <w:bCs w:val="0"/>
        </w:rPr>
        <w:t>、本人保证不为自身或者他人谋取属于望变电气或其控制企业的商业机会，自营或者为他人经营与望变电气或其控制企业从事的主营业务。如从任何第三方获得的商业机会与望变电气或其控制企业经营的主营业务构成竞争或可能构成竞争，本人将立即通知望变电气，并应促成将该商业机会让予望变电气及其控制企业或采用任何其他可以被监管部门所认可的方案，以最终排除本承诺人对该等商业机会所涉及资产</w:t>
      </w:r>
      <w:r>
        <w:rPr>
          <w:rFonts w:cs="Times New Roman"/>
          <w:bCs w:val="0"/>
        </w:rPr>
        <w:t>/</w:t>
      </w:r>
      <w:r>
        <w:rPr>
          <w:rFonts w:ascii="宋体" w:hAnsi="宋体" w:cs="Times New Roman"/>
          <w:bCs w:val="0"/>
        </w:rPr>
        <w:t>股权</w:t>
      </w:r>
      <w:r>
        <w:rPr>
          <w:rFonts w:cs="Times New Roman"/>
          <w:bCs w:val="0"/>
        </w:rPr>
        <w:t>/</w:t>
      </w:r>
      <w:r>
        <w:rPr>
          <w:rFonts w:ascii="宋体" w:hAnsi="宋体" w:cs="Times New Roman"/>
          <w:bCs w:val="0"/>
        </w:rPr>
        <w:t>业务之实际管理、运营权，从而避免与望变电气及其控制企业所从事主营业务形成同业竞争的情况。</w:t>
      </w:r>
      <w:r>
        <w:rPr>
          <w:rFonts w:cs="Times New Roman"/>
          <w:bCs w:val="0"/>
        </w:rPr>
        <w:t>5</w:t>
      </w:r>
      <w:r>
        <w:rPr>
          <w:rFonts w:ascii="宋体" w:hAnsi="宋体" w:cs="Times New Roman"/>
          <w:bCs w:val="0"/>
        </w:rPr>
        <w:t>、本人保证有权签署本承诺函，且本承诺函一经本人签署，即对本人构成有效的、合法的、具有约束力的责任。本承诺函所载承诺事项在本人作为望变电气控股股东</w:t>
      </w:r>
      <w:r>
        <w:rPr>
          <w:rFonts w:cs="Times New Roman"/>
          <w:bCs w:val="0"/>
        </w:rPr>
        <w:t>/</w:t>
      </w:r>
      <w:r>
        <w:rPr>
          <w:rFonts w:ascii="宋体" w:hAnsi="宋体" w:cs="Times New Roman"/>
          <w:bCs w:val="0"/>
        </w:rPr>
        <w:t>实际控制人期间持续有效，且不可撤销。如违反以上承诺，本人愿意承担由此产生的全部责任，充分赔偿或补偿由此给望变电气及其控制企业造成的所有直接或间接损失。”</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ascii="宋体" w:hAnsi="宋体" w:cs="Times New Roman"/>
          <w:bCs w:val="0"/>
        </w:rPr>
        <w:t>注</w:t>
      </w:r>
      <w:r>
        <w:rPr>
          <w:rFonts w:hint="eastAsia" w:cs="Times New Roman"/>
          <w:bCs w:val="0"/>
        </w:rPr>
        <w:t>4</w:t>
      </w:r>
      <w:r>
        <w:rPr>
          <w:rFonts w:ascii="宋体" w:hAnsi="宋体" w:cs="Times New Roman"/>
          <w:bCs w:val="0"/>
        </w:rPr>
        <w:t>：关于规范和减少关联交易的承诺</w:t>
      </w:r>
    </w:p>
    <w:p>
      <w:pPr>
        <w:spacing w:line="360" w:lineRule="exact"/>
        <w:rPr>
          <w:rFonts w:cs="Times New Roman"/>
          <w:bCs w:val="0"/>
        </w:rPr>
      </w:pPr>
      <w:r>
        <w:rPr>
          <w:rFonts w:cs="Times New Roman"/>
          <w:bCs w:val="0"/>
        </w:rPr>
        <w:t>1</w:t>
      </w:r>
      <w:r>
        <w:rPr>
          <w:rFonts w:ascii="宋体" w:hAnsi="宋体" w:cs="Times New Roman"/>
          <w:bCs w:val="0"/>
        </w:rPr>
        <w:t>、公司控股股东、实际控制人杨泽民、秦惠兰，公司实际控制人杨耀、杨秦分别承诺：“</w:t>
      </w:r>
      <w:r>
        <w:rPr>
          <w:rFonts w:cs="Times New Roman"/>
          <w:bCs w:val="0"/>
        </w:rPr>
        <w:t>1</w:t>
      </w:r>
      <w:r>
        <w:rPr>
          <w:rFonts w:ascii="宋体" w:hAnsi="宋体" w:cs="Times New Roman"/>
          <w:bCs w:val="0"/>
        </w:rPr>
        <w:t>、本人控制的其他企业与公司及其控股子公司之间不存在严重影响独立性或者显失公平的关联交易；本人及本人控制的其他企业将尽量减少并避免与公司及其控股子公司之间的关联交易；对于确有必要且无法避免的关联交易，保证按照公平、公允和等价有偿的原则进行，依法签署相关交易协议，并按相关法律法规以及规范性文件的规定履行交易程序及信息披露义务，保证不通过关联交易损害公司及其他股东的合法权益。</w:t>
      </w:r>
      <w:r>
        <w:rPr>
          <w:rFonts w:cs="Times New Roman"/>
          <w:bCs w:val="0"/>
        </w:rPr>
        <w:t>2</w:t>
      </w:r>
      <w:r>
        <w:rPr>
          <w:rFonts w:ascii="宋体" w:hAnsi="宋体" w:cs="Times New Roman"/>
          <w:bCs w:val="0"/>
        </w:rPr>
        <w:t>、不利用自身对望变电气的重大影响，谋求望变电气在业务合作等方面给予本人及本人所控制的企业优于市场第三方的权利或与望变电气达成交易的优先权利。</w:t>
      </w:r>
      <w:r>
        <w:rPr>
          <w:rFonts w:cs="Times New Roman"/>
          <w:bCs w:val="0"/>
        </w:rPr>
        <w:t>3</w:t>
      </w:r>
      <w:r>
        <w:rPr>
          <w:rFonts w:ascii="宋体" w:hAnsi="宋体" w:cs="Times New Roman"/>
          <w:bCs w:val="0"/>
        </w:rPr>
        <w:t>、不利用自身对望变电气的重大影响公司的独立性，保证不利用关联交易非法转移公司的资金、利润、谋取其他任何不正当利益或使公司承担任何不正当的义务。</w:t>
      </w:r>
      <w:r>
        <w:rPr>
          <w:rFonts w:cs="Times New Roman"/>
          <w:bCs w:val="0"/>
        </w:rPr>
        <w:t>4</w:t>
      </w:r>
      <w:r>
        <w:rPr>
          <w:rFonts w:ascii="宋体" w:hAnsi="宋体" w:cs="Times New Roman"/>
          <w:bCs w:val="0"/>
        </w:rPr>
        <w:t>、本人保证有权签署本承诺函，且本承诺函一经本人签署，即依上述所述前提对本人构成有效的、合法的、具有约束力的责任，且依上述所述前提持续有效，不可撤销。若由于本人的上述承诺与实际不符给公司或其投资人造成损失的，本人将依法承担相应的法律责任。”</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cs="Times New Roman"/>
          <w:bCs w:val="0"/>
        </w:rPr>
        <w:t>2</w:t>
      </w:r>
      <w:r>
        <w:rPr>
          <w:rFonts w:ascii="宋体" w:hAnsi="宋体" w:cs="Times New Roman"/>
          <w:bCs w:val="0"/>
        </w:rPr>
        <w:t>、公司全体董事、监事、高级管理人员承诺：</w:t>
      </w:r>
    </w:p>
    <w:p>
      <w:pPr>
        <w:spacing w:line="360" w:lineRule="exact"/>
        <w:rPr>
          <w:rFonts w:cs="Times New Roman"/>
          <w:bCs w:val="0"/>
        </w:rPr>
      </w:pPr>
      <w:r>
        <w:rPr>
          <w:rFonts w:ascii="宋体" w:hAnsi="宋体" w:cs="Times New Roman"/>
          <w:bCs w:val="0"/>
        </w:rPr>
        <w:t>“</w:t>
      </w:r>
      <w:r>
        <w:rPr>
          <w:rFonts w:cs="Times New Roman"/>
          <w:bCs w:val="0"/>
        </w:rPr>
        <w:t>1</w:t>
      </w:r>
      <w:r>
        <w:rPr>
          <w:rFonts w:ascii="宋体" w:hAnsi="宋体" w:cs="Times New Roman"/>
          <w:bCs w:val="0"/>
        </w:rPr>
        <w:t>、本人控制的其他企业与公司及其控股子公司之间不存在严重影响独立性或者显失公平的关联交易；本人及本人控制的其他企业将尽量减少并避免与公司及其控股子公司之间的关联交易；对于确有必要且无法避免的关联交易，保证按照公平、公允和等价有偿的原则进行，依法签署相关交易协议，并按相关法律法规以及规范性文件的规定履行交易程序及信息披露义务，保证不通过关联交易损害公司及其他股东的合法权益。</w:t>
      </w:r>
      <w:r>
        <w:rPr>
          <w:rFonts w:cs="Times New Roman"/>
          <w:bCs w:val="0"/>
        </w:rPr>
        <w:t>2</w:t>
      </w:r>
      <w:r>
        <w:rPr>
          <w:rFonts w:ascii="宋体" w:hAnsi="宋体" w:cs="Times New Roman"/>
          <w:bCs w:val="0"/>
        </w:rPr>
        <w:t>、不利用自身对望变电气的重大影响，谋求望变电气在业务合作等方面给予本人及本人所控制的企业优于市场第三方的权利或与望变电气达成交易的优先权利。</w:t>
      </w:r>
      <w:r>
        <w:rPr>
          <w:rFonts w:cs="Times New Roman"/>
          <w:bCs w:val="0"/>
        </w:rPr>
        <w:t>3</w:t>
      </w:r>
      <w:r>
        <w:rPr>
          <w:rFonts w:ascii="宋体" w:hAnsi="宋体" w:cs="Times New Roman"/>
          <w:bCs w:val="0"/>
        </w:rPr>
        <w:t>、不利用自身对望变电气的重大影响公司的独立性，保证不利用关联交易非法转移公司的资金、利润、谋取其他任何不正当利益或使公司承担任何不正当的义务。</w:t>
      </w:r>
      <w:r>
        <w:rPr>
          <w:rFonts w:cs="Times New Roman"/>
          <w:bCs w:val="0"/>
        </w:rPr>
        <w:t>4</w:t>
      </w:r>
      <w:r>
        <w:rPr>
          <w:rFonts w:ascii="宋体" w:hAnsi="宋体" w:cs="Times New Roman"/>
          <w:bCs w:val="0"/>
        </w:rPr>
        <w:t>、本人保证有权签署本承诺函，且本承诺函一经本人签署，即依上述所述前提对本人构成有效的、合法的、具有约束力的责任，且依上述所述前提持续有效，不可撤销。若由于本人的上述承诺与实际不符给公司或其投资人造成损失的，本人将依法承担相应的法律责任。”</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ascii="宋体" w:hAnsi="宋体" w:cs="Times New Roman"/>
          <w:bCs w:val="0"/>
        </w:rPr>
        <w:t>注</w:t>
      </w:r>
      <w:r>
        <w:rPr>
          <w:rFonts w:hint="eastAsia" w:cs="Times New Roman"/>
          <w:bCs w:val="0"/>
        </w:rPr>
        <w:t>5</w:t>
      </w:r>
      <w:r>
        <w:rPr>
          <w:rFonts w:ascii="宋体" w:hAnsi="宋体" w:cs="Times New Roman"/>
          <w:bCs w:val="0"/>
        </w:rPr>
        <w:t>：关于避免资金占用的承诺</w:t>
      </w:r>
    </w:p>
    <w:p>
      <w:pPr>
        <w:spacing w:line="360" w:lineRule="exact"/>
        <w:rPr>
          <w:rFonts w:cs="Times New Roman"/>
          <w:bCs w:val="0"/>
        </w:rPr>
      </w:pPr>
      <w:r>
        <w:rPr>
          <w:rFonts w:ascii="宋体" w:hAnsi="宋体" w:cs="Times New Roman"/>
          <w:bCs w:val="0"/>
        </w:rPr>
        <w:t>公司控股股东、实际控制人杨泽民、秦惠兰，公司实际控制人杨耀、杨秦分别承诺：“</w:t>
      </w:r>
      <w:r>
        <w:rPr>
          <w:rFonts w:cs="Times New Roman"/>
          <w:bCs w:val="0"/>
        </w:rPr>
        <w:t>1</w:t>
      </w:r>
      <w:r>
        <w:rPr>
          <w:rFonts w:ascii="宋体" w:hAnsi="宋体" w:cs="Times New Roman"/>
          <w:bCs w:val="0"/>
        </w:rPr>
        <w:t>、截至本承诺函出具之日，本人及本人直接或间接控制的企业（以下简称‘本人控制的企业’）不存在占用望变电气及其子公司资金的情况。</w:t>
      </w:r>
      <w:r>
        <w:rPr>
          <w:rFonts w:cs="Times New Roman"/>
          <w:bCs w:val="0"/>
        </w:rPr>
        <w:t>2</w:t>
      </w:r>
      <w:r>
        <w:rPr>
          <w:rFonts w:ascii="宋体" w:hAnsi="宋体" w:cs="Times New Roman"/>
          <w:bCs w:val="0"/>
        </w:rPr>
        <w:t>、自本承诺函出具之日起，本人及本人控制的企业将不以借款、代偿债务、代垫款项或其他任何方式占用望变电气及其子公司的资金，且将严格遵守法律、法规关于上市公司法人治理的相关规定，避免与望变电气及其子公司发生与正常生产经营无关的资金往来。</w:t>
      </w:r>
      <w:r>
        <w:rPr>
          <w:rFonts w:cs="Times New Roman"/>
          <w:bCs w:val="0"/>
        </w:rPr>
        <w:t>3</w:t>
      </w:r>
      <w:r>
        <w:rPr>
          <w:rFonts w:ascii="宋体" w:hAnsi="宋体" w:cs="Times New Roman"/>
          <w:bCs w:val="0"/>
        </w:rPr>
        <w:t>、若本人违反本承诺函给望变电气造成损失的，本人愿意承担由此产生的全部责任，充分赔偿或补偿由此给望变电气造成的所有直接或间接损失。”</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ascii="宋体" w:hAnsi="宋体" w:cs="Times New Roman"/>
          <w:bCs w:val="0"/>
        </w:rPr>
        <w:t>注</w:t>
      </w:r>
      <w:r>
        <w:rPr>
          <w:rFonts w:hint="eastAsia" w:cs="Times New Roman"/>
          <w:bCs w:val="0"/>
        </w:rPr>
        <w:t>6</w:t>
      </w:r>
      <w:r>
        <w:rPr>
          <w:rFonts w:ascii="宋体" w:hAnsi="宋体" w:cs="Times New Roman"/>
          <w:bCs w:val="0"/>
        </w:rPr>
        <w:t>：关于股份回购和股份购回的措施和承诺</w:t>
      </w:r>
    </w:p>
    <w:p>
      <w:pPr>
        <w:spacing w:line="360" w:lineRule="exact"/>
        <w:rPr>
          <w:rFonts w:cs="Times New Roman"/>
          <w:bCs w:val="0"/>
        </w:rPr>
      </w:pPr>
      <w:r>
        <w:rPr>
          <w:rFonts w:cs="Times New Roman"/>
          <w:bCs w:val="0"/>
        </w:rPr>
        <w:t>1</w:t>
      </w:r>
      <w:r>
        <w:rPr>
          <w:rFonts w:ascii="宋体" w:hAnsi="宋体" w:cs="Times New Roman"/>
          <w:bCs w:val="0"/>
        </w:rPr>
        <w:t>、公司承诺：“</w:t>
      </w:r>
      <w:r>
        <w:rPr>
          <w:rFonts w:cs="Times New Roman"/>
          <w:bCs w:val="0"/>
        </w:rPr>
        <w:t>1</w:t>
      </w:r>
      <w:r>
        <w:rPr>
          <w:rFonts w:ascii="宋体" w:hAnsi="宋体" w:cs="Times New Roman"/>
          <w:bCs w:val="0"/>
        </w:rPr>
        <w:t>、启动股份回购及购回措施的条件本次公开发行完成后，如本次公开发行的招股说明书及其他申报文件被中国证监会、证券交易所或司法机关认定为有虚假记载、误导性陈述或者重大遗漏的，对判断发行人是否符合法律规定的发行条件构成重大且实质性影响的，公司将依法从投资者手中回购及购回本次公开发行的股票以及转让的限售股。</w:t>
      </w:r>
    </w:p>
    <w:p>
      <w:pPr>
        <w:spacing w:line="360" w:lineRule="exact"/>
        <w:rPr>
          <w:rFonts w:cs="Times New Roman"/>
          <w:bCs w:val="0"/>
        </w:rPr>
      </w:pPr>
      <w:r>
        <w:rPr>
          <w:rFonts w:cs="Times New Roman"/>
          <w:bCs w:val="0"/>
        </w:rPr>
        <w:t>2</w:t>
      </w:r>
      <w:r>
        <w:rPr>
          <w:rFonts w:ascii="宋体" w:hAnsi="宋体" w:cs="Times New Roman"/>
          <w:bCs w:val="0"/>
        </w:rPr>
        <w:t>、股份回购及购回措施的启动程序</w:t>
      </w:r>
    </w:p>
    <w:p>
      <w:pPr>
        <w:spacing w:line="360" w:lineRule="exact"/>
        <w:rPr>
          <w:rFonts w:cs="Times New Roman"/>
          <w:bCs w:val="0"/>
        </w:rPr>
      </w:pPr>
      <w:r>
        <w:rPr>
          <w:rFonts w:ascii="宋体" w:hAnsi="宋体" w:cs="Times New Roman"/>
          <w:bCs w:val="0"/>
        </w:rPr>
        <w:t>（</w:t>
      </w:r>
      <w:r>
        <w:rPr>
          <w:rFonts w:cs="Times New Roman"/>
          <w:bCs w:val="0"/>
        </w:rPr>
        <w:t>1</w:t>
      </w:r>
      <w:r>
        <w:rPr>
          <w:rFonts w:ascii="宋体" w:hAnsi="宋体" w:cs="Times New Roman"/>
          <w:bCs w:val="0"/>
        </w:rPr>
        <w:t>）若上述情形发生于公司本次公开发行的新股已完成发行但未上市交易的阶段内，则公司将于上述情形发生之日起</w:t>
      </w:r>
      <w:r>
        <w:rPr>
          <w:rFonts w:cs="Times New Roman"/>
          <w:bCs w:val="0"/>
        </w:rPr>
        <w:t>5</w:t>
      </w:r>
      <w:r>
        <w:rPr>
          <w:rFonts w:ascii="宋体" w:hAnsi="宋体" w:cs="Times New Roman"/>
          <w:bCs w:val="0"/>
        </w:rPr>
        <w:t>个工作日内，将本次公开发行的募集资金，按照发行价并加算银行同期存款利息返还已缴纳股票申购款的投资者。</w:t>
      </w:r>
    </w:p>
    <w:p>
      <w:pPr>
        <w:spacing w:line="360" w:lineRule="exact"/>
        <w:rPr>
          <w:rFonts w:cs="Times New Roman"/>
          <w:bCs w:val="0"/>
        </w:rPr>
      </w:pPr>
      <w:r>
        <w:rPr>
          <w:rFonts w:ascii="宋体" w:hAnsi="宋体" w:cs="Times New Roman"/>
          <w:bCs w:val="0"/>
        </w:rPr>
        <w:t>（</w:t>
      </w:r>
      <w:r>
        <w:rPr>
          <w:rFonts w:cs="Times New Roman"/>
          <w:bCs w:val="0"/>
        </w:rPr>
        <w:t>2</w:t>
      </w:r>
      <w:r>
        <w:rPr>
          <w:rFonts w:ascii="宋体" w:hAnsi="宋体" w:cs="Times New Roman"/>
          <w:bCs w:val="0"/>
        </w:rPr>
        <w:t>）若上述情形发生于公司本次公开发行的新股已完成上市交易之后，公司董事会将在中国证监会或其他有权部门依法对上述事实作出最终认定或处罚决定后</w:t>
      </w:r>
      <w:r>
        <w:rPr>
          <w:rFonts w:cs="Times New Roman"/>
          <w:bCs w:val="0"/>
        </w:rPr>
        <w:t>10</w:t>
      </w:r>
      <w:r>
        <w:rPr>
          <w:rFonts w:ascii="宋体" w:hAnsi="宋体" w:cs="Times New Roman"/>
          <w:bCs w:val="0"/>
        </w:rPr>
        <w:t>个工作日内，制订股份回购方案并提交股东大会审议批准，依法回购本次公开发行的全部新股，按照发行价格加新股上市日至回购日期间的同期银行活期存款利息，或不低于中国证监会对公司招股说明书及其他信息披露材料存在虚假记载、误导性陈述或者重大遗漏问题进行立案稽查之日前</w:t>
      </w:r>
      <w:r>
        <w:rPr>
          <w:rFonts w:cs="Times New Roman"/>
          <w:bCs w:val="0"/>
        </w:rPr>
        <w:t>30</w:t>
      </w:r>
      <w:r>
        <w:rPr>
          <w:rFonts w:ascii="宋体" w:hAnsi="宋体" w:cs="Times New Roman"/>
          <w:bCs w:val="0"/>
        </w:rPr>
        <w:t>个交易日公司股票的每日加权平均价格的算术平均值（公司如有分红、派息、送股、资本公积金转增股本、配股等除权除息事项，前述价格应相应调整），或中国证监会认可的其他价格，通过证券交易所交易系统回购公司本次公开发行的全部新股。</w:t>
      </w:r>
    </w:p>
    <w:p>
      <w:pPr>
        <w:spacing w:line="360" w:lineRule="exact"/>
        <w:rPr>
          <w:rFonts w:cs="Times New Roman"/>
          <w:bCs w:val="0"/>
        </w:rPr>
      </w:pPr>
      <w:r>
        <w:rPr>
          <w:rFonts w:ascii="宋体" w:hAnsi="宋体" w:cs="Times New Roman"/>
          <w:bCs w:val="0"/>
        </w:rPr>
        <w:t>（</w:t>
      </w:r>
      <w:r>
        <w:rPr>
          <w:rFonts w:cs="Times New Roman"/>
          <w:bCs w:val="0"/>
        </w:rPr>
        <w:t>3</w:t>
      </w:r>
      <w:r>
        <w:rPr>
          <w:rFonts w:ascii="宋体" w:hAnsi="宋体" w:cs="Times New Roman"/>
          <w:bCs w:val="0"/>
        </w:rPr>
        <w:t>）当公司未来涉及股份回购时，公司应同时遵守中国证监会及证券交易所等证券监管机构的相关规定。</w:t>
      </w:r>
    </w:p>
    <w:p>
      <w:pPr>
        <w:spacing w:line="360" w:lineRule="exact"/>
        <w:rPr>
          <w:rFonts w:cs="Times New Roman"/>
          <w:bCs w:val="0"/>
        </w:rPr>
      </w:pPr>
      <w:r>
        <w:rPr>
          <w:rFonts w:cs="Times New Roman"/>
          <w:bCs w:val="0"/>
        </w:rPr>
        <w:t>3</w:t>
      </w:r>
      <w:r>
        <w:rPr>
          <w:rFonts w:ascii="宋体" w:hAnsi="宋体" w:cs="Times New Roman"/>
          <w:bCs w:val="0"/>
        </w:rPr>
        <w:t>、约束措施</w:t>
      </w:r>
    </w:p>
    <w:p>
      <w:pPr>
        <w:spacing w:line="360" w:lineRule="exact"/>
        <w:rPr>
          <w:rFonts w:cs="Times New Roman"/>
          <w:bCs w:val="0"/>
        </w:rPr>
      </w:pPr>
      <w:r>
        <w:rPr>
          <w:rFonts w:ascii="宋体" w:hAnsi="宋体" w:cs="Times New Roman"/>
          <w:bCs w:val="0"/>
        </w:rPr>
        <w:t>（</w:t>
      </w:r>
      <w:r>
        <w:rPr>
          <w:rFonts w:cs="Times New Roman"/>
          <w:bCs w:val="0"/>
        </w:rPr>
        <w:t>1</w:t>
      </w:r>
      <w:r>
        <w:rPr>
          <w:rFonts w:ascii="宋体" w:hAnsi="宋体" w:cs="Times New Roman"/>
          <w:bCs w:val="0"/>
        </w:rPr>
        <w:t>）公司将严格履行在本次发行时已作出的关于股份回购、购回措施的相应承诺。</w:t>
      </w:r>
    </w:p>
    <w:p>
      <w:pPr>
        <w:spacing w:line="360" w:lineRule="exact"/>
        <w:rPr>
          <w:rFonts w:cs="Times New Roman"/>
          <w:bCs w:val="0"/>
        </w:rPr>
      </w:pPr>
      <w:r>
        <w:rPr>
          <w:rFonts w:ascii="宋体" w:hAnsi="宋体" w:cs="Times New Roman"/>
          <w:bCs w:val="0"/>
        </w:rPr>
        <w:t>（</w:t>
      </w:r>
      <w:r>
        <w:rPr>
          <w:rFonts w:cs="Times New Roman"/>
          <w:bCs w:val="0"/>
        </w:rPr>
        <w:t>2</w:t>
      </w:r>
      <w:r>
        <w:rPr>
          <w:rFonts w:ascii="宋体" w:hAnsi="宋体" w:cs="Times New Roman"/>
          <w:bCs w:val="0"/>
        </w:rPr>
        <w:t>）公司自愿接受中国证监会及证券交易所等证券监管机构对股份回购、购回预案的制定、实施等进行监督，并承担法律责任。在启动股份回购、购回措施的条件满足时，如果公司未采取上述股份回购、购回的具体措施的，公司承诺接受以下约束措施：</w:t>
      </w:r>
    </w:p>
    <w:p>
      <w:pPr>
        <w:spacing w:line="360" w:lineRule="exact"/>
        <w:rPr>
          <w:rFonts w:cs="Times New Roman"/>
          <w:bCs w:val="0"/>
        </w:rPr>
      </w:pPr>
      <w:r>
        <w:rPr>
          <w:rFonts w:cs="Times New Roman"/>
          <w:bCs w:val="0"/>
        </w:rPr>
        <w:t>1</w:t>
      </w:r>
      <w:r>
        <w:rPr>
          <w:rFonts w:ascii="宋体" w:hAnsi="宋体" w:cs="Times New Roman"/>
          <w:bCs w:val="0"/>
        </w:rPr>
        <w:t>）在中国证监会指定媒体上公开说明承诺未能履行、无法履行或无法按期履行的具体原因，并提出补充承诺或替代承诺，以尽可能保护投资者的权益。</w:t>
      </w:r>
    </w:p>
    <w:p>
      <w:pPr>
        <w:spacing w:line="360" w:lineRule="exact"/>
        <w:rPr>
          <w:rFonts w:cs="Times New Roman"/>
          <w:bCs w:val="0"/>
        </w:rPr>
      </w:pPr>
      <w:r>
        <w:rPr>
          <w:rFonts w:cs="Times New Roman"/>
          <w:bCs w:val="0"/>
        </w:rPr>
        <w:t>2</w:t>
      </w:r>
      <w:r>
        <w:rPr>
          <w:rFonts w:ascii="宋体" w:hAnsi="宋体" w:cs="Times New Roman"/>
          <w:bCs w:val="0"/>
        </w:rPr>
        <w:t>）因未能履行该项承诺造成投资者损失的，公司将依据证券监管部门或司法机关认定的方式及金额进行赔偿。”</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cs="Times New Roman"/>
          <w:bCs w:val="0"/>
        </w:rPr>
        <w:t>2</w:t>
      </w:r>
      <w:r>
        <w:rPr>
          <w:rFonts w:ascii="宋体" w:hAnsi="宋体" w:cs="Times New Roman"/>
          <w:bCs w:val="0"/>
        </w:rPr>
        <w:t>、公司实际控制人杨泽民、秦惠兰、杨耀、杨秦分别承诺：</w:t>
      </w:r>
    </w:p>
    <w:p>
      <w:pPr>
        <w:spacing w:line="360" w:lineRule="exact"/>
        <w:rPr>
          <w:rFonts w:cs="Times New Roman"/>
          <w:bCs w:val="0"/>
        </w:rPr>
      </w:pPr>
      <w:r>
        <w:rPr>
          <w:rFonts w:ascii="宋体" w:hAnsi="宋体" w:cs="Times New Roman"/>
          <w:bCs w:val="0"/>
        </w:rPr>
        <w:t>“</w:t>
      </w:r>
      <w:r>
        <w:rPr>
          <w:rFonts w:cs="Times New Roman"/>
          <w:bCs w:val="0"/>
        </w:rPr>
        <w:t>1</w:t>
      </w:r>
      <w:r>
        <w:rPr>
          <w:rFonts w:ascii="宋体" w:hAnsi="宋体" w:cs="Times New Roman"/>
          <w:bCs w:val="0"/>
        </w:rPr>
        <w:t>、本次公开发行完成后，如本次公开发行的招股说明书及其他申报文件被中国证监会、证券交易所或司法机关认定为有虚假记载、误导性陈述或者重大遗漏的，对判断发行人是否符合法律规定的发行条件构成重大且实质性影响的，则本人承诺将极力督促望变电气依法从投资者手中回购及购回本次公开发行的股票以及转让的限售股。</w:t>
      </w:r>
      <w:r>
        <w:rPr>
          <w:rFonts w:cs="Times New Roman"/>
          <w:bCs w:val="0"/>
        </w:rPr>
        <w:t>2</w:t>
      </w:r>
      <w:r>
        <w:rPr>
          <w:rFonts w:ascii="宋体" w:hAnsi="宋体" w:cs="Times New Roman"/>
          <w:bCs w:val="0"/>
        </w:rPr>
        <w:t>、若中国证监会或其他有权部门认定招股说明书及其他信息披露材料所载之内容存在任何虚假记载、误导性陈述或者重大遗漏之情形，致使投资者在证券交易中遭受损失的，本人将依据证券监管部门或司法机关认定的方式及金额进行赔偿。”</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ascii="宋体" w:hAnsi="宋体" w:cs="Times New Roman"/>
          <w:bCs w:val="0"/>
        </w:rPr>
        <w:t>注</w:t>
      </w:r>
      <w:r>
        <w:rPr>
          <w:rFonts w:hint="eastAsia" w:cs="Times New Roman"/>
          <w:bCs w:val="0"/>
        </w:rPr>
        <w:t>7</w:t>
      </w:r>
      <w:r>
        <w:rPr>
          <w:rFonts w:ascii="宋体" w:hAnsi="宋体" w:cs="Times New Roman"/>
          <w:bCs w:val="0"/>
        </w:rPr>
        <w:t>：关于未履行承诺的约束措施的承诺</w:t>
      </w:r>
    </w:p>
    <w:p>
      <w:pPr>
        <w:spacing w:line="360" w:lineRule="exact"/>
        <w:rPr>
          <w:rFonts w:cs="Times New Roman"/>
          <w:bCs w:val="0"/>
        </w:rPr>
      </w:pPr>
      <w:r>
        <w:rPr>
          <w:rFonts w:cs="Times New Roman"/>
          <w:bCs w:val="0"/>
        </w:rPr>
        <w:t>1</w:t>
      </w:r>
      <w:r>
        <w:rPr>
          <w:rFonts w:ascii="宋体" w:hAnsi="宋体" w:cs="Times New Roman"/>
          <w:bCs w:val="0"/>
        </w:rPr>
        <w:t>、公司承诺：“</w:t>
      </w:r>
      <w:r>
        <w:rPr>
          <w:rFonts w:cs="Times New Roman"/>
          <w:bCs w:val="0"/>
        </w:rPr>
        <w:t>1</w:t>
      </w:r>
      <w:r>
        <w:rPr>
          <w:rFonts w:ascii="宋体" w:hAnsi="宋体" w:cs="Times New Roman"/>
          <w:bCs w:val="0"/>
        </w:rPr>
        <w:t>、本公司在招股说明书中公开作出的相关承诺中已经包含约束措施的，则以该等承诺中的约束措施为准；若本公司违反该等承诺，本公司同意采取该等承诺中已经明确的约束措施；</w:t>
      </w:r>
      <w:r>
        <w:rPr>
          <w:rFonts w:cs="Times New Roman"/>
          <w:bCs w:val="0"/>
        </w:rPr>
        <w:t>2</w:t>
      </w:r>
      <w:r>
        <w:rPr>
          <w:rFonts w:ascii="宋体" w:hAnsi="宋体" w:cs="Times New Roman"/>
          <w:bCs w:val="0"/>
        </w:rPr>
        <w:t>、本公司在招股说明书中公开作出的相关承诺未包含约束措施的，如本公司非因不可抗力原因导致未能履行公开承诺事项的，需提出新的承诺（相关承诺需按法律、法规、公司章程的规定履行相关审批程序）并接受如下约束措施，直至新的承诺履行完毕或相应补救措施实施完毕：</w:t>
      </w:r>
    </w:p>
    <w:p>
      <w:pPr>
        <w:spacing w:line="360" w:lineRule="exact"/>
        <w:rPr>
          <w:rFonts w:cs="Times New Roman"/>
          <w:bCs w:val="0"/>
        </w:rPr>
      </w:pPr>
      <w:r>
        <w:rPr>
          <w:rFonts w:ascii="宋体" w:hAnsi="宋体" w:cs="Times New Roman"/>
          <w:bCs w:val="0"/>
        </w:rPr>
        <w:t>（</w:t>
      </w:r>
      <w:r>
        <w:rPr>
          <w:rFonts w:cs="Times New Roman"/>
          <w:bCs w:val="0"/>
        </w:rPr>
        <w:t>1</w:t>
      </w:r>
      <w:r>
        <w:rPr>
          <w:rFonts w:ascii="宋体" w:hAnsi="宋体" w:cs="Times New Roman"/>
          <w:bCs w:val="0"/>
        </w:rPr>
        <w:t>）本公司将在股东大会及中国证监会指定报刊上公开说明未履行承诺的具体原因并向股东和社会公众投资者道歉；</w:t>
      </w:r>
    </w:p>
    <w:p>
      <w:pPr>
        <w:spacing w:line="360" w:lineRule="exact"/>
        <w:rPr>
          <w:rFonts w:cs="Times New Roman"/>
          <w:bCs w:val="0"/>
        </w:rPr>
      </w:pPr>
      <w:r>
        <w:rPr>
          <w:rFonts w:ascii="宋体" w:hAnsi="宋体" w:cs="Times New Roman"/>
          <w:bCs w:val="0"/>
        </w:rPr>
        <w:t>（</w:t>
      </w:r>
      <w:r>
        <w:rPr>
          <w:rFonts w:cs="Times New Roman"/>
          <w:bCs w:val="0"/>
        </w:rPr>
        <w:t>2</w:t>
      </w:r>
      <w:r>
        <w:rPr>
          <w:rFonts w:ascii="宋体" w:hAnsi="宋体" w:cs="Times New Roman"/>
          <w:bCs w:val="0"/>
        </w:rPr>
        <w:t>）及时、充分披露相关承诺未能履行、确已无法履行或无法按期履行的具体原因；</w:t>
      </w:r>
    </w:p>
    <w:p>
      <w:pPr>
        <w:spacing w:line="360" w:lineRule="exact"/>
        <w:rPr>
          <w:rFonts w:cs="Times New Roman"/>
          <w:bCs w:val="0"/>
        </w:rPr>
      </w:pPr>
      <w:r>
        <w:rPr>
          <w:rFonts w:ascii="宋体" w:hAnsi="宋体" w:cs="Times New Roman"/>
          <w:bCs w:val="0"/>
        </w:rPr>
        <w:t>（</w:t>
      </w:r>
      <w:r>
        <w:rPr>
          <w:rFonts w:cs="Times New Roman"/>
          <w:bCs w:val="0"/>
        </w:rPr>
        <w:t>3</w:t>
      </w:r>
      <w:r>
        <w:rPr>
          <w:rFonts w:ascii="宋体" w:hAnsi="宋体" w:cs="Times New Roman"/>
          <w:bCs w:val="0"/>
        </w:rPr>
        <w:t>）对该等未履行承诺的行为负有个人责任的董事、监事、高级管理人员调减或停发薪酬或津贴；</w:t>
      </w:r>
    </w:p>
    <w:p>
      <w:pPr>
        <w:spacing w:line="360" w:lineRule="exact"/>
        <w:rPr>
          <w:rFonts w:cs="Times New Roman"/>
          <w:bCs w:val="0"/>
        </w:rPr>
      </w:pPr>
      <w:r>
        <w:rPr>
          <w:rFonts w:ascii="宋体" w:hAnsi="宋体" w:cs="Times New Roman"/>
          <w:bCs w:val="0"/>
        </w:rPr>
        <w:t>（</w:t>
      </w:r>
      <w:r>
        <w:rPr>
          <w:rFonts w:cs="Times New Roman"/>
          <w:bCs w:val="0"/>
        </w:rPr>
        <w:t>4</w:t>
      </w:r>
      <w:r>
        <w:rPr>
          <w:rFonts w:ascii="宋体" w:hAnsi="宋体" w:cs="Times New Roman"/>
          <w:bCs w:val="0"/>
        </w:rPr>
        <w:t>）向投资者提出补充承诺或替代承诺，以尽可能保护投资者的权益；并同意将上述补充承诺或替代承诺提交股东大会审议；</w:t>
      </w:r>
    </w:p>
    <w:p>
      <w:pPr>
        <w:spacing w:line="360" w:lineRule="exact"/>
        <w:rPr>
          <w:rFonts w:cs="Times New Roman"/>
          <w:bCs w:val="0"/>
        </w:rPr>
      </w:pPr>
      <w:r>
        <w:rPr>
          <w:rFonts w:ascii="宋体" w:hAnsi="宋体" w:cs="Times New Roman"/>
          <w:bCs w:val="0"/>
        </w:rPr>
        <w:t>（</w:t>
      </w:r>
      <w:r>
        <w:rPr>
          <w:rFonts w:cs="Times New Roman"/>
          <w:bCs w:val="0"/>
        </w:rPr>
        <w:t>5</w:t>
      </w:r>
      <w:r>
        <w:rPr>
          <w:rFonts w:ascii="宋体" w:hAnsi="宋体" w:cs="Times New Roman"/>
          <w:bCs w:val="0"/>
        </w:rPr>
        <w:t>）如违反相关承诺给投资者造成损失的，将依法赔偿投资者的损失。如该等已违反的承诺仍可继续履行，本公司将继续履行该等承诺。”</w:t>
      </w:r>
    </w:p>
    <w:p>
      <w:pPr>
        <w:spacing w:line="360" w:lineRule="exact"/>
        <w:rPr>
          <w:rFonts w:cs="Times New Roman"/>
          <w:bCs w:val="0"/>
        </w:rPr>
      </w:pPr>
      <w:r>
        <w:rPr>
          <w:rFonts w:cs="Times New Roman"/>
          <w:bCs w:val="0"/>
        </w:rPr>
        <w:t xml:space="preserve"> </w:t>
      </w:r>
    </w:p>
    <w:p>
      <w:pPr>
        <w:spacing w:line="360" w:lineRule="exact"/>
        <w:rPr>
          <w:rFonts w:cs="Times New Roman"/>
          <w:bCs w:val="0"/>
        </w:rPr>
      </w:pPr>
      <w:r>
        <w:rPr>
          <w:rFonts w:cs="Times New Roman"/>
          <w:bCs w:val="0"/>
        </w:rPr>
        <w:t>2</w:t>
      </w:r>
      <w:r>
        <w:rPr>
          <w:rFonts w:ascii="宋体" w:hAnsi="宋体" w:cs="Times New Roman"/>
          <w:bCs w:val="0"/>
        </w:rPr>
        <w:t>、公司实际控制人杨泽民、秦惠兰、杨耀、杨秦，全体董事、监事、高级管理人员分别承诺：</w:t>
      </w:r>
    </w:p>
    <w:p>
      <w:pPr>
        <w:spacing w:line="360" w:lineRule="exact"/>
        <w:rPr>
          <w:rFonts w:cs="Times New Roman"/>
          <w:bCs w:val="0"/>
        </w:rPr>
      </w:pPr>
      <w:r>
        <w:rPr>
          <w:rFonts w:ascii="宋体" w:hAnsi="宋体" w:cs="Times New Roman"/>
          <w:bCs w:val="0"/>
        </w:rPr>
        <w:t>“</w:t>
      </w:r>
      <w:r>
        <w:rPr>
          <w:rFonts w:cs="Times New Roman"/>
          <w:bCs w:val="0"/>
        </w:rPr>
        <w:t>1</w:t>
      </w:r>
      <w:r>
        <w:rPr>
          <w:rFonts w:ascii="宋体" w:hAnsi="宋体" w:cs="Times New Roman"/>
          <w:bCs w:val="0"/>
        </w:rPr>
        <w:t>、本人在招股说明书中公开作出的相关承诺中已经包含约束措施的，则以该等承诺中的约束措施为准；若本人违反该等承诺，本人同意采取该等承诺中已经明确的约束措施；</w:t>
      </w:r>
      <w:r>
        <w:rPr>
          <w:rFonts w:cs="Times New Roman"/>
          <w:bCs w:val="0"/>
        </w:rPr>
        <w:t>2</w:t>
      </w:r>
      <w:r>
        <w:rPr>
          <w:rFonts w:ascii="宋体" w:hAnsi="宋体" w:cs="Times New Roman"/>
          <w:bCs w:val="0"/>
        </w:rPr>
        <w:t>、本人在招股说明书中公开作出的相关承诺未包含约束措施的，如本人非因不可抗力原因导致未能履行公开承诺事项的，需提出新的承诺（相关承诺需按法律、法规、公司章程的规定履行相关审批程序）并接受如下约束措施，直至新的承诺履行完毕或相应补救措施实施完毕：</w:t>
      </w:r>
    </w:p>
    <w:p>
      <w:pPr>
        <w:spacing w:line="360" w:lineRule="exact"/>
        <w:rPr>
          <w:rFonts w:cs="Times New Roman"/>
          <w:bCs w:val="0"/>
        </w:rPr>
      </w:pPr>
      <w:r>
        <w:rPr>
          <w:rFonts w:ascii="宋体" w:hAnsi="宋体" w:cs="Times New Roman"/>
          <w:bCs w:val="0"/>
        </w:rPr>
        <w:t>（</w:t>
      </w:r>
      <w:r>
        <w:rPr>
          <w:rFonts w:cs="Times New Roman"/>
          <w:bCs w:val="0"/>
        </w:rPr>
        <w:t>1</w:t>
      </w:r>
      <w:r>
        <w:rPr>
          <w:rFonts w:ascii="宋体" w:hAnsi="宋体" w:cs="Times New Roman"/>
          <w:bCs w:val="0"/>
        </w:rPr>
        <w:t>）本人将在股东大会及中国证监会指定报刊上公开说明未履行承诺的具体原因并向股东和社会公众投资者道歉；</w:t>
      </w:r>
    </w:p>
    <w:p>
      <w:pPr>
        <w:spacing w:line="360" w:lineRule="exact"/>
        <w:rPr>
          <w:rFonts w:cs="Times New Roman"/>
          <w:bCs w:val="0"/>
        </w:rPr>
      </w:pPr>
      <w:r>
        <w:rPr>
          <w:rFonts w:ascii="宋体" w:hAnsi="宋体" w:cs="Times New Roman"/>
          <w:bCs w:val="0"/>
        </w:rPr>
        <w:t>（</w:t>
      </w:r>
      <w:r>
        <w:rPr>
          <w:rFonts w:cs="Times New Roman"/>
          <w:bCs w:val="0"/>
        </w:rPr>
        <w:t>2</w:t>
      </w:r>
      <w:r>
        <w:rPr>
          <w:rFonts w:ascii="宋体" w:hAnsi="宋体" w:cs="Times New Roman"/>
          <w:bCs w:val="0"/>
        </w:rPr>
        <w:t>）及时、充分披露相关承诺未能履行、确已无法履行或无法按期履行的具体原因；</w:t>
      </w:r>
    </w:p>
    <w:p>
      <w:pPr>
        <w:spacing w:line="360" w:lineRule="exact"/>
        <w:rPr>
          <w:rFonts w:cs="Times New Roman"/>
          <w:bCs w:val="0"/>
        </w:rPr>
      </w:pPr>
      <w:r>
        <w:rPr>
          <w:rFonts w:ascii="宋体" w:hAnsi="宋体" w:cs="Times New Roman"/>
          <w:bCs w:val="0"/>
        </w:rPr>
        <w:t>（</w:t>
      </w:r>
      <w:r>
        <w:rPr>
          <w:rFonts w:cs="Times New Roman"/>
          <w:bCs w:val="0"/>
        </w:rPr>
        <w:t>3</w:t>
      </w:r>
      <w:r>
        <w:rPr>
          <w:rFonts w:ascii="宋体" w:hAnsi="宋体" w:cs="Times New Roman"/>
          <w:bCs w:val="0"/>
        </w:rPr>
        <w:t>）如本人未能履行相关承诺事项，公司有权在前述事项发生之日起</w:t>
      </w:r>
      <w:r>
        <w:rPr>
          <w:rFonts w:cs="Times New Roman"/>
          <w:bCs w:val="0"/>
        </w:rPr>
        <w:t>10</w:t>
      </w:r>
      <w:r>
        <w:rPr>
          <w:rFonts w:ascii="宋体" w:hAnsi="宋体" w:cs="Times New Roman"/>
          <w:bCs w:val="0"/>
        </w:rPr>
        <w:t>个交易日内，停止对本人进行现金分红，并停发本人应在公司领取的薪酬、津贴（如有），直至本人履行相关承诺；</w:t>
      </w:r>
    </w:p>
    <w:p>
      <w:pPr>
        <w:spacing w:line="360" w:lineRule="exact"/>
        <w:rPr>
          <w:rFonts w:cs="Times New Roman"/>
          <w:bCs w:val="0"/>
        </w:rPr>
      </w:pPr>
      <w:r>
        <w:rPr>
          <w:rFonts w:ascii="宋体" w:hAnsi="宋体" w:cs="Times New Roman"/>
          <w:bCs w:val="0"/>
        </w:rPr>
        <w:t>（</w:t>
      </w:r>
      <w:r>
        <w:rPr>
          <w:rFonts w:cs="Times New Roman"/>
          <w:bCs w:val="0"/>
        </w:rPr>
        <w:t>4</w:t>
      </w:r>
      <w:r>
        <w:rPr>
          <w:rFonts w:ascii="宋体" w:hAnsi="宋体" w:cs="Times New Roman"/>
          <w:bCs w:val="0"/>
        </w:rPr>
        <w:t>）不转让直接或间接持有的发行人的股份（如持有）。因继承、被强制执行、上市公司重组、为履行保护投资者利益承诺等必须转股的情形除外；</w:t>
      </w:r>
    </w:p>
    <w:p>
      <w:pPr>
        <w:spacing w:line="360" w:lineRule="exact"/>
        <w:rPr>
          <w:rFonts w:cs="Times New Roman"/>
          <w:bCs w:val="0"/>
        </w:rPr>
      </w:pPr>
      <w:r>
        <w:rPr>
          <w:rFonts w:ascii="宋体" w:hAnsi="宋体" w:cs="Times New Roman"/>
          <w:bCs w:val="0"/>
        </w:rPr>
        <w:t>（</w:t>
      </w:r>
      <w:r>
        <w:rPr>
          <w:rFonts w:cs="Times New Roman"/>
          <w:bCs w:val="0"/>
        </w:rPr>
        <w:t>5</w:t>
      </w:r>
      <w:r>
        <w:rPr>
          <w:rFonts w:ascii="宋体" w:hAnsi="宋体" w:cs="Times New Roman"/>
          <w:bCs w:val="0"/>
        </w:rPr>
        <w:t>）向投资者提出补充承诺或替代承诺，以尽可能保护投资者的权益；并同意将上述补充承诺或替代承诺提交股东大会审议；</w:t>
      </w:r>
    </w:p>
    <w:p>
      <w:pPr>
        <w:spacing w:line="360" w:lineRule="exact"/>
        <w:rPr>
          <w:rFonts w:cs="Times New Roman"/>
          <w:bCs w:val="0"/>
        </w:rPr>
      </w:pPr>
      <w:r>
        <w:rPr>
          <w:rFonts w:ascii="宋体" w:hAnsi="宋体" w:cs="Times New Roman"/>
          <w:bCs w:val="0"/>
        </w:rPr>
        <w:t>（</w:t>
      </w:r>
      <w:r>
        <w:rPr>
          <w:rFonts w:cs="Times New Roman"/>
          <w:bCs w:val="0"/>
        </w:rPr>
        <w:t>6</w:t>
      </w:r>
      <w:r>
        <w:rPr>
          <w:rFonts w:ascii="宋体" w:hAnsi="宋体" w:cs="Times New Roman"/>
          <w:bCs w:val="0"/>
        </w:rPr>
        <w:t>）如违反相关承诺给投资者造成损失的，将依法赔偿投资者的损失。如该等已违反的承诺仍可继续履行，本人将继续履行该等承诺。”</w:t>
      </w:r>
    </w:p>
    <w:p>
      <w:pPr>
        <w:spacing w:line="360" w:lineRule="exact"/>
        <w:rPr>
          <w:rFonts w:cs="Times New Roman"/>
          <w:bCs w:val="0"/>
        </w:rPr>
      </w:pPr>
    </w:p>
    <w:p>
      <w:pPr>
        <w:spacing w:line="360" w:lineRule="exact"/>
        <w:rPr>
          <w:rFonts w:cs="Times New Roman"/>
          <w:bCs w:val="0"/>
        </w:rPr>
      </w:pPr>
      <w:r>
        <w:rPr>
          <w:rFonts w:hint="eastAsia" w:cs="Times New Roman"/>
          <w:bCs w:val="0"/>
        </w:rPr>
        <w:t>注8：</w:t>
      </w:r>
      <w:r>
        <w:rPr>
          <w:rFonts w:cs="Times New Roman"/>
          <w:bCs w:val="0"/>
        </w:rPr>
        <w:t>发行对象关于股份锁定的承诺函</w:t>
      </w:r>
    </w:p>
    <w:p>
      <w:pPr>
        <w:spacing w:line="360" w:lineRule="exact"/>
        <w:rPr>
          <w:rFonts w:cs="Times New Roman"/>
          <w:bCs w:val="0"/>
        </w:rPr>
      </w:pPr>
      <w:r>
        <w:rPr>
          <w:rFonts w:hint="eastAsia" w:cs="Times New Roman"/>
          <w:bCs w:val="0"/>
        </w:rPr>
        <w:t>杨泽民、杨耀控制的企业“</w:t>
      </w:r>
      <w:r>
        <w:rPr>
          <w:rFonts w:cs="Times New Roman"/>
          <w:bCs w:val="0"/>
        </w:rPr>
        <w:t>重庆耀泽商业管理有限公司</w:t>
      </w:r>
      <w:r>
        <w:rPr>
          <w:rFonts w:hint="eastAsia" w:cs="Times New Roman"/>
          <w:bCs w:val="0"/>
        </w:rPr>
        <w:t>”（以下简称“认购人”）就本次认购股份的限售期作出以下承诺：</w:t>
      </w:r>
    </w:p>
    <w:p>
      <w:pPr>
        <w:spacing w:line="360" w:lineRule="exact"/>
        <w:rPr>
          <w:rFonts w:cs="Times New Roman"/>
          <w:bCs w:val="0"/>
        </w:rPr>
      </w:pPr>
      <w:r>
        <w:rPr>
          <w:rFonts w:hint="eastAsia" w:cs="Times New Roman"/>
          <w:bCs w:val="0"/>
        </w:rPr>
        <w:t>“1、认购人通过本次发行取得的发行人股份自相关股份发行结束之日起36个月内不转让；</w:t>
      </w:r>
    </w:p>
    <w:p>
      <w:pPr>
        <w:spacing w:line="360" w:lineRule="exact"/>
        <w:rPr>
          <w:rFonts w:cs="Times New Roman"/>
          <w:bCs w:val="0"/>
        </w:rPr>
      </w:pPr>
      <w:r>
        <w:rPr>
          <w:rFonts w:hint="eastAsia" w:cs="Times New Roman"/>
          <w:bCs w:val="0"/>
        </w:rPr>
        <w:t>2、本次发行完成后，认购人通过本次发行取得的发行人股份因发行人配股、送红股、转增股本等原因增持的部分，亦遵守上述股份锁定安排；</w:t>
      </w:r>
    </w:p>
    <w:p>
      <w:pPr>
        <w:spacing w:line="360" w:lineRule="exact"/>
        <w:rPr>
          <w:rFonts w:cs="Times New Roman"/>
          <w:bCs w:val="0"/>
        </w:rPr>
      </w:pPr>
      <w:r>
        <w:rPr>
          <w:rFonts w:hint="eastAsia" w:cs="Times New Roman"/>
          <w:bCs w:val="0"/>
        </w:rPr>
        <w:t>3、若国家法律法规及证券监管机构、上海证券交易所对本次发行股票的限售期有最新规定、监管意见或审核要求的，将根据最新规定、监管意见或审核要求等对限售期进行相应的调整；</w:t>
      </w:r>
    </w:p>
    <w:p>
      <w:pPr>
        <w:spacing w:line="360" w:lineRule="exact"/>
        <w:rPr>
          <w:rFonts w:cs="Times New Roman"/>
          <w:bCs w:val="0"/>
        </w:rPr>
      </w:pPr>
      <w:r>
        <w:rPr>
          <w:rFonts w:hint="eastAsia" w:cs="Times New Roman"/>
          <w:bCs w:val="0"/>
        </w:rPr>
        <w:t>4、上述锁定期届满后，相关股份转让和交易按届时有效的法律法规、中国证券监督管理委员会及上海证券交易所的有关规定执行。</w:t>
      </w:r>
    </w:p>
    <w:p>
      <w:pPr>
        <w:spacing w:line="360" w:lineRule="exact"/>
        <w:rPr>
          <w:rFonts w:cs="Times New Roman"/>
          <w:bCs w:val="0"/>
        </w:rPr>
      </w:pPr>
      <w:r>
        <w:rPr>
          <w:rFonts w:hint="eastAsia" w:cs="Times New Roman"/>
          <w:bCs w:val="0"/>
        </w:rPr>
        <w:t>特此承诺！”</w:t>
      </w:r>
    </w:p>
    <w:p>
      <w:pPr>
        <w:spacing w:line="360" w:lineRule="exact"/>
        <w:rPr>
          <w:rFonts w:cs="Times New Roman"/>
          <w:bCs w:val="0"/>
        </w:rPr>
      </w:pPr>
    </w:p>
    <w:p>
      <w:pPr>
        <w:spacing w:line="360" w:lineRule="exact"/>
        <w:rPr>
          <w:rFonts w:hint="eastAsia" w:ascii="宋体" w:hAnsi="宋体" w:cs="Times New Roman"/>
          <w:bCs w:val="0"/>
        </w:rPr>
      </w:pPr>
      <w:r>
        <w:rPr>
          <w:rFonts w:ascii="宋体" w:hAnsi="宋体" w:cs="Times New Roman"/>
          <w:bCs w:val="0"/>
        </w:rPr>
        <w:t>注</w:t>
      </w:r>
      <w:r>
        <w:rPr>
          <w:rFonts w:hint="eastAsia" w:cs="Times New Roman"/>
          <w:bCs w:val="0"/>
        </w:rPr>
        <w:t>9</w:t>
      </w:r>
      <w:r>
        <w:rPr>
          <w:rFonts w:ascii="宋体" w:hAnsi="宋体" w:cs="Times New Roman"/>
          <w:bCs w:val="0"/>
        </w:rPr>
        <w:t>：发行对象关于本次认购资金来源的承诺函</w:t>
      </w:r>
    </w:p>
    <w:p>
      <w:pPr>
        <w:spacing w:line="360" w:lineRule="exact"/>
        <w:rPr>
          <w:rFonts w:cs="Times New Roman"/>
          <w:bCs w:val="0"/>
        </w:rPr>
      </w:pPr>
      <w:r>
        <w:rPr>
          <w:rFonts w:hint="eastAsia" w:cs="Times New Roman"/>
          <w:bCs w:val="0"/>
        </w:rPr>
        <w:t>杨泽民、杨耀控制的企业“</w:t>
      </w:r>
      <w:r>
        <w:rPr>
          <w:rFonts w:cs="Times New Roman"/>
          <w:bCs w:val="0"/>
        </w:rPr>
        <w:t>重庆耀泽商业管理有限公司</w:t>
      </w:r>
      <w:r>
        <w:rPr>
          <w:rFonts w:hint="eastAsia" w:cs="Times New Roman"/>
          <w:bCs w:val="0"/>
        </w:rPr>
        <w:t>”（以下简称“认购人”）就认购资金来源作出以下承诺：</w:t>
      </w:r>
    </w:p>
    <w:p>
      <w:pPr>
        <w:spacing w:line="360" w:lineRule="exact"/>
        <w:rPr>
          <w:rFonts w:cs="Times New Roman"/>
          <w:bCs w:val="0"/>
        </w:rPr>
      </w:pPr>
      <w:r>
        <w:rPr>
          <w:rFonts w:hint="eastAsia" w:cs="Times New Roman"/>
          <w:bCs w:val="0"/>
        </w:rPr>
        <w:t>“1、认购人参与认购本次发行的资金，全部为认购人自有资金或合法自筹资金，资金来源合法合规；</w:t>
      </w:r>
    </w:p>
    <w:p>
      <w:pPr>
        <w:spacing w:line="360" w:lineRule="exact"/>
        <w:rPr>
          <w:rFonts w:cs="Times New Roman"/>
          <w:bCs w:val="0"/>
        </w:rPr>
      </w:pPr>
      <w:r>
        <w:rPr>
          <w:rFonts w:hint="eastAsia" w:cs="Times New Roman"/>
          <w:bCs w:val="0"/>
        </w:rPr>
        <w:t>2、认购人不存在对外募集、代持、结构化安排等情形；</w:t>
      </w:r>
    </w:p>
    <w:p>
      <w:pPr>
        <w:spacing w:line="360" w:lineRule="exact"/>
        <w:rPr>
          <w:rFonts w:cs="Times New Roman"/>
          <w:bCs w:val="0"/>
        </w:rPr>
      </w:pPr>
      <w:r>
        <w:rPr>
          <w:rFonts w:hint="eastAsia" w:cs="Times New Roman"/>
          <w:bCs w:val="0"/>
        </w:rPr>
        <w:t>3、认购人不存在直接间接使用发行人资金用于本次认购的情形，亦不存在发行人直接或通过其他利益相关方向本人提供财务资助、补偿、承诺收益或其他协议安排的情形；</w:t>
      </w:r>
    </w:p>
    <w:p>
      <w:pPr>
        <w:spacing w:line="360" w:lineRule="exact"/>
        <w:rPr>
          <w:rFonts w:cs="Times New Roman"/>
          <w:bCs w:val="0"/>
        </w:rPr>
      </w:pPr>
      <w:r>
        <w:rPr>
          <w:rFonts w:hint="eastAsia" w:cs="Times New Roman"/>
          <w:bCs w:val="0"/>
        </w:rPr>
        <w:t>4、认购人本次认购的股份不存在法律法规规定禁止持股的情形，不存在信托持股、委托持股或其他任何代持的情形；不存在本次发行的中介机构或其负责人、高级管理人员、经办人员等违规持股的情形；不存在不当利益输送的情形。</w:t>
      </w:r>
    </w:p>
    <w:p>
      <w:pPr>
        <w:spacing w:line="360" w:lineRule="exact"/>
        <w:rPr>
          <w:rFonts w:cs="Times New Roman"/>
          <w:bCs w:val="0"/>
        </w:rPr>
      </w:pPr>
      <w:r>
        <w:rPr>
          <w:rFonts w:hint="eastAsia" w:cs="Times New Roman"/>
          <w:bCs w:val="0"/>
        </w:rPr>
        <w:t>特此承诺！”</w:t>
      </w:r>
    </w:p>
    <w:p>
      <w:pPr>
        <w:spacing w:line="360" w:lineRule="exact"/>
        <w:rPr>
          <w:rFonts w:cs="Times New Roman"/>
          <w:bCs w:val="0"/>
        </w:rPr>
      </w:pPr>
    </w:p>
    <w:p>
      <w:pPr>
        <w:spacing w:line="360" w:lineRule="exact"/>
        <w:rPr>
          <w:rFonts w:cs="Times New Roman"/>
          <w:bCs w:val="0"/>
        </w:rPr>
      </w:pPr>
      <w:r>
        <w:rPr>
          <w:rFonts w:hint="eastAsia" w:cs="Times New Roman"/>
          <w:bCs w:val="0"/>
        </w:rPr>
        <w:t>注10：关于从定价基准日至本次发行完成后六个月内不减持发行人股份的承诺函</w:t>
      </w:r>
    </w:p>
    <w:p>
      <w:pPr>
        <w:spacing w:line="360" w:lineRule="exact"/>
        <w:rPr>
          <w:rFonts w:cs="Times New Roman"/>
          <w:bCs w:val="0"/>
        </w:rPr>
      </w:pPr>
      <w:r>
        <w:rPr>
          <w:rFonts w:hint="eastAsia" w:cs="Times New Roman"/>
          <w:bCs w:val="0"/>
        </w:rPr>
        <w:t>杨泽民、杨耀控制的企业“</w:t>
      </w:r>
      <w:r>
        <w:rPr>
          <w:rFonts w:cs="Times New Roman"/>
          <w:bCs w:val="0"/>
        </w:rPr>
        <w:t>重庆耀泽商业管理有限公司</w:t>
      </w:r>
      <w:r>
        <w:rPr>
          <w:rFonts w:hint="eastAsia" w:cs="Times New Roman"/>
          <w:bCs w:val="0"/>
        </w:rPr>
        <w:t>”（以下简称“认购人”）在特定期间内不减持发行人股份作出以下承诺：</w:t>
      </w:r>
    </w:p>
    <w:p>
      <w:pPr>
        <w:spacing w:line="360" w:lineRule="exact"/>
        <w:rPr>
          <w:rFonts w:cs="Times New Roman"/>
          <w:bCs w:val="0"/>
        </w:rPr>
      </w:pPr>
      <w:r>
        <w:rPr>
          <w:rFonts w:hint="eastAsia" w:cs="Times New Roman"/>
          <w:bCs w:val="0"/>
        </w:rPr>
        <w:t>“1、自本次发行定价基准日前六个月至本承诺出具之日，认购人不存在减持发行人股份的情况；</w:t>
      </w:r>
    </w:p>
    <w:p>
      <w:pPr>
        <w:spacing w:line="360" w:lineRule="exact"/>
        <w:rPr>
          <w:rFonts w:cs="Times New Roman"/>
          <w:bCs w:val="0"/>
        </w:rPr>
      </w:pPr>
      <w:r>
        <w:rPr>
          <w:rFonts w:hint="eastAsia" w:cs="Times New Roman"/>
          <w:bCs w:val="0"/>
        </w:rPr>
        <w:t>2、认购人承诺，自本承诺函出具之日起至本次发行完成后六个月内不会通过集中竞价、大宗交易或协议转让等方式减持所持有发行人股份（包括因送股、公积金转增股本等权益分派产生的股份），亦不安排任何减持计划；</w:t>
      </w:r>
    </w:p>
    <w:p>
      <w:pPr>
        <w:spacing w:line="360" w:lineRule="exact"/>
        <w:rPr>
          <w:rFonts w:cs="Times New Roman"/>
          <w:bCs w:val="0"/>
        </w:rPr>
      </w:pPr>
      <w:r>
        <w:rPr>
          <w:rFonts w:hint="eastAsia" w:cs="Times New Roman"/>
          <w:bCs w:val="0"/>
        </w:rPr>
        <w:t>3、如认购人违反上述承诺，认购人因减持发行人股份所得全部收益归发行人所有，并依法承担因此产生的法律责任。</w:t>
      </w:r>
    </w:p>
    <w:p>
      <w:pPr>
        <w:spacing w:line="360" w:lineRule="exact"/>
        <w:rPr>
          <w:rFonts w:cs="Times New Roman"/>
          <w:bCs w:val="0"/>
        </w:rPr>
      </w:pPr>
      <w:r>
        <w:rPr>
          <w:rFonts w:hint="eastAsia" w:cs="Times New Roman"/>
          <w:bCs w:val="0"/>
        </w:rPr>
        <w:t>特此承诺！”</w:t>
      </w:r>
    </w:p>
    <w:p>
      <w:pPr>
        <w:spacing w:line="360" w:lineRule="exact"/>
        <w:rPr>
          <w:rFonts w:cs="Times New Roman"/>
          <w:bCs w:val="0"/>
        </w:rPr>
      </w:pPr>
    </w:p>
    <w:p>
      <w:pPr>
        <w:spacing w:line="360" w:lineRule="exact"/>
        <w:rPr>
          <w:rFonts w:cs="Times New Roman"/>
          <w:bCs w:val="0"/>
        </w:rPr>
      </w:pPr>
      <w:r>
        <w:rPr>
          <w:rFonts w:hint="eastAsia" w:cs="Times New Roman"/>
          <w:bCs w:val="0"/>
        </w:rPr>
        <w:t>注11：</w:t>
      </w:r>
      <w:r>
        <w:rPr>
          <w:rFonts w:cs="Times New Roman"/>
          <w:bCs w:val="0"/>
        </w:rPr>
        <w:t>关于本次发行最低认购股票数量及金额的承诺函</w:t>
      </w:r>
    </w:p>
    <w:p>
      <w:pPr>
        <w:spacing w:line="360" w:lineRule="exact"/>
        <w:rPr>
          <w:rFonts w:cs="Times New Roman"/>
          <w:bCs w:val="0"/>
        </w:rPr>
      </w:pPr>
      <w:r>
        <w:rPr>
          <w:rFonts w:hint="eastAsia" w:cs="Times New Roman"/>
          <w:bCs w:val="0"/>
        </w:rPr>
        <w:t>杨泽民、杨耀控制的企业“</w:t>
      </w:r>
      <w:r>
        <w:rPr>
          <w:rFonts w:cs="Times New Roman"/>
          <w:bCs w:val="0"/>
        </w:rPr>
        <w:t>重庆耀泽商业管理有限公司</w:t>
      </w:r>
      <w:r>
        <w:rPr>
          <w:rFonts w:hint="eastAsia" w:cs="Times New Roman"/>
          <w:bCs w:val="0"/>
        </w:rPr>
        <w:t>”（以下简称“本承诺人”）作为本次发行的认购对象，就认购作出以下承诺：</w:t>
      </w:r>
    </w:p>
    <w:p>
      <w:pPr>
        <w:spacing w:line="360" w:lineRule="exact"/>
        <w:rPr>
          <w:rFonts w:cs="Times New Roman"/>
          <w:bCs w:val="0"/>
        </w:rPr>
      </w:pPr>
      <w:r>
        <w:rPr>
          <w:rFonts w:hint="eastAsia" w:cs="Times New Roman"/>
          <w:bCs w:val="0"/>
        </w:rPr>
        <w:t>“本承诺人拟认购发行人向特定对象发行股票（以下简称“本次发行”）总金额为不超过30,000.00万元（含本数），本次发行的定价基准日为发行人本次发行的发行期首日，发行价格为不低于定价基准日前20个交易日发行人股票交易均价的80%（定价基准日前20个交易日股票交易均价=定价基准日前20个交易日发行人股票交易总额/定价基准日前20个交易日发行人股票交易总量）。认购数量按照募集资金总额人民币除以发行价格确定，不低于10,205,092股（含本数），不超过19,493,177股（含本数），且不超过本次发行前公司总股本的30%。本次发行认购股票金额及数量的下限与本次发行股票金额及数量的上限一致。若本次发行的股份总数因监管政策变化或根据发行批复文件的要求予以调整的，则本次认购的股票数量将进行相应调整。</w:t>
      </w:r>
    </w:p>
    <w:p>
      <w:pPr>
        <w:spacing w:line="360" w:lineRule="exact"/>
        <w:rPr>
          <w:rFonts w:cs="Times New Roman"/>
          <w:bCs w:val="0"/>
        </w:rPr>
      </w:pPr>
      <w:r>
        <w:rPr>
          <w:rFonts w:hint="eastAsia" w:cs="Times New Roman"/>
          <w:bCs w:val="0"/>
        </w:rPr>
        <w:t>在本次发行的定价基准日至发行日期间，若发行人发生派息、送股、资本公积转增股本等除息、除权事项，则本承诺人认购本次发行的认购价格和认购数量将作出相应调整。</w:t>
      </w:r>
    </w:p>
    <w:p>
      <w:pPr>
        <w:spacing w:line="360" w:lineRule="exact"/>
        <w:rPr>
          <w:rFonts w:cs="Times New Roman"/>
          <w:bCs w:val="0"/>
        </w:rPr>
      </w:pPr>
      <w:r>
        <w:rPr>
          <w:rFonts w:hint="eastAsia" w:cs="Times New Roman"/>
          <w:bCs w:val="0"/>
        </w:rPr>
        <w:t>特此承诺！”</w:t>
      </w:r>
    </w:p>
    <w:p>
      <w:pPr>
        <w:spacing w:line="360" w:lineRule="exact"/>
        <w:rPr>
          <w:rFonts w:cs="Times New Roman"/>
          <w:bCs w:val="0"/>
        </w:rPr>
      </w:pPr>
    </w:p>
    <w:p>
      <w:pPr>
        <w:spacing w:line="360" w:lineRule="exact"/>
        <w:rPr>
          <w:rFonts w:cs="Times New Roman"/>
          <w:bCs w:val="0"/>
        </w:rPr>
      </w:pPr>
      <w:r>
        <w:rPr>
          <w:rFonts w:hint="eastAsia" w:cs="Times New Roman"/>
          <w:bCs w:val="0"/>
        </w:rPr>
        <w:t>注12：控股股东及实际控制人关于公司向特定对象发行股票填补回报措施能够切实履行的承诺函</w:t>
      </w:r>
    </w:p>
    <w:p>
      <w:pPr>
        <w:spacing w:line="360" w:lineRule="exact"/>
        <w:rPr>
          <w:rFonts w:cs="Times New Roman"/>
          <w:bCs w:val="0"/>
        </w:rPr>
      </w:pPr>
      <w:r>
        <w:rPr>
          <w:rFonts w:hint="eastAsia" w:cs="Times New Roman"/>
          <w:bCs w:val="0"/>
        </w:rPr>
        <w:t>控股股东及实际控制人杨泽民、秦惠兰、杨秦及杨耀（以下简称“本承诺人”）作为公司控股股东/实际控制人，对公司摊薄即期回报填补措施相关事宜承诺如下：</w:t>
      </w:r>
    </w:p>
    <w:p>
      <w:pPr>
        <w:spacing w:line="360" w:lineRule="exact"/>
        <w:rPr>
          <w:rFonts w:cs="Times New Roman"/>
          <w:bCs w:val="0"/>
        </w:rPr>
      </w:pPr>
      <w:r>
        <w:rPr>
          <w:rFonts w:hint="eastAsia" w:cs="Times New Roman"/>
          <w:bCs w:val="0"/>
        </w:rPr>
        <w:t>“1、本承诺人承诺将严格执行关于上市公司治理的各项法律、法规及规章制度，保护公司和公众股东的利益，不越权干预公司的经营管理活动。</w:t>
      </w:r>
    </w:p>
    <w:p>
      <w:pPr>
        <w:spacing w:line="360" w:lineRule="exact"/>
        <w:rPr>
          <w:rFonts w:cs="Times New Roman"/>
          <w:bCs w:val="0"/>
        </w:rPr>
      </w:pPr>
      <w:r>
        <w:rPr>
          <w:rFonts w:hint="eastAsia" w:cs="Times New Roman"/>
          <w:bCs w:val="0"/>
        </w:rPr>
        <w:t>2、本承诺人承诺不以任何方式侵占公司的利益。</w:t>
      </w:r>
    </w:p>
    <w:p>
      <w:pPr>
        <w:spacing w:line="360" w:lineRule="exact"/>
        <w:rPr>
          <w:rFonts w:cs="Times New Roman"/>
          <w:bCs w:val="0"/>
        </w:rPr>
      </w:pPr>
      <w:r>
        <w:rPr>
          <w:rFonts w:hint="eastAsia" w:cs="Times New Roman"/>
          <w:bCs w:val="0"/>
        </w:rPr>
        <w:t>3、自本承诺出具日至公司本次向特定对象发行股票发行完成前，若中国证监会、上海证券交易所作出关于填补回报措施及其承诺的其他新的监管规定，且所作出的承诺不能满足中国证监会、上海证券交易所该等规定时，本承诺人届时将按照中国证监会、上海证券交易所的最新规定出具补充承诺。</w:t>
      </w:r>
    </w:p>
    <w:p>
      <w:pPr>
        <w:spacing w:line="360" w:lineRule="exact"/>
        <w:rPr>
          <w:rFonts w:cs="Times New Roman"/>
          <w:bCs w:val="0"/>
        </w:rPr>
      </w:pPr>
      <w:r>
        <w:rPr>
          <w:rFonts w:hint="eastAsia" w:cs="Times New Roman"/>
          <w:bCs w:val="0"/>
        </w:rPr>
        <w:t>4、本承诺至以下情形时终止（以较早为准）：（1）本承诺人不再作为公司的控股股东、实际控制人；（2）公司股票终止在上海证券交易所上市；（3）本次发行终止。</w:t>
      </w:r>
    </w:p>
    <w:p>
      <w:pPr>
        <w:spacing w:line="360" w:lineRule="exact"/>
        <w:rPr>
          <w:rFonts w:cs="Times New Roman"/>
          <w:bCs w:val="0"/>
        </w:rPr>
      </w:pPr>
      <w:r>
        <w:rPr>
          <w:rFonts w:hint="eastAsia" w:cs="Times New Roman"/>
          <w:bCs w:val="0"/>
        </w:rPr>
        <w:t>5、本承诺人承诺切实履行公司制定的有关填补回报措施以及本承诺人对此作出的有关填补回报措施的承诺，若本承诺人违反该等承诺并给公司或者投资者造成损失的，本承诺人愿意依法承担相应的责任。”</w:t>
      </w:r>
    </w:p>
    <w:p>
      <w:pPr>
        <w:spacing w:line="360" w:lineRule="exact"/>
        <w:rPr>
          <w:rFonts w:cs="Times New Roman"/>
          <w:bCs w:val="0"/>
        </w:rPr>
      </w:pPr>
    </w:p>
    <w:p>
      <w:pPr>
        <w:spacing w:line="360" w:lineRule="atLeast"/>
        <w:rPr>
          <w:rFonts w:cs="Times New Roman"/>
          <w:bCs w:val="0"/>
        </w:rPr>
      </w:pPr>
      <w:r>
        <w:rPr>
          <w:rFonts w:hint="eastAsia" w:cs="Times New Roman"/>
          <w:bCs w:val="0"/>
        </w:rPr>
        <w:t>注13：董事、高级管理人员关于公司向特定对象发行股票填补回报措施能够切实履行的承诺函</w:t>
      </w:r>
    </w:p>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公司董事、高管（以下简称“本承诺人”）为确保公司本次发行摊薄即期回报采取填补措施能够得到切实履行，本承诺人作出以下承诺：</w:t>
      </w:r>
    </w:p>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“1、本承诺人承诺不无偿或以不公平条件向其他单位或者个人输送利益，也不采用其他方式损害公司利益；</w:t>
      </w:r>
    </w:p>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2、本承诺人承诺对本承诺人的职务消费行为进行约束；</w:t>
      </w:r>
    </w:p>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3、本承诺人承诺不动用公司资产从事与本承诺人履行职责无关的投资、消费活动；</w:t>
      </w:r>
    </w:p>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4、本承诺人承诺由董事会或薪酬委员会制定的薪酬制度与公司填补回报措施的执行情况相挂钩；</w:t>
      </w:r>
    </w:p>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5、本承诺人承诺拟公布的公司股权激励的行权条件与公司填补回报措施的执行情况相挂钩。</w:t>
      </w:r>
    </w:p>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6、本承诺出具日后至公司本次向特定对象发行实施完毕前，若中国证监会、上海证券交易所作出关于填补回报措施及其承诺的其他新监管规定的，且上述承诺不能满足中国证监会、上海证券交易所该等规定时，本承诺人届时将按照中国证监会、上海证券交易所的最新规定出具补充承诺。</w:t>
      </w:r>
    </w:p>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7、本承诺至以下情形时终止（以较早为准）：（1）本人不再作为公司的董事/高级管理人员；（2）公司股票终止在上海证券交易所上市；（3）本次发行终止。</w:t>
      </w:r>
    </w:p>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8、本承诺人承诺切实履行公司制定的有关填补回报措施以及本承诺人对此作出的有关填补回报措施的承诺，若本承诺人违反该等承诺并给公司或者投资者造成损失的，本承诺人愿意依法承担相应的责任。”</w:t>
      </w:r>
    </w:p>
    <w:bookmarkEnd w:id="90"/>
    <w:p>
      <w:pPr>
        <w:pStyle w:val="50"/>
        <w:numPr>
          <w:ilvl w:val="0"/>
          <w:numId w:val="16"/>
        </w:numPr>
        <w:tabs>
          <w:tab w:val="left" w:pos="426"/>
        </w:tabs>
        <w:spacing w:line="360" w:lineRule="atLeast"/>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报告期内控股股东及其他关联方非经营性占用资金情况</w:t>
      </w:r>
    </w:p>
    <w:sdt>
      <w:sdtPr>
        <w:rPr>
          <w:color w:val="000000" w:themeColor="text1"/>
          <w14:textFill>
            <w14:solidFill>
              <w14:schemeClr w14:val="tx1"/>
            </w14:solidFill>
          </w14:textFill>
        </w:rPr>
        <w:alias w:val="是否适用：资金被占用情况及清欠进展情况[双击切换]"/>
        <w:tag w:val="_GBC_ae82394ae54d49eba71e8d8d6447c499"/>
        <w:id w:val="812679191"/>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16"/>
        </w:numPr>
        <w:tabs>
          <w:tab w:val="left" w:pos="426"/>
        </w:tabs>
        <w:spacing w:line="360" w:lineRule="atLeast"/>
        <w:jc w:val="left"/>
        <w:rPr>
          <w:rFonts w:hint="eastAsia" w:ascii="宋体" w:hAnsi="宋体"/>
          <w:color w:val="000000" w:themeColor="text1"/>
          <w14:textFill>
            <w14:solidFill>
              <w14:schemeClr w14:val="tx1"/>
            </w14:solidFill>
          </w14:textFill>
        </w:rPr>
      </w:pPr>
      <w:bookmarkStart w:id="91" w:name="_Hlk74646365"/>
      <w:bookmarkEnd w:id="91"/>
      <w:r>
        <w:rPr>
          <w:rFonts w:hint="eastAsia" w:ascii="宋体" w:hAnsi="宋体"/>
          <w:color w:val="000000" w:themeColor="text1"/>
          <w14:textFill>
            <w14:solidFill>
              <w14:schemeClr w14:val="tx1"/>
            </w14:solidFill>
          </w14:textFill>
        </w:rPr>
        <w:t>违规担保情况</w:t>
      </w:r>
    </w:p>
    <w:sdt>
      <w:sdtPr>
        <w:rPr>
          <w:color w:val="000000" w:themeColor="text1"/>
          <w14:textFill>
            <w14:solidFill>
              <w14:schemeClr w14:val="tx1"/>
            </w14:solidFill>
          </w14:textFill>
        </w:rPr>
        <w:alias w:val="是否适用：违规担保情况[双击切换]"/>
        <w:tag w:val="_GBC_725722c7a37d40c28caf80b13d948933"/>
        <w:id w:val="1626579300"/>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sectPr>
          <w:pgSz w:w="16838" w:h="11906" w:orient="landscape"/>
          <w:pgMar w:top="1797" w:right="1525" w:bottom="1276" w:left="1440" w:header="851" w:footer="992" w:gutter="0"/>
          <w:cols w:space="425" w:num="1"/>
          <w:docGrid w:linePitch="312" w:charSpace="0"/>
        </w:sectPr>
      </w:pPr>
      <w:bookmarkStart w:id="92" w:name="_Hlk74646368"/>
      <w:bookmarkEnd w:id="92"/>
    </w:p>
    <w:p>
      <w:pPr>
        <w:pStyle w:val="50"/>
        <w:numPr>
          <w:ilvl w:val="0"/>
          <w:numId w:val="16"/>
        </w:numPr>
        <w:tabs>
          <w:tab w:val="left" w:pos="426"/>
        </w:tabs>
        <w:spacing w:line="360" w:lineRule="exact"/>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半年报审计情况</w:t>
      </w:r>
    </w:p>
    <w:sdt>
      <w:sdtPr>
        <w:rPr>
          <w:color w:val="000000" w:themeColor="text1"/>
          <w14:textFill>
            <w14:solidFill>
              <w14:schemeClr w14:val="tx1"/>
            </w14:solidFill>
          </w14:textFill>
        </w:rPr>
        <w:alias w:val="是否适用：半年报审计情况  [双击切换]"/>
        <w:tag w:val="_GBC_b2faf86be7fd4060a2a7ad4018aaf033"/>
        <w:id w:val="-2089606739"/>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16"/>
        </w:numPr>
        <w:tabs>
          <w:tab w:val="left" w:pos="426"/>
        </w:tabs>
        <w:spacing w:line="360" w:lineRule="exact"/>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上年年度报告非标准审计意见涉及事项的变化及处理情况</w:t>
      </w:r>
    </w:p>
    <w:sdt>
      <w:sdtPr>
        <w:rPr>
          <w:rFonts w:hint="eastAsia"/>
          <w:color w:val="000000" w:themeColor="text1"/>
          <w14:textFill>
            <w14:solidFill>
              <w14:schemeClr w14:val="tx1"/>
            </w14:solidFill>
          </w14:textFill>
        </w:rPr>
        <w:alias w:val="是否适用：公司对上年年度报告中的财务报告被注册会计师出具“非标准审计报告”的说明 [双击切换]"/>
        <w:tag w:val="_GBC_06e0811c47124b6da79369103f766350"/>
        <w:id w:val="451684713"/>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16"/>
        </w:numPr>
        <w:tabs>
          <w:tab w:val="left" w:pos="426"/>
        </w:tabs>
        <w:spacing w:line="360" w:lineRule="exact"/>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破产重整相关事项</w:t>
      </w:r>
    </w:p>
    <w:sdt>
      <w:sdtPr>
        <w:rPr>
          <w:rFonts w:hint="eastAsia"/>
          <w:color w:val="000000" w:themeColor="text1"/>
          <w14:textFill>
            <w14:solidFill>
              <w14:schemeClr w14:val="tx1"/>
            </w14:solidFill>
          </w14:textFill>
        </w:rPr>
        <w:alias w:val="是否适用：破产重整相关事项[双击切换]"/>
        <w:tag w:val="_GBC_c4fc8890d63b44b19353d2188a5bce59"/>
        <w:id w:val="240228266"/>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16"/>
        </w:numPr>
        <w:tabs>
          <w:tab w:val="left" w:pos="426"/>
        </w:tabs>
        <w:spacing w:line="360" w:lineRule="exact"/>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重大诉讼、仲裁事项</w:t>
      </w:r>
    </w:p>
    <w:sdt>
      <w:sdtPr>
        <w:rPr>
          <w:rFonts w:asciiTheme="minorEastAsia" w:hAnsiTheme="minorEastAsia" w:eastAsiaTheme="minorEastAsia"/>
          <w:color w:val="000000" w:themeColor="text1"/>
          <w14:textFill>
            <w14:solidFill>
              <w14:schemeClr w14:val="tx1"/>
            </w14:solidFill>
          </w14:textFill>
        </w:rPr>
        <w:alias w:val="本年度公司有无重大诉讼、仲裁事项"/>
        <w:tag w:val="_GBC_0fcf1cd2d0814185bde747855edf5227"/>
        <w:id w:val="-139354724"/>
        <w:placeholder>
          <w:docPart w:val="GBC22222222222222222222222222222"/>
        </w:placeholder>
      </w:sdtPr>
      <w:sdtEndPr>
        <w:rPr>
          <w:rFonts w:asciiTheme="minorEastAsia" w:hAnsiTheme="minorEastAsia" w:eastAsiaTheme="minor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□本报告期公司有重大诉讼、仲裁事项 </w:instrText>
          </w:r>
          <w:r>
            <w:rPr>
              <w:rFonts w:asciiTheme="minorEastAsia" w:hAnsiTheme="minorEastAsia" w:eastAsiaTheme="minorEastAsia"/>
              <w:color w:val="000000" w:themeColor="text1"/>
              <w14:textFill>
                <w14:solidFill>
                  <w14:schemeClr w14:val="tx1"/>
                </w14:solidFill>
              </w14:textFill>
            </w:rPr>
            <w:fldChar w:fldCharType="end"/>
          </w:r>
          <w:r>
            <w:rPr>
              <w:rFonts w:asciiTheme="minorEastAsia" w:hAnsiTheme="minorEastAsia" w:eastAsiaTheme="minorEastAsia"/>
              <w:color w:val="000000" w:themeColor="text1"/>
              <w14:textFill>
                <w14:solidFill>
                  <w14:schemeClr w14:val="tx1"/>
                </w14:solidFill>
              </w14:textFill>
            </w:rPr>
            <w:fldChar w:fldCharType="begin"/>
          </w:r>
          <w:r>
            <w:rPr>
              <w:rFonts w:hint="eastAsia" w:asciiTheme="minorEastAsia" w:hAnsiTheme="minorEastAsia" w:eastAsiaTheme="minorEastAsia"/>
              <w:color w:val="000000" w:themeColor="text1"/>
              <w14:textFill>
                <w14:solidFill>
                  <w14:schemeClr w14:val="tx1"/>
                </w14:solidFill>
              </w14:textFill>
            </w:rPr>
            <w:instrText xml:space="preserve"> MACROBUTTON  SnrToggleCheckbox √本报告期公司无重大诉讼、仲裁事项 </w:instrText>
          </w:r>
          <w:r>
            <w:rPr>
              <w:rFonts w:asciiTheme="minorEastAsia" w:hAnsiTheme="minorEastAsia" w:eastAsiaTheme="minorEastAsia"/>
              <w:color w:val="000000" w:themeColor="text1"/>
              <w14:textFill>
                <w14:solidFill>
                  <w14:schemeClr w14:val="tx1"/>
                </w14:solidFill>
              </w14:textFill>
            </w:rPr>
            <w:fldChar w:fldCharType="end"/>
          </w:r>
        </w:p>
      </w:sdtContent>
    </w:sdt>
    <w:p>
      <w:pPr>
        <w:pStyle w:val="50"/>
        <w:numPr>
          <w:ilvl w:val="0"/>
          <w:numId w:val="16"/>
        </w:numPr>
        <w:tabs>
          <w:tab w:val="left" w:pos="426"/>
        </w:tabs>
        <w:spacing w:line="360" w:lineRule="exact"/>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上市公司及其董事、高级管理人员、控股股东、实际控制人涉嫌违法违规、受到处罚及整改情况</w:t>
      </w:r>
    </w:p>
    <w:sdt>
      <w:sdtPr>
        <w:rPr>
          <w:rFonts w:hint="eastAsia"/>
          <w:color w:val="000000" w:themeColor="text1"/>
          <w14:textFill>
            <w14:solidFill>
              <w14:schemeClr w14:val="tx1"/>
            </w14:solidFill>
          </w14:textFill>
        </w:rPr>
        <w:alias w:val="是否适用：上市公司及其董事、监事、高级管理人员、持有5%以上股份的股东、实际控制人、收购人处罚及整改情况[双击切换]"/>
        <w:tag w:val="_GBC_05b097ae59254d13916df227f563a3ed"/>
        <w:id w:val="-1803693218"/>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16"/>
        </w:numPr>
        <w:tabs>
          <w:tab w:val="left" w:pos="426"/>
        </w:tabs>
        <w:spacing w:line="360" w:lineRule="exact"/>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报告期内公司及其控股股东、实际控制人诚信状况的说明</w:t>
      </w:r>
    </w:p>
    <w:sdt>
      <w:sdtPr>
        <w:rPr>
          <w:rFonts w:hint="eastAsia"/>
          <w:color w:val="000000" w:themeColor="text1"/>
          <w14:textFill>
            <w14:solidFill>
              <w14:schemeClr w14:val="tx1"/>
            </w14:solidFill>
          </w14:textFill>
        </w:rPr>
        <w:alias w:val="是否适用：报告期内公司及其控股股东、实际控制人诚信状况的说明[双击切换]"/>
        <w:tag w:val="_GBC_650ef1e21808426d806ee2024dd14590"/>
        <w:id w:val="720720688"/>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16"/>
        </w:numPr>
        <w:tabs>
          <w:tab w:val="left" w:pos="426"/>
        </w:tabs>
        <w:spacing w:line="360" w:lineRule="exact"/>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重大关联交易</w:t>
      </w:r>
    </w:p>
    <w:p>
      <w:pPr>
        <w:pStyle w:val="4"/>
        <w:numPr>
          <w:ilvl w:val="2"/>
          <w:numId w:val="4"/>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与日常经营相关的关联交易</w:t>
      </w:r>
    </w:p>
    <w:p>
      <w:pPr>
        <w:pStyle w:val="5"/>
        <w:numPr>
          <w:ilvl w:val="2"/>
          <w:numId w:val="18"/>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已在临时公告披露且后续实施无进展或变化的事项</w:t>
      </w:r>
    </w:p>
    <w:sdt>
      <w:sdtPr>
        <w:rPr>
          <w:color w:val="000000" w:themeColor="text1"/>
          <w14:textFill>
            <w14:solidFill>
              <w14:schemeClr w14:val="tx1"/>
            </w14:solidFill>
          </w14:textFill>
        </w:rPr>
        <w:alias w:val="是否适用：已在临时公告披露且后续实施无进展或变化的事项_与日常经营相关的关联交易[双击切换]"/>
        <w:tag w:val="_GBC_9cce66e2c46445bea6fd259dd8b5277c"/>
        <w:id w:val="78061964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2"/>
          <w:numId w:val="18"/>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已在临时公告披露，但有后续实施的进展或变化的事项</w:t>
      </w:r>
    </w:p>
    <w:sdt>
      <w:sdtPr>
        <w:rPr>
          <w:color w:val="000000" w:themeColor="text1"/>
          <w14:textFill>
            <w14:solidFill>
              <w14:schemeClr w14:val="tx1"/>
            </w14:solidFill>
          </w14:textFill>
        </w:rPr>
        <w:alias w:val="是否适用：已在临时公告披露，但有后续实施的进展或变化的事项_与日常经营相关的关联交易[双击切换]"/>
        <w:tag w:val="_GBC_3d236e76c44140259dd09a3aed77ca15"/>
        <w:id w:val="87689994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与日常经营相关的关联交易事项已在临时报告披露，后续实施的进展或变化"/>
        <w:tag w:val="_GBC_0a4da36928c04bc784d8c97bc6a4a9d9"/>
        <w:id w:val="1384139594"/>
        <w:placeholder>
          <w:docPart w:val="GBC22222222222222222222222222222"/>
        </w:placeholder>
      </w:sdtPr>
      <w:sdtEndPr>
        <w:rPr>
          <w:rFonts w:hint="eastAsia"/>
          <w:color w:val="000000" w:themeColor="text1"/>
          <w14:textFill>
            <w14:solidFill>
              <w14:schemeClr w14:val="tx1"/>
            </w14:solidFill>
          </w14:textFill>
        </w:rPr>
      </w:sdtEndPr>
      <w:sdtContent>
        <w:p>
          <w:pPr>
            <w:jc w:val="right"/>
          </w:pPr>
          <w:bookmarkStart w:id="93" w:name="OLE_LINK25"/>
          <w:r>
            <w:rPr>
              <w:rFonts w:hint="eastAsia"/>
            </w:rPr>
            <w:t>单位：万元 币种：人民币</w:t>
          </w:r>
        </w:p>
        <w:bookmarkEnd w:id="93"/>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1096"/>
            <w:gridCol w:w="1096"/>
            <w:gridCol w:w="1096"/>
            <w:gridCol w:w="1096"/>
            <w:gridCol w:w="1122"/>
            <w:gridCol w:w="1115"/>
            <w:gridCol w:w="1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5" w:type="dxa"/>
                <w:vAlign w:val="center"/>
              </w:tcPr>
              <w:p>
                <w:pPr>
                  <w:widowControl w:val="0"/>
                  <w:jc w:val="center"/>
                </w:pPr>
                <w:r>
                  <w:rPr>
                    <w:rFonts w:hint="eastAsia"/>
                  </w:rPr>
                  <w:t>关联交易方</w:t>
                </w:r>
              </w:p>
            </w:tc>
            <w:tc>
              <w:tcPr>
                <w:tcW w:w="1096" w:type="dxa"/>
                <w:vAlign w:val="center"/>
              </w:tcPr>
              <w:p>
                <w:pPr>
                  <w:widowControl w:val="0"/>
                  <w:jc w:val="center"/>
                </w:pPr>
                <w:r>
                  <w:rPr>
                    <w:rFonts w:hint="eastAsia"/>
                  </w:rPr>
                  <w:t>关联关系</w:t>
                </w:r>
              </w:p>
            </w:tc>
            <w:tc>
              <w:tcPr>
                <w:tcW w:w="1096" w:type="dxa"/>
                <w:vAlign w:val="center"/>
              </w:tcPr>
              <w:p>
                <w:pPr>
                  <w:widowControl w:val="0"/>
                  <w:jc w:val="center"/>
                </w:pPr>
                <w:r>
                  <w:rPr>
                    <w:rFonts w:hint="eastAsia"/>
                  </w:rPr>
                  <w:t>关联交易类型</w:t>
                </w:r>
              </w:p>
            </w:tc>
            <w:tc>
              <w:tcPr>
                <w:tcW w:w="1096" w:type="dxa"/>
                <w:vAlign w:val="center"/>
              </w:tcPr>
              <w:p>
                <w:pPr>
                  <w:widowControl w:val="0"/>
                  <w:jc w:val="center"/>
                </w:pPr>
                <w:r>
                  <w:rPr>
                    <w:rFonts w:hint="eastAsia"/>
                  </w:rPr>
                  <w:t>关联交易内容</w:t>
                </w:r>
              </w:p>
            </w:tc>
            <w:tc>
              <w:tcPr>
                <w:tcW w:w="1096" w:type="dxa"/>
                <w:vAlign w:val="center"/>
              </w:tcPr>
              <w:p>
                <w:pPr>
                  <w:widowControl w:val="0"/>
                  <w:jc w:val="center"/>
                </w:pPr>
                <w:r>
                  <w:rPr>
                    <w:rFonts w:hint="eastAsia"/>
                  </w:rPr>
                  <w:t>关联交易定价原则</w:t>
                </w:r>
              </w:p>
            </w:tc>
            <w:tc>
              <w:tcPr>
                <w:tcW w:w="1122" w:type="dxa"/>
                <w:vAlign w:val="center"/>
              </w:tcPr>
              <w:p>
                <w:pPr>
                  <w:widowControl w:val="0"/>
                  <w:jc w:val="center"/>
                </w:pPr>
                <w:r>
                  <w:rPr>
                    <w:rFonts w:hint="eastAsia"/>
                  </w:rPr>
                  <w:t>关联交易金额</w:t>
                </w:r>
              </w:p>
            </w:tc>
            <w:tc>
              <w:tcPr>
                <w:tcW w:w="1115" w:type="dxa"/>
                <w:vAlign w:val="center"/>
              </w:tcPr>
              <w:p>
                <w:pPr>
                  <w:widowControl w:val="0"/>
                  <w:jc w:val="center"/>
                </w:pPr>
                <w:r>
                  <w:rPr>
                    <w:rFonts w:hint="eastAsia"/>
                  </w:rPr>
                  <w:t>占同类交易金额的比例（%）</w:t>
                </w:r>
              </w:p>
            </w:tc>
            <w:tc>
              <w:tcPr>
                <w:tcW w:w="1107" w:type="dxa"/>
                <w:vAlign w:val="center"/>
              </w:tcPr>
              <w:p>
                <w:pPr>
                  <w:widowControl w:val="0"/>
                  <w:jc w:val="center"/>
                </w:pPr>
                <w:r>
                  <w:rPr>
                    <w:rFonts w:hint="eastAsia"/>
                  </w:rPr>
                  <w:t>关联交易结算方式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5" w:type="dxa"/>
              </w:tcPr>
              <w:p>
                <w:pPr>
                  <w:pStyle w:val="48"/>
                  <w:widowControl w:val="0"/>
                  <w:jc w:val="both"/>
                </w:pPr>
                <w:r>
                  <w:rPr>
                    <w:rFonts w:hint="eastAsia"/>
                  </w:rPr>
                  <w:t>四川明珠电工材料有限责任公司</w:t>
                </w:r>
              </w:p>
            </w:tc>
            <w:tc>
              <w:tcPr>
                <w:tcW w:w="1096" w:type="dxa"/>
                <w:vAlign w:val="center"/>
              </w:tcPr>
              <w:p>
                <w:pPr>
                  <w:widowControl w:val="0"/>
                  <w:jc w:val="center"/>
                </w:pPr>
                <w:r>
                  <w:rPr>
                    <w:rFonts w:hint="eastAsia"/>
                  </w:rPr>
                  <w:t>其他</w:t>
                </w:r>
              </w:p>
            </w:tc>
            <w:tc>
              <w:tcPr>
                <w:tcW w:w="1096" w:type="dxa"/>
                <w:vAlign w:val="center"/>
              </w:tcPr>
              <w:p>
                <w:pPr>
                  <w:widowControl w:val="0"/>
                  <w:jc w:val="center"/>
                </w:pPr>
                <w:r>
                  <w:rPr>
                    <w:rFonts w:hint="eastAsia"/>
                  </w:rPr>
                  <w:t>购买商品</w:t>
                </w:r>
              </w:p>
            </w:tc>
            <w:tc>
              <w:tcPr>
                <w:tcW w:w="1096" w:type="dxa"/>
                <w:vAlign w:val="center"/>
              </w:tcPr>
              <w:p>
                <w:pPr>
                  <w:pStyle w:val="48"/>
                  <w:widowControl w:val="0"/>
                  <w:jc w:val="both"/>
                </w:pPr>
                <w:r>
                  <w:rPr>
                    <w:rFonts w:hint="eastAsia"/>
                  </w:rPr>
                  <w:t>采购原材料</w:t>
                </w:r>
              </w:p>
            </w:tc>
            <w:tc>
              <w:tcPr>
                <w:tcW w:w="1096" w:type="dxa"/>
                <w:vAlign w:val="center"/>
              </w:tcPr>
              <w:p>
                <w:pPr>
                  <w:pStyle w:val="48"/>
                  <w:widowControl w:val="0"/>
                  <w:jc w:val="both"/>
                </w:pPr>
                <w:r>
                  <w:rPr>
                    <w:rFonts w:hint="eastAsia"/>
                  </w:rPr>
                  <w:t>参照市场价格协商确定</w:t>
                </w:r>
              </w:p>
            </w:tc>
            <w:tc>
              <w:tcPr>
                <w:tcW w:w="1122" w:type="dxa"/>
                <w:vAlign w:val="center"/>
              </w:tcPr>
              <w:p>
                <w:pPr>
                  <w:widowControl w:val="0"/>
                  <w:jc w:val="right"/>
                </w:pPr>
                <w:r>
                  <w:rPr>
                    <w:rFonts w:hint="eastAsia"/>
                  </w:rPr>
                  <w:t xml:space="preserve"> 2,160.65 </w:t>
                </w:r>
              </w:p>
            </w:tc>
            <w:tc>
              <w:tcPr>
                <w:tcW w:w="1115" w:type="dxa"/>
                <w:vAlign w:val="center"/>
              </w:tcPr>
              <w:p>
                <w:pPr>
                  <w:widowControl w:val="0"/>
                  <w:jc w:val="right"/>
                </w:pPr>
                <w:r>
                  <w:rPr>
                    <w:rFonts w:hint="eastAsia"/>
                  </w:rPr>
                  <w:t xml:space="preserve">1.61 </w:t>
                </w:r>
              </w:p>
            </w:tc>
            <w:tc>
              <w:tcPr>
                <w:tcW w:w="1107" w:type="dxa"/>
                <w:vAlign w:val="center"/>
              </w:tcPr>
              <w:p>
                <w:pPr>
                  <w:widowControl w:val="0"/>
                  <w:jc w:val="both"/>
                </w:pPr>
                <w:r>
                  <w:rPr>
                    <w:rFonts w:hint="eastAsia"/>
                  </w:rPr>
                  <w:t>银行转账、电子银行承兑</w:t>
                </w:r>
              </w:p>
            </w:tc>
          </w:tr>
        </w:tbl>
        <w:p>
          <w:pPr>
            <w:rPr>
              <w:color w:val="000000" w:themeColor="text1"/>
              <w14:textFill>
                <w14:solidFill>
                  <w14:schemeClr w14:val="tx1"/>
                </w14:solidFill>
              </w14:textFill>
            </w:rPr>
          </w:pPr>
        </w:p>
      </w:sdtContent>
    </w:sdt>
    <w:p>
      <w:pPr>
        <w:pStyle w:val="5"/>
        <w:numPr>
          <w:ilvl w:val="2"/>
          <w:numId w:val="18"/>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临时公告未披露的事项</w:t>
      </w:r>
    </w:p>
    <w:sdt>
      <w:sdtPr>
        <w:rPr>
          <w:color w:val="000000" w:themeColor="text1"/>
          <w14:textFill>
            <w14:solidFill>
              <w14:schemeClr w14:val="tx1"/>
            </w14:solidFill>
          </w14:textFill>
        </w:rPr>
        <w:alias w:val="是否适用：与日常经营相关的关联交易_临时公告未披露的事项[双击切换]"/>
        <w:tag w:val="_GBC_91ad548daaa84603a8faa6c0ce358499"/>
        <w:id w:val="-121504783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ind w:firstLine="5460" w:firstLineChars="2600"/>
        <w:jc w:val="right"/>
      </w:pPr>
      <w:r>
        <w:rPr>
          <w:rFonts w:hint="eastAsia"/>
        </w:rPr>
        <w:t>单位</w:t>
      </w:r>
      <w:r>
        <w:t>：</w:t>
      </w:r>
      <w:sdt>
        <w:sdtPr>
          <w:alias w:val="单位：与日常经营相关的关联交易（只转换全文）"/>
          <w:tag w:val="_GBC_9e8c714ed9bc4713a289824ec6ff931d"/>
          <w:id w:val="196127373"/>
          <w:placeholder>
            <w:docPart w:val="A36D80DB600A40E2B21FB0F824380791"/>
          </w:placeholder>
          <w:comboBox>
            <w:listItem w:displayText="元" w:value="1"/>
            <w:listItem w:displayText="千元" w:value="1000"/>
            <w:listItem w:displayText="万元" w:value="10000"/>
            <w:listItem w:displayText="百万元" w:value="1000000"/>
            <w:listItem w:displayText="亿元" w:value="100000000"/>
          </w:comboBox>
        </w:sdtPr>
        <w:sdtContent>
          <w:r>
            <w:t>元</w:t>
          </w:r>
        </w:sdtContent>
      </w:sdt>
      <w:r>
        <w:rPr>
          <w:rFonts w:hint="eastAsia"/>
        </w:rPr>
        <w:t xml:space="preserve"> 币种：</w:t>
      </w:r>
      <w:sdt>
        <w:sdtPr>
          <w:alias w:val="币种：与日常经营相关的关联交易（只转换全文）"/>
          <w:tag w:val="_GBC_9eb3cdff7f6941118228167721a35ec1"/>
          <w:id w:val="1117567362"/>
          <w:placeholder>
            <w:docPart w:val="A36D80DB600A40E2B21FB0F824380791"/>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t>人民币</w:t>
          </w:r>
        </w:sdtContent>
      </w:sdt>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129"/>
        <w:gridCol w:w="1281"/>
        <w:gridCol w:w="564"/>
        <w:gridCol w:w="569"/>
        <w:gridCol w:w="850"/>
        <w:gridCol w:w="562"/>
        <w:gridCol w:w="802"/>
        <w:gridCol w:w="992"/>
        <w:gridCol w:w="706"/>
        <w:gridCol w:w="432"/>
        <w:gridCol w:w="1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rPr>
              <w:rFonts w:cs="Times New Roman"/>
              <w:sz w:val="16"/>
              <w:szCs w:val="16"/>
            </w:rPr>
            <w:tag w:val="_PLD_cdf8d4e38d1643b698f8c0ba37632dd0"/>
            <w:id w:val="-1282332368"/>
          </w:sdtPr>
          <w:sdtEndPr>
            <w:rPr>
              <w:rFonts w:cs="Times New Roman"/>
              <w:sz w:val="16"/>
              <w:szCs w:val="16"/>
            </w:rPr>
          </w:sdtEndPr>
          <w:sdtContent>
            <w:tc>
              <w:tcPr>
                <w:tcW w:w="635" w:type="pct"/>
                <w:vAlign w:val="center"/>
              </w:tcPr>
              <w:p>
                <w:pPr>
                  <w:autoSpaceDE w:val="0"/>
                  <w:autoSpaceDN w:val="0"/>
                  <w:adjustRightInd w:val="0"/>
                  <w:jc w:val="center"/>
                  <w:rPr>
                    <w:rFonts w:cs="Times New Roman"/>
                    <w:sz w:val="16"/>
                    <w:szCs w:val="16"/>
                  </w:rPr>
                </w:pPr>
                <w:r>
                  <w:rPr>
                    <w:rFonts w:cs="Times New Roman"/>
                    <w:sz w:val="16"/>
                    <w:szCs w:val="16"/>
                  </w:rPr>
                  <w:t>关联交易方</w:t>
                </w:r>
              </w:p>
            </w:tc>
          </w:sdtContent>
        </w:sdt>
        <w:sdt>
          <w:sdtPr>
            <w:rPr>
              <w:rFonts w:cs="Times New Roman"/>
              <w:sz w:val="16"/>
              <w:szCs w:val="16"/>
            </w:rPr>
            <w:tag w:val="_PLD_36c874b218ff4a2b9cce1d518c239f78"/>
            <w:id w:val="1845425821"/>
          </w:sdtPr>
          <w:sdtEndPr>
            <w:rPr>
              <w:rFonts w:cs="Times New Roman"/>
              <w:sz w:val="16"/>
              <w:szCs w:val="16"/>
            </w:rPr>
          </w:sdtEndPr>
          <w:sdtContent>
            <w:tc>
              <w:tcPr>
                <w:tcW w:w="720" w:type="pct"/>
                <w:vAlign w:val="center"/>
              </w:tcPr>
              <w:p>
                <w:pPr>
                  <w:autoSpaceDE w:val="0"/>
                  <w:autoSpaceDN w:val="0"/>
                  <w:adjustRightInd w:val="0"/>
                  <w:jc w:val="center"/>
                  <w:rPr>
                    <w:rFonts w:cs="Times New Roman"/>
                    <w:sz w:val="16"/>
                    <w:szCs w:val="16"/>
                  </w:rPr>
                </w:pPr>
                <w:r>
                  <w:rPr>
                    <w:rFonts w:cs="Times New Roman"/>
                    <w:sz w:val="16"/>
                    <w:szCs w:val="16"/>
                  </w:rPr>
                  <w:t>关联关系</w:t>
                </w:r>
              </w:p>
            </w:tc>
          </w:sdtContent>
        </w:sdt>
        <w:sdt>
          <w:sdtPr>
            <w:rPr>
              <w:rFonts w:cs="Times New Roman"/>
              <w:sz w:val="16"/>
              <w:szCs w:val="16"/>
            </w:rPr>
            <w:tag w:val="_PLD_59a5508e1a3f4a9581dde52c3a064d73"/>
            <w:id w:val="1102849896"/>
          </w:sdtPr>
          <w:sdtEndPr>
            <w:rPr>
              <w:rFonts w:cs="Times New Roman"/>
              <w:sz w:val="16"/>
              <w:szCs w:val="16"/>
            </w:rPr>
          </w:sdtEndPr>
          <w:sdtContent>
            <w:tc>
              <w:tcPr>
                <w:tcW w:w="317" w:type="pct"/>
                <w:vAlign w:val="center"/>
              </w:tcPr>
              <w:p>
                <w:pPr>
                  <w:autoSpaceDE w:val="0"/>
                  <w:autoSpaceDN w:val="0"/>
                  <w:adjustRightInd w:val="0"/>
                  <w:jc w:val="center"/>
                  <w:rPr>
                    <w:rFonts w:cs="Times New Roman"/>
                    <w:sz w:val="16"/>
                    <w:szCs w:val="16"/>
                  </w:rPr>
                </w:pPr>
                <w:r>
                  <w:rPr>
                    <w:rFonts w:cs="Times New Roman"/>
                    <w:sz w:val="16"/>
                    <w:szCs w:val="16"/>
                  </w:rPr>
                  <w:t>关联交易类型</w:t>
                </w:r>
              </w:p>
            </w:tc>
          </w:sdtContent>
        </w:sdt>
        <w:sdt>
          <w:sdtPr>
            <w:rPr>
              <w:rFonts w:cs="Times New Roman"/>
              <w:sz w:val="16"/>
              <w:szCs w:val="16"/>
            </w:rPr>
            <w:tag w:val="_PLD_7df6f86957ca4a35ab60b0f54e4c0891"/>
            <w:id w:val="243466646"/>
          </w:sdtPr>
          <w:sdtEndPr>
            <w:rPr>
              <w:rFonts w:cs="Times New Roman"/>
              <w:sz w:val="16"/>
              <w:szCs w:val="16"/>
            </w:rPr>
          </w:sdtEndPr>
          <w:sdtContent>
            <w:tc>
              <w:tcPr>
                <w:tcW w:w="320" w:type="pct"/>
                <w:vAlign w:val="center"/>
              </w:tcPr>
              <w:p>
                <w:pPr>
                  <w:autoSpaceDE w:val="0"/>
                  <w:autoSpaceDN w:val="0"/>
                  <w:adjustRightInd w:val="0"/>
                  <w:jc w:val="center"/>
                  <w:rPr>
                    <w:rFonts w:cs="Times New Roman"/>
                    <w:sz w:val="16"/>
                    <w:szCs w:val="16"/>
                  </w:rPr>
                </w:pPr>
                <w:r>
                  <w:rPr>
                    <w:rFonts w:cs="Times New Roman"/>
                    <w:sz w:val="16"/>
                    <w:szCs w:val="16"/>
                  </w:rPr>
                  <w:t>关联交易内容</w:t>
                </w:r>
              </w:p>
            </w:tc>
          </w:sdtContent>
        </w:sdt>
        <w:sdt>
          <w:sdtPr>
            <w:rPr>
              <w:rFonts w:cs="Times New Roman"/>
              <w:sz w:val="16"/>
              <w:szCs w:val="16"/>
            </w:rPr>
            <w:tag w:val="_PLD_2de4ca6561d042369ebd53f7766f1af9"/>
            <w:id w:val="250628570"/>
          </w:sdtPr>
          <w:sdtEndPr>
            <w:rPr>
              <w:rFonts w:cs="Times New Roman"/>
              <w:sz w:val="16"/>
              <w:szCs w:val="16"/>
            </w:rPr>
          </w:sdtEndPr>
          <w:sdtContent>
            <w:tc>
              <w:tcPr>
                <w:tcW w:w="478" w:type="pct"/>
                <w:vAlign w:val="center"/>
              </w:tcPr>
              <w:p>
                <w:pPr>
                  <w:autoSpaceDE w:val="0"/>
                  <w:autoSpaceDN w:val="0"/>
                  <w:adjustRightInd w:val="0"/>
                  <w:jc w:val="center"/>
                  <w:rPr>
                    <w:rFonts w:cs="Times New Roman"/>
                    <w:sz w:val="16"/>
                    <w:szCs w:val="16"/>
                  </w:rPr>
                </w:pPr>
                <w:r>
                  <w:rPr>
                    <w:rFonts w:cs="Times New Roman"/>
                    <w:sz w:val="16"/>
                    <w:szCs w:val="16"/>
                  </w:rPr>
                  <w:t>关联交易定价原则</w:t>
                </w:r>
              </w:p>
            </w:tc>
          </w:sdtContent>
        </w:sdt>
        <w:sdt>
          <w:sdtPr>
            <w:rPr>
              <w:rFonts w:cs="Times New Roman"/>
              <w:sz w:val="16"/>
              <w:szCs w:val="16"/>
            </w:rPr>
            <w:tag w:val="_PLD_206732c7671b4c2fba589b2ae77e3831"/>
            <w:id w:val="-1975049421"/>
          </w:sdtPr>
          <w:sdtEndPr>
            <w:rPr>
              <w:rFonts w:cs="Times New Roman"/>
              <w:sz w:val="16"/>
              <w:szCs w:val="16"/>
            </w:rPr>
          </w:sdtEndPr>
          <w:sdtContent>
            <w:tc>
              <w:tcPr>
                <w:tcW w:w="316" w:type="pct"/>
                <w:vAlign w:val="center"/>
              </w:tcPr>
              <w:p>
                <w:pPr>
                  <w:autoSpaceDE w:val="0"/>
                  <w:autoSpaceDN w:val="0"/>
                  <w:adjustRightInd w:val="0"/>
                  <w:jc w:val="center"/>
                  <w:rPr>
                    <w:rFonts w:cs="Times New Roman"/>
                    <w:sz w:val="16"/>
                    <w:szCs w:val="16"/>
                  </w:rPr>
                </w:pPr>
                <w:r>
                  <w:rPr>
                    <w:rFonts w:cs="Times New Roman"/>
                    <w:sz w:val="16"/>
                    <w:szCs w:val="16"/>
                  </w:rPr>
                  <w:t>关联交易价格</w:t>
                </w:r>
              </w:p>
            </w:tc>
          </w:sdtContent>
        </w:sdt>
        <w:sdt>
          <w:sdtPr>
            <w:rPr>
              <w:rFonts w:cs="Times New Roman"/>
              <w:sz w:val="16"/>
              <w:szCs w:val="16"/>
            </w:rPr>
            <w:tag w:val="_PLD_d4129ba2ae1249adb239b1c1c27630c4"/>
            <w:id w:val="-1729758439"/>
          </w:sdtPr>
          <w:sdtEndPr>
            <w:rPr>
              <w:rFonts w:cs="Times New Roman"/>
              <w:sz w:val="16"/>
              <w:szCs w:val="16"/>
            </w:rPr>
          </w:sdtEndPr>
          <w:sdtContent>
            <w:tc>
              <w:tcPr>
                <w:tcW w:w="451" w:type="pct"/>
                <w:vAlign w:val="center"/>
              </w:tcPr>
              <w:p>
                <w:pPr>
                  <w:autoSpaceDE w:val="0"/>
                  <w:autoSpaceDN w:val="0"/>
                  <w:adjustRightInd w:val="0"/>
                  <w:jc w:val="center"/>
                  <w:rPr>
                    <w:rFonts w:cs="Times New Roman"/>
                    <w:sz w:val="16"/>
                    <w:szCs w:val="16"/>
                  </w:rPr>
                </w:pPr>
                <w:r>
                  <w:rPr>
                    <w:rFonts w:cs="Times New Roman"/>
                    <w:sz w:val="16"/>
                    <w:szCs w:val="16"/>
                  </w:rPr>
                  <w:t>关联交易金额</w:t>
                </w:r>
              </w:p>
            </w:tc>
          </w:sdtContent>
        </w:sdt>
        <w:sdt>
          <w:sdtPr>
            <w:rPr>
              <w:rFonts w:cs="Times New Roman"/>
              <w:sz w:val="16"/>
              <w:szCs w:val="16"/>
            </w:rPr>
            <w:tag w:val="_PLD_e11a969c518b411182ddd4afcfb0cbad"/>
            <w:id w:val="1529689064"/>
          </w:sdtPr>
          <w:sdtEndPr>
            <w:rPr>
              <w:rFonts w:cs="Times New Roman"/>
              <w:sz w:val="16"/>
              <w:szCs w:val="16"/>
            </w:rPr>
          </w:sdtEndPr>
          <w:sdtContent>
            <w:tc>
              <w:tcPr>
                <w:tcW w:w="558" w:type="pct"/>
                <w:vAlign w:val="center"/>
              </w:tcPr>
              <w:p>
                <w:pPr>
                  <w:autoSpaceDE w:val="0"/>
                  <w:autoSpaceDN w:val="0"/>
                  <w:adjustRightInd w:val="0"/>
                  <w:jc w:val="center"/>
                  <w:rPr>
                    <w:rFonts w:hint="eastAsia" w:eastAsia="宋体" w:cs="Times New Roman"/>
                    <w:sz w:val="16"/>
                    <w:szCs w:val="16"/>
                    <w:lang w:eastAsia="zh-CN"/>
                  </w:rPr>
                </w:pPr>
                <w:r>
                  <w:rPr>
                    <w:rFonts w:cs="Times New Roman"/>
                    <w:sz w:val="16"/>
                    <w:szCs w:val="16"/>
                  </w:rPr>
                  <w:t>占同类交易金额的比例</w:t>
                </w:r>
              </w:p>
              <w:p>
                <w:pPr>
                  <w:autoSpaceDE w:val="0"/>
                  <w:autoSpaceDN w:val="0"/>
                  <w:adjustRightInd w:val="0"/>
                  <w:jc w:val="center"/>
                  <w:rPr>
                    <w:rFonts w:cs="Times New Roman"/>
                    <w:sz w:val="16"/>
                    <w:szCs w:val="16"/>
                  </w:rPr>
                </w:pPr>
                <w:r>
                  <w:rPr>
                    <w:rFonts w:cs="Times New Roman"/>
                    <w:sz w:val="16"/>
                    <w:szCs w:val="16"/>
                  </w:rPr>
                  <w:t>(%)</w:t>
                </w:r>
              </w:p>
            </w:tc>
          </w:sdtContent>
        </w:sdt>
        <w:sdt>
          <w:sdtPr>
            <w:rPr>
              <w:rFonts w:cs="Times New Roman"/>
              <w:sz w:val="16"/>
              <w:szCs w:val="16"/>
            </w:rPr>
            <w:tag w:val="_PLD_b97782d92e7d4c82b961e8d7e116943d"/>
            <w:id w:val="-1973976489"/>
          </w:sdtPr>
          <w:sdtEndPr>
            <w:rPr>
              <w:rFonts w:cs="Times New Roman"/>
              <w:sz w:val="16"/>
              <w:szCs w:val="16"/>
            </w:rPr>
          </w:sdtEndPr>
          <w:sdtContent>
            <w:tc>
              <w:tcPr>
                <w:tcW w:w="397" w:type="pct"/>
                <w:vAlign w:val="center"/>
              </w:tcPr>
              <w:p>
                <w:pPr>
                  <w:autoSpaceDE w:val="0"/>
                  <w:autoSpaceDN w:val="0"/>
                  <w:adjustRightInd w:val="0"/>
                  <w:jc w:val="center"/>
                  <w:rPr>
                    <w:rFonts w:cs="Times New Roman"/>
                    <w:sz w:val="16"/>
                    <w:szCs w:val="16"/>
                  </w:rPr>
                </w:pPr>
                <w:r>
                  <w:rPr>
                    <w:rFonts w:cs="Times New Roman"/>
                    <w:sz w:val="16"/>
                    <w:szCs w:val="16"/>
                  </w:rPr>
                  <w:t>关联交易结算方式</w:t>
                </w:r>
              </w:p>
            </w:tc>
          </w:sdtContent>
        </w:sdt>
        <w:sdt>
          <w:sdtPr>
            <w:rPr>
              <w:rFonts w:cs="Times New Roman"/>
              <w:sz w:val="16"/>
              <w:szCs w:val="16"/>
            </w:rPr>
            <w:tag w:val="_PLD_1b83f35cd79a4f998851d240bf692b4d"/>
            <w:id w:val="-1416315634"/>
          </w:sdtPr>
          <w:sdtEndPr>
            <w:rPr>
              <w:rFonts w:cs="Times New Roman"/>
              <w:sz w:val="16"/>
              <w:szCs w:val="16"/>
            </w:rPr>
          </w:sdtEndPr>
          <w:sdtContent>
            <w:tc>
              <w:tcPr>
                <w:tcW w:w="243" w:type="pct"/>
                <w:vAlign w:val="center"/>
              </w:tcPr>
              <w:p>
                <w:pPr>
                  <w:autoSpaceDE w:val="0"/>
                  <w:autoSpaceDN w:val="0"/>
                  <w:adjustRightInd w:val="0"/>
                  <w:jc w:val="center"/>
                  <w:rPr>
                    <w:rFonts w:cs="Times New Roman"/>
                    <w:sz w:val="16"/>
                    <w:szCs w:val="16"/>
                  </w:rPr>
                </w:pPr>
                <w:r>
                  <w:rPr>
                    <w:rFonts w:cs="Times New Roman"/>
                    <w:sz w:val="16"/>
                    <w:szCs w:val="16"/>
                  </w:rPr>
                  <w:t>市场</w:t>
                </w:r>
              </w:p>
              <w:p>
                <w:pPr>
                  <w:autoSpaceDE w:val="0"/>
                  <w:autoSpaceDN w:val="0"/>
                  <w:adjustRightInd w:val="0"/>
                  <w:jc w:val="center"/>
                  <w:rPr>
                    <w:rFonts w:cs="Times New Roman"/>
                    <w:sz w:val="16"/>
                    <w:szCs w:val="16"/>
                  </w:rPr>
                </w:pPr>
                <w:r>
                  <w:rPr>
                    <w:rFonts w:cs="Times New Roman"/>
                    <w:sz w:val="16"/>
                    <w:szCs w:val="16"/>
                  </w:rPr>
                  <w:t>价格</w:t>
                </w:r>
              </w:p>
            </w:tc>
          </w:sdtContent>
        </w:sdt>
        <w:sdt>
          <w:sdtPr>
            <w:rPr>
              <w:rFonts w:cs="Times New Roman"/>
              <w:sz w:val="16"/>
              <w:szCs w:val="16"/>
            </w:rPr>
            <w:tag w:val="_PLD_d16a25e7cbaa45718615a8e08f40e145"/>
            <w:id w:val="882841423"/>
          </w:sdtPr>
          <w:sdtEndPr>
            <w:rPr>
              <w:rFonts w:cs="Times New Roman"/>
              <w:sz w:val="16"/>
              <w:szCs w:val="16"/>
            </w:rPr>
          </w:sdtEndPr>
          <w:sdtContent>
            <w:tc>
              <w:tcPr>
                <w:tcW w:w="565" w:type="pct"/>
                <w:vAlign w:val="center"/>
              </w:tcPr>
              <w:p>
                <w:pPr>
                  <w:autoSpaceDE w:val="0"/>
                  <w:autoSpaceDN w:val="0"/>
                  <w:adjustRightInd w:val="0"/>
                  <w:jc w:val="center"/>
                  <w:rPr>
                    <w:rFonts w:cs="Times New Roman"/>
                    <w:sz w:val="16"/>
                    <w:szCs w:val="16"/>
                  </w:rPr>
                </w:pPr>
                <w:r>
                  <w:rPr>
                    <w:rFonts w:cs="Times New Roman"/>
                    <w:sz w:val="16"/>
                    <w:szCs w:val="16"/>
                  </w:rPr>
                  <w:t>交易价格与市场参考价格差异较大的原因</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635" w:type="pct"/>
            <w:vAlign w:val="center"/>
          </w:tcPr>
          <w:p>
            <w:pPr>
              <w:autoSpaceDE w:val="0"/>
              <w:autoSpaceDN w:val="0"/>
              <w:adjustRightInd w:val="0"/>
              <w:jc w:val="both"/>
              <w:rPr>
                <w:rFonts w:cs="Times New Roman"/>
                <w:sz w:val="16"/>
                <w:szCs w:val="16"/>
              </w:rPr>
            </w:pPr>
            <w:r>
              <w:rPr>
                <w:rFonts w:cs="Times New Roman"/>
                <w:sz w:val="16"/>
                <w:szCs w:val="16"/>
              </w:rPr>
              <w:t>元启星光数字能源科技（孟州市）有限公司</w:t>
            </w:r>
          </w:p>
        </w:tc>
        <w:tc>
          <w:tcPr>
            <w:tcW w:w="720" w:type="pct"/>
            <w:vAlign w:val="center"/>
          </w:tcPr>
          <w:p>
            <w:pPr>
              <w:autoSpaceDE w:val="0"/>
              <w:autoSpaceDN w:val="0"/>
              <w:adjustRightInd w:val="0"/>
              <w:jc w:val="both"/>
              <w:rPr>
                <w:rFonts w:cs="Times New Roman"/>
                <w:sz w:val="16"/>
                <w:szCs w:val="16"/>
              </w:rPr>
            </w:pPr>
            <w:r>
              <w:rPr>
                <w:rFonts w:cs="Times New Roman"/>
                <w:sz w:val="16"/>
                <w:szCs w:val="16"/>
              </w:rPr>
              <w:t>四川元启星光数字能源科技有限公司之子公司</w:t>
            </w:r>
          </w:p>
        </w:tc>
        <w:tc>
          <w:tcPr>
            <w:tcW w:w="317" w:type="pct"/>
            <w:vAlign w:val="center"/>
          </w:tcPr>
          <w:p>
            <w:pPr>
              <w:autoSpaceDE w:val="0"/>
              <w:autoSpaceDN w:val="0"/>
              <w:adjustRightInd w:val="0"/>
              <w:jc w:val="both"/>
              <w:rPr>
                <w:rFonts w:cs="Times New Roman"/>
                <w:sz w:val="16"/>
                <w:szCs w:val="16"/>
              </w:rPr>
            </w:pPr>
            <w:r>
              <w:rPr>
                <w:rFonts w:cs="Times New Roman"/>
                <w:sz w:val="16"/>
                <w:szCs w:val="16"/>
              </w:rPr>
              <w:t>销售商品</w:t>
            </w:r>
          </w:p>
        </w:tc>
        <w:tc>
          <w:tcPr>
            <w:tcW w:w="320" w:type="pct"/>
            <w:vAlign w:val="center"/>
          </w:tcPr>
          <w:p>
            <w:pPr>
              <w:autoSpaceDE w:val="0"/>
              <w:autoSpaceDN w:val="0"/>
              <w:adjustRightInd w:val="0"/>
              <w:jc w:val="center"/>
              <w:rPr>
                <w:rFonts w:cs="Times New Roman"/>
                <w:sz w:val="16"/>
                <w:szCs w:val="16"/>
              </w:rPr>
            </w:pPr>
            <w:r>
              <w:rPr>
                <w:rFonts w:cs="Times New Roman"/>
                <w:sz w:val="16"/>
                <w:szCs w:val="16"/>
              </w:rPr>
              <w:t>商品</w:t>
            </w:r>
          </w:p>
        </w:tc>
        <w:tc>
          <w:tcPr>
            <w:tcW w:w="478" w:type="pct"/>
          </w:tcPr>
          <w:p>
            <w:pPr>
              <w:autoSpaceDE w:val="0"/>
              <w:autoSpaceDN w:val="0"/>
              <w:adjustRightInd w:val="0"/>
              <w:jc w:val="both"/>
              <w:rPr>
                <w:rFonts w:cs="Times New Roman"/>
                <w:sz w:val="16"/>
                <w:szCs w:val="16"/>
              </w:rPr>
            </w:pPr>
            <w:r>
              <w:rPr>
                <w:rFonts w:cs="Times New Roman"/>
                <w:sz w:val="16"/>
                <w:szCs w:val="16"/>
              </w:rPr>
              <w:t>参照市场价格协商确定</w:t>
            </w:r>
          </w:p>
        </w:tc>
        <w:tc>
          <w:tcPr>
            <w:tcW w:w="316"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451" w:type="pct"/>
            <w:vAlign w:val="center"/>
          </w:tcPr>
          <w:p>
            <w:pPr>
              <w:autoSpaceDE w:val="0"/>
              <w:autoSpaceDN w:val="0"/>
              <w:adjustRightInd w:val="0"/>
              <w:jc w:val="right"/>
              <w:rPr>
                <w:rFonts w:cs="Times New Roman"/>
                <w:sz w:val="16"/>
                <w:szCs w:val="16"/>
              </w:rPr>
            </w:pPr>
            <w:r>
              <w:rPr>
                <w:rFonts w:cs="Times New Roman"/>
                <w:sz w:val="16"/>
                <w:szCs w:val="16"/>
              </w:rPr>
              <w:t xml:space="preserve"> 9,176.08 </w:t>
            </w:r>
          </w:p>
        </w:tc>
        <w:tc>
          <w:tcPr>
            <w:tcW w:w="558" w:type="pct"/>
            <w:vAlign w:val="center"/>
          </w:tcPr>
          <w:p>
            <w:pPr>
              <w:autoSpaceDE w:val="0"/>
              <w:autoSpaceDN w:val="0"/>
              <w:adjustRightInd w:val="0"/>
              <w:jc w:val="right"/>
              <w:rPr>
                <w:rFonts w:cs="Times New Roman"/>
                <w:sz w:val="16"/>
                <w:szCs w:val="16"/>
              </w:rPr>
            </w:pPr>
            <w:r>
              <w:rPr>
                <w:rFonts w:cs="Times New Roman"/>
                <w:sz w:val="16"/>
                <w:szCs w:val="16"/>
              </w:rPr>
              <w:t xml:space="preserve"> 7.10 </w:t>
            </w:r>
          </w:p>
        </w:tc>
        <w:tc>
          <w:tcPr>
            <w:tcW w:w="397" w:type="pct"/>
            <w:vAlign w:val="center"/>
          </w:tcPr>
          <w:p>
            <w:pPr>
              <w:autoSpaceDE w:val="0"/>
              <w:autoSpaceDN w:val="0"/>
              <w:adjustRightInd w:val="0"/>
              <w:jc w:val="center"/>
              <w:rPr>
                <w:rFonts w:cs="Times New Roman"/>
                <w:sz w:val="16"/>
                <w:szCs w:val="16"/>
              </w:rPr>
            </w:pPr>
            <w:r>
              <w:rPr>
                <w:rFonts w:cs="Times New Roman"/>
                <w:sz w:val="16"/>
                <w:szCs w:val="16"/>
              </w:rPr>
              <w:t>银行转账</w:t>
            </w:r>
          </w:p>
        </w:tc>
        <w:tc>
          <w:tcPr>
            <w:tcW w:w="243"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565" w:type="pct"/>
            <w:vAlign w:val="center"/>
          </w:tcPr>
          <w:p>
            <w:pPr>
              <w:autoSpaceDE w:val="0"/>
              <w:autoSpaceDN w:val="0"/>
              <w:adjustRightInd w:val="0"/>
              <w:jc w:val="center"/>
              <w:rPr>
                <w:rFonts w:cs="Times New Roman"/>
                <w:sz w:val="16"/>
                <w:szCs w:val="16"/>
              </w:rPr>
            </w:pPr>
            <w:r>
              <w:rPr>
                <w:rFonts w:cs="Times New Roman"/>
                <w:sz w:val="16"/>
                <w:szCs w:val="16"/>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635" w:type="pct"/>
            <w:vAlign w:val="center"/>
          </w:tcPr>
          <w:p>
            <w:pPr>
              <w:autoSpaceDE w:val="0"/>
              <w:autoSpaceDN w:val="0"/>
              <w:adjustRightInd w:val="0"/>
              <w:jc w:val="both"/>
              <w:rPr>
                <w:rFonts w:cs="Times New Roman"/>
                <w:sz w:val="16"/>
                <w:szCs w:val="16"/>
              </w:rPr>
            </w:pPr>
            <w:r>
              <w:rPr>
                <w:rFonts w:cs="Times New Roman"/>
                <w:sz w:val="16"/>
                <w:szCs w:val="16"/>
              </w:rPr>
              <w:t>元启星光数字能源技术（新密市）有限公司</w:t>
            </w:r>
          </w:p>
        </w:tc>
        <w:tc>
          <w:tcPr>
            <w:tcW w:w="720" w:type="pct"/>
            <w:vAlign w:val="center"/>
          </w:tcPr>
          <w:p>
            <w:pPr>
              <w:autoSpaceDE w:val="0"/>
              <w:autoSpaceDN w:val="0"/>
              <w:adjustRightInd w:val="0"/>
              <w:jc w:val="both"/>
              <w:rPr>
                <w:rFonts w:cs="Times New Roman"/>
                <w:sz w:val="16"/>
                <w:szCs w:val="16"/>
              </w:rPr>
            </w:pPr>
            <w:r>
              <w:rPr>
                <w:rFonts w:cs="Times New Roman"/>
                <w:sz w:val="16"/>
                <w:szCs w:val="16"/>
              </w:rPr>
              <w:t>四川元启星光数字能源科技有限公司之子公司</w:t>
            </w:r>
          </w:p>
        </w:tc>
        <w:tc>
          <w:tcPr>
            <w:tcW w:w="317" w:type="pct"/>
            <w:vAlign w:val="center"/>
          </w:tcPr>
          <w:p>
            <w:pPr>
              <w:autoSpaceDE w:val="0"/>
              <w:autoSpaceDN w:val="0"/>
              <w:adjustRightInd w:val="0"/>
              <w:jc w:val="both"/>
              <w:rPr>
                <w:rFonts w:cs="Times New Roman"/>
                <w:sz w:val="16"/>
                <w:szCs w:val="16"/>
              </w:rPr>
            </w:pPr>
            <w:r>
              <w:rPr>
                <w:rFonts w:cs="Times New Roman"/>
                <w:sz w:val="16"/>
                <w:szCs w:val="16"/>
              </w:rPr>
              <w:t>销售商品</w:t>
            </w:r>
          </w:p>
        </w:tc>
        <w:tc>
          <w:tcPr>
            <w:tcW w:w="320" w:type="pct"/>
            <w:vAlign w:val="center"/>
          </w:tcPr>
          <w:p>
            <w:pPr>
              <w:autoSpaceDE w:val="0"/>
              <w:autoSpaceDN w:val="0"/>
              <w:adjustRightInd w:val="0"/>
              <w:jc w:val="center"/>
              <w:rPr>
                <w:rFonts w:cs="Times New Roman"/>
                <w:sz w:val="16"/>
                <w:szCs w:val="16"/>
              </w:rPr>
            </w:pPr>
            <w:r>
              <w:rPr>
                <w:rFonts w:cs="Times New Roman"/>
                <w:sz w:val="16"/>
                <w:szCs w:val="16"/>
              </w:rPr>
              <w:t>商品</w:t>
            </w:r>
          </w:p>
        </w:tc>
        <w:tc>
          <w:tcPr>
            <w:tcW w:w="478" w:type="pct"/>
          </w:tcPr>
          <w:p>
            <w:pPr>
              <w:autoSpaceDE w:val="0"/>
              <w:autoSpaceDN w:val="0"/>
              <w:adjustRightInd w:val="0"/>
              <w:jc w:val="both"/>
              <w:rPr>
                <w:rFonts w:cs="Times New Roman"/>
                <w:sz w:val="16"/>
                <w:szCs w:val="16"/>
              </w:rPr>
            </w:pPr>
            <w:r>
              <w:rPr>
                <w:rFonts w:cs="Times New Roman"/>
                <w:sz w:val="16"/>
                <w:szCs w:val="16"/>
              </w:rPr>
              <w:t>参照市场价格协商确定</w:t>
            </w:r>
          </w:p>
        </w:tc>
        <w:tc>
          <w:tcPr>
            <w:tcW w:w="316"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451" w:type="pct"/>
            <w:vAlign w:val="center"/>
          </w:tcPr>
          <w:p>
            <w:pPr>
              <w:autoSpaceDE w:val="0"/>
              <w:autoSpaceDN w:val="0"/>
              <w:adjustRightInd w:val="0"/>
              <w:jc w:val="right"/>
              <w:rPr>
                <w:rFonts w:cs="Times New Roman"/>
                <w:sz w:val="16"/>
                <w:szCs w:val="16"/>
              </w:rPr>
            </w:pPr>
            <w:r>
              <w:rPr>
                <w:rFonts w:cs="Times New Roman"/>
                <w:sz w:val="16"/>
                <w:szCs w:val="16"/>
              </w:rPr>
              <w:t xml:space="preserve"> 3,005.25 </w:t>
            </w:r>
          </w:p>
        </w:tc>
        <w:tc>
          <w:tcPr>
            <w:tcW w:w="558" w:type="pct"/>
            <w:vAlign w:val="center"/>
          </w:tcPr>
          <w:p>
            <w:pPr>
              <w:autoSpaceDE w:val="0"/>
              <w:autoSpaceDN w:val="0"/>
              <w:adjustRightInd w:val="0"/>
              <w:jc w:val="right"/>
              <w:rPr>
                <w:rFonts w:cs="Times New Roman"/>
                <w:sz w:val="16"/>
                <w:szCs w:val="16"/>
              </w:rPr>
            </w:pPr>
            <w:r>
              <w:rPr>
                <w:rFonts w:cs="Times New Roman"/>
                <w:sz w:val="16"/>
                <w:szCs w:val="16"/>
              </w:rPr>
              <w:t xml:space="preserve"> 2.33 </w:t>
            </w:r>
          </w:p>
        </w:tc>
        <w:tc>
          <w:tcPr>
            <w:tcW w:w="397" w:type="pct"/>
            <w:vAlign w:val="center"/>
          </w:tcPr>
          <w:p>
            <w:pPr>
              <w:autoSpaceDE w:val="0"/>
              <w:autoSpaceDN w:val="0"/>
              <w:adjustRightInd w:val="0"/>
              <w:jc w:val="center"/>
              <w:rPr>
                <w:rFonts w:cs="Times New Roman"/>
                <w:sz w:val="16"/>
                <w:szCs w:val="16"/>
              </w:rPr>
            </w:pPr>
            <w:r>
              <w:rPr>
                <w:rFonts w:cs="Times New Roman"/>
                <w:sz w:val="16"/>
                <w:szCs w:val="16"/>
              </w:rPr>
              <w:t>银行转账</w:t>
            </w:r>
          </w:p>
        </w:tc>
        <w:tc>
          <w:tcPr>
            <w:tcW w:w="243"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565" w:type="pct"/>
            <w:vAlign w:val="center"/>
          </w:tcPr>
          <w:p>
            <w:pPr>
              <w:autoSpaceDE w:val="0"/>
              <w:autoSpaceDN w:val="0"/>
              <w:adjustRightInd w:val="0"/>
              <w:jc w:val="center"/>
              <w:rPr>
                <w:rFonts w:cs="Times New Roman"/>
                <w:sz w:val="16"/>
                <w:szCs w:val="16"/>
              </w:rPr>
            </w:pPr>
            <w:r>
              <w:rPr>
                <w:rFonts w:cs="Times New Roman"/>
                <w:sz w:val="16"/>
                <w:szCs w:val="16"/>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635" w:type="pct"/>
            <w:vAlign w:val="center"/>
          </w:tcPr>
          <w:p>
            <w:pPr>
              <w:autoSpaceDE w:val="0"/>
              <w:autoSpaceDN w:val="0"/>
              <w:adjustRightInd w:val="0"/>
              <w:jc w:val="both"/>
              <w:rPr>
                <w:rFonts w:cs="Times New Roman"/>
                <w:sz w:val="16"/>
                <w:szCs w:val="16"/>
              </w:rPr>
            </w:pPr>
            <w:r>
              <w:rPr>
                <w:rFonts w:cs="Times New Roman"/>
                <w:sz w:val="16"/>
                <w:szCs w:val="16"/>
              </w:rPr>
              <w:t>东莞元启星光数字能源技术有限公司</w:t>
            </w:r>
          </w:p>
        </w:tc>
        <w:tc>
          <w:tcPr>
            <w:tcW w:w="720" w:type="pct"/>
            <w:vAlign w:val="center"/>
          </w:tcPr>
          <w:p>
            <w:pPr>
              <w:autoSpaceDE w:val="0"/>
              <w:autoSpaceDN w:val="0"/>
              <w:adjustRightInd w:val="0"/>
              <w:jc w:val="both"/>
              <w:rPr>
                <w:rFonts w:cs="Times New Roman"/>
                <w:sz w:val="16"/>
                <w:szCs w:val="16"/>
              </w:rPr>
            </w:pPr>
            <w:r>
              <w:rPr>
                <w:rFonts w:cs="Times New Roman"/>
                <w:sz w:val="16"/>
                <w:szCs w:val="16"/>
              </w:rPr>
              <w:t>四川元启星光数字能源科技有限公司之子公司</w:t>
            </w:r>
          </w:p>
        </w:tc>
        <w:tc>
          <w:tcPr>
            <w:tcW w:w="317" w:type="pct"/>
            <w:vAlign w:val="center"/>
          </w:tcPr>
          <w:p>
            <w:pPr>
              <w:autoSpaceDE w:val="0"/>
              <w:autoSpaceDN w:val="0"/>
              <w:adjustRightInd w:val="0"/>
              <w:jc w:val="both"/>
              <w:rPr>
                <w:rFonts w:cs="Times New Roman"/>
                <w:sz w:val="16"/>
                <w:szCs w:val="16"/>
              </w:rPr>
            </w:pPr>
            <w:r>
              <w:rPr>
                <w:rFonts w:cs="Times New Roman"/>
                <w:sz w:val="16"/>
                <w:szCs w:val="16"/>
              </w:rPr>
              <w:t>销售商品</w:t>
            </w:r>
          </w:p>
        </w:tc>
        <w:tc>
          <w:tcPr>
            <w:tcW w:w="320" w:type="pct"/>
            <w:vAlign w:val="center"/>
          </w:tcPr>
          <w:p>
            <w:pPr>
              <w:autoSpaceDE w:val="0"/>
              <w:autoSpaceDN w:val="0"/>
              <w:adjustRightInd w:val="0"/>
              <w:jc w:val="center"/>
              <w:rPr>
                <w:rFonts w:cs="Times New Roman"/>
                <w:sz w:val="16"/>
                <w:szCs w:val="16"/>
              </w:rPr>
            </w:pPr>
            <w:r>
              <w:rPr>
                <w:rFonts w:cs="Times New Roman"/>
                <w:sz w:val="16"/>
                <w:szCs w:val="16"/>
              </w:rPr>
              <w:t>商品</w:t>
            </w:r>
          </w:p>
        </w:tc>
        <w:tc>
          <w:tcPr>
            <w:tcW w:w="478" w:type="pct"/>
          </w:tcPr>
          <w:p>
            <w:pPr>
              <w:autoSpaceDE w:val="0"/>
              <w:autoSpaceDN w:val="0"/>
              <w:adjustRightInd w:val="0"/>
              <w:jc w:val="both"/>
              <w:rPr>
                <w:rFonts w:cs="Times New Roman"/>
                <w:sz w:val="16"/>
                <w:szCs w:val="16"/>
              </w:rPr>
            </w:pPr>
            <w:r>
              <w:rPr>
                <w:rFonts w:cs="Times New Roman"/>
                <w:sz w:val="16"/>
                <w:szCs w:val="16"/>
              </w:rPr>
              <w:t>参照市场价格协商确定</w:t>
            </w:r>
          </w:p>
        </w:tc>
        <w:tc>
          <w:tcPr>
            <w:tcW w:w="316"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451" w:type="pct"/>
            <w:vAlign w:val="center"/>
          </w:tcPr>
          <w:p>
            <w:pPr>
              <w:autoSpaceDE w:val="0"/>
              <w:autoSpaceDN w:val="0"/>
              <w:adjustRightInd w:val="0"/>
              <w:jc w:val="right"/>
              <w:rPr>
                <w:rFonts w:cs="Times New Roman"/>
                <w:sz w:val="16"/>
                <w:szCs w:val="16"/>
              </w:rPr>
            </w:pPr>
            <w:r>
              <w:rPr>
                <w:rFonts w:cs="Times New Roman"/>
                <w:sz w:val="16"/>
                <w:szCs w:val="16"/>
              </w:rPr>
              <w:t xml:space="preserve"> 1,548.86 </w:t>
            </w:r>
          </w:p>
        </w:tc>
        <w:tc>
          <w:tcPr>
            <w:tcW w:w="558" w:type="pct"/>
            <w:vAlign w:val="center"/>
          </w:tcPr>
          <w:p>
            <w:pPr>
              <w:autoSpaceDE w:val="0"/>
              <w:autoSpaceDN w:val="0"/>
              <w:adjustRightInd w:val="0"/>
              <w:jc w:val="right"/>
              <w:rPr>
                <w:rFonts w:cs="Times New Roman"/>
                <w:sz w:val="16"/>
                <w:szCs w:val="16"/>
              </w:rPr>
            </w:pPr>
            <w:r>
              <w:rPr>
                <w:rFonts w:cs="Times New Roman"/>
                <w:sz w:val="16"/>
                <w:szCs w:val="16"/>
              </w:rPr>
              <w:t xml:space="preserve"> 1.20 </w:t>
            </w:r>
          </w:p>
        </w:tc>
        <w:tc>
          <w:tcPr>
            <w:tcW w:w="397" w:type="pct"/>
            <w:vAlign w:val="center"/>
          </w:tcPr>
          <w:p>
            <w:pPr>
              <w:autoSpaceDE w:val="0"/>
              <w:autoSpaceDN w:val="0"/>
              <w:adjustRightInd w:val="0"/>
              <w:jc w:val="center"/>
              <w:rPr>
                <w:rFonts w:cs="Times New Roman"/>
                <w:sz w:val="16"/>
                <w:szCs w:val="16"/>
              </w:rPr>
            </w:pPr>
            <w:r>
              <w:rPr>
                <w:rFonts w:cs="Times New Roman"/>
                <w:sz w:val="16"/>
                <w:szCs w:val="16"/>
              </w:rPr>
              <w:t>银行转账</w:t>
            </w:r>
          </w:p>
        </w:tc>
        <w:tc>
          <w:tcPr>
            <w:tcW w:w="243"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565" w:type="pct"/>
            <w:vAlign w:val="center"/>
          </w:tcPr>
          <w:p>
            <w:pPr>
              <w:autoSpaceDE w:val="0"/>
              <w:autoSpaceDN w:val="0"/>
              <w:adjustRightInd w:val="0"/>
              <w:jc w:val="center"/>
              <w:rPr>
                <w:rFonts w:cs="Times New Roman"/>
                <w:sz w:val="16"/>
                <w:szCs w:val="16"/>
              </w:rPr>
            </w:pPr>
            <w:r>
              <w:rPr>
                <w:rFonts w:cs="Times New Roman"/>
                <w:sz w:val="16"/>
                <w:szCs w:val="16"/>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635" w:type="pct"/>
            <w:vAlign w:val="center"/>
          </w:tcPr>
          <w:p>
            <w:pPr>
              <w:autoSpaceDE w:val="0"/>
              <w:autoSpaceDN w:val="0"/>
              <w:adjustRightInd w:val="0"/>
              <w:jc w:val="both"/>
              <w:rPr>
                <w:rFonts w:cs="Times New Roman"/>
                <w:sz w:val="16"/>
                <w:szCs w:val="16"/>
              </w:rPr>
            </w:pPr>
            <w:r>
              <w:rPr>
                <w:rFonts w:cs="Times New Roman"/>
                <w:sz w:val="16"/>
                <w:szCs w:val="16"/>
              </w:rPr>
              <w:t>元启星光能源科技（古交）有限公司</w:t>
            </w:r>
          </w:p>
        </w:tc>
        <w:tc>
          <w:tcPr>
            <w:tcW w:w="720" w:type="pct"/>
            <w:vAlign w:val="center"/>
          </w:tcPr>
          <w:p>
            <w:pPr>
              <w:autoSpaceDE w:val="0"/>
              <w:autoSpaceDN w:val="0"/>
              <w:adjustRightInd w:val="0"/>
              <w:jc w:val="both"/>
              <w:rPr>
                <w:rFonts w:cs="Times New Roman"/>
                <w:sz w:val="16"/>
                <w:szCs w:val="16"/>
              </w:rPr>
            </w:pPr>
            <w:r>
              <w:rPr>
                <w:rFonts w:cs="Times New Roman"/>
                <w:sz w:val="16"/>
                <w:szCs w:val="16"/>
              </w:rPr>
              <w:t>四川元启星光数字能源科技有限公司之子公司</w:t>
            </w:r>
          </w:p>
        </w:tc>
        <w:tc>
          <w:tcPr>
            <w:tcW w:w="317" w:type="pct"/>
            <w:vAlign w:val="center"/>
          </w:tcPr>
          <w:p>
            <w:pPr>
              <w:autoSpaceDE w:val="0"/>
              <w:autoSpaceDN w:val="0"/>
              <w:adjustRightInd w:val="0"/>
              <w:jc w:val="both"/>
              <w:rPr>
                <w:rFonts w:cs="Times New Roman"/>
                <w:sz w:val="16"/>
                <w:szCs w:val="16"/>
              </w:rPr>
            </w:pPr>
            <w:r>
              <w:rPr>
                <w:rFonts w:cs="Times New Roman"/>
                <w:sz w:val="16"/>
                <w:szCs w:val="16"/>
              </w:rPr>
              <w:t>销售商品</w:t>
            </w:r>
          </w:p>
        </w:tc>
        <w:tc>
          <w:tcPr>
            <w:tcW w:w="320" w:type="pct"/>
            <w:vAlign w:val="center"/>
          </w:tcPr>
          <w:p>
            <w:pPr>
              <w:autoSpaceDE w:val="0"/>
              <w:autoSpaceDN w:val="0"/>
              <w:adjustRightInd w:val="0"/>
              <w:jc w:val="center"/>
              <w:rPr>
                <w:rFonts w:cs="Times New Roman"/>
                <w:sz w:val="16"/>
                <w:szCs w:val="16"/>
              </w:rPr>
            </w:pPr>
            <w:r>
              <w:rPr>
                <w:rFonts w:cs="Times New Roman"/>
                <w:sz w:val="16"/>
                <w:szCs w:val="16"/>
              </w:rPr>
              <w:t>商品</w:t>
            </w:r>
          </w:p>
        </w:tc>
        <w:tc>
          <w:tcPr>
            <w:tcW w:w="478" w:type="pct"/>
          </w:tcPr>
          <w:p>
            <w:pPr>
              <w:autoSpaceDE w:val="0"/>
              <w:autoSpaceDN w:val="0"/>
              <w:adjustRightInd w:val="0"/>
              <w:jc w:val="both"/>
              <w:rPr>
                <w:rFonts w:cs="Times New Roman"/>
                <w:sz w:val="16"/>
                <w:szCs w:val="16"/>
              </w:rPr>
            </w:pPr>
            <w:r>
              <w:rPr>
                <w:rFonts w:cs="Times New Roman"/>
                <w:sz w:val="16"/>
                <w:szCs w:val="16"/>
              </w:rPr>
              <w:t>参照市场价格协商确定</w:t>
            </w:r>
          </w:p>
        </w:tc>
        <w:tc>
          <w:tcPr>
            <w:tcW w:w="316"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451" w:type="pct"/>
            <w:vAlign w:val="center"/>
          </w:tcPr>
          <w:p>
            <w:pPr>
              <w:autoSpaceDE w:val="0"/>
              <w:autoSpaceDN w:val="0"/>
              <w:adjustRightInd w:val="0"/>
              <w:jc w:val="right"/>
              <w:rPr>
                <w:rFonts w:cs="Times New Roman"/>
                <w:sz w:val="16"/>
                <w:szCs w:val="16"/>
              </w:rPr>
            </w:pPr>
            <w:r>
              <w:rPr>
                <w:rFonts w:cs="Times New Roman"/>
                <w:sz w:val="16"/>
                <w:szCs w:val="16"/>
              </w:rPr>
              <w:t xml:space="preserve"> 1,159.58 </w:t>
            </w:r>
          </w:p>
        </w:tc>
        <w:tc>
          <w:tcPr>
            <w:tcW w:w="558" w:type="pct"/>
            <w:vAlign w:val="center"/>
          </w:tcPr>
          <w:p>
            <w:pPr>
              <w:autoSpaceDE w:val="0"/>
              <w:autoSpaceDN w:val="0"/>
              <w:adjustRightInd w:val="0"/>
              <w:jc w:val="right"/>
              <w:rPr>
                <w:rFonts w:cs="Times New Roman"/>
                <w:sz w:val="16"/>
                <w:szCs w:val="16"/>
              </w:rPr>
            </w:pPr>
            <w:r>
              <w:rPr>
                <w:rFonts w:cs="Times New Roman"/>
                <w:sz w:val="16"/>
                <w:szCs w:val="16"/>
              </w:rPr>
              <w:t xml:space="preserve"> 0.90 </w:t>
            </w:r>
          </w:p>
        </w:tc>
        <w:tc>
          <w:tcPr>
            <w:tcW w:w="397" w:type="pct"/>
            <w:vAlign w:val="center"/>
          </w:tcPr>
          <w:p>
            <w:pPr>
              <w:autoSpaceDE w:val="0"/>
              <w:autoSpaceDN w:val="0"/>
              <w:adjustRightInd w:val="0"/>
              <w:jc w:val="center"/>
              <w:rPr>
                <w:rFonts w:cs="Times New Roman"/>
                <w:sz w:val="16"/>
                <w:szCs w:val="16"/>
              </w:rPr>
            </w:pPr>
            <w:r>
              <w:rPr>
                <w:rFonts w:cs="Times New Roman"/>
                <w:sz w:val="16"/>
                <w:szCs w:val="16"/>
              </w:rPr>
              <w:t>银行转账</w:t>
            </w:r>
          </w:p>
        </w:tc>
        <w:tc>
          <w:tcPr>
            <w:tcW w:w="243"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565" w:type="pct"/>
            <w:vAlign w:val="center"/>
          </w:tcPr>
          <w:p>
            <w:pPr>
              <w:autoSpaceDE w:val="0"/>
              <w:autoSpaceDN w:val="0"/>
              <w:adjustRightInd w:val="0"/>
              <w:jc w:val="center"/>
              <w:rPr>
                <w:rFonts w:cs="Times New Roman"/>
                <w:sz w:val="16"/>
                <w:szCs w:val="16"/>
              </w:rPr>
            </w:pPr>
            <w:r>
              <w:rPr>
                <w:rFonts w:cs="Times New Roman"/>
                <w:sz w:val="16"/>
                <w:szCs w:val="16"/>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635" w:type="pct"/>
            <w:vAlign w:val="center"/>
          </w:tcPr>
          <w:p>
            <w:pPr>
              <w:autoSpaceDE w:val="0"/>
              <w:autoSpaceDN w:val="0"/>
              <w:adjustRightInd w:val="0"/>
              <w:jc w:val="both"/>
              <w:rPr>
                <w:rFonts w:cs="Times New Roman"/>
                <w:sz w:val="16"/>
                <w:szCs w:val="16"/>
              </w:rPr>
            </w:pPr>
            <w:r>
              <w:rPr>
                <w:rFonts w:cs="Times New Roman"/>
                <w:sz w:val="16"/>
                <w:szCs w:val="16"/>
              </w:rPr>
              <w:t>元启星光数字能源科技（珙县）有限公司</w:t>
            </w:r>
          </w:p>
        </w:tc>
        <w:tc>
          <w:tcPr>
            <w:tcW w:w="720" w:type="pct"/>
            <w:vAlign w:val="center"/>
          </w:tcPr>
          <w:p>
            <w:pPr>
              <w:autoSpaceDE w:val="0"/>
              <w:autoSpaceDN w:val="0"/>
              <w:adjustRightInd w:val="0"/>
              <w:jc w:val="both"/>
              <w:rPr>
                <w:rFonts w:cs="Times New Roman"/>
                <w:sz w:val="16"/>
                <w:szCs w:val="16"/>
              </w:rPr>
            </w:pPr>
            <w:r>
              <w:rPr>
                <w:rFonts w:cs="Times New Roman"/>
                <w:sz w:val="16"/>
                <w:szCs w:val="16"/>
              </w:rPr>
              <w:t>四川元启星光数字能源科技有限公司之子公司</w:t>
            </w:r>
          </w:p>
        </w:tc>
        <w:tc>
          <w:tcPr>
            <w:tcW w:w="317" w:type="pct"/>
            <w:vAlign w:val="center"/>
          </w:tcPr>
          <w:p>
            <w:pPr>
              <w:autoSpaceDE w:val="0"/>
              <w:autoSpaceDN w:val="0"/>
              <w:adjustRightInd w:val="0"/>
              <w:jc w:val="both"/>
              <w:rPr>
                <w:rFonts w:cs="Times New Roman"/>
                <w:sz w:val="16"/>
                <w:szCs w:val="16"/>
              </w:rPr>
            </w:pPr>
            <w:r>
              <w:rPr>
                <w:rFonts w:cs="Times New Roman"/>
                <w:sz w:val="16"/>
                <w:szCs w:val="16"/>
              </w:rPr>
              <w:t>销售商品</w:t>
            </w:r>
          </w:p>
        </w:tc>
        <w:tc>
          <w:tcPr>
            <w:tcW w:w="320" w:type="pct"/>
            <w:vAlign w:val="center"/>
          </w:tcPr>
          <w:p>
            <w:pPr>
              <w:autoSpaceDE w:val="0"/>
              <w:autoSpaceDN w:val="0"/>
              <w:adjustRightInd w:val="0"/>
              <w:jc w:val="center"/>
              <w:rPr>
                <w:rFonts w:cs="Times New Roman"/>
                <w:sz w:val="16"/>
                <w:szCs w:val="16"/>
              </w:rPr>
            </w:pPr>
            <w:r>
              <w:rPr>
                <w:rFonts w:cs="Times New Roman"/>
                <w:sz w:val="16"/>
                <w:szCs w:val="16"/>
              </w:rPr>
              <w:t>商品</w:t>
            </w:r>
          </w:p>
        </w:tc>
        <w:tc>
          <w:tcPr>
            <w:tcW w:w="478" w:type="pct"/>
          </w:tcPr>
          <w:p>
            <w:pPr>
              <w:autoSpaceDE w:val="0"/>
              <w:autoSpaceDN w:val="0"/>
              <w:adjustRightInd w:val="0"/>
              <w:jc w:val="both"/>
              <w:rPr>
                <w:rFonts w:cs="Times New Roman"/>
                <w:sz w:val="16"/>
                <w:szCs w:val="16"/>
              </w:rPr>
            </w:pPr>
            <w:r>
              <w:rPr>
                <w:rFonts w:cs="Times New Roman"/>
                <w:sz w:val="16"/>
                <w:szCs w:val="16"/>
              </w:rPr>
              <w:t>参照市场价格协商确定</w:t>
            </w:r>
          </w:p>
        </w:tc>
        <w:tc>
          <w:tcPr>
            <w:tcW w:w="316"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451" w:type="pct"/>
            <w:vAlign w:val="center"/>
          </w:tcPr>
          <w:p>
            <w:pPr>
              <w:autoSpaceDE w:val="0"/>
              <w:autoSpaceDN w:val="0"/>
              <w:adjustRightInd w:val="0"/>
              <w:jc w:val="right"/>
              <w:rPr>
                <w:rFonts w:cs="Times New Roman"/>
                <w:sz w:val="16"/>
                <w:szCs w:val="16"/>
              </w:rPr>
            </w:pPr>
            <w:r>
              <w:rPr>
                <w:rFonts w:cs="Times New Roman"/>
                <w:sz w:val="16"/>
                <w:szCs w:val="16"/>
              </w:rPr>
              <w:t xml:space="preserve"> 869.68 </w:t>
            </w:r>
          </w:p>
        </w:tc>
        <w:tc>
          <w:tcPr>
            <w:tcW w:w="558" w:type="pct"/>
            <w:vAlign w:val="center"/>
          </w:tcPr>
          <w:p>
            <w:pPr>
              <w:autoSpaceDE w:val="0"/>
              <w:autoSpaceDN w:val="0"/>
              <w:adjustRightInd w:val="0"/>
              <w:jc w:val="right"/>
              <w:rPr>
                <w:rFonts w:cs="Times New Roman"/>
                <w:sz w:val="16"/>
                <w:szCs w:val="16"/>
              </w:rPr>
            </w:pPr>
            <w:r>
              <w:rPr>
                <w:rFonts w:cs="Times New Roman"/>
                <w:sz w:val="16"/>
                <w:szCs w:val="16"/>
              </w:rPr>
              <w:t xml:space="preserve"> 0.67 </w:t>
            </w:r>
          </w:p>
        </w:tc>
        <w:tc>
          <w:tcPr>
            <w:tcW w:w="397" w:type="pct"/>
            <w:vAlign w:val="center"/>
          </w:tcPr>
          <w:p>
            <w:pPr>
              <w:autoSpaceDE w:val="0"/>
              <w:autoSpaceDN w:val="0"/>
              <w:adjustRightInd w:val="0"/>
              <w:jc w:val="center"/>
              <w:rPr>
                <w:rFonts w:cs="Times New Roman"/>
                <w:sz w:val="16"/>
                <w:szCs w:val="16"/>
              </w:rPr>
            </w:pPr>
            <w:r>
              <w:rPr>
                <w:rFonts w:cs="Times New Roman"/>
                <w:sz w:val="16"/>
                <w:szCs w:val="16"/>
              </w:rPr>
              <w:t>银行转账</w:t>
            </w:r>
          </w:p>
        </w:tc>
        <w:tc>
          <w:tcPr>
            <w:tcW w:w="243"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565" w:type="pct"/>
            <w:vAlign w:val="center"/>
          </w:tcPr>
          <w:p>
            <w:pPr>
              <w:autoSpaceDE w:val="0"/>
              <w:autoSpaceDN w:val="0"/>
              <w:adjustRightInd w:val="0"/>
              <w:jc w:val="center"/>
              <w:rPr>
                <w:rFonts w:cs="Times New Roman"/>
                <w:sz w:val="16"/>
                <w:szCs w:val="16"/>
              </w:rPr>
            </w:pPr>
            <w:r>
              <w:rPr>
                <w:rFonts w:cs="Times New Roman"/>
                <w:sz w:val="16"/>
                <w:szCs w:val="16"/>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635" w:type="pct"/>
            <w:vAlign w:val="center"/>
          </w:tcPr>
          <w:p>
            <w:pPr>
              <w:autoSpaceDE w:val="0"/>
              <w:autoSpaceDN w:val="0"/>
              <w:adjustRightInd w:val="0"/>
              <w:jc w:val="both"/>
              <w:rPr>
                <w:rFonts w:cs="Times New Roman"/>
                <w:sz w:val="16"/>
                <w:szCs w:val="16"/>
              </w:rPr>
            </w:pPr>
            <w:r>
              <w:rPr>
                <w:rFonts w:cs="Times New Roman"/>
                <w:sz w:val="16"/>
                <w:szCs w:val="16"/>
              </w:rPr>
              <w:t>元启星光数字能源科技（桂阳）有限公司</w:t>
            </w:r>
          </w:p>
        </w:tc>
        <w:tc>
          <w:tcPr>
            <w:tcW w:w="720" w:type="pct"/>
            <w:vAlign w:val="center"/>
          </w:tcPr>
          <w:p>
            <w:pPr>
              <w:autoSpaceDE w:val="0"/>
              <w:autoSpaceDN w:val="0"/>
              <w:adjustRightInd w:val="0"/>
              <w:jc w:val="both"/>
              <w:rPr>
                <w:rFonts w:cs="Times New Roman"/>
                <w:sz w:val="16"/>
                <w:szCs w:val="16"/>
              </w:rPr>
            </w:pPr>
            <w:r>
              <w:rPr>
                <w:rFonts w:cs="Times New Roman"/>
                <w:sz w:val="16"/>
                <w:szCs w:val="16"/>
              </w:rPr>
              <w:t>四川元启星光数字能源科技有限公司之子公司</w:t>
            </w:r>
          </w:p>
        </w:tc>
        <w:tc>
          <w:tcPr>
            <w:tcW w:w="317" w:type="pct"/>
            <w:vAlign w:val="center"/>
          </w:tcPr>
          <w:p>
            <w:pPr>
              <w:autoSpaceDE w:val="0"/>
              <w:autoSpaceDN w:val="0"/>
              <w:adjustRightInd w:val="0"/>
              <w:jc w:val="both"/>
              <w:rPr>
                <w:rFonts w:cs="Times New Roman"/>
                <w:sz w:val="16"/>
                <w:szCs w:val="16"/>
              </w:rPr>
            </w:pPr>
            <w:r>
              <w:rPr>
                <w:rFonts w:cs="Times New Roman"/>
                <w:sz w:val="16"/>
                <w:szCs w:val="16"/>
              </w:rPr>
              <w:t>销售商品</w:t>
            </w:r>
          </w:p>
        </w:tc>
        <w:tc>
          <w:tcPr>
            <w:tcW w:w="320" w:type="pct"/>
            <w:vAlign w:val="center"/>
          </w:tcPr>
          <w:p>
            <w:pPr>
              <w:autoSpaceDE w:val="0"/>
              <w:autoSpaceDN w:val="0"/>
              <w:adjustRightInd w:val="0"/>
              <w:jc w:val="center"/>
              <w:rPr>
                <w:rFonts w:cs="Times New Roman"/>
                <w:sz w:val="16"/>
                <w:szCs w:val="16"/>
              </w:rPr>
            </w:pPr>
            <w:r>
              <w:rPr>
                <w:rFonts w:cs="Times New Roman"/>
                <w:sz w:val="16"/>
                <w:szCs w:val="16"/>
              </w:rPr>
              <w:t>商品</w:t>
            </w:r>
          </w:p>
        </w:tc>
        <w:tc>
          <w:tcPr>
            <w:tcW w:w="478" w:type="pct"/>
          </w:tcPr>
          <w:p>
            <w:pPr>
              <w:autoSpaceDE w:val="0"/>
              <w:autoSpaceDN w:val="0"/>
              <w:adjustRightInd w:val="0"/>
              <w:jc w:val="both"/>
              <w:rPr>
                <w:rFonts w:cs="Times New Roman"/>
                <w:sz w:val="16"/>
                <w:szCs w:val="16"/>
              </w:rPr>
            </w:pPr>
            <w:r>
              <w:rPr>
                <w:rFonts w:cs="Times New Roman"/>
                <w:sz w:val="16"/>
                <w:szCs w:val="16"/>
              </w:rPr>
              <w:t>参照市场价格协商确定</w:t>
            </w:r>
          </w:p>
        </w:tc>
        <w:tc>
          <w:tcPr>
            <w:tcW w:w="316"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451" w:type="pct"/>
            <w:vAlign w:val="center"/>
          </w:tcPr>
          <w:p>
            <w:pPr>
              <w:autoSpaceDE w:val="0"/>
              <w:autoSpaceDN w:val="0"/>
              <w:adjustRightInd w:val="0"/>
              <w:jc w:val="right"/>
              <w:rPr>
                <w:rFonts w:cs="Times New Roman"/>
                <w:sz w:val="16"/>
                <w:szCs w:val="16"/>
              </w:rPr>
            </w:pPr>
            <w:r>
              <w:rPr>
                <w:rFonts w:cs="Times New Roman"/>
                <w:sz w:val="16"/>
                <w:szCs w:val="16"/>
              </w:rPr>
              <w:t xml:space="preserve"> 503.82 </w:t>
            </w:r>
          </w:p>
        </w:tc>
        <w:tc>
          <w:tcPr>
            <w:tcW w:w="558" w:type="pct"/>
            <w:vAlign w:val="center"/>
          </w:tcPr>
          <w:p>
            <w:pPr>
              <w:autoSpaceDE w:val="0"/>
              <w:autoSpaceDN w:val="0"/>
              <w:adjustRightInd w:val="0"/>
              <w:jc w:val="right"/>
              <w:rPr>
                <w:rFonts w:cs="Times New Roman"/>
                <w:sz w:val="16"/>
                <w:szCs w:val="16"/>
              </w:rPr>
            </w:pPr>
            <w:r>
              <w:rPr>
                <w:rFonts w:cs="Times New Roman"/>
                <w:sz w:val="16"/>
                <w:szCs w:val="16"/>
              </w:rPr>
              <w:t xml:space="preserve"> 0.39 </w:t>
            </w:r>
          </w:p>
        </w:tc>
        <w:tc>
          <w:tcPr>
            <w:tcW w:w="397" w:type="pct"/>
            <w:vAlign w:val="center"/>
          </w:tcPr>
          <w:p>
            <w:pPr>
              <w:autoSpaceDE w:val="0"/>
              <w:autoSpaceDN w:val="0"/>
              <w:adjustRightInd w:val="0"/>
              <w:jc w:val="center"/>
              <w:rPr>
                <w:rFonts w:cs="Times New Roman"/>
                <w:sz w:val="16"/>
                <w:szCs w:val="16"/>
              </w:rPr>
            </w:pPr>
            <w:r>
              <w:rPr>
                <w:rFonts w:cs="Times New Roman"/>
                <w:sz w:val="16"/>
                <w:szCs w:val="16"/>
              </w:rPr>
              <w:t>银行转账</w:t>
            </w:r>
          </w:p>
        </w:tc>
        <w:tc>
          <w:tcPr>
            <w:tcW w:w="243"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565" w:type="pct"/>
            <w:vAlign w:val="center"/>
          </w:tcPr>
          <w:p>
            <w:pPr>
              <w:autoSpaceDE w:val="0"/>
              <w:autoSpaceDN w:val="0"/>
              <w:adjustRightInd w:val="0"/>
              <w:jc w:val="center"/>
              <w:rPr>
                <w:rFonts w:cs="Times New Roman"/>
                <w:sz w:val="16"/>
                <w:szCs w:val="16"/>
              </w:rPr>
            </w:pPr>
            <w:r>
              <w:rPr>
                <w:rFonts w:cs="Times New Roman"/>
                <w:sz w:val="16"/>
                <w:szCs w:val="16"/>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635" w:type="pct"/>
            <w:vAlign w:val="center"/>
          </w:tcPr>
          <w:p>
            <w:pPr>
              <w:autoSpaceDE w:val="0"/>
              <w:autoSpaceDN w:val="0"/>
              <w:adjustRightInd w:val="0"/>
              <w:jc w:val="both"/>
              <w:rPr>
                <w:rFonts w:cs="Times New Roman"/>
                <w:sz w:val="16"/>
                <w:szCs w:val="16"/>
              </w:rPr>
            </w:pPr>
            <w:r>
              <w:rPr>
                <w:rFonts w:cs="Times New Roman"/>
                <w:sz w:val="16"/>
                <w:szCs w:val="16"/>
              </w:rPr>
              <w:t>元启星光（防城港）数字能源技术有限公司</w:t>
            </w:r>
          </w:p>
        </w:tc>
        <w:tc>
          <w:tcPr>
            <w:tcW w:w="720" w:type="pct"/>
            <w:vAlign w:val="center"/>
          </w:tcPr>
          <w:p>
            <w:pPr>
              <w:autoSpaceDE w:val="0"/>
              <w:autoSpaceDN w:val="0"/>
              <w:adjustRightInd w:val="0"/>
              <w:jc w:val="both"/>
              <w:rPr>
                <w:rFonts w:cs="Times New Roman"/>
                <w:sz w:val="16"/>
                <w:szCs w:val="16"/>
              </w:rPr>
            </w:pPr>
            <w:r>
              <w:rPr>
                <w:rFonts w:cs="Times New Roman"/>
                <w:sz w:val="16"/>
                <w:szCs w:val="16"/>
              </w:rPr>
              <w:t>四川元启星光数字能源科技有限公司之子公司</w:t>
            </w:r>
          </w:p>
        </w:tc>
        <w:tc>
          <w:tcPr>
            <w:tcW w:w="317" w:type="pct"/>
            <w:vAlign w:val="center"/>
          </w:tcPr>
          <w:p>
            <w:pPr>
              <w:autoSpaceDE w:val="0"/>
              <w:autoSpaceDN w:val="0"/>
              <w:adjustRightInd w:val="0"/>
              <w:jc w:val="both"/>
              <w:rPr>
                <w:rFonts w:cs="Times New Roman"/>
                <w:sz w:val="16"/>
                <w:szCs w:val="16"/>
              </w:rPr>
            </w:pPr>
            <w:r>
              <w:rPr>
                <w:rFonts w:cs="Times New Roman"/>
                <w:sz w:val="16"/>
                <w:szCs w:val="16"/>
              </w:rPr>
              <w:t>销售商品</w:t>
            </w:r>
          </w:p>
        </w:tc>
        <w:tc>
          <w:tcPr>
            <w:tcW w:w="320" w:type="pct"/>
            <w:vAlign w:val="center"/>
          </w:tcPr>
          <w:p>
            <w:pPr>
              <w:autoSpaceDE w:val="0"/>
              <w:autoSpaceDN w:val="0"/>
              <w:adjustRightInd w:val="0"/>
              <w:jc w:val="center"/>
              <w:rPr>
                <w:rFonts w:cs="Times New Roman"/>
                <w:sz w:val="16"/>
                <w:szCs w:val="16"/>
              </w:rPr>
            </w:pPr>
            <w:r>
              <w:rPr>
                <w:rFonts w:cs="Times New Roman"/>
                <w:sz w:val="16"/>
                <w:szCs w:val="16"/>
              </w:rPr>
              <w:t>商品</w:t>
            </w:r>
          </w:p>
        </w:tc>
        <w:tc>
          <w:tcPr>
            <w:tcW w:w="478" w:type="pct"/>
          </w:tcPr>
          <w:p>
            <w:pPr>
              <w:autoSpaceDE w:val="0"/>
              <w:autoSpaceDN w:val="0"/>
              <w:adjustRightInd w:val="0"/>
              <w:jc w:val="both"/>
              <w:rPr>
                <w:rFonts w:cs="Times New Roman"/>
                <w:sz w:val="16"/>
                <w:szCs w:val="16"/>
              </w:rPr>
            </w:pPr>
            <w:r>
              <w:rPr>
                <w:rFonts w:cs="Times New Roman"/>
                <w:sz w:val="16"/>
                <w:szCs w:val="16"/>
              </w:rPr>
              <w:t>参照市场价格协商确定</w:t>
            </w:r>
          </w:p>
        </w:tc>
        <w:tc>
          <w:tcPr>
            <w:tcW w:w="316"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451" w:type="pct"/>
            <w:vAlign w:val="center"/>
          </w:tcPr>
          <w:p>
            <w:pPr>
              <w:autoSpaceDE w:val="0"/>
              <w:autoSpaceDN w:val="0"/>
              <w:adjustRightInd w:val="0"/>
              <w:jc w:val="right"/>
              <w:rPr>
                <w:rFonts w:cs="Times New Roman"/>
                <w:sz w:val="16"/>
                <w:szCs w:val="16"/>
              </w:rPr>
            </w:pPr>
            <w:r>
              <w:rPr>
                <w:rFonts w:cs="Times New Roman"/>
                <w:sz w:val="16"/>
                <w:szCs w:val="16"/>
              </w:rPr>
              <w:t xml:space="preserve"> 281.61 </w:t>
            </w:r>
          </w:p>
        </w:tc>
        <w:tc>
          <w:tcPr>
            <w:tcW w:w="558" w:type="pct"/>
            <w:vAlign w:val="center"/>
          </w:tcPr>
          <w:p>
            <w:pPr>
              <w:autoSpaceDE w:val="0"/>
              <w:autoSpaceDN w:val="0"/>
              <w:adjustRightInd w:val="0"/>
              <w:jc w:val="right"/>
              <w:rPr>
                <w:rFonts w:cs="Times New Roman"/>
                <w:sz w:val="16"/>
                <w:szCs w:val="16"/>
              </w:rPr>
            </w:pPr>
            <w:r>
              <w:rPr>
                <w:rFonts w:cs="Times New Roman"/>
                <w:sz w:val="16"/>
                <w:szCs w:val="16"/>
              </w:rPr>
              <w:t xml:space="preserve"> 0.22 </w:t>
            </w:r>
          </w:p>
        </w:tc>
        <w:tc>
          <w:tcPr>
            <w:tcW w:w="397" w:type="pct"/>
            <w:vAlign w:val="center"/>
          </w:tcPr>
          <w:p>
            <w:pPr>
              <w:autoSpaceDE w:val="0"/>
              <w:autoSpaceDN w:val="0"/>
              <w:adjustRightInd w:val="0"/>
              <w:jc w:val="center"/>
              <w:rPr>
                <w:rFonts w:cs="Times New Roman"/>
                <w:sz w:val="16"/>
                <w:szCs w:val="16"/>
              </w:rPr>
            </w:pPr>
            <w:r>
              <w:rPr>
                <w:rFonts w:cs="Times New Roman"/>
                <w:sz w:val="16"/>
                <w:szCs w:val="16"/>
              </w:rPr>
              <w:t>银行转账</w:t>
            </w:r>
          </w:p>
        </w:tc>
        <w:tc>
          <w:tcPr>
            <w:tcW w:w="243"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565" w:type="pct"/>
            <w:vAlign w:val="center"/>
          </w:tcPr>
          <w:p>
            <w:pPr>
              <w:autoSpaceDE w:val="0"/>
              <w:autoSpaceDN w:val="0"/>
              <w:adjustRightInd w:val="0"/>
              <w:jc w:val="center"/>
              <w:rPr>
                <w:rFonts w:cs="Times New Roman"/>
                <w:sz w:val="16"/>
                <w:szCs w:val="16"/>
              </w:rPr>
            </w:pPr>
            <w:r>
              <w:rPr>
                <w:rFonts w:cs="Times New Roman"/>
                <w:sz w:val="16"/>
                <w:szCs w:val="16"/>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635" w:type="pct"/>
            <w:vAlign w:val="center"/>
          </w:tcPr>
          <w:p>
            <w:pPr>
              <w:autoSpaceDE w:val="0"/>
              <w:autoSpaceDN w:val="0"/>
              <w:adjustRightInd w:val="0"/>
              <w:jc w:val="both"/>
              <w:rPr>
                <w:rFonts w:cs="Times New Roman"/>
                <w:sz w:val="16"/>
                <w:szCs w:val="16"/>
              </w:rPr>
            </w:pPr>
            <w:r>
              <w:rPr>
                <w:rFonts w:cs="Times New Roman"/>
                <w:sz w:val="16"/>
                <w:szCs w:val="16"/>
              </w:rPr>
              <w:t>元启星光（韶关）数字能源技术有限公司</w:t>
            </w:r>
          </w:p>
        </w:tc>
        <w:tc>
          <w:tcPr>
            <w:tcW w:w="720" w:type="pct"/>
            <w:vAlign w:val="center"/>
          </w:tcPr>
          <w:p>
            <w:pPr>
              <w:autoSpaceDE w:val="0"/>
              <w:autoSpaceDN w:val="0"/>
              <w:adjustRightInd w:val="0"/>
              <w:jc w:val="both"/>
              <w:rPr>
                <w:rFonts w:cs="Times New Roman"/>
                <w:sz w:val="16"/>
                <w:szCs w:val="16"/>
              </w:rPr>
            </w:pPr>
            <w:r>
              <w:rPr>
                <w:rFonts w:cs="Times New Roman"/>
                <w:sz w:val="16"/>
                <w:szCs w:val="16"/>
              </w:rPr>
              <w:t>四川元启星光数字能源科技有限公司之子公司</w:t>
            </w:r>
          </w:p>
        </w:tc>
        <w:tc>
          <w:tcPr>
            <w:tcW w:w="317" w:type="pct"/>
            <w:vAlign w:val="center"/>
          </w:tcPr>
          <w:p>
            <w:pPr>
              <w:autoSpaceDE w:val="0"/>
              <w:autoSpaceDN w:val="0"/>
              <w:adjustRightInd w:val="0"/>
              <w:jc w:val="both"/>
              <w:rPr>
                <w:rFonts w:cs="Times New Roman"/>
                <w:sz w:val="16"/>
                <w:szCs w:val="16"/>
              </w:rPr>
            </w:pPr>
            <w:r>
              <w:rPr>
                <w:rFonts w:cs="Times New Roman"/>
                <w:sz w:val="16"/>
                <w:szCs w:val="16"/>
              </w:rPr>
              <w:t>销售商品</w:t>
            </w:r>
          </w:p>
        </w:tc>
        <w:tc>
          <w:tcPr>
            <w:tcW w:w="320" w:type="pct"/>
            <w:vAlign w:val="center"/>
          </w:tcPr>
          <w:p>
            <w:pPr>
              <w:autoSpaceDE w:val="0"/>
              <w:autoSpaceDN w:val="0"/>
              <w:adjustRightInd w:val="0"/>
              <w:jc w:val="center"/>
              <w:rPr>
                <w:rFonts w:cs="Times New Roman"/>
                <w:sz w:val="16"/>
                <w:szCs w:val="16"/>
              </w:rPr>
            </w:pPr>
            <w:r>
              <w:rPr>
                <w:rFonts w:cs="Times New Roman"/>
                <w:sz w:val="16"/>
                <w:szCs w:val="16"/>
              </w:rPr>
              <w:t>商品</w:t>
            </w:r>
          </w:p>
        </w:tc>
        <w:tc>
          <w:tcPr>
            <w:tcW w:w="478" w:type="pct"/>
          </w:tcPr>
          <w:p>
            <w:pPr>
              <w:autoSpaceDE w:val="0"/>
              <w:autoSpaceDN w:val="0"/>
              <w:adjustRightInd w:val="0"/>
              <w:jc w:val="both"/>
              <w:rPr>
                <w:rFonts w:cs="Times New Roman"/>
                <w:sz w:val="16"/>
                <w:szCs w:val="16"/>
              </w:rPr>
            </w:pPr>
            <w:r>
              <w:rPr>
                <w:rFonts w:cs="Times New Roman"/>
                <w:sz w:val="16"/>
                <w:szCs w:val="16"/>
              </w:rPr>
              <w:t>参照市场价格协商确定</w:t>
            </w:r>
          </w:p>
        </w:tc>
        <w:tc>
          <w:tcPr>
            <w:tcW w:w="316"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451" w:type="pct"/>
            <w:vAlign w:val="center"/>
          </w:tcPr>
          <w:p>
            <w:pPr>
              <w:autoSpaceDE w:val="0"/>
              <w:autoSpaceDN w:val="0"/>
              <w:adjustRightInd w:val="0"/>
              <w:jc w:val="right"/>
              <w:rPr>
                <w:rFonts w:cs="Times New Roman"/>
                <w:sz w:val="16"/>
                <w:szCs w:val="16"/>
              </w:rPr>
            </w:pPr>
            <w:r>
              <w:rPr>
                <w:rFonts w:cs="Times New Roman"/>
                <w:sz w:val="16"/>
                <w:szCs w:val="16"/>
              </w:rPr>
              <w:t xml:space="preserve"> 140.81 </w:t>
            </w:r>
          </w:p>
        </w:tc>
        <w:tc>
          <w:tcPr>
            <w:tcW w:w="558" w:type="pct"/>
            <w:vAlign w:val="center"/>
          </w:tcPr>
          <w:p>
            <w:pPr>
              <w:autoSpaceDE w:val="0"/>
              <w:autoSpaceDN w:val="0"/>
              <w:adjustRightInd w:val="0"/>
              <w:jc w:val="right"/>
              <w:rPr>
                <w:rFonts w:cs="Times New Roman"/>
                <w:sz w:val="16"/>
                <w:szCs w:val="16"/>
              </w:rPr>
            </w:pPr>
            <w:r>
              <w:rPr>
                <w:rFonts w:cs="Times New Roman"/>
                <w:sz w:val="16"/>
                <w:szCs w:val="16"/>
              </w:rPr>
              <w:t xml:space="preserve"> 0.11 </w:t>
            </w:r>
          </w:p>
        </w:tc>
        <w:tc>
          <w:tcPr>
            <w:tcW w:w="397" w:type="pct"/>
            <w:vAlign w:val="center"/>
          </w:tcPr>
          <w:p>
            <w:pPr>
              <w:autoSpaceDE w:val="0"/>
              <w:autoSpaceDN w:val="0"/>
              <w:adjustRightInd w:val="0"/>
              <w:jc w:val="center"/>
              <w:rPr>
                <w:rFonts w:cs="Times New Roman"/>
                <w:sz w:val="16"/>
                <w:szCs w:val="16"/>
              </w:rPr>
            </w:pPr>
            <w:r>
              <w:rPr>
                <w:rFonts w:cs="Times New Roman"/>
                <w:sz w:val="16"/>
                <w:szCs w:val="16"/>
              </w:rPr>
              <w:t>银行转账</w:t>
            </w:r>
          </w:p>
        </w:tc>
        <w:tc>
          <w:tcPr>
            <w:tcW w:w="243"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565" w:type="pct"/>
            <w:vAlign w:val="center"/>
          </w:tcPr>
          <w:p>
            <w:pPr>
              <w:autoSpaceDE w:val="0"/>
              <w:autoSpaceDN w:val="0"/>
              <w:adjustRightInd w:val="0"/>
              <w:jc w:val="center"/>
              <w:rPr>
                <w:rFonts w:cs="Times New Roman"/>
                <w:sz w:val="16"/>
                <w:szCs w:val="16"/>
              </w:rPr>
            </w:pPr>
            <w:r>
              <w:rPr>
                <w:rFonts w:cs="Times New Roman"/>
                <w:sz w:val="16"/>
                <w:szCs w:val="16"/>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991" w:type="pct"/>
            <w:gridSpan w:val="4"/>
            <w:vAlign w:val="center"/>
          </w:tcPr>
          <w:p>
            <w:pPr>
              <w:autoSpaceDE w:val="0"/>
              <w:autoSpaceDN w:val="0"/>
              <w:adjustRightInd w:val="0"/>
              <w:jc w:val="center"/>
              <w:rPr>
                <w:rFonts w:cs="Times New Roman"/>
                <w:sz w:val="16"/>
                <w:szCs w:val="16"/>
              </w:rPr>
            </w:pPr>
            <w:r>
              <w:rPr>
                <w:rFonts w:cs="Times New Roman"/>
                <w:sz w:val="16"/>
                <w:szCs w:val="16"/>
              </w:rPr>
              <w:t>合计</w:t>
            </w:r>
          </w:p>
        </w:tc>
        <w:tc>
          <w:tcPr>
            <w:tcW w:w="478" w:type="pct"/>
            <w:vAlign w:val="center"/>
          </w:tcPr>
          <w:p>
            <w:pPr>
              <w:autoSpaceDE w:val="0"/>
              <w:autoSpaceDN w:val="0"/>
              <w:adjustRightInd w:val="0"/>
              <w:jc w:val="center"/>
              <w:rPr>
                <w:rFonts w:cs="Times New Roman"/>
                <w:sz w:val="16"/>
                <w:szCs w:val="16"/>
              </w:rPr>
            </w:pPr>
            <w:r>
              <w:rPr>
                <w:rFonts w:cs="Times New Roman"/>
                <w:sz w:val="16"/>
                <w:szCs w:val="16"/>
              </w:rPr>
              <w:t>/</w:t>
            </w:r>
          </w:p>
        </w:tc>
        <w:tc>
          <w:tcPr>
            <w:tcW w:w="316" w:type="pct"/>
            <w:vAlign w:val="center"/>
          </w:tcPr>
          <w:p>
            <w:pPr>
              <w:autoSpaceDE w:val="0"/>
              <w:autoSpaceDN w:val="0"/>
              <w:adjustRightInd w:val="0"/>
              <w:jc w:val="center"/>
              <w:rPr>
                <w:rFonts w:cs="Times New Roman"/>
                <w:sz w:val="16"/>
                <w:szCs w:val="16"/>
              </w:rPr>
            </w:pPr>
            <w:r>
              <w:rPr>
                <w:rFonts w:cs="Times New Roman"/>
                <w:sz w:val="16"/>
                <w:szCs w:val="16"/>
              </w:rPr>
              <w:t>/</w:t>
            </w:r>
          </w:p>
        </w:tc>
        <w:tc>
          <w:tcPr>
            <w:tcW w:w="451" w:type="pct"/>
          </w:tcPr>
          <w:p>
            <w:pPr>
              <w:autoSpaceDE w:val="0"/>
              <w:autoSpaceDN w:val="0"/>
              <w:adjustRightInd w:val="0"/>
              <w:jc w:val="right"/>
              <w:rPr>
                <w:rFonts w:cs="Times New Roman"/>
                <w:sz w:val="16"/>
                <w:szCs w:val="16"/>
              </w:rPr>
            </w:pPr>
            <w:r>
              <w:rPr>
                <w:rFonts w:cs="Times New Roman"/>
                <w:sz w:val="16"/>
                <w:szCs w:val="16"/>
              </w:rPr>
              <w:t xml:space="preserve">16,685.68  </w:t>
            </w:r>
          </w:p>
        </w:tc>
        <w:tc>
          <w:tcPr>
            <w:tcW w:w="558" w:type="pct"/>
          </w:tcPr>
          <w:p>
            <w:pPr>
              <w:autoSpaceDE w:val="0"/>
              <w:autoSpaceDN w:val="0"/>
              <w:adjustRightInd w:val="0"/>
              <w:jc w:val="right"/>
              <w:rPr>
                <w:rFonts w:cs="Times New Roman"/>
                <w:sz w:val="16"/>
                <w:szCs w:val="16"/>
              </w:rPr>
            </w:pPr>
            <w:r>
              <w:rPr>
                <w:rFonts w:cs="Times New Roman"/>
                <w:sz w:val="16"/>
                <w:szCs w:val="16"/>
              </w:rPr>
              <w:t xml:space="preserve">12.92  </w:t>
            </w:r>
          </w:p>
        </w:tc>
        <w:tc>
          <w:tcPr>
            <w:tcW w:w="397" w:type="pct"/>
          </w:tcPr>
          <w:p>
            <w:pPr>
              <w:autoSpaceDE w:val="0"/>
              <w:autoSpaceDN w:val="0"/>
              <w:adjustRightInd w:val="0"/>
              <w:jc w:val="center"/>
              <w:rPr>
                <w:rFonts w:cs="Times New Roman"/>
                <w:sz w:val="16"/>
                <w:szCs w:val="16"/>
              </w:rPr>
            </w:pPr>
            <w:r>
              <w:rPr>
                <w:rFonts w:cs="Times New Roman"/>
                <w:sz w:val="16"/>
                <w:szCs w:val="16"/>
              </w:rPr>
              <w:t>/</w:t>
            </w:r>
          </w:p>
        </w:tc>
        <w:tc>
          <w:tcPr>
            <w:tcW w:w="243" w:type="pct"/>
          </w:tcPr>
          <w:p>
            <w:pPr>
              <w:autoSpaceDE w:val="0"/>
              <w:autoSpaceDN w:val="0"/>
              <w:adjustRightInd w:val="0"/>
              <w:jc w:val="center"/>
              <w:rPr>
                <w:rFonts w:cs="Times New Roman"/>
                <w:sz w:val="16"/>
                <w:szCs w:val="16"/>
              </w:rPr>
            </w:pPr>
            <w:r>
              <w:rPr>
                <w:rFonts w:cs="Times New Roman"/>
                <w:sz w:val="16"/>
                <w:szCs w:val="16"/>
              </w:rPr>
              <w:t>/</w:t>
            </w:r>
          </w:p>
        </w:tc>
        <w:tc>
          <w:tcPr>
            <w:tcW w:w="565" w:type="pct"/>
          </w:tcPr>
          <w:p>
            <w:pPr>
              <w:autoSpaceDE w:val="0"/>
              <w:autoSpaceDN w:val="0"/>
              <w:adjustRightInd w:val="0"/>
              <w:jc w:val="center"/>
              <w:rPr>
                <w:rFonts w:cs="Times New Roman"/>
                <w:sz w:val="16"/>
                <w:szCs w:val="16"/>
              </w:rPr>
            </w:pPr>
            <w:r>
              <w:rPr>
                <w:rFonts w:cs="Times New Roman"/>
                <w:sz w:val="16"/>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635" w:type="pct"/>
          </w:tcPr>
          <w:p>
            <w:pPr>
              <w:autoSpaceDE w:val="0"/>
              <w:autoSpaceDN w:val="0"/>
              <w:adjustRightInd w:val="0"/>
              <w:rPr>
                <w:rFonts w:cs="Times New Roman"/>
                <w:sz w:val="16"/>
                <w:szCs w:val="16"/>
              </w:rPr>
            </w:pPr>
            <w:r>
              <w:rPr>
                <w:rFonts w:cs="Times New Roman"/>
                <w:sz w:val="16"/>
                <w:szCs w:val="16"/>
              </w:rPr>
              <w:t>元启星光数字能源科技（桂阳）有限公司</w:t>
            </w:r>
          </w:p>
        </w:tc>
        <w:tc>
          <w:tcPr>
            <w:tcW w:w="720" w:type="pct"/>
          </w:tcPr>
          <w:p>
            <w:pPr>
              <w:autoSpaceDE w:val="0"/>
              <w:autoSpaceDN w:val="0"/>
              <w:adjustRightInd w:val="0"/>
              <w:rPr>
                <w:rFonts w:cs="Times New Roman"/>
                <w:sz w:val="16"/>
                <w:szCs w:val="16"/>
              </w:rPr>
            </w:pPr>
            <w:r>
              <w:rPr>
                <w:rFonts w:cs="Times New Roman"/>
                <w:sz w:val="16"/>
                <w:szCs w:val="16"/>
              </w:rPr>
              <w:t>四川元启星光数字能源科技有限公司之子公司</w:t>
            </w:r>
          </w:p>
        </w:tc>
        <w:tc>
          <w:tcPr>
            <w:tcW w:w="317" w:type="pct"/>
            <w:vAlign w:val="center"/>
          </w:tcPr>
          <w:p>
            <w:pPr>
              <w:autoSpaceDE w:val="0"/>
              <w:autoSpaceDN w:val="0"/>
              <w:adjustRightInd w:val="0"/>
              <w:jc w:val="both"/>
              <w:rPr>
                <w:rFonts w:cs="Times New Roman"/>
                <w:sz w:val="16"/>
                <w:szCs w:val="16"/>
              </w:rPr>
            </w:pPr>
            <w:r>
              <w:rPr>
                <w:rFonts w:cs="Times New Roman"/>
                <w:sz w:val="16"/>
                <w:szCs w:val="16"/>
              </w:rPr>
              <w:t>销售其他</w:t>
            </w:r>
          </w:p>
        </w:tc>
        <w:tc>
          <w:tcPr>
            <w:tcW w:w="320" w:type="pct"/>
            <w:vAlign w:val="center"/>
          </w:tcPr>
          <w:p>
            <w:pPr>
              <w:autoSpaceDE w:val="0"/>
              <w:autoSpaceDN w:val="0"/>
              <w:adjustRightInd w:val="0"/>
              <w:jc w:val="both"/>
              <w:rPr>
                <w:rFonts w:cs="Times New Roman"/>
                <w:sz w:val="16"/>
                <w:szCs w:val="16"/>
              </w:rPr>
            </w:pPr>
            <w:r>
              <w:rPr>
                <w:rFonts w:cs="Times New Roman"/>
                <w:sz w:val="16"/>
                <w:szCs w:val="16"/>
              </w:rPr>
              <w:t>其他</w:t>
            </w:r>
          </w:p>
        </w:tc>
        <w:tc>
          <w:tcPr>
            <w:tcW w:w="478" w:type="pct"/>
          </w:tcPr>
          <w:p>
            <w:pPr>
              <w:autoSpaceDE w:val="0"/>
              <w:autoSpaceDN w:val="0"/>
              <w:adjustRightInd w:val="0"/>
              <w:jc w:val="both"/>
              <w:rPr>
                <w:rFonts w:cs="Times New Roman"/>
                <w:sz w:val="16"/>
                <w:szCs w:val="16"/>
              </w:rPr>
            </w:pPr>
            <w:r>
              <w:rPr>
                <w:rFonts w:cs="Times New Roman"/>
                <w:sz w:val="16"/>
                <w:szCs w:val="16"/>
              </w:rPr>
              <w:t>参照市场价格协商确定</w:t>
            </w:r>
          </w:p>
        </w:tc>
        <w:tc>
          <w:tcPr>
            <w:tcW w:w="316"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451" w:type="pct"/>
            <w:vAlign w:val="center"/>
          </w:tcPr>
          <w:p>
            <w:pPr>
              <w:autoSpaceDE w:val="0"/>
              <w:autoSpaceDN w:val="0"/>
              <w:adjustRightInd w:val="0"/>
              <w:jc w:val="right"/>
              <w:rPr>
                <w:rFonts w:cs="Times New Roman"/>
                <w:sz w:val="16"/>
                <w:szCs w:val="16"/>
              </w:rPr>
            </w:pPr>
            <w:r>
              <w:rPr>
                <w:rFonts w:cs="Times New Roman"/>
                <w:sz w:val="16"/>
                <w:szCs w:val="16"/>
              </w:rPr>
              <w:t>1,205.31</w:t>
            </w:r>
          </w:p>
        </w:tc>
        <w:tc>
          <w:tcPr>
            <w:tcW w:w="558" w:type="pct"/>
            <w:vAlign w:val="center"/>
          </w:tcPr>
          <w:p>
            <w:pPr>
              <w:autoSpaceDE w:val="0"/>
              <w:autoSpaceDN w:val="0"/>
              <w:adjustRightInd w:val="0"/>
              <w:jc w:val="right"/>
              <w:rPr>
                <w:rFonts w:cs="Times New Roman"/>
                <w:sz w:val="16"/>
                <w:szCs w:val="16"/>
              </w:rPr>
            </w:pPr>
            <w:r>
              <w:rPr>
                <w:rFonts w:cs="Times New Roman"/>
                <w:sz w:val="16"/>
                <w:szCs w:val="16"/>
              </w:rPr>
              <w:t xml:space="preserve"> 13.95 </w:t>
            </w:r>
          </w:p>
        </w:tc>
        <w:tc>
          <w:tcPr>
            <w:tcW w:w="397" w:type="pct"/>
            <w:vAlign w:val="center"/>
          </w:tcPr>
          <w:p>
            <w:pPr>
              <w:autoSpaceDE w:val="0"/>
              <w:autoSpaceDN w:val="0"/>
              <w:adjustRightInd w:val="0"/>
              <w:jc w:val="center"/>
              <w:rPr>
                <w:rFonts w:cs="Times New Roman"/>
                <w:sz w:val="16"/>
                <w:szCs w:val="16"/>
              </w:rPr>
            </w:pPr>
            <w:r>
              <w:rPr>
                <w:rFonts w:cs="Times New Roman"/>
                <w:sz w:val="16"/>
                <w:szCs w:val="16"/>
              </w:rPr>
              <w:t>银行转账</w:t>
            </w:r>
          </w:p>
        </w:tc>
        <w:tc>
          <w:tcPr>
            <w:tcW w:w="243" w:type="pct"/>
            <w:vAlign w:val="center"/>
          </w:tcPr>
          <w:p>
            <w:pPr>
              <w:autoSpaceDE w:val="0"/>
              <w:autoSpaceDN w:val="0"/>
              <w:adjustRightInd w:val="0"/>
              <w:jc w:val="center"/>
              <w:rPr>
                <w:rFonts w:cs="Times New Roman"/>
                <w:sz w:val="16"/>
                <w:szCs w:val="16"/>
              </w:rPr>
            </w:pPr>
            <w:r>
              <w:rPr>
                <w:rFonts w:cs="Times New Roman"/>
                <w:sz w:val="16"/>
                <w:szCs w:val="16"/>
              </w:rPr>
              <w:t>不适用</w:t>
            </w:r>
          </w:p>
        </w:tc>
        <w:tc>
          <w:tcPr>
            <w:tcW w:w="565" w:type="pct"/>
            <w:vAlign w:val="center"/>
          </w:tcPr>
          <w:p>
            <w:pPr>
              <w:autoSpaceDE w:val="0"/>
              <w:autoSpaceDN w:val="0"/>
              <w:adjustRightInd w:val="0"/>
              <w:jc w:val="center"/>
              <w:rPr>
                <w:rFonts w:cs="Times New Roman"/>
                <w:sz w:val="16"/>
                <w:szCs w:val="16"/>
              </w:rPr>
            </w:pPr>
            <w:r>
              <w:rPr>
                <w:rFonts w:cs="Times New Roman"/>
                <w:sz w:val="16"/>
                <w:szCs w:val="16"/>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991" w:type="pct"/>
            <w:gridSpan w:val="4"/>
            <w:vAlign w:val="center"/>
          </w:tcPr>
          <w:p>
            <w:pPr>
              <w:autoSpaceDE w:val="0"/>
              <w:autoSpaceDN w:val="0"/>
              <w:adjustRightInd w:val="0"/>
              <w:jc w:val="center"/>
              <w:rPr>
                <w:rFonts w:cs="Times New Roman"/>
                <w:sz w:val="16"/>
                <w:szCs w:val="16"/>
              </w:rPr>
            </w:pPr>
            <w:r>
              <w:rPr>
                <w:rFonts w:cs="Times New Roman"/>
                <w:sz w:val="16"/>
                <w:szCs w:val="16"/>
              </w:rPr>
              <w:t>合计</w:t>
            </w:r>
          </w:p>
        </w:tc>
        <w:tc>
          <w:tcPr>
            <w:tcW w:w="478" w:type="pct"/>
            <w:vAlign w:val="center"/>
          </w:tcPr>
          <w:p>
            <w:pPr>
              <w:autoSpaceDE w:val="0"/>
              <w:autoSpaceDN w:val="0"/>
              <w:adjustRightInd w:val="0"/>
              <w:jc w:val="center"/>
              <w:rPr>
                <w:rFonts w:cs="Times New Roman"/>
                <w:sz w:val="16"/>
                <w:szCs w:val="16"/>
              </w:rPr>
            </w:pPr>
            <w:r>
              <w:rPr>
                <w:rFonts w:cs="Times New Roman"/>
                <w:sz w:val="16"/>
                <w:szCs w:val="16"/>
              </w:rPr>
              <w:t>/</w:t>
            </w:r>
          </w:p>
        </w:tc>
        <w:tc>
          <w:tcPr>
            <w:tcW w:w="316" w:type="pct"/>
            <w:vAlign w:val="center"/>
          </w:tcPr>
          <w:p>
            <w:pPr>
              <w:autoSpaceDE w:val="0"/>
              <w:autoSpaceDN w:val="0"/>
              <w:adjustRightInd w:val="0"/>
              <w:jc w:val="center"/>
              <w:rPr>
                <w:rFonts w:cs="Times New Roman"/>
                <w:sz w:val="16"/>
                <w:szCs w:val="16"/>
              </w:rPr>
            </w:pPr>
            <w:r>
              <w:rPr>
                <w:rFonts w:cs="Times New Roman"/>
                <w:sz w:val="16"/>
                <w:szCs w:val="16"/>
              </w:rPr>
              <w:t>/</w:t>
            </w:r>
          </w:p>
        </w:tc>
        <w:tc>
          <w:tcPr>
            <w:tcW w:w="451" w:type="pct"/>
            <w:vAlign w:val="center"/>
          </w:tcPr>
          <w:p>
            <w:pPr>
              <w:autoSpaceDE w:val="0"/>
              <w:autoSpaceDN w:val="0"/>
              <w:adjustRightInd w:val="0"/>
              <w:jc w:val="right"/>
              <w:rPr>
                <w:rFonts w:cs="Times New Roman"/>
                <w:sz w:val="16"/>
                <w:szCs w:val="16"/>
              </w:rPr>
            </w:pPr>
            <w:r>
              <w:rPr>
                <w:rFonts w:cs="Times New Roman"/>
                <w:sz w:val="16"/>
                <w:szCs w:val="16"/>
              </w:rPr>
              <w:t xml:space="preserve">1,205.31 </w:t>
            </w:r>
          </w:p>
        </w:tc>
        <w:tc>
          <w:tcPr>
            <w:tcW w:w="558" w:type="pct"/>
            <w:vAlign w:val="center"/>
          </w:tcPr>
          <w:p>
            <w:pPr>
              <w:autoSpaceDE w:val="0"/>
              <w:autoSpaceDN w:val="0"/>
              <w:adjustRightInd w:val="0"/>
              <w:jc w:val="right"/>
              <w:rPr>
                <w:rFonts w:cs="Times New Roman"/>
                <w:sz w:val="16"/>
                <w:szCs w:val="16"/>
              </w:rPr>
            </w:pPr>
            <w:r>
              <w:rPr>
                <w:rFonts w:cs="Times New Roman"/>
                <w:sz w:val="16"/>
                <w:szCs w:val="16"/>
              </w:rPr>
              <w:t xml:space="preserve"> 13.95 </w:t>
            </w:r>
          </w:p>
        </w:tc>
        <w:tc>
          <w:tcPr>
            <w:tcW w:w="397" w:type="pct"/>
            <w:vAlign w:val="center"/>
          </w:tcPr>
          <w:p>
            <w:pPr>
              <w:autoSpaceDE w:val="0"/>
              <w:autoSpaceDN w:val="0"/>
              <w:adjustRightInd w:val="0"/>
              <w:jc w:val="center"/>
              <w:rPr>
                <w:rFonts w:cs="Times New Roman"/>
                <w:sz w:val="16"/>
                <w:szCs w:val="16"/>
              </w:rPr>
            </w:pPr>
            <w:r>
              <w:rPr>
                <w:rFonts w:cs="Times New Roman"/>
                <w:sz w:val="16"/>
                <w:szCs w:val="16"/>
              </w:rPr>
              <w:t>/</w:t>
            </w:r>
          </w:p>
        </w:tc>
        <w:tc>
          <w:tcPr>
            <w:tcW w:w="243" w:type="pct"/>
            <w:vAlign w:val="center"/>
          </w:tcPr>
          <w:p>
            <w:pPr>
              <w:autoSpaceDE w:val="0"/>
              <w:autoSpaceDN w:val="0"/>
              <w:adjustRightInd w:val="0"/>
              <w:jc w:val="center"/>
              <w:rPr>
                <w:rFonts w:cs="Times New Roman"/>
                <w:sz w:val="16"/>
                <w:szCs w:val="16"/>
              </w:rPr>
            </w:pPr>
            <w:r>
              <w:rPr>
                <w:rFonts w:cs="Times New Roman"/>
                <w:sz w:val="16"/>
                <w:szCs w:val="16"/>
              </w:rPr>
              <w:t>/</w:t>
            </w:r>
          </w:p>
        </w:tc>
        <w:tc>
          <w:tcPr>
            <w:tcW w:w="565" w:type="pct"/>
            <w:vAlign w:val="center"/>
          </w:tcPr>
          <w:p>
            <w:pPr>
              <w:autoSpaceDE w:val="0"/>
              <w:autoSpaceDN w:val="0"/>
              <w:adjustRightInd w:val="0"/>
              <w:jc w:val="center"/>
              <w:rPr>
                <w:rFonts w:cs="Times New Roman"/>
                <w:sz w:val="16"/>
                <w:szCs w:val="16"/>
              </w:rPr>
            </w:pPr>
            <w:r>
              <w:rPr>
                <w:rFonts w:cs="Times New Roman"/>
                <w:sz w:val="16"/>
                <w:szCs w:val="1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2469" w:type="pct"/>
            <w:gridSpan w:val="5"/>
            <w:vAlign w:val="center"/>
          </w:tcPr>
          <w:p>
            <w:pPr>
              <w:autoSpaceDE w:val="0"/>
              <w:autoSpaceDN w:val="0"/>
              <w:adjustRightInd w:val="0"/>
              <w:rPr>
                <w:rFonts w:cs="Times New Roman"/>
                <w:sz w:val="16"/>
                <w:szCs w:val="16"/>
              </w:rPr>
            </w:pPr>
            <w:r>
              <w:rPr>
                <w:rFonts w:cs="Times New Roman"/>
                <w:sz w:val="16"/>
                <w:szCs w:val="16"/>
              </w:rPr>
              <w:t>大额销货退回的详细情况</w:t>
            </w:r>
          </w:p>
        </w:tc>
        <w:tc>
          <w:tcPr>
            <w:tcW w:w="2531" w:type="pct"/>
            <w:gridSpan w:val="6"/>
            <w:vAlign w:val="center"/>
          </w:tcPr>
          <w:p>
            <w:pPr>
              <w:autoSpaceDE w:val="0"/>
              <w:autoSpaceDN w:val="0"/>
              <w:adjustRightInd w:val="0"/>
              <w:rPr>
                <w:rFonts w:cs="Times New Roman"/>
                <w:sz w:val="16"/>
                <w:szCs w:val="16"/>
              </w:rPr>
            </w:pPr>
            <w:r>
              <w:rPr>
                <w:rFonts w:cs="Times New Roman"/>
                <w:sz w:val="16"/>
                <w:szCs w:val="16"/>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2469" w:type="pct"/>
            <w:gridSpan w:val="5"/>
            <w:vAlign w:val="center"/>
          </w:tcPr>
          <w:p>
            <w:pPr>
              <w:autoSpaceDE w:val="0"/>
              <w:autoSpaceDN w:val="0"/>
              <w:adjustRightInd w:val="0"/>
              <w:rPr>
                <w:rFonts w:cs="Times New Roman"/>
                <w:sz w:val="16"/>
                <w:szCs w:val="16"/>
              </w:rPr>
            </w:pPr>
            <w:r>
              <w:rPr>
                <w:rFonts w:cs="Times New Roman"/>
                <w:sz w:val="16"/>
                <w:szCs w:val="16"/>
              </w:rPr>
              <w:t>关联交易的说明</w:t>
            </w:r>
          </w:p>
        </w:tc>
        <w:tc>
          <w:tcPr>
            <w:tcW w:w="2531" w:type="pct"/>
            <w:gridSpan w:val="6"/>
            <w:vAlign w:val="center"/>
          </w:tcPr>
          <w:p>
            <w:pPr>
              <w:autoSpaceDE w:val="0"/>
              <w:autoSpaceDN w:val="0"/>
              <w:adjustRightInd w:val="0"/>
              <w:rPr>
                <w:rFonts w:cs="Times New Roman"/>
                <w:sz w:val="16"/>
                <w:szCs w:val="16"/>
              </w:rPr>
            </w:pPr>
            <w:r>
              <w:rPr>
                <w:rFonts w:cs="Times New Roman"/>
                <w:sz w:val="16"/>
                <w:szCs w:val="16"/>
              </w:rPr>
              <w:t>四川元启星光数字能源科技有限公司实际控制人之配偶，持有望变电气子公司望来电14.50%的股权。2026年上半年，元启星光及其子公司与望变电气及其子公司发生交易，该交易额产生的收入和利润对望变电气有</w:t>
            </w:r>
            <w:r>
              <w:rPr>
                <w:rFonts w:hint="eastAsia" w:cs="Times New Roman"/>
                <w:sz w:val="16"/>
                <w:szCs w:val="16"/>
              </w:rPr>
              <w:t>一定</w:t>
            </w:r>
            <w:r>
              <w:rPr>
                <w:rFonts w:cs="Times New Roman"/>
                <w:sz w:val="16"/>
                <w:szCs w:val="16"/>
              </w:rPr>
              <w:t>影响。</w:t>
            </w:r>
          </w:p>
        </w:tc>
      </w:tr>
    </w:tbl>
    <w:p>
      <w:pPr>
        <w:pStyle w:val="4"/>
        <w:numPr>
          <w:ilvl w:val="2"/>
          <w:numId w:val="4"/>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资产收购或股权收购、出售发生的关联交易</w:t>
      </w:r>
    </w:p>
    <w:p>
      <w:pPr>
        <w:pStyle w:val="5"/>
        <w:numPr>
          <w:ilvl w:val="0"/>
          <w:numId w:val="19"/>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已在临时公告披露且后续实施无进展或变化的事项</w:t>
      </w:r>
    </w:p>
    <w:sdt>
      <w:sdtPr>
        <w:rPr>
          <w:color w:val="000000" w:themeColor="text1"/>
          <w14:textFill>
            <w14:solidFill>
              <w14:schemeClr w14:val="tx1"/>
            </w14:solidFill>
          </w14:textFill>
        </w:rPr>
        <w:alias w:val="是否适用：已在临时公告披露且后续实施无进展或变化的事项_资产或股权收购、出售发生的关联交易[双击切换]"/>
        <w:tag w:val="_GBC_208b69178a984ade8f4f4dd7a3362ae3"/>
        <w:id w:val="-1732389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19"/>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已在临时公告披露，但有后续实施的进展或变化的事项</w:t>
      </w:r>
    </w:p>
    <w:sdt>
      <w:sdtPr>
        <w:rPr>
          <w:color w:val="000000" w:themeColor="text1"/>
          <w14:textFill>
            <w14:solidFill>
              <w14:schemeClr w14:val="tx1"/>
            </w14:solidFill>
          </w14:textFill>
        </w:rPr>
        <w:alias w:val="是否适用：已在临时公告披露，但有后续实施的进展或变化的事项_资产或股权收购、出售发生的关联交易[双击切换]"/>
        <w:tag w:val="_GBC_b72de17637e74020b42aa0636b393f25"/>
        <w:id w:val="-1964339262"/>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19"/>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临时公告未披露的事项</w:t>
      </w:r>
    </w:p>
    <w:sdt>
      <w:sdtPr>
        <w:rPr>
          <w:color w:val="000000" w:themeColor="text1"/>
          <w14:textFill>
            <w14:solidFill>
              <w14:schemeClr w14:val="tx1"/>
            </w14:solidFill>
          </w14:textFill>
        </w:rPr>
        <w:alias w:val="是否适用：资产收购、出售发生的关联交易_临时公告未披露的事项[双击切换]"/>
        <w:tag w:val="_GBC_d3f1f3f5ce564209aee49197432643af"/>
        <w:id w:val="160075531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19"/>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涉及业绩约定的，应当披露报告期内的业绩实现情况</w:t>
      </w:r>
    </w:p>
    <w:sdt>
      <w:sdtPr>
        <w:rPr>
          <w:color w:val="000000" w:themeColor="text1"/>
          <w14:textFill>
            <w14:solidFill>
              <w14:schemeClr w14:val="tx1"/>
            </w14:solidFill>
          </w14:textFill>
        </w:rPr>
        <w:alias w:val="是否适用：涉及业绩约定的，应当披露报告期内的业绩实现情况[双击切换]"/>
        <w:tag w:val="_GBC_0640a8fc3526461ca1eed7810b087c23"/>
        <w:id w:val="2095662710"/>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2"/>
          <w:numId w:val="4"/>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共同对外投资的重大关联交易</w:t>
      </w:r>
    </w:p>
    <w:p>
      <w:pPr>
        <w:pStyle w:val="5"/>
        <w:numPr>
          <w:ilvl w:val="0"/>
          <w:numId w:val="20"/>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已在临时公告披露且后续实施无进展或变化的事项</w:t>
      </w:r>
    </w:p>
    <w:sdt>
      <w:sdtPr>
        <w:rPr>
          <w:color w:val="000000" w:themeColor="text1"/>
          <w14:textFill>
            <w14:solidFill>
              <w14:schemeClr w14:val="tx1"/>
            </w14:solidFill>
          </w14:textFill>
        </w:rPr>
        <w:alias w:val="是否适用：已在临时公告披露且后续实施无进展或变化的事项_共同对外投资的重大关联交易[双击切换]"/>
        <w:tag w:val="_GBC_dda9192a67f44f8698afb5d0b3e3c767"/>
        <w:id w:val="186424874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20"/>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已在临时公告披露，但有后续实施的进展或变化的事项</w:t>
      </w:r>
    </w:p>
    <w:sdt>
      <w:sdtPr>
        <w:rPr>
          <w:color w:val="000000" w:themeColor="text1"/>
          <w14:textFill>
            <w14:solidFill>
              <w14:schemeClr w14:val="tx1"/>
            </w14:solidFill>
          </w14:textFill>
        </w:rPr>
        <w:alias w:val="是否适用：已在临时公告披露，但有后续实施的进展或变化的事项_共同对外投资的重大关联交易[双击切换]"/>
        <w:tag w:val="_GBC_f5354c189ecd4cad9ef1e263c325c0db"/>
        <w:id w:val="1763183310"/>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20"/>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临时公告未披露的事项</w:t>
      </w:r>
    </w:p>
    <w:sdt>
      <w:sdtPr>
        <w:rPr>
          <w:rFonts w:hint="eastAsia"/>
          <w:color w:val="000000" w:themeColor="text1"/>
          <w14:textFill>
            <w14:solidFill>
              <w14:schemeClr w14:val="tx1"/>
            </w14:solidFill>
          </w14:textFill>
        </w:rPr>
        <w:alias w:val="是否适用：共同对外投资的重大关联交易_临时公告未披露的事项[双击切换]"/>
        <w:tag w:val="_GBC_3ac28148c3754202ba544078ad581a24"/>
        <w:id w:val="-858347941"/>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2"/>
          <w:numId w:val="4"/>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关联债权债务往来</w:t>
      </w:r>
    </w:p>
    <w:p>
      <w:pPr>
        <w:pStyle w:val="5"/>
        <w:numPr>
          <w:ilvl w:val="0"/>
          <w:numId w:val="21"/>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已在临时公告披露且后续实施无进展或变化的事项</w:t>
      </w:r>
    </w:p>
    <w:sdt>
      <w:sdtPr>
        <w:rPr>
          <w:color w:val="000000" w:themeColor="text1"/>
          <w14:textFill>
            <w14:solidFill>
              <w14:schemeClr w14:val="tx1"/>
            </w14:solidFill>
          </w14:textFill>
        </w:rPr>
        <w:alias w:val="是否适用：已在临时公告披露且后续实施无进展或变化的事项_关联债权债务往来[双击切换]"/>
        <w:tag w:val="_GBC_480ccdae6247445ca78cf6327eb0e24f"/>
        <w:id w:val="1174080821"/>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21"/>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已在临时公告披露，但有后续实施的进展或变化的事项</w:t>
      </w:r>
    </w:p>
    <w:sdt>
      <w:sdtPr>
        <w:rPr>
          <w:color w:val="000000" w:themeColor="text1"/>
          <w14:textFill>
            <w14:solidFill>
              <w14:schemeClr w14:val="tx1"/>
            </w14:solidFill>
          </w14:textFill>
        </w:rPr>
        <w:alias w:val="是否适用：已在临时公告披露，但有后续实施的进展或变化的事项_关联债权债务往来[双击切换]"/>
        <w:tag w:val="_GBC_06dcfbbd6aed49aa878ab07a09b2270b"/>
        <w:id w:val="-349723294"/>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21"/>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临时公告未披露的事项</w:t>
      </w:r>
    </w:p>
    <w:sdt>
      <w:sdtPr>
        <w:rPr>
          <w:color w:val="000000" w:themeColor="text1"/>
          <w14:textFill>
            <w14:solidFill>
              <w14:schemeClr w14:val="tx1"/>
            </w14:solidFill>
          </w14:textFill>
        </w:rPr>
        <w:alias w:val="是否适用：关联债权债务往来_临时公告未披露的事项[双击切换]"/>
        <w:tag w:val="_GBC_0f4a6802ca704b49a413888379a91f0b"/>
        <w:id w:val="30473919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2"/>
          <w:numId w:val="4"/>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公司与存在关联关系的财务公司、公司控股财务公司与关联方之间的金融业务</w:t>
      </w:r>
    </w:p>
    <w:sdt>
      <w:sdtPr>
        <w:rPr>
          <w:color w:val="000000" w:themeColor="text1"/>
          <w14:textFill>
            <w14:solidFill>
              <w14:schemeClr w14:val="tx1"/>
            </w14:solidFill>
          </w14:textFill>
        </w:rPr>
        <w:alias w:val="是否适用：公司与存在关联关系的财务公司、公司控股财务公司与关联方之间的金融业务 [双击切换]"/>
        <w:tag w:val="_GBC_918ef76103ad41b4a79075b59fdb8bf4"/>
        <w:id w:val="-1931799767"/>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2"/>
          <w:numId w:val="4"/>
        </w:numPr>
        <w:spacing w:line="360" w:lineRule="exact"/>
        <w:rPr>
          <w:rFonts w:hint="eastAsia" w:ascii="宋体" w:hAnsi="宋体"/>
          <w:color w:val="000000" w:themeColor="text1"/>
          <w14:textFill>
            <w14:solidFill>
              <w14:schemeClr w14:val="tx1"/>
            </w14:solidFill>
          </w14:textFill>
        </w:rPr>
      </w:pPr>
      <w:bookmarkStart w:id="94" w:name="_Hlk41316022"/>
      <w:bookmarkEnd w:id="94"/>
      <w:r>
        <w:rPr>
          <w:rFonts w:hint="eastAsia" w:ascii="宋体" w:hAnsi="宋体"/>
          <w:color w:val="000000" w:themeColor="text1"/>
          <w14:textFill>
            <w14:solidFill>
              <w14:schemeClr w14:val="tx1"/>
            </w14:solidFill>
          </w14:textFill>
        </w:rPr>
        <w:t>其他重大关联交易</w:t>
      </w:r>
    </w:p>
    <w:sdt>
      <w:sdtPr>
        <w:rPr>
          <w:rFonts w:hint="eastAsia"/>
          <w:color w:val="000000" w:themeColor="text1"/>
          <w14:textFill>
            <w14:solidFill>
              <w14:schemeClr w14:val="tx1"/>
            </w14:solidFill>
          </w14:textFill>
        </w:rPr>
        <w:alias w:val="是否适用：重大关联交易其他说明[双击切换]"/>
        <w:tag w:val="_GBC_7dd39ac420a244dcb8ea88c29ac07190"/>
        <w:id w:val="1685329249"/>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2"/>
          <w:numId w:val="4"/>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rFonts w:hint="eastAsia"/>
          <w:color w:val="000000" w:themeColor="text1"/>
          <w14:textFill>
            <w14:solidFill>
              <w14:schemeClr w14:val="tx1"/>
            </w14:solidFill>
          </w14:textFill>
        </w:rPr>
        <w:alias w:val="是否适用：重大关联交易事项其他补充说明[双击切换]"/>
        <w:tag w:val="_GBC_272061194cde466a9c566f0881c76d0d"/>
        <w:id w:val="1693724743"/>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pPr>
        <w:pStyle w:val="50"/>
        <w:numPr>
          <w:ilvl w:val="0"/>
          <w:numId w:val="16"/>
        </w:numPr>
        <w:tabs>
          <w:tab w:val="left" w:pos="426"/>
        </w:tabs>
        <w:jc w:val="lef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重大合同及其履行情况</w:t>
      </w:r>
    </w:p>
    <w:p>
      <w:pPr>
        <w:pStyle w:val="51"/>
        <w:numPr>
          <w:ilvl w:val="0"/>
          <w:numId w:val="22"/>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托管、承包、租赁事项</w:t>
      </w:r>
    </w:p>
    <w:p>
      <w:pPr>
        <w:rPr>
          <w:color w:val="000000" w:themeColor="text1"/>
          <w:shd w:val="pct10" w:color="auto" w:fill="FFFFFF"/>
          <w14:textFill>
            <w14:solidFill>
              <w14:schemeClr w14:val="tx1"/>
            </w14:solidFill>
          </w14:textFill>
        </w:rPr>
      </w:pPr>
      <w:sdt>
        <w:sdtPr>
          <w:rPr>
            <w:color w:val="000000" w:themeColor="text1"/>
            <w14:textFill>
              <w14:solidFill>
                <w14:schemeClr w14:val="tx1"/>
              </w14:solidFill>
            </w14:textFill>
          </w:rPr>
          <w:alias w:val="是否适用：托管、承包、租赁事项[双击切换]"/>
          <w:tag w:val="_GBC_daed561e68674d828a348a97bffbc154"/>
          <w:id w:val="-753357531"/>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rPr>
          <w:color w:val="000000" w:themeColor="text1"/>
          <w:shd w:val="pct10" w:color="auto" w:fill="FFFFFF"/>
          <w14:textFill>
            <w14:solidFill>
              <w14:schemeClr w14:val="tx1"/>
            </w14:solidFill>
          </w14:textFill>
        </w:rPr>
      </w:pPr>
    </w:p>
    <w:p>
      <w:pPr>
        <w:rPr>
          <w:color w:val="000000" w:themeColor="text1"/>
          <w14:textFill>
            <w14:solidFill>
              <w14:schemeClr w14:val="tx1"/>
            </w14:solidFill>
          </w14:textFill>
        </w:rPr>
      </w:pPr>
    </w:p>
    <w:p>
      <w:pPr>
        <w:rPr>
          <w:color w:val="000000" w:themeColor="text1"/>
          <w:shd w:val="pct10" w:color="auto" w:fill="FFFFFF"/>
          <w14:textFill>
            <w14:solidFill>
              <w14:schemeClr w14:val="tx1"/>
            </w14:solidFill>
          </w14:textFill>
        </w:rPr>
        <w:sectPr>
          <w:pgSz w:w="11906" w:h="16838"/>
          <w:pgMar w:top="1525" w:right="1276" w:bottom="1440" w:left="1797" w:header="851" w:footer="992" w:gutter="0"/>
          <w:cols w:space="425" w:num="1"/>
          <w:docGrid w:linePitch="312" w:charSpace="0"/>
        </w:sectPr>
      </w:pPr>
    </w:p>
    <w:p>
      <w:pPr>
        <w:pStyle w:val="51"/>
        <w:numPr>
          <w:ilvl w:val="0"/>
          <w:numId w:val="22"/>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报告期内履行的及尚未履行完毕的重大担保情况</w:t>
      </w:r>
    </w:p>
    <w:sdt>
      <w:sdtPr>
        <w:rPr>
          <w:color w:val="000000" w:themeColor="text1"/>
          <w14:textFill>
            <w14:solidFill>
              <w14:schemeClr w14:val="tx1"/>
            </w14:solidFill>
          </w14:textFill>
        </w:rPr>
        <w:alias w:val="是否适用：担保情况[双击切换]"/>
        <w:tag w:val="_GBC_aae98b3e30bd49e4b2e1d2643f200047"/>
        <w:id w:val="-1837216822"/>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bookmarkStart w:id="95" w:name="_Hlk42868045"/>
      <w:r>
        <w:rPr>
          <w:rFonts w:hint="eastAsia"/>
          <w:color w:val="000000" w:themeColor="text1"/>
          <w14:textFill>
            <w14:solidFill>
              <w14:schemeClr w14:val="tx1"/>
            </w14:solidFill>
          </w14:textFill>
        </w:rPr>
        <w:t>单位</w:t>
      </w:r>
      <w:r>
        <w:rPr>
          <w:color w:val="000000" w:themeColor="text1"/>
          <w14:textFill>
            <w14:solidFill>
              <w14:schemeClr w14:val="tx1"/>
            </w14:solidFill>
          </w14:textFill>
        </w:rPr>
        <w:t>：</w:t>
      </w:r>
      <w:sdt>
        <w:sdtPr>
          <w:rPr>
            <w:color w:val="000000" w:themeColor="text1"/>
            <w14:textFill>
              <w14:solidFill>
                <w14:schemeClr w14:val="tx1"/>
              </w14:solidFill>
            </w14:textFill>
          </w:rPr>
          <w:alias w:val="单位：担保情况"/>
          <w:tag w:val="_GBC_27c8b92380c14fd7885db4b4050dbded"/>
          <w:id w:val="-7310754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担保情况"/>
          <w:tag w:val="_GBC_a5bed87537d146398206f22cc051cc03"/>
          <w:id w:val="-86529164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526"/>
        <w:gridCol w:w="551"/>
        <w:gridCol w:w="551"/>
        <w:gridCol w:w="610"/>
        <w:gridCol w:w="551"/>
        <w:gridCol w:w="550"/>
        <w:gridCol w:w="477"/>
        <w:gridCol w:w="619"/>
        <w:gridCol w:w="551"/>
        <w:gridCol w:w="551"/>
        <w:gridCol w:w="551"/>
        <w:gridCol w:w="551"/>
        <w:gridCol w:w="607"/>
        <w:gridCol w:w="552"/>
        <w:gridCol w:w="552"/>
        <w:gridCol w:w="54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e4c50adfca70424b94b9e8ceed3333ed"/>
            <w:id w:val="1603068480"/>
          </w:sdtPr>
          <w:sdtContent>
            <w:tc>
              <w:tcPr>
                <w:tcW w:w="5000" w:type="pct"/>
                <w:gridSpan w:val="16"/>
                <w:tcBorders>
                  <w:top w:val="single" w:color="auto" w:sz="4" w:space="0"/>
                  <w:bottom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公司对外担保情况（不包括对子公司的担保）</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sdt>
          <w:sdtPr>
            <w:tag w:val="_PLD_b5e3bfe83f5247d8b2e96e12bee8662f"/>
            <w:id w:val="434793394"/>
          </w:sdtPr>
          <w:sdtContent>
            <w:tc>
              <w:tcPr>
                <w:tcW w:w="296" w:type="pct"/>
                <w:tcBorders>
                  <w:top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担保方</w:t>
                </w:r>
              </w:p>
            </w:tc>
          </w:sdtContent>
        </w:sdt>
        <w:sdt>
          <w:sdtPr>
            <w:tag w:val="_PLD_11e8ec3aaba140989322530dbb4ee821"/>
            <w:id w:val="-406374345"/>
          </w:sdt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担保方与上市公司的关系</w:t>
                </w:r>
              </w:p>
            </w:tc>
          </w:sdtContent>
        </w:sdt>
        <w:sdt>
          <w:sdtPr>
            <w:tag w:val="_PLD_0a624167897e488eac102851cdaa2dd6"/>
            <w:id w:val="-408381691"/>
          </w:sdt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被担保方</w:t>
                </w:r>
              </w:p>
            </w:tc>
          </w:sdtContent>
        </w:sdt>
        <w:sdt>
          <w:sdtPr>
            <w:tag w:val="_PLD_d74521a92aaa42b5808e61f4fb826446"/>
            <w:id w:val="-374537710"/>
          </w:sdtPr>
          <w:sdtContent>
            <w:tc>
              <w:tcPr>
                <w:tcW w:w="34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担保金额</w:t>
                </w:r>
              </w:p>
            </w:tc>
          </w:sdtContent>
        </w:sdt>
        <w:sdt>
          <w:sdtPr>
            <w:tag w:val="_PLD_6741824a509a46cebcb644a6151b055d"/>
            <w:id w:val="-1403828491"/>
          </w:sdt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担保发生日期</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协议签署日</w:t>
                </w:r>
                <w:r>
                  <w:rPr>
                    <w:color w:val="000000" w:themeColor="text1"/>
                    <w14:textFill>
                      <w14:solidFill>
                        <w14:schemeClr w14:val="tx1"/>
                      </w14:solidFill>
                    </w14:textFill>
                  </w:rPr>
                  <w:t>)</w:t>
                </w:r>
              </w:p>
            </w:tc>
          </w:sdtContent>
        </w:sdt>
        <w:sdt>
          <w:sdtPr>
            <w:tag w:val="_PLD_0e011a3a87e14e378e635db52fd873bd"/>
            <w:id w:val="2063974119"/>
          </w:sdtPr>
          <w:sdtContent>
            <w:tc>
              <w:tcPr>
                <w:tcW w:w="309"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w:t>
                </w:r>
              </w:p>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起始日</w:t>
                </w:r>
              </w:p>
            </w:tc>
          </w:sdtContent>
        </w:sdt>
        <w:sdt>
          <w:sdtPr>
            <w:tag w:val="_PLD_938a1d93f58f4900b7afb7849e3e6a58"/>
            <w:id w:val="-42056126"/>
          </w:sdtPr>
          <w:sdtContent>
            <w:tc>
              <w:tcPr>
                <w:tcW w:w="268"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w:t>
                </w:r>
              </w:p>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到期日</w:t>
                </w:r>
              </w:p>
            </w:tc>
          </w:sdtContent>
        </w:sdt>
        <w:sdt>
          <w:sdtPr>
            <w:tag w:val="_PLD_51fa31228c524c01adac764c60a6999c"/>
            <w:id w:val="-1310090147"/>
          </w:sdtPr>
          <w:sdtContent>
            <w:tc>
              <w:tcPr>
                <w:tcW w:w="348"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担保类型</w:t>
                </w:r>
              </w:p>
            </w:tc>
          </w:sdtContent>
        </w:sdt>
        <w:sdt>
          <w:sdtPr>
            <w:tag w:val="_PLD_1f3f8cca8d8c4b94a8d81954f7951552"/>
            <w:id w:val="155966712"/>
          </w:sdt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主债务情况</w:t>
                </w:r>
              </w:p>
            </w:tc>
          </w:sdtContent>
        </w:sdt>
        <w:sdt>
          <w:sdtPr>
            <w:tag w:val="_PLD_cd7b5ab30a06466e9c30b0ca1035b8c8"/>
            <w:id w:val="-2012366305"/>
          </w:sdt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担保物（如有）</w:t>
                </w:r>
              </w:p>
            </w:tc>
          </w:sdtContent>
        </w:sdt>
        <w:sdt>
          <w:sdtPr>
            <w:tag w:val="_PLD_a4bc1e9d84484ec38af3f5d7a2752067"/>
            <w:id w:val="-1853939692"/>
          </w:sdt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担保是否已经履行完毕</w:t>
                </w:r>
              </w:p>
            </w:tc>
          </w:sdtContent>
        </w:sdt>
        <w:sdt>
          <w:sdtPr>
            <w:tag w:val="_PLD_3adcf1d50e504a54949358562441ef7b"/>
            <w:id w:val="-302312013"/>
          </w:sdt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担保是否逾期</w:t>
                </w:r>
              </w:p>
            </w:tc>
          </w:sdtContent>
        </w:sdt>
        <w:sdt>
          <w:sdtPr>
            <w:tag w:val="_PLD_3860b2e281fb4e30b2945d128cc96939"/>
            <w:id w:val="-1044288577"/>
          </w:sdtPr>
          <w:sdtContent>
            <w:tc>
              <w:tcPr>
                <w:tcW w:w="34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担保逾期金额</w:t>
                </w:r>
              </w:p>
            </w:tc>
          </w:sdtContent>
        </w:sdt>
        <w:tc>
          <w:tcPr>
            <w:tcW w:w="310" w:type="pct"/>
            <w:tcBorders>
              <w:top w:val="single" w:color="auto" w:sz="4" w:space="0"/>
              <w:left w:val="single" w:color="auto" w:sz="4" w:space="0"/>
              <w:bottom w:val="single" w:color="auto" w:sz="4" w:space="0"/>
              <w:right w:val="single" w:color="auto" w:sz="4" w:space="0"/>
            </w:tcBorders>
            <w:vAlign w:val="center"/>
          </w:tcPr>
          <w:sdt>
            <w:sdtPr>
              <w:tag w:val="_PLD_63e29615db7e439fbe446447d9abc680"/>
              <w:id w:val="-364362802"/>
            </w:sdtPr>
            <w:sdtContent>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反担保情况</w:t>
                </w:r>
              </w:p>
            </w:sdtContent>
          </w:sdt>
        </w:tc>
        <w:sdt>
          <w:sdtPr>
            <w:tag w:val="_PLD_0f93b7a8a3684e3ba874246a93cd5173"/>
            <w:id w:val="-1779254033"/>
          </w:sdt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是否为关联方担保</w:t>
                </w:r>
              </w:p>
            </w:tc>
          </w:sdtContent>
        </w:sdt>
        <w:sdt>
          <w:sdtPr>
            <w:tag w:val="_PLD_fd1e6b8b28d64a7ea7816d45bcfc0699"/>
            <w:id w:val="-2037489942"/>
          </w:sdtPr>
          <w:sdtContent>
            <w:tc>
              <w:tcPr>
                <w:tcW w:w="304" w:type="pct"/>
                <w:tcBorders>
                  <w:top w:val="single" w:color="auto" w:sz="4" w:space="0"/>
                  <w:left w:val="single" w:color="auto" w:sz="4" w:space="0"/>
                  <w:bottom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w:t>
                </w:r>
              </w:p>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关系</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296" w:type="pct"/>
            <w:tcBorders>
              <w:top w:val="single" w:color="auto" w:sz="4" w:space="0"/>
              <w:bottom w:val="single" w:color="auto" w:sz="4" w:space="0"/>
              <w:right w:val="single" w:color="auto" w:sz="4" w:space="0"/>
            </w:tcBorders>
            <w:vAlign w:val="center"/>
          </w:tcPr>
          <w:p>
            <w:pPr>
              <w:autoSpaceDE w:val="0"/>
              <w:autoSpaceDN w:val="0"/>
              <w:adjustRightInd w:val="0"/>
            </w:pPr>
            <w:r>
              <w:rPr>
                <w:rFonts w:hint="eastAsia"/>
              </w:rPr>
              <w:t>-</w:t>
            </w:r>
          </w:p>
        </w:tc>
        <w:sdt>
          <w:sdtPr>
            <w:rPr>
              <w:rFonts w:hint="eastAsia"/>
              <w:bCs w:val="0"/>
              <w:color w:val="000000" w:themeColor="text1"/>
              <w14:textFill>
                <w14:solidFill>
                  <w14:schemeClr w14:val="tx1"/>
                </w14:solidFill>
              </w14:textFill>
            </w:rPr>
            <w:alias w:val="担保方与上市公司的关联关系"/>
            <w:tag w:val="_GBC_314278e58f414ef59436a6ba610dfaef"/>
            <w:id w:val="-1858887542"/>
            <w:comboBox>
              <w:listItem w:displayText="公司本部" w:value="公司本部"/>
              <w:listItem w:displayText="控股子公司" w:value="控股子公司"/>
              <w:listItem w:displayText="全资子公司" w:value="全资子公司"/>
            </w:comboBox>
          </w:sdtPr>
          <w:sdtEndPr>
            <w:rPr>
              <w:rFonts w:hint="eastAsia"/>
              <w:bCs w:val="0"/>
              <w:color w:val="000000" w:themeColor="text1"/>
              <w14:textFill>
                <w14:solidFill>
                  <w14:schemeClr w14:val="tx1"/>
                </w14:solidFill>
              </w14:textFill>
            </w:rPr>
          </w:sdtEnd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sdtContent>
        </w:sd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pPr>
            <w:r>
              <w:rPr>
                <w:rFonts w:hint="eastAsia"/>
              </w:rPr>
              <w:t>-</w:t>
            </w:r>
          </w:p>
        </w:tc>
        <w:tc>
          <w:tcPr>
            <w:tcW w:w="34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right="84" w:rightChars="40"/>
              <w:jc w:val="right"/>
            </w:pPr>
            <w:r>
              <w:rPr>
                <w:rFonts w:hint="eastAsia"/>
              </w:rPr>
              <w:t>-</w:t>
            </w:r>
          </w:p>
        </w:tc>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pPr>
            <w:r>
              <w:rPr>
                <w:rFonts w:hint="eastAsia"/>
              </w:rPr>
              <w:t>-</w:t>
            </w:r>
          </w:p>
        </w:tc>
        <w:tc>
          <w:tcPr>
            <w:tcW w:w="309"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pPr>
            <w:r>
              <w:rPr>
                <w:rFonts w:hint="eastAsia"/>
              </w:rPr>
              <w:t>-</w:t>
            </w:r>
          </w:p>
        </w:tc>
        <w:tc>
          <w:tcPr>
            <w:tcW w:w="268"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pPr>
            <w:r>
              <w:rPr>
                <w:rFonts w:hint="eastAsia"/>
              </w:rPr>
              <w:t>-</w:t>
            </w:r>
          </w:p>
        </w:tc>
        <w:sdt>
          <w:sdtPr>
            <w:rPr>
              <w:color w:val="000000" w:themeColor="text1"/>
              <w14:textFill>
                <w14:solidFill>
                  <w14:schemeClr w14:val="tx1"/>
                </w14:solidFill>
              </w14:textFill>
            </w:rPr>
            <w:alias w:val="担保类型"/>
            <w:tag w:val="_GBC_5b7281c91f794ab38f9d7314134cce0e"/>
            <w:id w:val="479203740"/>
            <w:comboBox>
              <w:listItem w:displayText="一般担保" w:value="一般担保"/>
              <w:listItem w:displayText="连带责任担保" w:value="连带责任担保"/>
            </w:comboBox>
          </w:sdtPr>
          <w:sdtEndPr>
            <w:rPr>
              <w:color w:val="000000" w:themeColor="text1"/>
              <w14:textFill>
                <w14:solidFill>
                  <w14:schemeClr w14:val="tx1"/>
                </w14:solidFill>
              </w14:textFill>
            </w:rPr>
          </w:sdtEndPr>
          <w:sdtContent>
            <w:tc>
              <w:tcPr>
                <w:tcW w:w="348"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sdtContent>
        </w:sd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bCs w:val="0"/>
              </w:rPr>
            </w:pPr>
            <w:r>
              <w:rPr>
                <w:rFonts w:hint="eastAsia"/>
                <w:bCs w:val="0"/>
              </w:rPr>
              <w:t>-</w:t>
            </w:r>
          </w:p>
        </w:tc>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bCs w:val="0"/>
              </w:rPr>
            </w:pPr>
            <w:r>
              <w:rPr>
                <w:rFonts w:hint="eastAsia"/>
                <w:bCs w:val="0"/>
              </w:rPr>
              <w:t>-</w:t>
            </w:r>
          </w:p>
        </w:tc>
        <w:sdt>
          <w:sdtPr>
            <w:rPr>
              <w:rFonts w:hint="eastAsia"/>
              <w:bCs w:val="0"/>
              <w:color w:val="000000" w:themeColor="text1"/>
              <w14:textFill>
                <w14:solidFill>
                  <w14:schemeClr w14:val="tx1"/>
                </w14:solidFill>
              </w14:textFill>
            </w:rPr>
            <w:alias w:val="担保是否已经履行完毕"/>
            <w:tag w:val="_GBC_790379edf6c5464398bb5b16c5922675"/>
            <w:id w:val="-364823232"/>
            <w:comboBox>
              <w:listItem w:displayText="是" w:value="true"/>
              <w:listItem w:displayText="否" w:value="false"/>
            </w:comboBox>
          </w:sdtPr>
          <w:sdtEndPr>
            <w:rPr>
              <w:rFonts w:hint="eastAsia"/>
              <w:bCs w:val="0"/>
              <w:color w:val="000000" w:themeColor="text1"/>
              <w14:textFill>
                <w14:solidFill>
                  <w14:schemeClr w14:val="tx1"/>
                </w14:solidFill>
              </w14:textFill>
            </w:rPr>
          </w:sdtEnd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sdtContent>
        </w:sdt>
        <w:sdt>
          <w:sdtPr>
            <w:rPr>
              <w:rFonts w:hint="eastAsia"/>
              <w:bCs w:val="0"/>
              <w:color w:val="000000" w:themeColor="text1"/>
              <w14:textFill>
                <w14:solidFill>
                  <w14:schemeClr w14:val="tx1"/>
                </w14:solidFill>
              </w14:textFill>
            </w:rPr>
            <w:alias w:val="担保是否逾期"/>
            <w:tag w:val="_GBC_279128b9b4aa4b139c08ccdf093c3266"/>
            <w:id w:val="628052312"/>
            <w:comboBox>
              <w:listItem w:displayText="是" w:value="true"/>
              <w:listItem w:displayText="否" w:value="false"/>
            </w:comboBox>
          </w:sdtPr>
          <w:sdtEndPr>
            <w:rPr>
              <w:rFonts w:hint="eastAsia"/>
              <w:bCs w:val="0"/>
              <w:color w:val="000000" w:themeColor="text1"/>
              <w14:textFill>
                <w14:solidFill>
                  <w14:schemeClr w14:val="tx1"/>
                </w14:solidFill>
              </w14:textFill>
            </w:rPr>
          </w:sdtEnd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sdtContent>
        </w:sdt>
        <w:tc>
          <w:tcPr>
            <w:tcW w:w="34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ind w:right="84" w:rightChars="40"/>
              <w:jc w:val="right"/>
              <w:rPr>
                <w:bCs w:val="0"/>
              </w:rPr>
            </w:pPr>
            <w:r>
              <w:rPr>
                <w:rFonts w:hint="eastAsia"/>
                <w:bCs w:val="0"/>
              </w:rPr>
              <w:t>-</w:t>
            </w:r>
          </w:p>
        </w:tc>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bCs w:val="0"/>
              </w:rPr>
            </w:pPr>
            <w:r>
              <w:rPr>
                <w:rFonts w:hint="eastAsia"/>
                <w:bCs w:val="0"/>
              </w:rPr>
              <w:t>-</w:t>
            </w:r>
          </w:p>
        </w:tc>
        <w:sdt>
          <w:sdtPr>
            <w:rPr>
              <w:rFonts w:hint="eastAsia"/>
              <w:bCs w:val="0"/>
              <w:color w:val="000000" w:themeColor="text1"/>
              <w14:textFill>
                <w14:solidFill>
                  <w14:schemeClr w14:val="tx1"/>
                </w14:solidFill>
              </w14:textFill>
            </w:rPr>
            <w:alias w:val="是否为关联方担保"/>
            <w:tag w:val="_GBC_2ed8d565e4a8488f94e2a908c31053b9"/>
            <w:id w:val="-465515536"/>
            <w:comboBox>
              <w:listItem w:displayText="是" w:value="true"/>
              <w:listItem w:displayText="否" w:value="false"/>
            </w:comboBox>
          </w:sdtPr>
          <w:sdtEndPr>
            <w:rPr>
              <w:rFonts w:hint="eastAsia"/>
              <w:bCs w:val="0"/>
              <w:color w:val="000000" w:themeColor="text1"/>
              <w14:textFill>
                <w14:solidFill>
                  <w14:schemeClr w14:val="tx1"/>
                </w14:solidFill>
              </w14:textFill>
            </w:rPr>
          </w:sdtEndPr>
          <w:sdtContent>
            <w:tc>
              <w:tcPr>
                <w:tcW w:w="31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sdtContent>
        </w:sdt>
        <w:sdt>
          <w:sdtPr>
            <w:rPr>
              <w:color w:val="000000" w:themeColor="text1"/>
              <w14:textFill>
                <w14:solidFill>
                  <w14:schemeClr w14:val="tx1"/>
                </w14:solidFill>
              </w14:textFill>
            </w:rPr>
            <w:alias w:val="担保中关联方与本公司关系"/>
            <w:tag w:val="_GBC_f42e2a714e404fb1856cdca85466ce88"/>
            <w:id w:val="237141367"/>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rPr>
              <w:color w:val="000000" w:themeColor="text1"/>
              <w14:textFill>
                <w14:solidFill>
                  <w14:schemeClr w14:val="tx1"/>
                </w14:solidFill>
              </w14:textFill>
            </w:rPr>
          </w:sdtEndPr>
          <w:sdtContent>
            <w:tc>
              <w:tcPr>
                <w:tcW w:w="304" w:type="pct"/>
                <w:tcBorders>
                  <w:top w:val="single" w:color="auto" w:sz="4" w:space="0"/>
                  <w:left w:val="single" w:color="auto" w:sz="4" w:space="0"/>
                  <w:bottom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6" w:type="pct"/>
            <w:gridSpan w:val="7"/>
            <w:tcBorders>
              <w:top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报告期内担保发生额合计（不包括对子公司的担保）</w:t>
            </w:r>
          </w:p>
        </w:tc>
        <w:tc>
          <w:tcPr>
            <w:tcW w:w="2854" w:type="pct"/>
            <w:gridSpan w:val="9"/>
            <w:tcBorders>
              <w:top w:val="single" w:color="auto" w:sz="4" w:space="0"/>
              <w:left w:val="single" w:color="auto" w:sz="4" w:space="0"/>
              <w:bottom w:val="single" w:color="auto" w:sz="4" w:space="0"/>
            </w:tcBorders>
            <w:vAlign w:val="center"/>
          </w:tcPr>
          <w:p>
            <w:pPr>
              <w:ind w:right="84" w:rightChars="40"/>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6" w:type="pct"/>
            <w:gridSpan w:val="7"/>
            <w:tcBorders>
              <w:top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报告期末担保余额合计（</w:t>
            </w:r>
            <w:r>
              <w:rPr>
                <w:color w:val="000000" w:themeColor="text1"/>
                <w14:textFill>
                  <w14:solidFill>
                    <w14:schemeClr w14:val="tx1"/>
                  </w14:solidFill>
                </w14:textFill>
              </w:rPr>
              <w:t>A</w:t>
            </w:r>
            <w:r>
              <w:rPr>
                <w:rFonts w:hint="eastAsia"/>
                <w:color w:val="000000" w:themeColor="text1"/>
                <w14:textFill>
                  <w14:solidFill>
                    <w14:schemeClr w14:val="tx1"/>
                  </w14:solidFill>
                </w14:textFill>
              </w:rPr>
              <w:t>）（不包括对子公司的担保）</w:t>
            </w:r>
          </w:p>
        </w:tc>
        <w:tc>
          <w:tcPr>
            <w:tcW w:w="2854" w:type="pct"/>
            <w:gridSpan w:val="9"/>
            <w:tcBorders>
              <w:top w:val="single" w:color="auto" w:sz="4" w:space="0"/>
              <w:left w:val="single" w:color="auto" w:sz="4" w:space="0"/>
              <w:bottom w:val="single" w:color="auto" w:sz="4" w:space="0"/>
            </w:tcBorders>
            <w:vAlign w:val="center"/>
          </w:tcPr>
          <w:p>
            <w:pPr>
              <w:autoSpaceDE w:val="0"/>
              <w:autoSpaceDN w:val="0"/>
              <w:adjustRightInd w:val="0"/>
              <w:ind w:right="84" w:rightChars="40"/>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5000" w:type="pct"/>
            <w:gridSpan w:val="16"/>
            <w:tcBorders>
              <w:top w:val="single" w:color="auto" w:sz="4" w:space="0"/>
              <w:bottom w:val="single" w:color="auto" w:sz="4" w:space="0"/>
            </w:tcBorders>
            <w:vAlign w:val="center"/>
          </w:tcPr>
          <w:p>
            <w:pPr>
              <w:autoSpaceDE w:val="0"/>
              <w:autoSpaceDN w:val="0"/>
              <w:adjustRightInd w:val="0"/>
              <w:ind w:right="84" w:rightChars="40"/>
              <w:jc w:val="center"/>
              <w:rPr>
                <w:color w:val="000000" w:themeColor="text1"/>
                <w14:textFill>
                  <w14:solidFill>
                    <w14:schemeClr w14:val="tx1"/>
                  </w14:solidFill>
                </w14:textFill>
              </w:rPr>
            </w:pPr>
            <w:sdt>
              <w:sdtPr>
                <w:tag w:val="_PLD_05f81595191b432fba2f5467a459f70b"/>
                <w:id w:val="117731847"/>
              </w:sdtPr>
              <w:sdtContent>
                <w:r>
                  <w:rPr>
                    <w:rFonts w:hint="eastAsia"/>
                    <w:color w:val="000000" w:themeColor="text1"/>
                    <w14:textFill>
                      <w14:solidFill>
                        <w14:schemeClr w14:val="tx1"/>
                      </w14:solidFill>
                    </w14:textFill>
                  </w:rPr>
                  <w:t>公司对子公司的担保情况</w:t>
                </w:r>
              </w:sdtContent>
            </w:sdt>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6" w:type="pct"/>
            <w:gridSpan w:val="7"/>
            <w:tcBorders>
              <w:top w:val="single" w:color="auto" w:sz="4" w:space="0"/>
              <w:bottom w:val="single" w:color="auto" w:sz="4" w:space="0"/>
              <w:right w:val="single" w:color="auto" w:sz="4" w:space="0"/>
            </w:tcBorders>
            <w:vAlign w:val="center"/>
          </w:tcPr>
          <w:p>
            <w:pPr>
              <w:autoSpaceDE w:val="0"/>
              <w:autoSpaceDN w:val="0"/>
              <w:adjustRightInd w:val="0"/>
              <w:ind w:right="84" w:rightChars="40"/>
              <w:rPr>
                <w:color w:val="000000" w:themeColor="text1"/>
                <w14:textFill>
                  <w14:solidFill>
                    <w14:schemeClr w14:val="tx1"/>
                  </w14:solidFill>
                </w14:textFill>
              </w:rPr>
            </w:pPr>
            <w:r>
              <w:rPr>
                <w:rFonts w:hint="eastAsia"/>
                <w:color w:val="000000" w:themeColor="text1"/>
                <w14:textFill>
                  <w14:solidFill>
                    <w14:schemeClr w14:val="tx1"/>
                  </w14:solidFill>
                </w14:textFill>
              </w:rPr>
              <w:t>报告期内对子公司担保发生额合计</w:t>
            </w:r>
          </w:p>
        </w:tc>
        <w:tc>
          <w:tcPr>
            <w:tcW w:w="2854" w:type="pct"/>
            <w:gridSpan w:val="9"/>
            <w:tcBorders>
              <w:top w:val="single" w:color="auto" w:sz="4" w:space="0"/>
              <w:left w:val="single" w:color="auto" w:sz="4" w:space="0"/>
              <w:bottom w:val="single" w:color="auto" w:sz="4" w:space="0"/>
            </w:tcBorders>
            <w:vAlign w:val="center"/>
          </w:tcPr>
          <w:p>
            <w:pPr>
              <w:ind w:right="84" w:rightChars="40"/>
              <w:jc w:val="right"/>
            </w:pPr>
            <w:r>
              <w:t>182,074.10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6" w:type="pct"/>
            <w:gridSpan w:val="7"/>
            <w:tcBorders>
              <w:top w:val="single" w:color="auto" w:sz="4" w:space="0"/>
              <w:bottom w:val="single" w:color="auto" w:sz="4" w:space="0"/>
              <w:right w:val="single" w:color="auto" w:sz="4" w:space="0"/>
            </w:tcBorders>
            <w:vAlign w:val="center"/>
          </w:tcPr>
          <w:p>
            <w:pPr>
              <w:autoSpaceDE w:val="0"/>
              <w:autoSpaceDN w:val="0"/>
              <w:adjustRightInd w:val="0"/>
              <w:ind w:right="84" w:rightChars="40"/>
              <w:rPr>
                <w:color w:val="000000" w:themeColor="text1"/>
                <w14:textFill>
                  <w14:solidFill>
                    <w14:schemeClr w14:val="tx1"/>
                  </w14:solidFill>
                </w14:textFill>
              </w:rPr>
            </w:pPr>
            <w:r>
              <w:rPr>
                <w:rFonts w:hint="eastAsia"/>
                <w:color w:val="000000" w:themeColor="text1"/>
                <w14:textFill>
                  <w14:solidFill>
                    <w14:schemeClr w14:val="tx1"/>
                  </w14:solidFill>
                </w14:textFill>
              </w:rPr>
              <w:t>报告期末对子公司担保余额合计（</w:t>
            </w:r>
            <w:r>
              <w:rPr>
                <w:color w:val="000000" w:themeColor="text1"/>
                <w14:textFill>
                  <w14:solidFill>
                    <w14:schemeClr w14:val="tx1"/>
                  </w14:solidFill>
                </w14:textFill>
              </w:rPr>
              <w:t>B</w:t>
            </w:r>
            <w:r>
              <w:rPr>
                <w:rFonts w:hint="eastAsia"/>
                <w:color w:val="000000" w:themeColor="text1"/>
                <w14:textFill>
                  <w14:solidFill>
                    <w14:schemeClr w14:val="tx1"/>
                  </w14:solidFill>
                </w14:textFill>
              </w:rPr>
              <w:t>）</w:t>
            </w:r>
          </w:p>
        </w:tc>
        <w:tc>
          <w:tcPr>
            <w:tcW w:w="2854" w:type="pct"/>
            <w:gridSpan w:val="9"/>
            <w:tcBorders>
              <w:top w:val="single" w:color="auto" w:sz="4" w:space="0"/>
              <w:left w:val="single" w:color="auto" w:sz="4" w:space="0"/>
              <w:bottom w:val="single" w:color="auto" w:sz="4" w:space="0"/>
            </w:tcBorders>
            <w:vAlign w:val="center"/>
          </w:tcPr>
          <w:p>
            <w:pPr>
              <w:tabs>
                <w:tab w:val="center" w:pos="2466"/>
                <w:tab w:val="right" w:pos="4932"/>
              </w:tabs>
              <w:autoSpaceDE w:val="0"/>
              <w:autoSpaceDN w:val="0"/>
              <w:adjustRightInd w:val="0"/>
              <w:ind w:right="84" w:rightChars="40"/>
              <w:jc w:val="right"/>
            </w:pPr>
            <w:r>
              <w:t>62,649.</w:t>
            </w:r>
            <w:r>
              <w:rPr>
                <w:rFonts w:hint="eastAsia"/>
              </w:rPr>
              <w:t>8</w:t>
            </w:r>
            <w: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sdt>
          <w:sdtPr>
            <w:tag w:val="_PLD_7934b7db222a4b859de67adddfbf4ea4"/>
            <w:id w:val="-954395575"/>
          </w:sdtPr>
          <w:sdtContent>
            <w:tc>
              <w:tcPr>
                <w:tcW w:w="5000" w:type="pct"/>
                <w:gridSpan w:val="16"/>
                <w:tcBorders>
                  <w:top w:val="single" w:color="auto" w:sz="4" w:space="0"/>
                  <w:bottom w:val="single" w:color="auto" w:sz="4" w:space="0"/>
                </w:tcBorders>
                <w:vAlign w:val="center"/>
              </w:tcPr>
              <w:p>
                <w:pPr>
                  <w:autoSpaceDE w:val="0"/>
                  <w:autoSpaceDN w:val="0"/>
                  <w:adjustRightInd w:val="0"/>
                  <w:ind w:right="84" w:rightChars="4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公司担保总额情况（包括对子公司的担保）</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470" w:hRule="atLeast"/>
        </w:trPr>
        <w:tc>
          <w:tcPr>
            <w:tcW w:w="2146" w:type="pct"/>
            <w:gridSpan w:val="7"/>
            <w:tcBorders>
              <w:top w:val="single" w:color="auto" w:sz="4" w:space="0"/>
              <w:bottom w:val="single" w:color="auto" w:sz="4" w:space="0"/>
              <w:right w:val="single" w:color="auto" w:sz="4" w:space="0"/>
            </w:tcBorders>
            <w:vAlign w:val="center"/>
          </w:tcPr>
          <w:p>
            <w:pPr>
              <w:autoSpaceDE w:val="0"/>
              <w:autoSpaceDN w:val="0"/>
              <w:adjustRightInd w:val="0"/>
              <w:ind w:right="84" w:rightChars="40"/>
              <w:rPr>
                <w:color w:val="000000" w:themeColor="text1"/>
                <w14:textFill>
                  <w14:solidFill>
                    <w14:schemeClr w14:val="tx1"/>
                  </w14:solidFill>
                </w14:textFill>
              </w:rPr>
            </w:pPr>
            <w:r>
              <w:rPr>
                <w:rFonts w:hint="eastAsia"/>
                <w:color w:val="000000" w:themeColor="text1"/>
                <w14:textFill>
                  <w14:solidFill>
                    <w14:schemeClr w14:val="tx1"/>
                  </w14:solidFill>
                </w14:textFill>
              </w:rPr>
              <w:t>担保总额（</w:t>
            </w:r>
            <w:r>
              <w:rPr>
                <w:color w:val="000000" w:themeColor="text1"/>
                <w14:textFill>
                  <w14:solidFill>
                    <w14:schemeClr w14:val="tx1"/>
                  </w14:solidFill>
                </w14:textFill>
              </w:rPr>
              <w:t>A+B</w:t>
            </w:r>
            <w:r>
              <w:rPr>
                <w:rFonts w:hint="eastAsia"/>
                <w:color w:val="000000" w:themeColor="text1"/>
                <w14:textFill>
                  <w14:solidFill>
                    <w14:schemeClr w14:val="tx1"/>
                  </w14:solidFill>
                </w14:textFill>
              </w:rPr>
              <w:t>）</w:t>
            </w:r>
          </w:p>
        </w:tc>
        <w:tc>
          <w:tcPr>
            <w:tcW w:w="2854" w:type="pct"/>
            <w:gridSpan w:val="9"/>
            <w:tcBorders>
              <w:top w:val="single" w:color="auto" w:sz="4" w:space="0"/>
              <w:left w:val="single" w:color="auto" w:sz="4" w:space="0"/>
              <w:bottom w:val="single" w:color="auto" w:sz="4" w:space="0"/>
            </w:tcBorders>
            <w:vAlign w:val="center"/>
          </w:tcPr>
          <w:p>
            <w:pPr>
              <w:autoSpaceDE w:val="0"/>
              <w:autoSpaceDN w:val="0"/>
              <w:adjustRightInd w:val="0"/>
              <w:ind w:right="84" w:rightChars="40"/>
              <w:jc w:val="right"/>
            </w:pPr>
            <w:r>
              <w:t>62,649.</w:t>
            </w:r>
            <w:r>
              <w:rPr>
                <w:rFonts w:hint="eastAsia"/>
              </w:rPr>
              <w:t>8</w:t>
            </w:r>
            <w: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6" w:type="pct"/>
            <w:gridSpan w:val="7"/>
            <w:tcBorders>
              <w:top w:val="single" w:color="auto" w:sz="4" w:space="0"/>
              <w:bottom w:val="single" w:color="auto" w:sz="4" w:space="0"/>
              <w:right w:val="single" w:color="auto" w:sz="4" w:space="0"/>
            </w:tcBorders>
            <w:vAlign w:val="center"/>
          </w:tcPr>
          <w:p>
            <w:pPr>
              <w:autoSpaceDE w:val="0"/>
              <w:autoSpaceDN w:val="0"/>
              <w:adjustRightInd w:val="0"/>
              <w:ind w:right="84" w:rightChars="40"/>
              <w:rPr>
                <w:color w:val="000000" w:themeColor="text1"/>
                <w14:textFill>
                  <w14:solidFill>
                    <w14:schemeClr w14:val="tx1"/>
                  </w14:solidFill>
                </w14:textFill>
              </w:rPr>
            </w:pPr>
            <w:r>
              <w:rPr>
                <w:rFonts w:hint="eastAsia"/>
                <w:color w:val="000000" w:themeColor="text1"/>
                <w14:textFill>
                  <w14:solidFill>
                    <w14:schemeClr w14:val="tx1"/>
                  </w14:solidFill>
                </w14:textFill>
              </w:rPr>
              <w:t>担保总额占公司净资产的比例</w:t>
            </w:r>
            <w:r>
              <w:rPr>
                <w:color w:val="000000" w:themeColor="text1"/>
                <w14:textFill>
                  <w14:solidFill>
                    <w14:schemeClr w14:val="tx1"/>
                  </w14:solidFill>
                </w14:textFill>
              </w:rPr>
              <w:t>(%)</w:t>
            </w:r>
          </w:p>
        </w:tc>
        <w:tc>
          <w:tcPr>
            <w:tcW w:w="2854" w:type="pct"/>
            <w:gridSpan w:val="9"/>
            <w:tcBorders>
              <w:top w:val="single" w:color="auto" w:sz="4" w:space="0"/>
              <w:left w:val="single" w:color="auto" w:sz="4" w:space="0"/>
              <w:bottom w:val="single" w:color="auto" w:sz="4" w:space="0"/>
            </w:tcBorders>
            <w:vAlign w:val="center"/>
          </w:tcPr>
          <w:p>
            <w:pPr>
              <w:autoSpaceDE w:val="0"/>
              <w:autoSpaceDN w:val="0"/>
              <w:adjustRightInd w:val="0"/>
              <w:ind w:right="84" w:rightChars="40"/>
              <w:jc w:val="right"/>
            </w:pPr>
            <w:r>
              <w:t>25.1</w:t>
            </w:r>
            <w:r>
              <w:rPr>
                <w:rFonts w:hint="eastAsia"/>
              </w:rPr>
              <w:t>4</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sdt>
          <w:sdtPr>
            <w:tag w:val="_PLD_a773089c19754364bad6c8803a7c8022"/>
            <w:id w:val="2105987522"/>
          </w:sdtPr>
          <w:sdtContent>
            <w:tc>
              <w:tcPr>
                <w:tcW w:w="5000" w:type="pct"/>
                <w:gridSpan w:val="16"/>
                <w:tcBorders>
                  <w:top w:val="single" w:color="auto" w:sz="4" w:space="0"/>
                  <w:bottom w:val="single" w:color="auto" w:sz="4" w:space="0"/>
                </w:tcBorders>
                <w:vAlign w:val="center"/>
              </w:tcPr>
              <w:p>
                <w:pPr>
                  <w:pStyle w:val="12"/>
                  <w:autoSpaceDE w:val="0"/>
                  <w:autoSpaceDN w:val="0"/>
                  <w:adjustRightInd w:val="0"/>
                  <w:ind w:right="84" w:rightChars="4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其中：</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6" w:type="pct"/>
            <w:gridSpan w:val="7"/>
            <w:tcBorders>
              <w:top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为股东、实际控制人及其关联方提供担保的金额（</w:t>
            </w:r>
            <w:r>
              <w:rPr>
                <w:color w:val="000000" w:themeColor="text1"/>
                <w14:textFill>
                  <w14:solidFill>
                    <w14:schemeClr w14:val="tx1"/>
                  </w14:solidFill>
                </w14:textFill>
              </w:rPr>
              <w:t>C</w:t>
            </w:r>
            <w:r>
              <w:rPr>
                <w:rFonts w:hint="eastAsia"/>
                <w:color w:val="000000" w:themeColor="text1"/>
                <w14:textFill>
                  <w14:solidFill>
                    <w14:schemeClr w14:val="tx1"/>
                  </w14:solidFill>
                </w14:textFill>
              </w:rPr>
              <w:t>）</w:t>
            </w:r>
          </w:p>
        </w:tc>
        <w:tc>
          <w:tcPr>
            <w:tcW w:w="2854" w:type="pct"/>
            <w:gridSpan w:val="9"/>
            <w:tcBorders>
              <w:top w:val="single" w:color="auto" w:sz="4" w:space="0"/>
              <w:left w:val="single" w:color="auto" w:sz="4" w:space="0"/>
              <w:bottom w:val="single" w:color="auto" w:sz="4" w:space="0"/>
            </w:tcBorders>
            <w:vAlign w:val="center"/>
          </w:tcPr>
          <w:p>
            <w:pPr>
              <w:ind w:right="84" w:rightChars="40"/>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6" w:type="pct"/>
            <w:gridSpan w:val="7"/>
            <w:tcBorders>
              <w:top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直接或间接为资产负债率超过</w:t>
            </w:r>
            <w:r>
              <w:rPr>
                <w:color w:val="000000" w:themeColor="text1"/>
                <w14:textFill>
                  <w14:solidFill>
                    <w14:schemeClr w14:val="tx1"/>
                  </w14:solidFill>
                </w14:textFill>
              </w:rPr>
              <w:t>70</w:t>
            </w:r>
            <w:r>
              <w:rPr>
                <w:rFonts w:hint="eastAsia"/>
                <w:color w:val="000000" w:themeColor="text1"/>
                <w14:textFill>
                  <w14:solidFill>
                    <w14:schemeClr w14:val="tx1"/>
                  </w14:solidFill>
                </w14:textFill>
              </w:rPr>
              <w:t>%的被担保对象提供的债务担保金额（</w:t>
            </w:r>
            <w:r>
              <w:rPr>
                <w:color w:val="000000" w:themeColor="text1"/>
                <w14:textFill>
                  <w14:solidFill>
                    <w14:schemeClr w14:val="tx1"/>
                  </w14:solidFill>
                </w14:textFill>
              </w:rPr>
              <w:t>D</w:t>
            </w:r>
            <w:r>
              <w:rPr>
                <w:rFonts w:hint="eastAsia"/>
                <w:color w:val="000000" w:themeColor="text1"/>
                <w14:textFill>
                  <w14:solidFill>
                    <w14:schemeClr w14:val="tx1"/>
                  </w14:solidFill>
                </w14:textFill>
              </w:rPr>
              <w:t>）</w:t>
            </w:r>
          </w:p>
        </w:tc>
        <w:tc>
          <w:tcPr>
            <w:tcW w:w="2854" w:type="pct"/>
            <w:gridSpan w:val="9"/>
            <w:tcBorders>
              <w:top w:val="single" w:color="auto" w:sz="4" w:space="0"/>
              <w:left w:val="single" w:color="auto" w:sz="4" w:space="0"/>
              <w:bottom w:val="single" w:color="auto" w:sz="4" w:space="0"/>
            </w:tcBorders>
            <w:vAlign w:val="center"/>
          </w:tcPr>
          <w:p>
            <w:pPr>
              <w:autoSpaceDE w:val="0"/>
              <w:autoSpaceDN w:val="0"/>
              <w:adjustRightInd w:val="0"/>
              <w:ind w:right="84" w:rightChars="40"/>
              <w:jc w:val="right"/>
            </w:pPr>
            <w:r>
              <w:t>6,120.72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6" w:type="pct"/>
            <w:gridSpan w:val="7"/>
            <w:tcBorders>
              <w:top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担保总额超过净资产</w:t>
            </w:r>
            <w:r>
              <w:rPr>
                <w:color w:val="000000" w:themeColor="text1"/>
                <w14:textFill>
                  <w14:solidFill>
                    <w14:schemeClr w14:val="tx1"/>
                  </w14:solidFill>
                </w14:textFill>
              </w:rPr>
              <w:t>50</w:t>
            </w:r>
            <w:r>
              <w:rPr>
                <w:rFonts w:hint="eastAsia"/>
                <w:color w:val="000000" w:themeColor="text1"/>
                <w14:textFill>
                  <w14:solidFill>
                    <w14:schemeClr w14:val="tx1"/>
                  </w14:solidFill>
                </w14:textFill>
              </w:rPr>
              <w:t>%部分的金额（</w:t>
            </w:r>
            <w:r>
              <w:rPr>
                <w:color w:val="000000" w:themeColor="text1"/>
                <w14:textFill>
                  <w14:solidFill>
                    <w14:schemeClr w14:val="tx1"/>
                  </w14:solidFill>
                </w14:textFill>
              </w:rPr>
              <w:t>E</w:t>
            </w:r>
            <w:r>
              <w:rPr>
                <w:rFonts w:hint="eastAsia"/>
                <w:color w:val="000000" w:themeColor="text1"/>
                <w14:textFill>
                  <w14:solidFill>
                    <w14:schemeClr w14:val="tx1"/>
                  </w14:solidFill>
                </w14:textFill>
              </w:rPr>
              <w:t>）</w:t>
            </w:r>
          </w:p>
        </w:tc>
        <w:tc>
          <w:tcPr>
            <w:tcW w:w="2854" w:type="pct"/>
            <w:gridSpan w:val="9"/>
            <w:tcBorders>
              <w:top w:val="single" w:color="auto" w:sz="4" w:space="0"/>
              <w:left w:val="single" w:color="auto" w:sz="4" w:space="0"/>
              <w:bottom w:val="single" w:color="auto" w:sz="4" w:space="0"/>
            </w:tcBorders>
            <w:vAlign w:val="center"/>
          </w:tcPr>
          <w:p>
            <w:pPr>
              <w:ind w:right="84" w:rightChars="40"/>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6" w:type="pct"/>
            <w:gridSpan w:val="7"/>
            <w:tcBorders>
              <w:top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上述三项担保金额合计（</w:t>
            </w:r>
            <w:r>
              <w:rPr>
                <w:color w:val="000000" w:themeColor="text1"/>
                <w14:textFill>
                  <w14:solidFill>
                    <w14:schemeClr w14:val="tx1"/>
                  </w14:solidFill>
                </w14:textFill>
              </w:rPr>
              <w:t>C+D+E</w:t>
            </w:r>
            <w:r>
              <w:rPr>
                <w:rFonts w:hint="eastAsia"/>
                <w:color w:val="000000" w:themeColor="text1"/>
                <w14:textFill>
                  <w14:solidFill>
                    <w14:schemeClr w14:val="tx1"/>
                  </w14:solidFill>
                </w14:textFill>
              </w:rPr>
              <w:t>）</w:t>
            </w:r>
          </w:p>
        </w:tc>
        <w:tc>
          <w:tcPr>
            <w:tcW w:w="2854" w:type="pct"/>
            <w:gridSpan w:val="9"/>
            <w:tcBorders>
              <w:top w:val="single" w:color="auto" w:sz="4" w:space="0"/>
              <w:left w:val="single" w:color="auto" w:sz="4" w:space="0"/>
              <w:bottom w:val="single" w:color="auto" w:sz="4" w:space="0"/>
            </w:tcBorders>
            <w:vAlign w:val="center"/>
          </w:tcPr>
          <w:p>
            <w:pPr>
              <w:autoSpaceDE w:val="0"/>
              <w:autoSpaceDN w:val="0"/>
              <w:adjustRightInd w:val="0"/>
              <w:ind w:right="84" w:rightChars="40"/>
              <w:jc w:val="right"/>
            </w:pPr>
            <w:r>
              <w:t>6,120.72</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6" w:type="pct"/>
            <w:gridSpan w:val="7"/>
            <w:tcBorders>
              <w:top w:val="single" w:color="auto" w:sz="4" w:space="0"/>
              <w:bottom w:val="single" w:color="auto" w:sz="4" w:space="0"/>
              <w:right w:val="single" w:color="auto" w:sz="4" w:space="0"/>
            </w:tcBorders>
            <w:vAlign w:val="center"/>
          </w:tcPr>
          <w:p>
            <w:pPr>
              <w:pStyle w:val="12"/>
              <w:autoSpaceDE w:val="0"/>
              <w:autoSpaceDN w:val="0"/>
              <w:adjustRightInd w:val="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未到期担保可能承担连带清偿责任说明</w:t>
            </w:r>
          </w:p>
        </w:tc>
        <w:tc>
          <w:tcPr>
            <w:tcW w:w="2854" w:type="pct"/>
            <w:gridSpan w:val="9"/>
            <w:tcBorders>
              <w:top w:val="single" w:color="auto" w:sz="4" w:space="0"/>
              <w:left w:val="single" w:color="auto" w:sz="4" w:space="0"/>
              <w:bottom w:val="single" w:color="auto" w:sz="4" w:space="0"/>
            </w:tcBorders>
            <w:vAlign w:val="center"/>
          </w:tcPr>
          <w:p>
            <w:pPr>
              <w:autoSpaceDE w:val="0"/>
              <w:autoSpaceDN w:val="0"/>
              <w:adjustRightInd w:val="0"/>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308" w:hRule="atLeast"/>
        </w:trPr>
        <w:tc>
          <w:tcPr>
            <w:tcW w:w="2146" w:type="pct"/>
            <w:gridSpan w:val="7"/>
            <w:tcBorders>
              <w:top w:val="single" w:color="auto" w:sz="4" w:space="0"/>
              <w:bottom w:val="single" w:color="auto" w:sz="4" w:space="0"/>
              <w:right w:val="single" w:color="auto" w:sz="4" w:space="0"/>
            </w:tcBorders>
            <w:vAlign w:val="center"/>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担保情况说明</w:t>
            </w:r>
          </w:p>
        </w:tc>
        <w:tc>
          <w:tcPr>
            <w:tcW w:w="2854" w:type="pct"/>
            <w:gridSpan w:val="9"/>
            <w:tcBorders>
              <w:top w:val="single" w:color="auto" w:sz="4" w:space="0"/>
              <w:left w:val="single" w:color="auto" w:sz="4" w:space="0"/>
              <w:bottom w:val="single" w:color="auto" w:sz="4" w:space="0"/>
            </w:tcBorders>
            <w:vAlign w:val="center"/>
          </w:tcPr>
          <w:p>
            <w:pPr>
              <w:autoSpaceDE w:val="0"/>
              <w:autoSpaceDN w:val="0"/>
              <w:adjustRightInd w:val="0"/>
            </w:pPr>
          </w:p>
        </w:tc>
      </w:tr>
      <w:bookmarkEnd w:id="95"/>
    </w:tbl>
    <w:p>
      <w:pPr>
        <w:pStyle w:val="51"/>
        <w:numPr>
          <w:ilvl w:val="0"/>
          <w:numId w:val="22"/>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其他重大合同</w:t>
      </w:r>
    </w:p>
    <w:sdt>
      <w:sdtPr>
        <w:rPr>
          <w:color w:val="000000" w:themeColor="text1"/>
          <w14:textFill>
            <w14:solidFill>
              <w14:schemeClr w14:val="tx1"/>
            </w14:solidFill>
          </w14:textFill>
        </w:rPr>
        <w:alias w:val="是否适用：其他重大合同[双击切换]"/>
        <w:tag w:val="_GBC_23289ac36e3b4aeeaff6a4f1df0c3165"/>
        <w:id w:val="-158868556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p>
    <w:p>
      <w:pPr>
        <w:pStyle w:val="50"/>
        <w:numPr>
          <w:ilvl w:val="0"/>
          <w:numId w:val="16"/>
        </w:numPr>
        <w:tabs>
          <w:tab w:val="left" w:pos="426"/>
        </w:tabs>
        <w:jc w:val="left"/>
        <w:rPr>
          <w:rFonts w:hint="eastAsia" w:ascii="宋体" w:hAnsi="宋体"/>
          <w:color w:val="000000" w:themeColor="text1"/>
          <w14:textFill>
            <w14:solidFill>
              <w14:schemeClr w14:val="tx1"/>
            </w14:solidFill>
          </w14:textFill>
        </w:rPr>
      </w:pPr>
      <w:bookmarkStart w:id="96" w:name="_Hlk72846301"/>
      <w:bookmarkStart w:id="97" w:name="_Hlk170215658"/>
      <w:bookmarkStart w:id="98" w:name="_Hlk170206295"/>
      <w:r>
        <w:rPr>
          <w:rFonts w:hint="eastAsia" w:ascii="宋体" w:hAnsi="宋体"/>
          <w:color w:val="000000" w:themeColor="text1"/>
          <w14:textFill>
            <w14:solidFill>
              <w14:schemeClr w14:val="tx1"/>
            </w14:solidFill>
          </w14:textFill>
        </w:rPr>
        <w:t>募集资金使用进展说明</w:t>
      </w:r>
    </w:p>
    <w:sdt>
      <w:sdtPr>
        <w:rPr>
          <w:color w:val="000000" w:themeColor="text1"/>
          <w14:textFill>
            <w14:solidFill>
              <w14:schemeClr w14:val="tx1"/>
            </w14:solidFill>
          </w14:textFill>
        </w:rPr>
        <w:alias w:val="是否适用：募集资金使用进展说明[双击切换]"/>
        <w:tag w:val="_GBC_680b9390780e4e2096adf48e91fa95ca"/>
        <w:id w:val="-817493329"/>
        <w:placeholder>
          <w:docPart w:val="GBC22222222222222222222222222222"/>
        </w:placeholder>
      </w:sdtPr>
      <w:sdtEndPr>
        <w:rPr>
          <w:color w:val="000000" w:themeColor="text1"/>
          <w14:textFill>
            <w14:solidFill>
              <w14:schemeClr w14:val="tx1"/>
            </w14:solidFill>
          </w14:textFill>
        </w:rPr>
      </w:sdtEndPr>
      <w:sdtContent>
        <w:p>
          <w:pPr>
            <w:pStyle w:val="48"/>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96"/>
    <w:bookmarkEnd w:id="97"/>
    <w:bookmarkEnd w:id="98"/>
    <w:p>
      <w:pPr>
        <w:pStyle w:val="50"/>
        <w:numPr>
          <w:ilvl w:val="0"/>
          <w:numId w:val="16"/>
        </w:numPr>
        <w:tabs>
          <w:tab w:val="left" w:pos="426"/>
        </w:tabs>
        <w:jc w:val="left"/>
        <w:rPr>
          <w:rFonts w:hint="eastAsia" w:ascii="宋体" w:hAnsi="宋体"/>
          <w:color w:val="000000" w:themeColor="text1"/>
          <w14:textFill>
            <w14:solidFill>
              <w14:schemeClr w14:val="tx1"/>
            </w14:solidFill>
          </w14:textFill>
        </w:rPr>
      </w:pPr>
      <w:bookmarkStart w:id="99" w:name="_Hlk200012883"/>
      <w:bookmarkEnd w:id="99"/>
      <w:bookmarkStart w:id="100" w:name="_Hlk74820557"/>
      <w:bookmarkStart w:id="101" w:name="_Hlk74904700"/>
      <w:r>
        <w:rPr>
          <w:rFonts w:hint="eastAsia" w:ascii="宋体" w:hAnsi="宋体"/>
          <w:color w:val="000000" w:themeColor="text1"/>
          <w14:textFill>
            <w14:solidFill>
              <w14:schemeClr w14:val="tx1"/>
            </w14:solidFill>
          </w14:textFill>
        </w:rPr>
        <w:t>其他重大事项的说明</w:t>
      </w:r>
    </w:p>
    <w:sdt>
      <w:sdtPr>
        <w:rPr>
          <w:color w:val="000000" w:themeColor="text1"/>
          <w14:textFill>
            <w14:solidFill>
              <w14:schemeClr w14:val="tx1"/>
            </w14:solidFill>
          </w14:textFill>
        </w:rPr>
        <w:alias w:val="是否适用：其他重大事项的说明[双击切换]"/>
        <w:tag w:val="_GBC_60472543195d45309db4d042b8e09883"/>
        <w:id w:val="67730942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alias w:val="其它重大事项说明"/>
        <w:tag w:val="_GBC_2c1880a5abc34ba7be18fdf6374ac4c1"/>
        <w:id w:val="1001395183"/>
        <w:placeholder>
          <w:docPart w:val="5AD9E1A50BCF433199F0FECF4B049ABC"/>
        </w:placeholder>
      </w:sdtPr>
      <w:sdtEndPr>
        <w:rPr>
          <w:color w:val="000000" w:themeColor="text1"/>
          <w14:textFill>
            <w14:solidFill>
              <w14:schemeClr w14:val="tx1"/>
            </w14:solidFill>
          </w14:textFill>
        </w:rPr>
      </w:sdtEndPr>
      <w:sdtContent>
        <w:p>
          <w:pPr>
            <w:spacing w:line="360" w:lineRule="exact"/>
            <w:ind w:firstLine="420" w:firstLineChars="200"/>
            <w:jc w:val="both"/>
          </w:pPr>
          <w:r>
            <w:rPr>
              <w:rFonts w:hint="eastAsia"/>
            </w:rPr>
            <w:t>公司</w:t>
          </w:r>
          <w:r>
            <w:t>于2026年8月11日收到中国证券监督管理委员会（以下简称“中国证监会”）出具的《关于同意重庆望变电气（集团）股份有限公司向特定对象发行股票注册的批复》（证监许可[2026]1834号）</w:t>
          </w:r>
          <w:r>
            <w:rPr>
              <w:rFonts w:hint="eastAsia"/>
            </w:rPr>
            <w:t>，并于2026年8月12日发布《关于向特定对象发行股票申请获得中国证券监督管理委员会同意注册批复的公告》（公告编号：2026-054）；</w:t>
          </w:r>
          <w:r>
            <w:t>截至2026年8月20日，募集资金已足额划至公司本次发行募集资金专户</w:t>
          </w:r>
          <w:r>
            <w:rPr>
              <w:rFonts w:hint="eastAsia"/>
            </w:rPr>
            <w:t>；</w:t>
          </w:r>
          <w:r>
            <w:t>2026年8月20日，天健会计师事务所（特殊普通合伙）出具了《验资报告》（天健验〔2026〕8-12号）予以确认</w:t>
          </w:r>
          <w:r>
            <w:rPr>
              <w:rFonts w:hint="eastAsia"/>
            </w:rPr>
            <w:t>。公司后期将尽快办理股份登记相关工作，届时将及时披露相关信息。</w:t>
          </w:r>
        </w:p>
      </w:sdtContent>
    </w:sdt>
    <w:bookmarkEnd w:id="89"/>
    <w:bookmarkEnd w:id="100"/>
    <w:p>
      <w:pPr>
        <w:rPr>
          <w:color w:val="000000" w:themeColor="text1"/>
          <w14:textFill>
            <w14:solidFill>
              <w14:schemeClr w14:val="tx1"/>
            </w14:solidFill>
          </w14:textFill>
        </w:rPr>
      </w:pPr>
    </w:p>
    <w:p>
      <w:pPr>
        <w:pStyle w:val="49"/>
        <w:numPr>
          <w:ilvl w:val="0"/>
          <w:numId w:val="2"/>
        </w:numPr>
        <w:rPr>
          <w:rFonts w:hint="eastAsia" w:ascii="黑体" w:hAnsi="黑体"/>
          <w:color w:val="000000" w:themeColor="text1"/>
          <w14:textFill>
            <w14:solidFill>
              <w14:schemeClr w14:val="tx1"/>
            </w14:solidFill>
          </w14:textFill>
        </w:rPr>
      </w:pPr>
      <w:bookmarkStart w:id="102" w:name="_Toc200030544"/>
      <w:bookmarkStart w:id="103" w:name="_Toc392233016"/>
      <w:bookmarkStart w:id="104" w:name="_Toc76114278"/>
      <w:r>
        <w:rPr>
          <w:rFonts w:hint="eastAsia" w:ascii="黑体" w:hAnsi="黑体"/>
          <w:color w:val="000000" w:themeColor="text1"/>
          <w14:textFill>
            <w14:solidFill>
              <w14:schemeClr w14:val="tx1"/>
            </w14:solidFill>
          </w14:textFill>
        </w:rPr>
        <w:t>股份变动及股东情况</w:t>
      </w:r>
    </w:p>
    <w:bookmarkEnd w:id="101"/>
    <w:bookmarkEnd w:id="102"/>
    <w:bookmarkEnd w:id="103"/>
    <w:bookmarkEnd w:id="104"/>
    <w:p>
      <w:pPr>
        <w:pStyle w:val="50"/>
        <w:numPr>
          <w:ilvl w:val="0"/>
          <w:numId w:val="23"/>
        </w:numPr>
        <w:spacing w:line="360" w:lineRule="auto"/>
        <w:ind w:left="422" w:hanging="422"/>
        <w:rPr>
          <w:rFonts w:hint="eastAsia" w:ascii="宋体" w:hAnsi="宋体"/>
          <w:color w:val="000000" w:themeColor="text1"/>
          <w14:textFill>
            <w14:solidFill>
              <w14:schemeClr w14:val="tx1"/>
            </w14:solidFill>
          </w14:textFill>
        </w:rPr>
      </w:pPr>
      <w:bookmarkStart w:id="105" w:name="_Toc342059476"/>
      <w:bookmarkStart w:id="106" w:name="_Toc342565989"/>
      <w:r>
        <w:rPr>
          <w:rFonts w:ascii="宋体" w:hAnsi="宋体"/>
          <w:color w:val="000000" w:themeColor="text1"/>
          <w14:textFill>
            <w14:solidFill>
              <w14:schemeClr w14:val="tx1"/>
            </w14:solidFill>
          </w14:textFill>
        </w:rPr>
        <w:t>股</w:t>
      </w:r>
      <w:r>
        <w:rPr>
          <w:rFonts w:hint="eastAsia" w:ascii="宋体" w:hAnsi="宋体"/>
          <w:color w:val="000000" w:themeColor="text1"/>
          <w14:textFill>
            <w14:solidFill>
              <w14:schemeClr w14:val="tx1"/>
            </w14:solidFill>
          </w14:textFill>
        </w:rPr>
        <w:t>本变动情况</w:t>
      </w:r>
      <w:bookmarkEnd w:id="105"/>
      <w:bookmarkEnd w:id="106"/>
    </w:p>
    <w:p>
      <w:pPr>
        <w:pStyle w:val="51"/>
        <w:numPr>
          <w:ilvl w:val="1"/>
          <w:numId w:val="24"/>
        </w:numPr>
        <w:rPr>
          <w:rFonts w:hint="eastAsia" w:ascii="宋体" w:hAnsi="宋体"/>
          <w:color w:val="000000" w:themeColor="text1"/>
          <w14:textFill>
            <w14:solidFill>
              <w14:schemeClr w14:val="tx1"/>
            </w14:solidFill>
          </w14:textFill>
        </w:rPr>
      </w:pPr>
      <w:bookmarkStart w:id="107" w:name="_Toc342059477"/>
      <w:bookmarkStart w:id="108" w:name="_Toc342565990"/>
      <w:r>
        <w:rPr>
          <w:rFonts w:hint="eastAsia" w:ascii="宋体" w:hAnsi="宋体"/>
          <w:color w:val="000000" w:themeColor="text1"/>
          <w14:textFill>
            <w14:solidFill>
              <w14:schemeClr w14:val="tx1"/>
            </w14:solidFill>
          </w14:textFill>
        </w:rPr>
        <w:t>股份变动情况表</w:t>
      </w:r>
      <w:bookmarkEnd w:id="107"/>
      <w:bookmarkEnd w:id="108"/>
    </w:p>
    <w:p>
      <w:pPr>
        <w:pStyle w:val="52"/>
        <w:numPr>
          <w:ilvl w:val="2"/>
          <w:numId w:val="25"/>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股份变动情况表</w:t>
      </w:r>
    </w:p>
    <w:p>
      <w:pPr>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股份变动情况表"/>
          <w:tag w:val="_GBC_649f6bada42647f7be991e46e2b2e42d"/>
          <w:id w:val="1476641713"/>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股</w:t>
          </w:r>
        </w:sdtContent>
      </w:sdt>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1266"/>
        <w:gridCol w:w="689"/>
        <w:gridCol w:w="426"/>
        <w:gridCol w:w="426"/>
        <w:gridCol w:w="426"/>
        <w:gridCol w:w="1126"/>
        <w:gridCol w:w="1126"/>
        <w:gridCol w:w="1266"/>
        <w:gridCol w:w="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11" w:type="pct"/>
            <w:vMerge w:val="restart"/>
          </w:tcPr>
          <w:p>
            <w:pPr>
              <w:jc w:val="center"/>
              <w:rPr>
                <w:color w:val="000000" w:themeColor="text1"/>
                <w14:textFill>
                  <w14:solidFill>
                    <w14:schemeClr w14:val="tx1"/>
                  </w14:solidFill>
                </w14:textFill>
              </w:rPr>
            </w:pPr>
          </w:p>
        </w:tc>
        <w:sdt>
          <w:sdtPr>
            <w:tag w:val="_PLD_1d3571976c514fb18cb081806befcec3"/>
            <w:id w:val="-1355800706"/>
          </w:sdtPr>
          <w:sdtContent>
            <w:tc>
              <w:tcPr>
                <w:tcW w:w="1108" w:type="pct"/>
                <w:gridSpan w:val="2"/>
                <w:vAlign w:val="center"/>
              </w:tcPr>
              <w:p>
                <w:pPr>
                  <w:pStyle w:val="68"/>
                  <w:jc w:val="center"/>
                  <w:rPr>
                    <w:rFonts w:hint="eastAsia" w:hAnsi="宋体"/>
                    <w:color w:val="000000" w:themeColor="text1"/>
                    <w:szCs w:val="21"/>
                    <w14:textFill>
                      <w14:solidFill>
                        <w14:schemeClr w14:val="tx1"/>
                      </w14:solidFill>
                    </w14:textFill>
                  </w:rPr>
                </w:pPr>
                <w:r>
                  <w:rPr>
                    <w:rFonts w:hAnsi="宋体"/>
                    <w:color w:val="000000" w:themeColor="text1"/>
                    <w:szCs w:val="21"/>
                    <w14:textFill>
                      <w14:solidFill>
                        <w14:schemeClr w14:val="tx1"/>
                      </w14:solidFill>
                    </w14:textFill>
                  </w:rPr>
                  <w:t>本次变动前</w:t>
                </w:r>
              </w:p>
            </w:tc>
          </w:sdtContent>
        </w:sdt>
        <w:sdt>
          <w:sdtPr>
            <w:tag w:val="_PLD_f954d926be3144c9ae3f8e8632aa9d60"/>
            <w:id w:val="1280848809"/>
          </w:sdtPr>
          <w:sdtContent>
            <w:tc>
              <w:tcPr>
                <w:tcW w:w="1663" w:type="pct"/>
                <w:gridSpan w:val="5"/>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本次变动增减（</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tc>
          </w:sdtContent>
        </w:sdt>
        <w:sdt>
          <w:sdtPr>
            <w:tag w:val="_PLD_cec7316485294778b9434173c325ba5e"/>
            <w:id w:val="1583177506"/>
          </w:sdtPr>
          <w:sdtContent>
            <w:tc>
              <w:tcPr>
                <w:tcW w:w="1018" w:type="pct"/>
                <w:gridSpan w:val="2"/>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本次变动后</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211" w:type="pct"/>
            <w:vMerge w:val="continue"/>
          </w:tcPr>
          <w:p>
            <w:pPr>
              <w:jc w:val="center"/>
              <w:rPr>
                <w:color w:val="000000" w:themeColor="text1"/>
                <w14:textFill>
                  <w14:solidFill>
                    <w14:schemeClr w14:val="tx1"/>
                  </w14:solidFill>
                </w14:textFill>
              </w:rPr>
            </w:pPr>
          </w:p>
        </w:tc>
        <w:sdt>
          <w:sdtPr>
            <w:tag w:val="_PLD_988f8052801b48dbbfb8723a148d46cc"/>
            <w:id w:val="-856881065"/>
          </w:sdtPr>
          <w:sdtContent>
            <w:tc>
              <w:tcPr>
                <w:tcW w:w="717" w:type="pct"/>
                <w:vAlign w:val="center"/>
              </w:tcPr>
              <w:p>
                <w:pPr>
                  <w:pStyle w:val="68"/>
                  <w:jc w:val="center"/>
                  <w:rPr>
                    <w:rFonts w:hint="eastAsia" w:hAnsi="宋体"/>
                    <w:color w:val="000000" w:themeColor="text1"/>
                    <w:szCs w:val="21"/>
                    <w14:textFill>
                      <w14:solidFill>
                        <w14:schemeClr w14:val="tx1"/>
                      </w14:solidFill>
                    </w14:textFill>
                  </w:rPr>
                </w:pPr>
                <w:r>
                  <w:rPr>
                    <w:rFonts w:hAnsi="宋体"/>
                    <w:color w:val="000000" w:themeColor="text1"/>
                    <w:szCs w:val="21"/>
                    <w14:textFill>
                      <w14:solidFill>
                        <w14:schemeClr w14:val="tx1"/>
                      </w14:solidFill>
                    </w14:textFill>
                  </w:rPr>
                  <w:t>数量</w:t>
                </w:r>
              </w:p>
            </w:tc>
          </w:sdtContent>
        </w:sdt>
        <w:sdt>
          <w:sdtPr>
            <w:tag w:val="_PLD_cc8dc17fd4d4489393b7d886bbaba2ae"/>
            <w:id w:val="-439911300"/>
          </w:sdtPr>
          <w:sdtContent>
            <w:tc>
              <w:tcPr>
                <w:tcW w:w="390" w:type="pct"/>
                <w:vAlign w:val="center"/>
              </w:tcPr>
              <w:p>
                <w:pPr>
                  <w:pStyle w:val="68"/>
                  <w:jc w:val="center"/>
                  <w:rPr>
                    <w:rFonts w:hint="eastAsia" w:hAnsi="宋体"/>
                    <w:color w:val="000000" w:themeColor="text1"/>
                    <w:szCs w:val="21"/>
                    <w14:textFill>
                      <w14:solidFill>
                        <w14:schemeClr w14:val="tx1"/>
                      </w14:solidFill>
                    </w14:textFill>
                  </w:rPr>
                </w:pPr>
                <w:r>
                  <w:rPr>
                    <w:rFonts w:hAnsi="宋体"/>
                    <w:color w:val="000000" w:themeColor="text1"/>
                    <w:szCs w:val="21"/>
                    <w14:textFill>
                      <w14:solidFill>
                        <w14:schemeClr w14:val="tx1"/>
                      </w14:solidFill>
                    </w14:textFill>
                  </w:rPr>
                  <w:t>比例(%)</w:t>
                </w:r>
              </w:p>
            </w:tc>
          </w:sdtContent>
        </w:sdt>
        <w:sdt>
          <w:sdtPr>
            <w:tag w:val="_PLD_819ab102e7454eaeaeeb2e735bb58a47"/>
            <w:id w:val="-1675187263"/>
          </w:sdtPr>
          <w:sdtContent>
            <w:tc>
              <w:tcPr>
                <w:tcW w:w="241" w:type="pct"/>
                <w:vAlign w:val="center"/>
              </w:tcPr>
              <w:p>
                <w:pPr>
                  <w:pStyle w:val="68"/>
                  <w:jc w:val="center"/>
                  <w:rPr>
                    <w:rFonts w:hint="eastAsia" w:hAnsi="宋体"/>
                    <w:color w:val="000000" w:themeColor="text1"/>
                    <w:szCs w:val="21"/>
                    <w14:textFill>
                      <w14:solidFill>
                        <w14:schemeClr w14:val="tx1"/>
                      </w14:solidFill>
                    </w14:textFill>
                  </w:rPr>
                </w:pPr>
                <w:r>
                  <w:rPr>
                    <w:rFonts w:hAnsi="宋体"/>
                    <w:color w:val="000000" w:themeColor="text1"/>
                    <w:szCs w:val="21"/>
                    <w14:textFill>
                      <w14:solidFill>
                        <w14:schemeClr w14:val="tx1"/>
                      </w14:solidFill>
                    </w14:textFill>
                  </w:rPr>
                  <w:t>发行新股</w:t>
                </w:r>
              </w:p>
            </w:tc>
          </w:sdtContent>
        </w:sdt>
        <w:sdt>
          <w:sdtPr>
            <w:tag w:val="_PLD_ca852324ba5846e4a03f00a70d2419b6"/>
            <w:id w:val="-1298911906"/>
          </w:sdtPr>
          <w:sdtContent>
            <w:tc>
              <w:tcPr>
                <w:tcW w:w="241"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送股</w:t>
                </w:r>
              </w:p>
            </w:tc>
          </w:sdtContent>
        </w:sdt>
        <w:sdt>
          <w:sdtPr>
            <w:tag w:val="_PLD_256901472d194e72bb27b5c58bda16f6"/>
            <w:id w:val="-1764213808"/>
          </w:sdtPr>
          <w:sdtContent>
            <w:tc>
              <w:tcPr>
                <w:tcW w:w="241"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公积金转股</w:t>
                </w:r>
              </w:p>
            </w:tc>
          </w:sdtContent>
        </w:sdt>
        <w:sdt>
          <w:sdtPr>
            <w:tag w:val="_PLD_19719ecd361d42b8b1c40359981df642"/>
            <w:id w:val="-1006833053"/>
          </w:sdtPr>
          <w:sdtContent>
            <w:tc>
              <w:tcPr>
                <w:tcW w:w="697" w:type="pct"/>
                <w:vAlign w:val="center"/>
              </w:tcPr>
              <w:p>
                <w:pPr>
                  <w:pStyle w:val="68"/>
                  <w:jc w:val="center"/>
                  <w:rPr>
                    <w:rFonts w:hint="eastAsia" w:hAnsi="宋体"/>
                    <w:color w:val="000000" w:themeColor="text1"/>
                    <w:szCs w:val="21"/>
                    <w14:textFill>
                      <w14:solidFill>
                        <w14:schemeClr w14:val="tx1"/>
                      </w14:solidFill>
                    </w14:textFill>
                  </w:rPr>
                </w:pPr>
                <w:r>
                  <w:rPr>
                    <w:rFonts w:hAnsi="宋体"/>
                    <w:color w:val="000000" w:themeColor="text1"/>
                    <w:szCs w:val="21"/>
                    <w14:textFill>
                      <w14:solidFill>
                        <w14:schemeClr w14:val="tx1"/>
                      </w14:solidFill>
                    </w14:textFill>
                  </w:rPr>
                  <w:t>其他</w:t>
                </w:r>
              </w:p>
            </w:tc>
          </w:sdtContent>
        </w:sdt>
        <w:sdt>
          <w:sdtPr>
            <w:tag w:val="_PLD_3813d11427a043ca89700d021749eb26"/>
            <w:id w:val="134154810"/>
          </w:sdtPr>
          <w:sdtContent>
            <w:tc>
              <w:tcPr>
                <w:tcW w:w="241" w:type="pct"/>
                <w:vAlign w:val="center"/>
              </w:tcPr>
              <w:p>
                <w:pPr>
                  <w:pStyle w:val="68"/>
                  <w:jc w:val="center"/>
                  <w:rPr>
                    <w:rFonts w:hint="eastAsia" w:hAnsi="宋体"/>
                    <w:color w:val="000000" w:themeColor="text1"/>
                    <w:szCs w:val="21"/>
                    <w14:textFill>
                      <w14:solidFill>
                        <w14:schemeClr w14:val="tx1"/>
                      </w14:solidFill>
                    </w14:textFill>
                  </w:rPr>
                </w:pPr>
                <w:r>
                  <w:rPr>
                    <w:rFonts w:hAnsi="宋体"/>
                    <w:color w:val="000000" w:themeColor="text1"/>
                    <w:szCs w:val="21"/>
                    <w14:textFill>
                      <w14:solidFill>
                        <w14:schemeClr w14:val="tx1"/>
                      </w14:solidFill>
                    </w14:textFill>
                  </w:rPr>
                  <w:t>小计</w:t>
                </w:r>
              </w:p>
            </w:tc>
          </w:sdtContent>
        </w:sdt>
        <w:sdt>
          <w:sdtPr>
            <w:tag w:val="_PLD_8ff8f75dfeaa4bf2a6068460efe092f4"/>
            <w:id w:val="-148134657"/>
          </w:sdtPr>
          <w:sdtContent>
            <w:tc>
              <w:tcPr>
                <w:tcW w:w="717" w:type="pct"/>
                <w:vAlign w:val="center"/>
              </w:tcPr>
              <w:p>
                <w:pPr>
                  <w:pStyle w:val="68"/>
                  <w:jc w:val="center"/>
                  <w:rPr>
                    <w:rFonts w:hint="eastAsia" w:hAnsi="宋体"/>
                    <w:color w:val="000000" w:themeColor="text1"/>
                    <w:szCs w:val="21"/>
                    <w14:textFill>
                      <w14:solidFill>
                        <w14:schemeClr w14:val="tx1"/>
                      </w14:solidFill>
                    </w14:textFill>
                  </w:rPr>
                </w:pPr>
                <w:r>
                  <w:rPr>
                    <w:rFonts w:hAnsi="宋体"/>
                    <w:color w:val="000000" w:themeColor="text1"/>
                    <w:szCs w:val="21"/>
                    <w14:textFill>
                      <w14:solidFill>
                        <w14:schemeClr w14:val="tx1"/>
                      </w14:solidFill>
                    </w14:textFill>
                  </w:rPr>
                  <w:t>数量</w:t>
                </w:r>
              </w:p>
            </w:tc>
          </w:sdtContent>
        </w:sdt>
        <w:sdt>
          <w:sdtPr>
            <w:tag w:val="_PLD_e100c0c8ad354419b737193b7eb5de7f"/>
            <w:id w:val="247000491"/>
          </w:sdtPr>
          <w:sdtContent>
            <w:tc>
              <w:tcPr>
                <w:tcW w:w="301" w:type="pct"/>
                <w:vAlign w:val="center"/>
              </w:tcPr>
              <w:p>
                <w:pPr>
                  <w:pStyle w:val="68"/>
                  <w:jc w:val="center"/>
                  <w:rPr>
                    <w:rFonts w:hint="eastAsia" w:hAnsi="宋体"/>
                    <w:color w:val="000000" w:themeColor="text1"/>
                    <w:szCs w:val="21"/>
                    <w14:textFill>
                      <w14:solidFill>
                        <w14:schemeClr w14:val="tx1"/>
                      </w14:solidFill>
                    </w14:textFill>
                  </w:rPr>
                </w:pPr>
                <w:r>
                  <w:rPr>
                    <w:rFonts w:hAnsi="宋体"/>
                    <w:color w:val="000000" w:themeColor="text1"/>
                    <w:szCs w:val="21"/>
                    <w14:textFill>
                      <w14:solidFill>
                        <w14:schemeClr w14:val="tx1"/>
                      </w14:solidFill>
                    </w14:textFill>
                  </w:rPr>
                  <w:t>比例(%)</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一、有限售条件股份</w:t>
            </w:r>
          </w:p>
        </w:tc>
        <w:tc>
          <w:tcPr>
            <w:tcW w:w="717" w:type="pct"/>
            <w:vAlign w:val="center"/>
          </w:tcPr>
          <w:p>
            <w:pPr>
              <w:jc w:val="right"/>
            </w:pPr>
            <w:r>
              <w:t>2,316,000</w:t>
            </w:r>
          </w:p>
        </w:tc>
        <w:tc>
          <w:tcPr>
            <w:tcW w:w="390" w:type="pct"/>
            <w:vAlign w:val="center"/>
          </w:tcPr>
          <w:p>
            <w:pPr>
              <w:jc w:val="right"/>
            </w:pPr>
            <w:r>
              <w:rPr>
                <w:rFonts w:hint="eastAsia"/>
              </w:rPr>
              <w:t>0.70</w:t>
            </w: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bookmarkStart w:id="109" w:name="OLE_LINK4"/>
            <w:r>
              <w:rPr>
                <w:rFonts w:hint="eastAsia"/>
              </w:rPr>
              <w:t>-</w:t>
            </w:r>
            <w:r>
              <w:t>2,316,000</w:t>
            </w:r>
            <w:bookmarkEnd w:id="109"/>
          </w:p>
        </w:tc>
        <w:tc>
          <w:tcPr>
            <w:tcW w:w="241" w:type="pct"/>
            <w:vAlign w:val="center"/>
          </w:tcPr>
          <w:p>
            <w:pPr>
              <w:jc w:val="right"/>
            </w:pPr>
            <w:r>
              <w:rPr>
                <w:rFonts w:hint="eastAsia"/>
              </w:rPr>
              <w:t>-</w:t>
            </w:r>
            <w:r>
              <w:t>2,316,000</w:t>
            </w:r>
          </w:p>
        </w:tc>
        <w:tc>
          <w:tcPr>
            <w:tcW w:w="717" w:type="pct"/>
            <w:vAlign w:val="center"/>
          </w:tcPr>
          <w:p>
            <w:pPr>
              <w:jc w:val="right"/>
            </w:pPr>
            <w:r>
              <w:rPr>
                <w:rFonts w:hint="eastAsia"/>
              </w:rPr>
              <w:t>0</w:t>
            </w:r>
          </w:p>
        </w:tc>
        <w:tc>
          <w:tcPr>
            <w:tcW w:w="301" w:type="pct"/>
            <w:vAlign w:val="center"/>
          </w:tcPr>
          <w:p>
            <w:pPr>
              <w:jc w:val="right"/>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1、国家持股</w:t>
            </w:r>
          </w:p>
        </w:tc>
        <w:tc>
          <w:tcPr>
            <w:tcW w:w="717" w:type="pct"/>
            <w:vAlign w:val="center"/>
          </w:tcPr>
          <w:p>
            <w:pPr>
              <w:jc w:val="right"/>
            </w:pPr>
          </w:p>
        </w:tc>
        <w:tc>
          <w:tcPr>
            <w:tcW w:w="390" w:type="pct"/>
            <w:vAlign w:val="center"/>
          </w:tcPr>
          <w:p>
            <w:pPr>
              <w:jc w:val="right"/>
            </w:pP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p>
        </w:tc>
        <w:tc>
          <w:tcPr>
            <w:tcW w:w="241" w:type="pct"/>
            <w:vAlign w:val="center"/>
          </w:tcPr>
          <w:p>
            <w:pPr>
              <w:jc w:val="right"/>
            </w:pPr>
          </w:p>
        </w:tc>
        <w:tc>
          <w:tcPr>
            <w:tcW w:w="717" w:type="pct"/>
            <w:vAlign w:val="center"/>
          </w:tcPr>
          <w:p>
            <w:pPr>
              <w:jc w:val="right"/>
            </w:pPr>
          </w:p>
        </w:tc>
        <w:tc>
          <w:tcPr>
            <w:tcW w:w="30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2、国有法人持股</w:t>
            </w:r>
          </w:p>
        </w:tc>
        <w:tc>
          <w:tcPr>
            <w:tcW w:w="717" w:type="pct"/>
            <w:vAlign w:val="center"/>
          </w:tcPr>
          <w:p>
            <w:pPr>
              <w:jc w:val="right"/>
            </w:pPr>
          </w:p>
        </w:tc>
        <w:tc>
          <w:tcPr>
            <w:tcW w:w="390" w:type="pct"/>
            <w:vAlign w:val="center"/>
          </w:tcPr>
          <w:p>
            <w:pPr>
              <w:jc w:val="right"/>
            </w:pP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p>
        </w:tc>
        <w:tc>
          <w:tcPr>
            <w:tcW w:w="241" w:type="pct"/>
            <w:vAlign w:val="center"/>
          </w:tcPr>
          <w:p>
            <w:pPr>
              <w:jc w:val="right"/>
            </w:pPr>
          </w:p>
        </w:tc>
        <w:tc>
          <w:tcPr>
            <w:tcW w:w="717" w:type="pct"/>
            <w:vAlign w:val="center"/>
          </w:tcPr>
          <w:p>
            <w:pPr>
              <w:jc w:val="right"/>
            </w:pPr>
          </w:p>
        </w:tc>
        <w:tc>
          <w:tcPr>
            <w:tcW w:w="30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3、其他内资持股</w:t>
            </w:r>
          </w:p>
        </w:tc>
        <w:tc>
          <w:tcPr>
            <w:tcW w:w="717" w:type="pct"/>
            <w:vAlign w:val="center"/>
          </w:tcPr>
          <w:p>
            <w:pPr>
              <w:jc w:val="right"/>
            </w:pPr>
          </w:p>
        </w:tc>
        <w:tc>
          <w:tcPr>
            <w:tcW w:w="390" w:type="pct"/>
            <w:vAlign w:val="center"/>
          </w:tcPr>
          <w:p>
            <w:pPr>
              <w:jc w:val="right"/>
            </w:pP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p>
        </w:tc>
        <w:tc>
          <w:tcPr>
            <w:tcW w:w="241" w:type="pct"/>
            <w:vAlign w:val="center"/>
          </w:tcPr>
          <w:p>
            <w:pPr>
              <w:jc w:val="right"/>
            </w:pPr>
          </w:p>
        </w:tc>
        <w:tc>
          <w:tcPr>
            <w:tcW w:w="717" w:type="pct"/>
            <w:vAlign w:val="center"/>
          </w:tcPr>
          <w:p>
            <w:pPr>
              <w:jc w:val="right"/>
            </w:pPr>
          </w:p>
        </w:tc>
        <w:tc>
          <w:tcPr>
            <w:tcW w:w="30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其中：境内非国有法人持股</w:t>
            </w:r>
          </w:p>
        </w:tc>
        <w:tc>
          <w:tcPr>
            <w:tcW w:w="717" w:type="pct"/>
            <w:vAlign w:val="center"/>
          </w:tcPr>
          <w:p>
            <w:pPr>
              <w:jc w:val="right"/>
            </w:pPr>
          </w:p>
        </w:tc>
        <w:tc>
          <w:tcPr>
            <w:tcW w:w="390" w:type="pct"/>
            <w:vAlign w:val="center"/>
          </w:tcPr>
          <w:p>
            <w:pPr>
              <w:jc w:val="right"/>
            </w:pP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p>
        </w:tc>
        <w:tc>
          <w:tcPr>
            <w:tcW w:w="241" w:type="pct"/>
            <w:vAlign w:val="center"/>
          </w:tcPr>
          <w:p>
            <w:pPr>
              <w:jc w:val="right"/>
            </w:pPr>
          </w:p>
        </w:tc>
        <w:tc>
          <w:tcPr>
            <w:tcW w:w="717" w:type="pct"/>
            <w:vAlign w:val="center"/>
          </w:tcPr>
          <w:p>
            <w:pPr>
              <w:jc w:val="right"/>
            </w:pPr>
          </w:p>
        </w:tc>
        <w:tc>
          <w:tcPr>
            <w:tcW w:w="30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境内自然人持股</w:t>
            </w:r>
          </w:p>
        </w:tc>
        <w:tc>
          <w:tcPr>
            <w:tcW w:w="717" w:type="pct"/>
            <w:vAlign w:val="center"/>
          </w:tcPr>
          <w:p>
            <w:pPr>
              <w:jc w:val="right"/>
            </w:pPr>
            <w:r>
              <w:t>2,316,000</w:t>
            </w:r>
          </w:p>
        </w:tc>
        <w:tc>
          <w:tcPr>
            <w:tcW w:w="390" w:type="pct"/>
            <w:vAlign w:val="center"/>
          </w:tcPr>
          <w:p>
            <w:pPr>
              <w:jc w:val="right"/>
            </w:pPr>
            <w:r>
              <w:rPr>
                <w:rFonts w:hint="eastAsia"/>
              </w:rPr>
              <w:t>0.70</w:t>
            </w: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r>
              <w:rPr>
                <w:rFonts w:hint="eastAsia"/>
              </w:rPr>
              <w:t>-</w:t>
            </w:r>
            <w:r>
              <w:t>2,316,000</w:t>
            </w:r>
          </w:p>
        </w:tc>
        <w:tc>
          <w:tcPr>
            <w:tcW w:w="241" w:type="pct"/>
            <w:vAlign w:val="center"/>
          </w:tcPr>
          <w:p>
            <w:pPr>
              <w:jc w:val="right"/>
            </w:pPr>
            <w:r>
              <w:rPr>
                <w:rFonts w:hint="eastAsia"/>
              </w:rPr>
              <w:t>-</w:t>
            </w:r>
            <w:r>
              <w:t>2,316,000</w:t>
            </w:r>
          </w:p>
        </w:tc>
        <w:tc>
          <w:tcPr>
            <w:tcW w:w="717" w:type="pct"/>
            <w:vAlign w:val="center"/>
          </w:tcPr>
          <w:p>
            <w:pPr>
              <w:jc w:val="right"/>
            </w:pPr>
            <w:r>
              <w:rPr>
                <w:rFonts w:hint="eastAsia"/>
              </w:rPr>
              <w:t>0</w:t>
            </w:r>
          </w:p>
        </w:tc>
        <w:tc>
          <w:tcPr>
            <w:tcW w:w="301" w:type="pct"/>
            <w:vAlign w:val="center"/>
          </w:tcPr>
          <w:p>
            <w:pPr>
              <w:jc w:val="right"/>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外资持股</w:t>
            </w:r>
          </w:p>
        </w:tc>
        <w:tc>
          <w:tcPr>
            <w:tcW w:w="717" w:type="pct"/>
            <w:vAlign w:val="center"/>
          </w:tcPr>
          <w:p>
            <w:pPr>
              <w:jc w:val="right"/>
            </w:pPr>
          </w:p>
        </w:tc>
        <w:tc>
          <w:tcPr>
            <w:tcW w:w="390" w:type="pct"/>
            <w:vAlign w:val="center"/>
          </w:tcPr>
          <w:p>
            <w:pPr>
              <w:jc w:val="right"/>
            </w:pP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p>
        </w:tc>
        <w:tc>
          <w:tcPr>
            <w:tcW w:w="241" w:type="pct"/>
            <w:vAlign w:val="center"/>
          </w:tcPr>
          <w:p>
            <w:pPr>
              <w:jc w:val="right"/>
            </w:pPr>
          </w:p>
        </w:tc>
        <w:tc>
          <w:tcPr>
            <w:tcW w:w="717" w:type="pct"/>
            <w:vAlign w:val="center"/>
          </w:tcPr>
          <w:p>
            <w:pPr>
              <w:jc w:val="right"/>
            </w:pPr>
          </w:p>
        </w:tc>
        <w:tc>
          <w:tcPr>
            <w:tcW w:w="30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其中：境外法人持股</w:t>
            </w:r>
          </w:p>
        </w:tc>
        <w:tc>
          <w:tcPr>
            <w:tcW w:w="717" w:type="pct"/>
            <w:vAlign w:val="center"/>
          </w:tcPr>
          <w:p>
            <w:pPr>
              <w:jc w:val="right"/>
            </w:pPr>
          </w:p>
        </w:tc>
        <w:tc>
          <w:tcPr>
            <w:tcW w:w="390" w:type="pct"/>
            <w:vAlign w:val="center"/>
          </w:tcPr>
          <w:p>
            <w:pPr>
              <w:jc w:val="right"/>
            </w:pP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p>
        </w:tc>
        <w:tc>
          <w:tcPr>
            <w:tcW w:w="241" w:type="pct"/>
            <w:vAlign w:val="center"/>
          </w:tcPr>
          <w:p>
            <w:pPr>
              <w:jc w:val="right"/>
            </w:pPr>
          </w:p>
        </w:tc>
        <w:tc>
          <w:tcPr>
            <w:tcW w:w="717" w:type="pct"/>
            <w:vAlign w:val="center"/>
          </w:tcPr>
          <w:p>
            <w:pPr>
              <w:jc w:val="right"/>
            </w:pPr>
          </w:p>
        </w:tc>
        <w:tc>
          <w:tcPr>
            <w:tcW w:w="30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境外自然人持股</w:t>
            </w:r>
          </w:p>
        </w:tc>
        <w:tc>
          <w:tcPr>
            <w:tcW w:w="717" w:type="pct"/>
            <w:vAlign w:val="center"/>
          </w:tcPr>
          <w:p>
            <w:pPr>
              <w:jc w:val="right"/>
            </w:pPr>
          </w:p>
        </w:tc>
        <w:tc>
          <w:tcPr>
            <w:tcW w:w="390" w:type="pct"/>
            <w:vAlign w:val="center"/>
          </w:tcPr>
          <w:p>
            <w:pPr>
              <w:jc w:val="right"/>
            </w:pP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p>
        </w:tc>
        <w:tc>
          <w:tcPr>
            <w:tcW w:w="241" w:type="pct"/>
            <w:vAlign w:val="center"/>
          </w:tcPr>
          <w:p>
            <w:pPr>
              <w:jc w:val="right"/>
            </w:pPr>
          </w:p>
        </w:tc>
        <w:tc>
          <w:tcPr>
            <w:tcW w:w="717" w:type="pct"/>
            <w:vAlign w:val="center"/>
          </w:tcPr>
          <w:p>
            <w:pPr>
              <w:jc w:val="right"/>
            </w:pPr>
          </w:p>
        </w:tc>
        <w:tc>
          <w:tcPr>
            <w:tcW w:w="30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pStyle w:val="63"/>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二、无限售条件流通股份</w:t>
            </w:r>
          </w:p>
        </w:tc>
        <w:tc>
          <w:tcPr>
            <w:tcW w:w="717" w:type="pct"/>
            <w:vAlign w:val="center"/>
          </w:tcPr>
          <w:p>
            <w:pPr>
              <w:jc w:val="right"/>
            </w:pPr>
            <w:r>
              <w:t>330,037,407</w:t>
            </w:r>
          </w:p>
        </w:tc>
        <w:tc>
          <w:tcPr>
            <w:tcW w:w="390" w:type="pct"/>
            <w:vAlign w:val="center"/>
          </w:tcPr>
          <w:p>
            <w:pPr>
              <w:jc w:val="right"/>
            </w:pPr>
            <w:r>
              <w:t>99.30</w:t>
            </w: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r>
              <w:t>-72,768</w:t>
            </w:r>
          </w:p>
        </w:tc>
        <w:tc>
          <w:tcPr>
            <w:tcW w:w="241" w:type="pct"/>
            <w:vAlign w:val="center"/>
          </w:tcPr>
          <w:p>
            <w:pPr>
              <w:jc w:val="right"/>
            </w:pPr>
            <w:r>
              <w:t>-72,768</w:t>
            </w:r>
          </w:p>
        </w:tc>
        <w:tc>
          <w:tcPr>
            <w:tcW w:w="717" w:type="pct"/>
            <w:vAlign w:val="center"/>
          </w:tcPr>
          <w:p>
            <w:pPr>
              <w:jc w:val="right"/>
            </w:pPr>
            <w:r>
              <w:t>329,964,639</w:t>
            </w:r>
          </w:p>
        </w:tc>
        <w:tc>
          <w:tcPr>
            <w:tcW w:w="301" w:type="pct"/>
            <w:vAlign w:val="center"/>
          </w:tcPr>
          <w:p>
            <w:pPr>
              <w:jc w:val="right"/>
            </w:pP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1、人民币普通股</w:t>
            </w:r>
          </w:p>
        </w:tc>
        <w:tc>
          <w:tcPr>
            <w:tcW w:w="717" w:type="pct"/>
            <w:vAlign w:val="center"/>
          </w:tcPr>
          <w:p>
            <w:pPr>
              <w:jc w:val="right"/>
            </w:pPr>
            <w:r>
              <w:t>330,037,407</w:t>
            </w:r>
          </w:p>
        </w:tc>
        <w:tc>
          <w:tcPr>
            <w:tcW w:w="390" w:type="pct"/>
            <w:vAlign w:val="center"/>
          </w:tcPr>
          <w:p>
            <w:pPr>
              <w:jc w:val="right"/>
            </w:pPr>
            <w:r>
              <w:t>99.30</w:t>
            </w: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r>
              <w:t>-72,768</w:t>
            </w:r>
          </w:p>
        </w:tc>
        <w:tc>
          <w:tcPr>
            <w:tcW w:w="241" w:type="pct"/>
            <w:vAlign w:val="center"/>
          </w:tcPr>
          <w:p>
            <w:pPr>
              <w:jc w:val="right"/>
            </w:pPr>
            <w:r>
              <w:t>-72,768</w:t>
            </w:r>
          </w:p>
        </w:tc>
        <w:tc>
          <w:tcPr>
            <w:tcW w:w="717" w:type="pct"/>
            <w:vAlign w:val="center"/>
          </w:tcPr>
          <w:p>
            <w:pPr>
              <w:jc w:val="right"/>
            </w:pPr>
            <w:r>
              <w:t>329,964,639</w:t>
            </w:r>
          </w:p>
        </w:tc>
        <w:tc>
          <w:tcPr>
            <w:tcW w:w="301" w:type="pct"/>
            <w:vAlign w:val="center"/>
          </w:tcPr>
          <w:p>
            <w:pPr>
              <w:jc w:val="right"/>
            </w:pP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2、境内上市的外资股</w:t>
            </w:r>
          </w:p>
        </w:tc>
        <w:tc>
          <w:tcPr>
            <w:tcW w:w="717" w:type="pct"/>
            <w:vAlign w:val="center"/>
          </w:tcPr>
          <w:p>
            <w:pPr>
              <w:jc w:val="right"/>
            </w:pPr>
          </w:p>
        </w:tc>
        <w:tc>
          <w:tcPr>
            <w:tcW w:w="390" w:type="pct"/>
            <w:vAlign w:val="center"/>
          </w:tcPr>
          <w:p>
            <w:pPr>
              <w:jc w:val="right"/>
            </w:pP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p>
        </w:tc>
        <w:tc>
          <w:tcPr>
            <w:tcW w:w="241" w:type="pct"/>
            <w:vAlign w:val="center"/>
          </w:tcPr>
          <w:p>
            <w:pPr>
              <w:jc w:val="right"/>
            </w:pPr>
          </w:p>
        </w:tc>
        <w:tc>
          <w:tcPr>
            <w:tcW w:w="717" w:type="pct"/>
            <w:vAlign w:val="center"/>
          </w:tcPr>
          <w:p>
            <w:pPr>
              <w:jc w:val="right"/>
            </w:pPr>
          </w:p>
        </w:tc>
        <w:tc>
          <w:tcPr>
            <w:tcW w:w="30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3、境外上市的外资股</w:t>
            </w:r>
          </w:p>
        </w:tc>
        <w:tc>
          <w:tcPr>
            <w:tcW w:w="717" w:type="pct"/>
            <w:vAlign w:val="center"/>
          </w:tcPr>
          <w:p>
            <w:pPr>
              <w:jc w:val="right"/>
            </w:pPr>
          </w:p>
        </w:tc>
        <w:tc>
          <w:tcPr>
            <w:tcW w:w="390" w:type="pct"/>
            <w:vAlign w:val="center"/>
          </w:tcPr>
          <w:p>
            <w:pPr>
              <w:jc w:val="right"/>
            </w:pP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p>
        </w:tc>
        <w:tc>
          <w:tcPr>
            <w:tcW w:w="241" w:type="pct"/>
            <w:vAlign w:val="center"/>
          </w:tcPr>
          <w:p>
            <w:pPr>
              <w:jc w:val="right"/>
            </w:pPr>
          </w:p>
        </w:tc>
        <w:tc>
          <w:tcPr>
            <w:tcW w:w="717" w:type="pct"/>
            <w:vAlign w:val="center"/>
          </w:tcPr>
          <w:p>
            <w:pPr>
              <w:jc w:val="right"/>
            </w:pPr>
          </w:p>
        </w:tc>
        <w:tc>
          <w:tcPr>
            <w:tcW w:w="30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4、其他</w:t>
            </w:r>
          </w:p>
        </w:tc>
        <w:tc>
          <w:tcPr>
            <w:tcW w:w="717" w:type="pct"/>
            <w:vAlign w:val="center"/>
          </w:tcPr>
          <w:p>
            <w:pPr>
              <w:jc w:val="right"/>
            </w:pPr>
          </w:p>
        </w:tc>
        <w:tc>
          <w:tcPr>
            <w:tcW w:w="390" w:type="pct"/>
            <w:vAlign w:val="center"/>
          </w:tcPr>
          <w:p>
            <w:pPr>
              <w:jc w:val="right"/>
            </w:pP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p>
        </w:tc>
        <w:tc>
          <w:tcPr>
            <w:tcW w:w="241" w:type="pct"/>
            <w:vAlign w:val="center"/>
          </w:tcPr>
          <w:p>
            <w:pPr>
              <w:jc w:val="right"/>
            </w:pPr>
          </w:p>
        </w:tc>
        <w:tc>
          <w:tcPr>
            <w:tcW w:w="717" w:type="pct"/>
            <w:vAlign w:val="center"/>
          </w:tcPr>
          <w:p>
            <w:pPr>
              <w:jc w:val="right"/>
            </w:pPr>
          </w:p>
        </w:tc>
        <w:tc>
          <w:tcPr>
            <w:tcW w:w="30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1" w:type="pct"/>
          </w:tcPr>
          <w:p>
            <w:pPr>
              <w:rPr>
                <w:color w:val="000000" w:themeColor="text1"/>
                <w14:textFill>
                  <w14:solidFill>
                    <w14:schemeClr w14:val="tx1"/>
                  </w14:solidFill>
                </w14:textFill>
              </w:rPr>
            </w:pPr>
            <w:r>
              <w:rPr>
                <w:color w:val="000000" w:themeColor="text1"/>
                <w14:textFill>
                  <w14:solidFill>
                    <w14:schemeClr w14:val="tx1"/>
                  </w14:solidFill>
                </w14:textFill>
              </w:rPr>
              <w:t>三、股份总数</w:t>
            </w:r>
          </w:p>
        </w:tc>
        <w:tc>
          <w:tcPr>
            <w:tcW w:w="717" w:type="pct"/>
            <w:vAlign w:val="center"/>
          </w:tcPr>
          <w:p>
            <w:pPr>
              <w:jc w:val="right"/>
            </w:pPr>
            <w:r>
              <w:t>332,353,407</w:t>
            </w:r>
          </w:p>
        </w:tc>
        <w:tc>
          <w:tcPr>
            <w:tcW w:w="390" w:type="pct"/>
            <w:vAlign w:val="center"/>
          </w:tcPr>
          <w:p>
            <w:pPr>
              <w:jc w:val="right"/>
            </w:pPr>
            <w:r>
              <w:rPr>
                <w:rFonts w:hint="eastAsia"/>
              </w:rPr>
              <w:t>100</w:t>
            </w:r>
          </w:p>
        </w:tc>
        <w:tc>
          <w:tcPr>
            <w:tcW w:w="241" w:type="pct"/>
            <w:vAlign w:val="center"/>
          </w:tcPr>
          <w:p>
            <w:pPr>
              <w:jc w:val="right"/>
            </w:pPr>
          </w:p>
        </w:tc>
        <w:tc>
          <w:tcPr>
            <w:tcW w:w="241" w:type="pct"/>
            <w:vAlign w:val="center"/>
          </w:tcPr>
          <w:p>
            <w:pPr>
              <w:jc w:val="right"/>
            </w:pPr>
          </w:p>
        </w:tc>
        <w:tc>
          <w:tcPr>
            <w:tcW w:w="241" w:type="pct"/>
            <w:vAlign w:val="center"/>
          </w:tcPr>
          <w:p>
            <w:pPr>
              <w:jc w:val="right"/>
            </w:pPr>
          </w:p>
        </w:tc>
        <w:tc>
          <w:tcPr>
            <w:tcW w:w="697" w:type="pct"/>
            <w:vAlign w:val="center"/>
          </w:tcPr>
          <w:p>
            <w:pPr>
              <w:jc w:val="right"/>
            </w:pPr>
            <w:r>
              <w:rPr>
                <w:rFonts w:hint="eastAsia"/>
              </w:rPr>
              <w:t>-</w:t>
            </w:r>
            <w:r>
              <w:t xml:space="preserve"> 2,386,000</w:t>
            </w:r>
          </w:p>
        </w:tc>
        <w:tc>
          <w:tcPr>
            <w:tcW w:w="241" w:type="pct"/>
            <w:vAlign w:val="center"/>
          </w:tcPr>
          <w:p>
            <w:pPr>
              <w:jc w:val="right"/>
            </w:pPr>
            <w:r>
              <w:rPr>
                <w:rFonts w:hint="eastAsia"/>
              </w:rPr>
              <w:t>-</w:t>
            </w:r>
            <w:r>
              <w:t xml:space="preserve"> 2,386,000</w:t>
            </w:r>
          </w:p>
        </w:tc>
        <w:tc>
          <w:tcPr>
            <w:tcW w:w="717" w:type="pct"/>
            <w:vAlign w:val="center"/>
          </w:tcPr>
          <w:p>
            <w:pPr>
              <w:jc w:val="right"/>
            </w:pPr>
            <w:r>
              <w:t>329,964,639</w:t>
            </w:r>
          </w:p>
        </w:tc>
        <w:tc>
          <w:tcPr>
            <w:tcW w:w="301" w:type="pct"/>
            <w:vAlign w:val="center"/>
          </w:tcPr>
          <w:p>
            <w:pPr>
              <w:jc w:val="right"/>
            </w:pPr>
            <w:r>
              <w:rPr>
                <w:rFonts w:hint="eastAsia"/>
              </w:rPr>
              <w:t>100</w:t>
            </w:r>
          </w:p>
        </w:tc>
      </w:tr>
    </w:tbl>
    <w:p>
      <w:pPr>
        <w:rPr>
          <w:color w:val="000000" w:themeColor="text1"/>
          <w14:textFill>
            <w14:solidFill>
              <w14:schemeClr w14:val="tx1"/>
            </w14:solidFill>
          </w14:textFill>
        </w:rPr>
      </w:pPr>
    </w:p>
    <w:p>
      <w:pPr>
        <w:pStyle w:val="52"/>
        <w:numPr>
          <w:ilvl w:val="2"/>
          <w:numId w:val="25"/>
        </w:numPr>
        <w:rPr>
          <w:rFonts w:hint="eastAsia" w:ascii="宋体" w:hAnsi="宋体"/>
          <w:color w:val="000000" w:themeColor="text1"/>
          <w14:textFill>
            <w14:solidFill>
              <w14:schemeClr w14:val="tx1"/>
            </w14:solidFill>
          </w14:textFill>
        </w:rPr>
      </w:pPr>
      <w:bookmarkStart w:id="110" w:name="_Toc342059483"/>
      <w:bookmarkStart w:id="111" w:name="_Toc342565996"/>
      <w:r>
        <w:rPr>
          <w:rFonts w:hint="eastAsia" w:ascii="宋体" w:hAnsi="宋体"/>
          <w:color w:val="000000" w:themeColor="text1"/>
          <w14:textFill>
            <w14:solidFill>
              <w14:schemeClr w14:val="tx1"/>
            </w14:solidFill>
          </w14:textFill>
        </w:rPr>
        <w:t>股份变动情况说明</w:t>
      </w:r>
    </w:p>
    <w:sdt>
      <w:sdtPr>
        <w:rPr>
          <w:color w:val="000000" w:themeColor="text1"/>
          <w14:textFill>
            <w14:solidFill>
              <w14:schemeClr w14:val="tx1"/>
            </w14:solidFill>
          </w14:textFill>
        </w:rPr>
        <w:alias w:val="是否适用：普通股股份变动情况说明[双击切换]"/>
        <w:tag w:val="_GBC_28994e6dc9c649e498c0ab9c340777bf"/>
        <w:id w:val="-172274569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股份变动情况说明"/>
        <w:tag w:val="_GBC_370febd389f14759b2ed3f1114b289a6"/>
        <w:id w:val="306601628"/>
        <w:placeholder>
          <w:docPart w:val="GBC22222222222222222222222222222"/>
        </w:placeholder>
      </w:sdtPr>
      <w:sdtEndPr>
        <w:rPr>
          <w:rFonts w:hint="default"/>
          <w:color w:val="000000" w:themeColor="text1"/>
          <w14:textFill>
            <w14:solidFill>
              <w14:schemeClr w14:val="tx1"/>
            </w14:solidFill>
          </w14:textFill>
        </w:rPr>
      </w:sdtEndPr>
      <w:sdtContent>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公司</w:t>
          </w:r>
          <w:r>
            <w:rPr>
              <w:color w:val="000000" w:themeColor="text1"/>
              <w14:textFill>
                <w14:solidFill>
                  <w14:schemeClr w14:val="tx1"/>
                </w14:solidFill>
              </w14:textFill>
            </w:rPr>
            <w:t>于2025年12月9日召开第四届董事会第十五次会议，审议通过了《关于终止实施2024年限制性股票激励计划暨回购注销相关限制性股票并调整回购价格的议案》</w:t>
          </w:r>
          <w:r>
            <w:rPr>
              <w:rFonts w:hint="eastAsia"/>
              <w:color w:val="000000" w:themeColor="text1"/>
              <w14:textFill>
                <w14:solidFill>
                  <w14:schemeClr w14:val="tx1"/>
                </w14:solidFill>
              </w14:textFill>
            </w:rPr>
            <w:t>和</w:t>
          </w:r>
          <w:r>
            <w:rPr>
              <w:color w:val="000000" w:themeColor="text1"/>
              <w14:textFill>
                <w14:solidFill>
                  <w14:schemeClr w14:val="tx1"/>
                </w14:solidFill>
              </w14:textFill>
            </w:rPr>
            <w:t>《关于注销公司已回购未使用股票</w:t>
          </w:r>
          <w:r>
            <w:rPr>
              <w:rFonts w:hint="eastAsia"/>
              <w:color w:val="000000" w:themeColor="text1"/>
              <w14:textFill>
                <w14:solidFill>
                  <w14:schemeClr w14:val="tx1"/>
                </w14:solidFill>
              </w14:textFill>
            </w:rPr>
            <w:t>的议案</w:t>
          </w:r>
          <w:r>
            <w:rPr>
              <w:color w:val="000000" w:themeColor="text1"/>
              <w14:textFill>
                <w14:solidFill>
                  <w14:schemeClr w14:val="tx1"/>
                </w14:solidFill>
              </w14:textFill>
            </w:rPr>
            <w:t>》，公司</w:t>
          </w:r>
          <w:r>
            <w:rPr>
              <w:rFonts w:hint="eastAsia"/>
              <w:color w:val="000000" w:themeColor="text1"/>
              <w14:textFill>
                <w14:solidFill>
                  <w14:schemeClr w14:val="tx1"/>
                </w14:solidFill>
              </w14:textFill>
            </w:rPr>
            <w:t>同意</w:t>
          </w:r>
          <w:r>
            <w:rPr>
              <w:color w:val="000000" w:themeColor="text1"/>
              <w14:textFill>
                <w14:solidFill>
                  <w14:schemeClr w14:val="tx1"/>
                </w14:solidFill>
              </w14:textFill>
            </w:rPr>
            <w:t>终止实施2024年限制性股票激励计划（以下简称“本次激励计划”），同意回购已授予未解锁限制性股票共计2,316,000股，同意注销2024年限制性股票激励计划已授予未解锁的2,316,000股及未授予的70,000股合计2,386,000股股票</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同意注销股份回购计划已回购未使用的2,768股股票。</w:t>
          </w:r>
          <w:r>
            <w:rPr>
              <w:rFonts w:hint="eastAsia"/>
              <w:color w:val="000000" w:themeColor="text1"/>
              <w14:textFill>
                <w14:solidFill>
                  <w14:schemeClr w14:val="tx1"/>
                </w14:solidFill>
              </w14:textFill>
            </w:rPr>
            <w:t>以上议案已经公司2025年第一次临时股东会审议通过。</w:t>
          </w:r>
        </w:p>
        <w:p>
          <w:pPr>
            <w:spacing w:line="360" w:lineRule="exact"/>
            <w:ind w:firstLine="420" w:firstLineChars="20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上述72,768股流通股票及</w:t>
          </w:r>
          <w:r>
            <w:rPr>
              <w:color w:val="000000" w:themeColor="text1"/>
              <w14:textFill>
                <w14:solidFill>
                  <w14:schemeClr w14:val="tx1"/>
                </w14:solidFill>
              </w14:textFill>
            </w:rPr>
            <w:t>2,316,000股</w:t>
          </w:r>
          <w:r>
            <w:rPr>
              <w:rFonts w:hint="eastAsia"/>
              <w:color w:val="000000" w:themeColor="text1"/>
              <w14:textFill>
                <w14:solidFill>
                  <w14:schemeClr w14:val="tx1"/>
                </w14:solidFill>
              </w14:textFill>
            </w:rPr>
            <w:t>限售股票已于2026年3月注销。故公司股本减少</w:t>
          </w:r>
          <w:r>
            <w:rPr>
              <w:color w:val="000000" w:themeColor="text1"/>
              <w14:textFill>
                <w14:solidFill>
                  <w14:schemeClr w14:val="tx1"/>
                </w14:solidFill>
              </w14:textFill>
            </w:rPr>
            <w:t>2,3</w:t>
          </w:r>
          <w:r>
            <w:rPr>
              <w:rFonts w:hint="eastAsia"/>
              <w:color w:val="000000" w:themeColor="text1"/>
              <w14:textFill>
                <w14:solidFill>
                  <w14:schemeClr w14:val="tx1"/>
                </w14:solidFill>
              </w14:textFill>
            </w:rPr>
            <w:t>88</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768股，期末公司股份总数为</w:t>
          </w:r>
          <w:r>
            <w:rPr>
              <w:color w:val="000000" w:themeColor="text1"/>
              <w14:textFill>
                <w14:solidFill>
                  <w14:schemeClr w14:val="tx1"/>
                </w14:solidFill>
              </w14:textFill>
            </w:rPr>
            <w:t>329,964,639</w:t>
          </w:r>
          <w:r>
            <w:rPr>
              <w:rFonts w:hint="eastAsia"/>
              <w:color w:val="000000" w:themeColor="text1"/>
              <w14:textFill>
                <w14:solidFill>
                  <w14:schemeClr w14:val="tx1"/>
                </w14:solidFill>
              </w14:textFill>
            </w:rPr>
            <w:t>股。</w:t>
          </w:r>
        </w:p>
      </w:sdtContent>
    </w:sdt>
    <w:p>
      <w:pPr>
        <w:pStyle w:val="52"/>
        <w:numPr>
          <w:ilvl w:val="2"/>
          <w:numId w:val="25"/>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报告期后到半年报披露日期间发生股份变动对每股收益、每股净资产等财务指标的影响（如有）</w:t>
      </w:r>
    </w:p>
    <w:sdt>
      <w:sdtPr>
        <w:rPr>
          <w:rFonts w:hint="eastAsia"/>
          <w:color w:val="000000" w:themeColor="text1"/>
          <w14:textFill>
            <w14:solidFill>
              <w14:schemeClr w14:val="tx1"/>
            </w14:solidFill>
          </w14:textFill>
        </w:rPr>
        <w:alias w:val="是否适用：普通股股份变动对最近一年和最近一期每股收益、每股净资产等财务指标的影响[双击切换]"/>
        <w:tag w:val="_GBC_bb0980f1589b4db8944ca5595f342bfe"/>
        <w:id w:val="-1174341087"/>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2"/>
        <w:numPr>
          <w:ilvl w:val="2"/>
          <w:numId w:val="25"/>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公司认为必要或证券监管机构要求披露的其他内容</w:t>
      </w:r>
    </w:p>
    <w:sdt>
      <w:sdtPr>
        <w:rPr>
          <w:color w:val="000000" w:themeColor="text1"/>
          <w14:textFill>
            <w14:solidFill>
              <w14:schemeClr w14:val="tx1"/>
            </w14:solidFill>
          </w14:textFill>
        </w:rPr>
        <w:alias w:val="是否适用：公司认为必要或证券监管机构要求披露的其他内容[双击切换]"/>
        <w:tag w:val="_GBC_7554eed1e25047d282437f24056d532b"/>
        <w:id w:val="24747620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1"/>
        <w:numPr>
          <w:ilvl w:val="1"/>
          <w:numId w:val="24"/>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限售股份变动情况</w:t>
      </w:r>
    </w:p>
    <w:sdt>
      <w:sdtPr>
        <w:rPr>
          <w:color w:val="000000" w:themeColor="text1"/>
          <w14:textFill>
            <w14:solidFill>
              <w14:schemeClr w14:val="tx1"/>
            </w14:solidFill>
          </w14:textFill>
        </w:rPr>
        <w:alias w:val="是否适用：限售股份变动情况表[双击切换]"/>
        <w:tag w:val="_GBC_6f5978a50e224b6aa94189436cdee711"/>
        <w:id w:val="183386836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限售股份变动情况表"/>
          <w:tag w:val="_GBC_bc29b2c9162c4de0949e481db63b6d68"/>
          <w:id w:val="197903821"/>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股</w:t>
          </w:r>
        </w:sdtContent>
      </w:sdt>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4"/>
        <w:gridCol w:w="1281"/>
        <w:gridCol w:w="1255"/>
        <w:gridCol w:w="1256"/>
        <w:gridCol w:w="1256"/>
        <w:gridCol w:w="1256"/>
        <w:gridCol w:w="1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d75aaa1e1a6469c8b8d62739512a0d7"/>
            <w:id w:val="1755326384"/>
          </w:sdtPr>
          <w:sdtContent>
            <w:tc>
              <w:tcPr>
                <w:tcW w:w="1254"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股东名称</w:t>
                </w:r>
              </w:p>
            </w:tc>
          </w:sdtContent>
        </w:sdt>
        <w:sdt>
          <w:sdtPr>
            <w:tag w:val="_PLD_3634bb194c734c2696ff13517825df21"/>
            <w:id w:val="1814523533"/>
          </w:sdtPr>
          <w:sdtContent>
            <w:tc>
              <w:tcPr>
                <w:tcW w:w="1281"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期初限售股数</w:t>
                </w:r>
              </w:p>
            </w:tc>
          </w:sdtContent>
        </w:sdt>
        <w:sdt>
          <w:sdtPr>
            <w:tag w:val="_PLD_4755ca33c9824685a97cc3f88e193f67"/>
            <w:id w:val="599062333"/>
          </w:sdtPr>
          <w:sdtContent>
            <w:tc>
              <w:tcPr>
                <w:tcW w:w="1255"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报告期解除限售股数</w:t>
                </w:r>
              </w:p>
            </w:tc>
          </w:sdtContent>
        </w:sdt>
        <w:sdt>
          <w:sdtPr>
            <w:tag w:val="_PLD_49473502339e4181be770f8a2d8de8a4"/>
            <w:id w:val="-895749094"/>
          </w:sdtPr>
          <w:sdtContent>
            <w:tc>
              <w:tcPr>
                <w:tcW w:w="1256"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报告期增加限售股数</w:t>
                </w:r>
              </w:p>
            </w:tc>
          </w:sdtContent>
        </w:sdt>
        <w:sdt>
          <w:sdtPr>
            <w:tag w:val="_PLD_c697098ebce54cc48717d1ac0dbb84dd"/>
            <w:id w:val="-1923016019"/>
          </w:sdtPr>
          <w:sdtContent>
            <w:tc>
              <w:tcPr>
                <w:tcW w:w="1256"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报告期末限售股数</w:t>
                </w:r>
              </w:p>
            </w:tc>
          </w:sdtContent>
        </w:sdt>
        <w:sdt>
          <w:sdtPr>
            <w:tag w:val="_PLD_d0290f9781f3416fbffc73a7286c9b99"/>
            <w:id w:val="713850949"/>
          </w:sdtPr>
          <w:sdtContent>
            <w:tc>
              <w:tcPr>
                <w:tcW w:w="1256"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限售原因</w:t>
                </w:r>
              </w:p>
            </w:tc>
          </w:sdtContent>
        </w:sdt>
        <w:sdt>
          <w:sdtPr>
            <w:tag w:val="_PLD_a14912db8c344a3b8e5608678863e824"/>
            <w:id w:val="-1938904355"/>
          </w:sdtPr>
          <w:sdtContent>
            <w:tc>
              <w:tcPr>
                <w:tcW w:w="1265"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解除限售日期</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tcPr>
          <w:p>
            <w:pPr>
              <w:widowControl w:val="0"/>
              <w:jc w:val="both"/>
            </w:pPr>
            <w:r>
              <w:rPr>
                <w:rFonts w:hint="eastAsia"/>
              </w:rPr>
              <w:t>86名原股权激励对象</w:t>
            </w:r>
          </w:p>
        </w:tc>
        <w:tc>
          <w:tcPr>
            <w:tcW w:w="1281" w:type="dxa"/>
            <w:vAlign w:val="center"/>
          </w:tcPr>
          <w:p>
            <w:pPr>
              <w:widowControl w:val="0"/>
              <w:jc w:val="right"/>
            </w:pPr>
            <w:r>
              <w:t>2,316,000</w:t>
            </w:r>
          </w:p>
        </w:tc>
        <w:tc>
          <w:tcPr>
            <w:tcW w:w="1255" w:type="dxa"/>
            <w:vAlign w:val="center"/>
          </w:tcPr>
          <w:p>
            <w:pPr>
              <w:widowControl w:val="0"/>
              <w:jc w:val="right"/>
            </w:pPr>
            <w:r>
              <w:rPr>
                <w:rFonts w:hint="eastAsia"/>
              </w:rPr>
              <w:t>/</w:t>
            </w:r>
          </w:p>
        </w:tc>
        <w:tc>
          <w:tcPr>
            <w:tcW w:w="1256" w:type="dxa"/>
            <w:vAlign w:val="center"/>
          </w:tcPr>
          <w:p>
            <w:pPr>
              <w:widowControl w:val="0"/>
              <w:jc w:val="right"/>
            </w:pPr>
            <w:r>
              <w:rPr>
                <w:rFonts w:hint="eastAsia"/>
              </w:rPr>
              <w:t>/</w:t>
            </w:r>
          </w:p>
        </w:tc>
        <w:tc>
          <w:tcPr>
            <w:tcW w:w="1256" w:type="dxa"/>
            <w:vAlign w:val="center"/>
          </w:tcPr>
          <w:p>
            <w:pPr>
              <w:widowControl w:val="0"/>
              <w:jc w:val="right"/>
            </w:pPr>
            <w:r>
              <w:rPr>
                <w:rFonts w:hint="eastAsia"/>
              </w:rPr>
              <w:t>0</w:t>
            </w:r>
          </w:p>
        </w:tc>
        <w:tc>
          <w:tcPr>
            <w:tcW w:w="1256" w:type="dxa"/>
            <w:vAlign w:val="center"/>
          </w:tcPr>
          <w:p>
            <w:pPr>
              <w:widowControl w:val="0"/>
              <w:jc w:val="both"/>
            </w:pPr>
            <w:r>
              <w:rPr>
                <w:rFonts w:hint="eastAsia"/>
              </w:rPr>
              <w:t>股权激励限售</w:t>
            </w:r>
          </w:p>
        </w:tc>
        <w:tc>
          <w:tcPr>
            <w:tcW w:w="1265" w:type="dxa"/>
            <w:vAlign w:val="center"/>
          </w:tcPr>
          <w:p>
            <w:pPr>
              <w:widowControl w:val="0"/>
              <w:jc w:val="both"/>
            </w:pPr>
            <w:r>
              <w:rPr>
                <w:rFonts w:hint="eastAsia"/>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4"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281" w:type="dxa"/>
            <w:vAlign w:val="center"/>
          </w:tcPr>
          <w:p>
            <w:pPr>
              <w:widowControl w:val="0"/>
              <w:jc w:val="right"/>
            </w:pPr>
            <w:r>
              <w:t>2,316,000</w:t>
            </w:r>
          </w:p>
        </w:tc>
        <w:tc>
          <w:tcPr>
            <w:tcW w:w="1255" w:type="dxa"/>
            <w:vAlign w:val="center"/>
          </w:tcPr>
          <w:p>
            <w:pPr>
              <w:widowControl w:val="0"/>
              <w:jc w:val="right"/>
            </w:pPr>
            <w:r>
              <w:rPr>
                <w:rFonts w:hint="eastAsia"/>
              </w:rPr>
              <w:t>/</w:t>
            </w:r>
          </w:p>
        </w:tc>
        <w:tc>
          <w:tcPr>
            <w:tcW w:w="1256" w:type="dxa"/>
            <w:vAlign w:val="center"/>
          </w:tcPr>
          <w:p>
            <w:pPr>
              <w:widowControl w:val="0"/>
              <w:jc w:val="right"/>
            </w:pPr>
            <w:r>
              <w:rPr>
                <w:rFonts w:hint="eastAsia"/>
              </w:rPr>
              <w:t>/</w:t>
            </w:r>
          </w:p>
        </w:tc>
        <w:tc>
          <w:tcPr>
            <w:tcW w:w="1256" w:type="dxa"/>
            <w:vAlign w:val="center"/>
          </w:tcPr>
          <w:p>
            <w:pPr>
              <w:widowControl w:val="0"/>
              <w:jc w:val="right"/>
            </w:pPr>
            <w:r>
              <w:rPr>
                <w:rFonts w:hint="eastAsia"/>
              </w:rPr>
              <w:t>0</w:t>
            </w:r>
          </w:p>
        </w:tc>
        <w:tc>
          <w:tcPr>
            <w:tcW w:w="1256" w:type="dxa"/>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265" w:type="dxa"/>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注：2,316,000股系2024年股权激励计划首次授予对象第二期、第三期及预留授予对象的股份，经公司第四届董事会第十五次会议和2025年第一次临时股东会审议后同意回购并注销。故该部分限售股未解除限售，回购至公司回购证券专户后注销。</w:t>
      </w:r>
    </w:p>
    <w:p>
      <w:pPr>
        <w:pStyle w:val="50"/>
        <w:numPr>
          <w:ilvl w:val="0"/>
          <w:numId w:val="23"/>
        </w:numPr>
        <w:spacing w:line="360" w:lineRule="auto"/>
        <w:ind w:left="422" w:hanging="422"/>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股东情况</w:t>
      </w:r>
      <w:bookmarkEnd w:id="110"/>
      <w:bookmarkEnd w:id="111"/>
    </w:p>
    <w:p>
      <w:pPr>
        <w:pStyle w:val="51"/>
        <w:numPr>
          <w:ilvl w:val="1"/>
          <w:numId w:val="26"/>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股东总数：</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0"/>
        <w:gridCol w:w="3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9206d6884981495295105158630a6172"/>
            <w:id w:val="-773169609"/>
          </w:sdtPr>
          <w:sdtContent>
            <w:tc>
              <w:tcPr>
                <w:tcW w:w="5070"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截至报告期末</w:t>
                </w:r>
                <w:r>
                  <w:rPr>
                    <w:rFonts w:hint="eastAsia"/>
                    <w:color w:val="000000" w:themeColor="text1"/>
                    <w14:textFill>
                      <w14:solidFill>
                        <w14:schemeClr w14:val="tx1"/>
                      </w14:solidFill>
                    </w14:textFill>
                  </w:rPr>
                  <w:t>普通股</w:t>
                </w:r>
                <w:r>
                  <w:rPr>
                    <w:color w:val="000000" w:themeColor="text1"/>
                    <w14:textFill>
                      <w14:solidFill>
                        <w14:schemeClr w14:val="tx1"/>
                      </w14:solidFill>
                    </w14:textFill>
                  </w:rPr>
                  <w:t>股东总数(户)</w:t>
                </w:r>
              </w:p>
            </w:tc>
          </w:sdtContent>
        </w:sdt>
        <w:sdt>
          <w:sdtPr>
            <w:rPr>
              <w:color w:val="000000" w:themeColor="text1"/>
              <w14:textFill>
                <w14:solidFill>
                  <w14:schemeClr w14:val="tx1"/>
                </w14:solidFill>
              </w14:textFill>
            </w:rPr>
            <w:alias w:val="报告期末股东总数"/>
            <w:tag w:val="_GBC_9fd402ec66014f4e9716c7fdb0286bd2"/>
            <w:id w:val="-959871468"/>
          </w:sdtPr>
          <w:sdtEndPr>
            <w:rPr>
              <w:color w:val="000000" w:themeColor="text1"/>
              <w14:textFill>
                <w14:solidFill>
                  <w14:schemeClr w14:val="tx1"/>
                </w14:solidFill>
              </w14:textFill>
            </w:rPr>
          </w:sdtEndPr>
          <w:sdtContent>
            <w:tc>
              <w:tcPr>
                <w:tcW w:w="3978" w:type="dxa"/>
              </w:tcPr>
              <w:p>
                <w:pPr>
                  <w:widowControl w:val="0"/>
                  <w:jc w:val="right"/>
                  <w:rPr>
                    <w:color w:val="000000" w:themeColor="text1"/>
                    <w14:textFill>
                      <w14:solidFill>
                        <w14:schemeClr w14:val="tx1"/>
                      </w14:solidFill>
                    </w14:textFill>
                  </w:rPr>
                </w:pPr>
                <w:r>
                  <w:rPr>
                    <w:color w:val="000000" w:themeColor="text1"/>
                    <w14:textFill>
                      <w14:solidFill>
                        <w14:schemeClr w14:val="tx1"/>
                      </w14:solidFill>
                    </w14:textFill>
                  </w:rPr>
                  <w:t>35,297</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截至报告期末表决权恢复的优先股股东总数（户）</w:t>
            </w:r>
          </w:p>
        </w:tc>
        <w:tc>
          <w:tcPr>
            <w:tcW w:w="3978" w:type="dxa"/>
          </w:tcPr>
          <w:p>
            <w:pPr>
              <w:widowControl w:val="0"/>
              <w:jc w:val="right"/>
            </w:pPr>
            <w:r>
              <w:rPr>
                <w:rFonts w:hint="eastAsia"/>
              </w:rPr>
              <w:t>0</w:t>
            </w:r>
          </w:p>
        </w:tc>
      </w:tr>
    </w:tbl>
    <w:p>
      <w:pPr>
        <w:rPr>
          <w:color w:val="000000" w:themeColor="text1"/>
          <w14:textFill>
            <w14:solidFill>
              <w14:schemeClr w14:val="tx1"/>
            </w14:solidFill>
          </w14:textFill>
        </w:rPr>
      </w:pPr>
    </w:p>
    <w:p>
      <w:pPr>
        <w:pStyle w:val="51"/>
        <w:numPr>
          <w:ilvl w:val="1"/>
          <w:numId w:val="26"/>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截至报告期末前十名股东、前十名流通股东（或无限售条件股东）持股情况表</w:t>
      </w:r>
    </w:p>
    <w:p>
      <w:pPr>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bCs w:val="0"/>
            <w:color w:val="000000" w:themeColor="text1"/>
            <w14:textFill>
              <w14:solidFill>
                <w14:schemeClr w14:val="tx1"/>
              </w14:solidFill>
            </w14:textFill>
          </w:rPr>
          <w:alias w:val="单位：前十名股东持股情况"/>
          <w:tag w:val="_GBC_9d020b31dcb449c980ed0856cf6dae82"/>
          <w:id w:val="-685135963"/>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rPr>
            <w:bCs w:val="0"/>
            <w:color w:val="000000" w:themeColor="text1"/>
            <w14:textFill>
              <w14:solidFill>
                <w14:schemeClr w14:val="tx1"/>
              </w14:solidFill>
            </w14:textFill>
          </w:rPr>
        </w:sdtEndPr>
        <w:sdtContent>
          <w:r>
            <w:rPr>
              <w:bCs w:val="0"/>
              <w:color w:val="000000" w:themeColor="text1"/>
              <w14:textFill>
                <w14:solidFill>
                  <w14:schemeClr w14:val="tx1"/>
                </w14:solidFill>
              </w14:textFill>
            </w:rPr>
            <w:t>股</w:t>
          </w:r>
        </w:sdtContent>
      </w:sdt>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1225"/>
        <w:gridCol w:w="1164"/>
        <w:gridCol w:w="1027"/>
        <w:gridCol w:w="1335"/>
        <w:gridCol w:w="1273"/>
        <w:gridCol w:w="433"/>
        <w:gridCol w:w="436"/>
        <w:gridCol w:w="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sdt>
          <w:sdtPr>
            <w:tag w:val="_PLD_3038da138bad4905b589aeba821a8575"/>
            <w:id w:val="-1027860669"/>
          </w:sdtPr>
          <w:sdtContent>
            <w:tc>
              <w:tcPr>
                <w:tcW w:w="5000" w:type="pct"/>
                <w:gridSpan w:val="9"/>
                <w:vAlign w:val="center"/>
              </w:tcPr>
              <w:p>
                <w:pPr>
                  <w:pStyle w:val="63"/>
                  <w:jc w:val="cente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前十名股东持股情况</w:t>
                </w:r>
                <w:r>
                  <w:rPr>
                    <w:rFonts w:hint="eastAsia" w:ascii="宋体" w:hAnsi="宋体"/>
                    <w:color w:val="000000" w:themeColor="text1"/>
                    <w14:textFill>
                      <w14:solidFill>
                        <w14:schemeClr w14:val="tx1"/>
                      </w14:solidFill>
                    </w14:textFill>
                  </w:rPr>
                  <w:t>（不含通过转融通出借股份）</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80eda5ca76254dc1b950ed7de7dc5885"/>
            <w:id w:val="740297774"/>
          </w:sdtPr>
          <w:sdtContent>
            <w:tc>
              <w:tcPr>
                <w:tcW w:w="685" w:type="pct"/>
                <w:vMerge w:val="restar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股东名称</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（全称）</w:t>
                </w:r>
              </w:p>
            </w:tc>
          </w:sdtContent>
        </w:sdt>
        <w:sdt>
          <w:sdtPr>
            <w:tag w:val="_PLD_ca2ffd3fc186426e98aac562ecc1ba54"/>
            <w:id w:val="24379662"/>
          </w:sdtPr>
          <w:sdtContent>
            <w:tc>
              <w:tcPr>
                <w:tcW w:w="677" w:type="pct"/>
                <w:vMerge w:val="restar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报告期内增减</w:t>
                </w:r>
              </w:p>
            </w:tc>
          </w:sdtContent>
        </w:sdt>
        <w:sdt>
          <w:sdtPr>
            <w:tag w:val="_PLD_084006d53bec42bea9418fc4576a1210"/>
            <w:id w:val="-1653201935"/>
          </w:sdtPr>
          <w:sdtContent>
            <w:tc>
              <w:tcPr>
                <w:tcW w:w="643" w:type="pct"/>
                <w:vMerge w:val="restar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期末持股数量</w:t>
                </w:r>
              </w:p>
            </w:tc>
          </w:sdtContent>
        </w:sdt>
        <w:sdt>
          <w:sdtPr>
            <w:tag w:val="_PLD_f27008de77ee4b27b35e2ae22d35699c"/>
            <w:id w:val="681867279"/>
          </w:sdtPr>
          <w:sdtContent>
            <w:tc>
              <w:tcPr>
                <w:tcW w:w="567" w:type="pct"/>
                <w:vMerge w:val="restar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比例(%)</w:t>
                </w:r>
              </w:p>
            </w:tc>
          </w:sdtContent>
        </w:sdt>
        <w:sdt>
          <w:sdtPr>
            <w:tag w:val="_PLD_34fcc5fa9a414555bef1b48aa74c8135"/>
            <w:id w:val="501628882"/>
          </w:sdtPr>
          <w:sdtContent>
            <w:tc>
              <w:tcPr>
                <w:tcW w:w="738" w:type="pct"/>
                <w:vMerge w:val="restart"/>
                <w:vAlign w:val="center"/>
              </w:tcPr>
              <w:p>
                <w:pPr>
                  <w:pStyle w:val="58"/>
                  <w:rPr>
                    <w:rFonts w:hint="eastAsia" w:ascii="宋体" w:hAnsi="宋体"/>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t>持有有限售条件股份数量</w:t>
                </w:r>
              </w:p>
            </w:tc>
          </w:sdtContent>
        </w:sdt>
        <w:sdt>
          <w:sdtPr>
            <w:tag w:val="_PLD_94fbee67e09740e59eb90272af77b58a"/>
            <w:id w:val="1937167269"/>
          </w:sdtPr>
          <w:sdtContent>
            <w:tc>
              <w:tcPr>
                <w:tcW w:w="1183" w:type="pct"/>
                <w:gridSpan w:val="3"/>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质押</w:t>
                </w:r>
                <w:r>
                  <w:rPr>
                    <w:rFonts w:hint="eastAsia"/>
                    <w:color w:val="000000" w:themeColor="text1"/>
                    <w14:textFill>
                      <w14:solidFill>
                        <w14:schemeClr w14:val="tx1"/>
                      </w14:solidFill>
                    </w14:textFill>
                  </w:rPr>
                  <w:t>、标记</w:t>
                </w:r>
                <w:r>
                  <w:rPr>
                    <w:color w:val="000000" w:themeColor="text1"/>
                    <w14:textFill>
                      <w14:solidFill>
                        <w14:schemeClr w14:val="tx1"/>
                      </w14:solidFill>
                    </w14:textFill>
                  </w:rPr>
                  <w:t>或冻结情况</w:t>
                </w:r>
              </w:p>
            </w:tc>
          </w:sdtContent>
        </w:sdt>
        <w:sdt>
          <w:sdtPr>
            <w:tag w:val="_PLD_2228ecf4db6a4362bff11fe1e2d3c903"/>
            <w:id w:val="1142535116"/>
          </w:sdtPr>
          <w:sdtContent>
            <w:tc>
              <w:tcPr>
                <w:tcW w:w="507" w:type="pct"/>
                <w:vMerge w:val="restar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股东性质</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5" w:type="pct"/>
            <w:vMerge w:val="continue"/>
            <w:tcBorders>
              <w:bottom w:val="single" w:color="auto" w:sz="4" w:space="0"/>
            </w:tcBorders>
            <w:vAlign w:val="center"/>
          </w:tcPr>
          <w:p>
            <w:pPr>
              <w:jc w:val="center"/>
              <w:rPr>
                <w:color w:val="000000" w:themeColor="text1"/>
                <w14:textFill>
                  <w14:solidFill>
                    <w14:schemeClr w14:val="tx1"/>
                  </w14:solidFill>
                </w14:textFill>
              </w:rPr>
            </w:pPr>
          </w:p>
        </w:tc>
        <w:tc>
          <w:tcPr>
            <w:tcW w:w="677" w:type="pct"/>
            <w:vMerge w:val="continue"/>
            <w:tcBorders>
              <w:bottom w:val="single" w:color="auto" w:sz="4" w:space="0"/>
            </w:tcBorders>
            <w:vAlign w:val="center"/>
          </w:tcPr>
          <w:p>
            <w:pPr>
              <w:jc w:val="center"/>
              <w:rPr>
                <w:color w:val="000000" w:themeColor="text1"/>
                <w14:textFill>
                  <w14:solidFill>
                    <w14:schemeClr w14:val="tx1"/>
                  </w14:solidFill>
                </w14:textFill>
              </w:rPr>
            </w:pPr>
          </w:p>
        </w:tc>
        <w:tc>
          <w:tcPr>
            <w:tcW w:w="643" w:type="pct"/>
            <w:vMerge w:val="continue"/>
            <w:tcBorders>
              <w:bottom w:val="single" w:color="auto" w:sz="4" w:space="0"/>
            </w:tcBorders>
            <w:vAlign w:val="center"/>
          </w:tcPr>
          <w:p>
            <w:pPr>
              <w:jc w:val="center"/>
              <w:rPr>
                <w:color w:val="000000" w:themeColor="text1"/>
                <w14:textFill>
                  <w14:solidFill>
                    <w14:schemeClr w14:val="tx1"/>
                  </w14:solidFill>
                </w14:textFill>
              </w:rPr>
            </w:pPr>
          </w:p>
        </w:tc>
        <w:tc>
          <w:tcPr>
            <w:tcW w:w="567" w:type="pct"/>
            <w:vMerge w:val="continue"/>
            <w:tcBorders>
              <w:bottom w:val="single" w:color="auto" w:sz="4" w:space="0"/>
            </w:tcBorders>
            <w:vAlign w:val="center"/>
          </w:tcPr>
          <w:p>
            <w:pPr>
              <w:jc w:val="center"/>
              <w:rPr>
                <w:color w:val="000000" w:themeColor="text1"/>
                <w14:textFill>
                  <w14:solidFill>
                    <w14:schemeClr w14:val="tx1"/>
                  </w14:solidFill>
                </w14:textFill>
              </w:rPr>
            </w:pPr>
          </w:p>
        </w:tc>
        <w:tc>
          <w:tcPr>
            <w:tcW w:w="738" w:type="pct"/>
            <w:vMerge w:val="continue"/>
            <w:tcBorders>
              <w:bottom w:val="single" w:color="auto" w:sz="4" w:space="0"/>
            </w:tcBorders>
            <w:vAlign w:val="center"/>
          </w:tcPr>
          <w:p>
            <w:pPr>
              <w:jc w:val="center"/>
              <w:rPr>
                <w:color w:val="000000" w:themeColor="text1"/>
                <w14:textFill>
                  <w14:solidFill>
                    <w14:schemeClr w14:val="tx1"/>
                  </w14:solidFill>
                </w14:textFill>
              </w:rPr>
            </w:pPr>
          </w:p>
        </w:tc>
        <w:sdt>
          <w:sdtPr>
            <w:tag w:val="_PLD_45bf36a531de47beb596ebacadac576a"/>
            <w:id w:val="-668482279"/>
          </w:sdtPr>
          <w:sdtContent>
            <w:tc>
              <w:tcPr>
                <w:tcW w:w="703" w:type="pct"/>
                <w:tcBorders>
                  <w:bottom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股份状态</w:t>
                </w:r>
              </w:p>
            </w:tc>
          </w:sdtContent>
        </w:sdt>
        <w:sdt>
          <w:sdtPr>
            <w:tag w:val="_PLD_bea7397233604f859f8d14f2ae0a0417"/>
            <w:id w:val="1166827941"/>
          </w:sdtPr>
          <w:sdtContent>
            <w:tc>
              <w:tcPr>
                <w:tcW w:w="480" w:type="pct"/>
                <w:gridSpan w:val="2"/>
                <w:tcBorders>
                  <w:bottom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数量</w:t>
                </w:r>
              </w:p>
            </w:tc>
          </w:sdtContent>
        </w:sdt>
        <w:tc>
          <w:tcPr>
            <w:tcW w:w="507" w:type="pct"/>
            <w:vMerge w:val="continue"/>
            <w:vAlign w:val="center"/>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5" w:type="pct"/>
            <w:vAlign w:val="center"/>
          </w:tcPr>
          <w:p>
            <w:pPr>
              <w:pStyle w:val="48"/>
            </w:pPr>
            <w:r>
              <w:rPr>
                <w:rFonts w:hint="eastAsia"/>
                <w:color w:val="000000"/>
                <w:sz w:val="22"/>
                <w:szCs w:val="22"/>
              </w:rPr>
              <w:t>杨泽民</w:t>
            </w:r>
          </w:p>
        </w:tc>
        <w:tc>
          <w:tcPr>
            <w:tcW w:w="677" w:type="pct"/>
            <w:vAlign w:val="center"/>
          </w:tcPr>
          <w:p>
            <w:pPr>
              <w:jc w:val="right"/>
            </w:pPr>
          </w:p>
        </w:tc>
        <w:tc>
          <w:tcPr>
            <w:tcW w:w="643"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 xml:space="preserve">52,618,391 </w:t>
            </w:r>
          </w:p>
        </w:tc>
        <w:tc>
          <w:tcPr>
            <w:tcW w:w="567"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15.95</w:t>
            </w:r>
          </w:p>
        </w:tc>
        <w:tc>
          <w:tcPr>
            <w:tcW w:w="738" w:type="pct"/>
            <w:vAlign w:val="center"/>
          </w:tcPr>
          <w:p>
            <w:pPr>
              <w:jc w:val="right"/>
            </w:pPr>
            <w:r>
              <w:rPr>
                <w:rFonts w:hint="eastAsia"/>
              </w:rPr>
              <w:t>0</w:t>
            </w:r>
          </w:p>
        </w:tc>
        <w:sdt>
          <w:sdtPr>
            <w:rPr>
              <w:color w:val="000000" w:themeColor="text1"/>
              <w14:textFill>
                <w14:solidFill>
                  <w14:schemeClr w14:val="tx1"/>
                </w14:solidFill>
              </w14:textFill>
            </w:rPr>
            <w:alias w:val="前十名股东持有股份状态"/>
            <w:tag w:val="_GBC_d5194108b2a8481e94140819dbdc5afe"/>
            <w:id w:val="1004554029"/>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70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480" w:type="pct"/>
            <w:gridSpan w:val="2"/>
            <w:vAlign w:val="center"/>
          </w:tcPr>
          <w:p>
            <w:pPr>
              <w:jc w:val="right"/>
            </w:pPr>
            <w:r>
              <w:rPr>
                <w:rFonts w:hint="eastAsia"/>
              </w:rPr>
              <w:t>0</w:t>
            </w:r>
          </w:p>
        </w:tc>
        <w:sdt>
          <w:sdtPr>
            <w:rPr>
              <w:color w:val="000000" w:themeColor="text1"/>
              <w14:textFill>
                <w14:solidFill>
                  <w14:schemeClr w14:val="tx1"/>
                </w14:solidFill>
              </w14:textFill>
            </w:rPr>
            <w:alias w:val="前十名股东的股东性质"/>
            <w:tag w:val="_GBC_71380bc899eb4b9781e95e37e7a1e221"/>
            <w:id w:val="1506944552"/>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507"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境内自然人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5" w:type="pct"/>
            <w:vAlign w:val="center"/>
          </w:tcPr>
          <w:p>
            <w:pPr>
              <w:pStyle w:val="48"/>
            </w:pPr>
            <w:r>
              <w:rPr>
                <w:rFonts w:hint="eastAsia"/>
                <w:color w:val="000000"/>
                <w:sz w:val="22"/>
                <w:szCs w:val="22"/>
              </w:rPr>
              <w:t>秦惠兰</w:t>
            </w:r>
          </w:p>
        </w:tc>
        <w:tc>
          <w:tcPr>
            <w:tcW w:w="677" w:type="pct"/>
            <w:vAlign w:val="center"/>
          </w:tcPr>
          <w:p>
            <w:pPr>
              <w:jc w:val="right"/>
            </w:pPr>
          </w:p>
        </w:tc>
        <w:tc>
          <w:tcPr>
            <w:tcW w:w="643"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 xml:space="preserve">40,841,700 </w:t>
            </w:r>
          </w:p>
        </w:tc>
        <w:tc>
          <w:tcPr>
            <w:tcW w:w="567"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12.38</w:t>
            </w:r>
          </w:p>
        </w:tc>
        <w:tc>
          <w:tcPr>
            <w:tcW w:w="738" w:type="pct"/>
            <w:vAlign w:val="center"/>
          </w:tcPr>
          <w:p>
            <w:pPr>
              <w:jc w:val="right"/>
            </w:pPr>
            <w:r>
              <w:rPr>
                <w:rFonts w:hint="eastAsia"/>
              </w:rPr>
              <w:t>0</w:t>
            </w:r>
          </w:p>
        </w:tc>
        <w:sdt>
          <w:sdtPr>
            <w:rPr>
              <w:color w:val="000000" w:themeColor="text1"/>
              <w14:textFill>
                <w14:solidFill>
                  <w14:schemeClr w14:val="tx1"/>
                </w14:solidFill>
              </w14:textFill>
            </w:rPr>
            <w:alias w:val="前十名股东持有股份状态"/>
            <w:tag w:val="_GBC_d5194108b2a8481e94140819dbdc5afe"/>
            <w:id w:val="305896245"/>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70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480" w:type="pct"/>
            <w:gridSpan w:val="2"/>
            <w:vAlign w:val="center"/>
          </w:tcPr>
          <w:p>
            <w:pPr>
              <w:jc w:val="right"/>
            </w:pPr>
            <w:r>
              <w:rPr>
                <w:rFonts w:hint="eastAsia"/>
              </w:rPr>
              <w:t>0</w:t>
            </w:r>
          </w:p>
        </w:tc>
        <w:sdt>
          <w:sdtPr>
            <w:rPr>
              <w:color w:val="000000" w:themeColor="text1"/>
              <w14:textFill>
                <w14:solidFill>
                  <w14:schemeClr w14:val="tx1"/>
                </w14:solidFill>
              </w14:textFill>
            </w:rPr>
            <w:alias w:val="前十名股东的股东性质"/>
            <w:tag w:val="_GBC_71380bc899eb4b9781e95e37e7a1e221"/>
            <w:id w:val="-901909465"/>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507"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境内自然人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5" w:type="pct"/>
            <w:vAlign w:val="center"/>
          </w:tcPr>
          <w:p>
            <w:pPr>
              <w:pStyle w:val="48"/>
            </w:pPr>
            <w:r>
              <w:rPr>
                <w:rFonts w:hint="eastAsia"/>
                <w:color w:val="000000"/>
                <w:sz w:val="22"/>
                <w:szCs w:val="22"/>
              </w:rPr>
              <w:t>杨秦</w:t>
            </w:r>
          </w:p>
        </w:tc>
        <w:tc>
          <w:tcPr>
            <w:tcW w:w="677" w:type="pct"/>
            <w:vAlign w:val="center"/>
          </w:tcPr>
          <w:p>
            <w:pPr>
              <w:jc w:val="right"/>
            </w:pPr>
          </w:p>
        </w:tc>
        <w:tc>
          <w:tcPr>
            <w:tcW w:w="643"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 xml:space="preserve">18,015,000 </w:t>
            </w:r>
          </w:p>
        </w:tc>
        <w:tc>
          <w:tcPr>
            <w:tcW w:w="567"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5.46</w:t>
            </w:r>
          </w:p>
        </w:tc>
        <w:tc>
          <w:tcPr>
            <w:tcW w:w="738" w:type="pct"/>
            <w:vAlign w:val="center"/>
          </w:tcPr>
          <w:p>
            <w:pPr>
              <w:jc w:val="right"/>
            </w:pPr>
            <w:r>
              <w:rPr>
                <w:rFonts w:hint="eastAsia"/>
              </w:rPr>
              <w:t>0</w:t>
            </w:r>
          </w:p>
        </w:tc>
        <w:sdt>
          <w:sdtPr>
            <w:rPr>
              <w:color w:val="000000" w:themeColor="text1"/>
              <w14:textFill>
                <w14:solidFill>
                  <w14:schemeClr w14:val="tx1"/>
                </w14:solidFill>
              </w14:textFill>
            </w:rPr>
            <w:alias w:val="前十名股东持有股份状态"/>
            <w:tag w:val="_GBC_d5194108b2a8481e94140819dbdc5afe"/>
            <w:id w:val="-229690484"/>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70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480" w:type="pct"/>
            <w:gridSpan w:val="2"/>
            <w:vAlign w:val="center"/>
          </w:tcPr>
          <w:p>
            <w:pPr>
              <w:jc w:val="right"/>
            </w:pPr>
            <w:r>
              <w:rPr>
                <w:rFonts w:hint="eastAsia"/>
              </w:rPr>
              <w:t>0</w:t>
            </w:r>
          </w:p>
        </w:tc>
        <w:sdt>
          <w:sdtPr>
            <w:rPr>
              <w:color w:val="000000" w:themeColor="text1"/>
              <w14:textFill>
                <w14:solidFill>
                  <w14:schemeClr w14:val="tx1"/>
                </w14:solidFill>
              </w14:textFill>
            </w:rPr>
            <w:alias w:val="前十名股东的股东性质"/>
            <w:tag w:val="_GBC_71380bc899eb4b9781e95e37e7a1e221"/>
            <w:id w:val="11350759"/>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507"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境内自然人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5" w:type="pct"/>
            <w:vAlign w:val="center"/>
          </w:tcPr>
          <w:p>
            <w:pPr>
              <w:pStyle w:val="48"/>
            </w:pPr>
            <w:r>
              <w:rPr>
                <w:rFonts w:hint="eastAsia"/>
                <w:color w:val="000000"/>
                <w:sz w:val="22"/>
                <w:szCs w:val="22"/>
              </w:rPr>
              <w:t>杨耀</w:t>
            </w:r>
          </w:p>
        </w:tc>
        <w:tc>
          <w:tcPr>
            <w:tcW w:w="677" w:type="pct"/>
            <w:vAlign w:val="center"/>
          </w:tcPr>
          <w:p>
            <w:pPr>
              <w:jc w:val="right"/>
            </w:pPr>
          </w:p>
        </w:tc>
        <w:tc>
          <w:tcPr>
            <w:tcW w:w="643"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 xml:space="preserve">18,000,050 </w:t>
            </w:r>
          </w:p>
        </w:tc>
        <w:tc>
          <w:tcPr>
            <w:tcW w:w="567"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5.46</w:t>
            </w:r>
          </w:p>
        </w:tc>
        <w:tc>
          <w:tcPr>
            <w:tcW w:w="738" w:type="pct"/>
            <w:vAlign w:val="center"/>
          </w:tcPr>
          <w:p>
            <w:pPr>
              <w:jc w:val="right"/>
            </w:pPr>
            <w:r>
              <w:rPr>
                <w:rFonts w:hint="eastAsia"/>
              </w:rPr>
              <w:t>0</w:t>
            </w:r>
          </w:p>
        </w:tc>
        <w:sdt>
          <w:sdtPr>
            <w:rPr>
              <w:color w:val="000000" w:themeColor="text1"/>
              <w14:textFill>
                <w14:solidFill>
                  <w14:schemeClr w14:val="tx1"/>
                </w14:solidFill>
              </w14:textFill>
            </w:rPr>
            <w:alias w:val="前十名股东持有股份状态"/>
            <w:tag w:val="_GBC_d5194108b2a8481e94140819dbdc5afe"/>
            <w:id w:val="1099762605"/>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70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480" w:type="pct"/>
            <w:gridSpan w:val="2"/>
            <w:vAlign w:val="center"/>
          </w:tcPr>
          <w:p>
            <w:pPr>
              <w:jc w:val="right"/>
            </w:pPr>
            <w:r>
              <w:rPr>
                <w:rFonts w:hint="eastAsia"/>
              </w:rPr>
              <w:t>0</w:t>
            </w:r>
          </w:p>
        </w:tc>
        <w:sdt>
          <w:sdtPr>
            <w:rPr>
              <w:color w:val="000000" w:themeColor="text1"/>
              <w14:textFill>
                <w14:solidFill>
                  <w14:schemeClr w14:val="tx1"/>
                </w14:solidFill>
              </w14:textFill>
            </w:rPr>
            <w:alias w:val="前十名股东的股东性质"/>
            <w:tag w:val="_GBC_71380bc899eb4b9781e95e37e7a1e221"/>
            <w:id w:val="-361278525"/>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507"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境内自然人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5" w:type="pct"/>
            <w:vAlign w:val="center"/>
          </w:tcPr>
          <w:p>
            <w:pPr>
              <w:pStyle w:val="48"/>
            </w:pPr>
            <w:r>
              <w:rPr>
                <w:rFonts w:hint="eastAsia"/>
                <w:color w:val="000000"/>
                <w:sz w:val="22"/>
                <w:szCs w:val="22"/>
              </w:rPr>
              <w:t>赵桂芬</w:t>
            </w:r>
          </w:p>
        </w:tc>
        <w:tc>
          <w:tcPr>
            <w:tcW w:w="677" w:type="pct"/>
            <w:vAlign w:val="center"/>
          </w:tcPr>
          <w:p>
            <w:pPr>
              <w:jc w:val="right"/>
              <w:rPr>
                <w:rFonts w:hint="eastAsia" w:asciiTheme="minorEastAsia" w:hAnsiTheme="minorEastAsia" w:eastAsiaTheme="minorEastAsia"/>
                <w:color w:val="000000"/>
                <w:sz w:val="18"/>
                <w:szCs w:val="18"/>
              </w:rPr>
            </w:pPr>
            <w:r>
              <w:rPr>
                <w:rFonts w:hint="eastAsia" w:asciiTheme="minorEastAsia" w:hAnsiTheme="minorEastAsia" w:eastAsiaTheme="minorEastAsia"/>
                <w:color w:val="000000"/>
                <w:sz w:val="18"/>
                <w:szCs w:val="18"/>
              </w:rPr>
              <w:t>-</w:t>
            </w:r>
            <w:r>
              <w:rPr>
                <w:rFonts w:asciiTheme="minorEastAsia" w:hAnsiTheme="minorEastAsia" w:eastAsiaTheme="minorEastAsia"/>
                <w:color w:val="000000"/>
                <w:sz w:val="18"/>
                <w:szCs w:val="18"/>
              </w:rPr>
              <w:t>5,061,000</w:t>
            </w:r>
          </w:p>
        </w:tc>
        <w:tc>
          <w:tcPr>
            <w:tcW w:w="643"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 xml:space="preserve">3,370,000 </w:t>
            </w:r>
          </w:p>
        </w:tc>
        <w:tc>
          <w:tcPr>
            <w:tcW w:w="567"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1.02</w:t>
            </w:r>
          </w:p>
        </w:tc>
        <w:tc>
          <w:tcPr>
            <w:tcW w:w="738" w:type="pct"/>
            <w:vAlign w:val="center"/>
          </w:tcPr>
          <w:p>
            <w:pPr>
              <w:jc w:val="right"/>
            </w:pPr>
            <w:r>
              <w:rPr>
                <w:rFonts w:hint="eastAsia"/>
              </w:rPr>
              <w:t>0</w:t>
            </w:r>
          </w:p>
        </w:tc>
        <w:sdt>
          <w:sdtPr>
            <w:rPr>
              <w:color w:val="000000" w:themeColor="text1"/>
              <w14:textFill>
                <w14:solidFill>
                  <w14:schemeClr w14:val="tx1"/>
                </w14:solidFill>
              </w14:textFill>
            </w:rPr>
            <w:alias w:val="前十名股东持有股份状态"/>
            <w:tag w:val="_GBC_d5194108b2a8481e94140819dbdc5afe"/>
            <w:id w:val="558744550"/>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70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480" w:type="pct"/>
            <w:gridSpan w:val="2"/>
            <w:vAlign w:val="center"/>
          </w:tcPr>
          <w:p>
            <w:pPr>
              <w:jc w:val="right"/>
            </w:pPr>
            <w:r>
              <w:rPr>
                <w:rFonts w:hint="eastAsia"/>
              </w:rPr>
              <w:t>0</w:t>
            </w:r>
          </w:p>
        </w:tc>
        <w:sdt>
          <w:sdtPr>
            <w:rPr>
              <w:color w:val="000000" w:themeColor="text1"/>
              <w14:textFill>
                <w14:solidFill>
                  <w14:schemeClr w14:val="tx1"/>
                </w14:solidFill>
              </w14:textFill>
            </w:rPr>
            <w:alias w:val="前十名股东的股东性质"/>
            <w:tag w:val="_GBC_71380bc899eb4b9781e95e37e7a1e221"/>
            <w:id w:val="-617761874"/>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507"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境内自然人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5" w:type="pct"/>
            <w:vAlign w:val="center"/>
          </w:tcPr>
          <w:p>
            <w:pPr>
              <w:pStyle w:val="48"/>
            </w:pPr>
            <w:r>
              <w:rPr>
                <w:rFonts w:hint="eastAsia"/>
                <w:color w:val="000000"/>
                <w:sz w:val="22"/>
                <w:szCs w:val="22"/>
              </w:rPr>
              <w:t>王育森</w:t>
            </w:r>
          </w:p>
        </w:tc>
        <w:tc>
          <w:tcPr>
            <w:tcW w:w="677" w:type="pct"/>
            <w:vAlign w:val="center"/>
          </w:tcPr>
          <w:p>
            <w:pPr>
              <w:jc w:val="right"/>
              <w:rPr>
                <w:rFonts w:hint="eastAsia" w:asciiTheme="minorEastAsia" w:hAnsiTheme="minorEastAsia" w:eastAsiaTheme="minorEastAsia"/>
                <w:sz w:val="18"/>
                <w:szCs w:val="18"/>
              </w:rPr>
            </w:pPr>
            <w:r>
              <w:rPr>
                <w:rFonts w:asciiTheme="minorEastAsia" w:hAnsiTheme="minorEastAsia" w:eastAsiaTheme="minorEastAsia"/>
                <w:sz w:val="18"/>
                <w:szCs w:val="18"/>
              </w:rPr>
              <w:t>-500,000</w:t>
            </w:r>
          </w:p>
        </w:tc>
        <w:tc>
          <w:tcPr>
            <w:tcW w:w="643"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 xml:space="preserve">2,900,000 </w:t>
            </w:r>
          </w:p>
        </w:tc>
        <w:tc>
          <w:tcPr>
            <w:tcW w:w="567"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0.88</w:t>
            </w:r>
          </w:p>
        </w:tc>
        <w:tc>
          <w:tcPr>
            <w:tcW w:w="738" w:type="pct"/>
            <w:vAlign w:val="center"/>
          </w:tcPr>
          <w:p>
            <w:pPr>
              <w:jc w:val="right"/>
            </w:pPr>
            <w:r>
              <w:rPr>
                <w:rFonts w:hint="eastAsia"/>
              </w:rPr>
              <w:t>0</w:t>
            </w:r>
          </w:p>
        </w:tc>
        <w:sdt>
          <w:sdtPr>
            <w:rPr>
              <w:color w:val="000000" w:themeColor="text1"/>
              <w14:textFill>
                <w14:solidFill>
                  <w14:schemeClr w14:val="tx1"/>
                </w14:solidFill>
              </w14:textFill>
            </w:rPr>
            <w:alias w:val="前十名股东持有股份状态"/>
            <w:tag w:val="_GBC_d5194108b2a8481e94140819dbdc5afe"/>
            <w:id w:val="1788311895"/>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70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480" w:type="pct"/>
            <w:gridSpan w:val="2"/>
            <w:vAlign w:val="center"/>
          </w:tcPr>
          <w:p>
            <w:pPr>
              <w:jc w:val="right"/>
            </w:pPr>
            <w:r>
              <w:rPr>
                <w:rFonts w:hint="eastAsia"/>
              </w:rPr>
              <w:t>0</w:t>
            </w:r>
          </w:p>
        </w:tc>
        <w:sdt>
          <w:sdtPr>
            <w:rPr>
              <w:color w:val="000000" w:themeColor="text1"/>
              <w14:textFill>
                <w14:solidFill>
                  <w14:schemeClr w14:val="tx1"/>
                </w14:solidFill>
              </w14:textFill>
            </w:rPr>
            <w:alias w:val="前十名股东的股东性质"/>
            <w:tag w:val="_GBC_71380bc899eb4b9781e95e37e7a1e221"/>
            <w:id w:val="1363393343"/>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507"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境内自然人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5" w:type="pct"/>
            <w:vAlign w:val="center"/>
          </w:tcPr>
          <w:p>
            <w:pPr>
              <w:pStyle w:val="48"/>
            </w:pPr>
            <w:r>
              <w:rPr>
                <w:rFonts w:hint="eastAsia"/>
                <w:color w:val="000000"/>
                <w:sz w:val="22"/>
                <w:szCs w:val="22"/>
              </w:rPr>
              <w:t>刘远初</w:t>
            </w:r>
          </w:p>
        </w:tc>
        <w:tc>
          <w:tcPr>
            <w:tcW w:w="677" w:type="pct"/>
            <w:vAlign w:val="center"/>
          </w:tcPr>
          <w:p>
            <w:pPr>
              <w:jc w:val="right"/>
              <w:rPr>
                <w:rFonts w:hint="eastAsia" w:asciiTheme="minorEastAsia" w:hAnsiTheme="minorEastAsia" w:eastAsiaTheme="minorEastAsia"/>
                <w:color w:val="000000"/>
                <w:sz w:val="18"/>
                <w:szCs w:val="18"/>
              </w:rPr>
            </w:pPr>
            <w:r>
              <w:rPr>
                <w:rFonts w:asciiTheme="minorEastAsia" w:hAnsiTheme="minorEastAsia" w:eastAsiaTheme="minorEastAsia"/>
                <w:color w:val="000000"/>
                <w:sz w:val="18"/>
                <w:szCs w:val="18"/>
              </w:rPr>
              <w:t>-1,959,400</w:t>
            </w:r>
          </w:p>
        </w:tc>
        <w:tc>
          <w:tcPr>
            <w:tcW w:w="643"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 xml:space="preserve">2,720,644 </w:t>
            </w:r>
          </w:p>
        </w:tc>
        <w:tc>
          <w:tcPr>
            <w:tcW w:w="567"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0.82</w:t>
            </w:r>
          </w:p>
        </w:tc>
        <w:tc>
          <w:tcPr>
            <w:tcW w:w="738" w:type="pct"/>
            <w:vAlign w:val="center"/>
          </w:tcPr>
          <w:p>
            <w:pPr>
              <w:jc w:val="right"/>
            </w:pPr>
            <w:r>
              <w:rPr>
                <w:rFonts w:hint="eastAsia"/>
              </w:rPr>
              <w:t>0</w:t>
            </w:r>
          </w:p>
        </w:tc>
        <w:sdt>
          <w:sdtPr>
            <w:rPr>
              <w:color w:val="000000" w:themeColor="text1"/>
              <w14:textFill>
                <w14:solidFill>
                  <w14:schemeClr w14:val="tx1"/>
                </w14:solidFill>
              </w14:textFill>
            </w:rPr>
            <w:alias w:val="前十名股东持有股份状态"/>
            <w:tag w:val="_GBC_d5194108b2a8481e94140819dbdc5afe"/>
            <w:id w:val="1766181348"/>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70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480" w:type="pct"/>
            <w:gridSpan w:val="2"/>
            <w:vAlign w:val="center"/>
          </w:tcPr>
          <w:p>
            <w:pPr>
              <w:jc w:val="right"/>
            </w:pPr>
            <w:r>
              <w:rPr>
                <w:rFonts w:hint="eastAsia"/>
              </w:rPr>
              <w:t>0</w:t>
            </w:r>
          </w:p>
        </w:tc>
        <w:sdt>
          <w:sdtPr>
            <w:rPr>
              <w:color w:val="000000" w:themeColor="text1"/>
              <w14:textFill>
                <w14:solidFill>
                  <w14:schemeClr w14:val="tx1"/>
                </w14:solidFill>
              </w14:textFill>
            </w:rPr>
            <w:alias w:val="前十名股东的股东性质"/>
            <w:tag w:val="_GBC_71380bc899eb4b9781e95e37e7a1e221"/>
            <w:id w:val="-477998224"/>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507"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境内自然人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5" w:type="pct"/>
            <w:vAlign w:val="center"/>
          </w:tcPr>
          <w:p>
            <w:pPr>
              <w:pStyle w:val="48"/>
            </w:pPr>
            <w:r>
              <w:rPr>
                <w:rFonts w:hint="eastAsia"/>
                <w:color w:val="000000"/>
                <w:sz w:val="22"/>
                <w:szCs w:val="22"/>
              </w:rPr>
              <w:t>杨厚群</w:t>
            </w:r>
          </w:p>
        </w:tc>
        <w:tc>
          <w:tcPr>
            <w:tcW w:w="677" w:type="pct"/>
            <w:vAlign w:val="center"/>
          </w:tcPr>
          <w:p>
            <w:pPr>
              <w:jc w:val="right"/>
              <w:rPr>
                <w:rFonts w:hint="eastAsia" w:asciiTheme="minorEastAsia" w:hAnsiTheme="minorEastAsia" w:eastAsiaTheme="minorEastAsia"/>
                <w:color w:val="000000"/>
                <w:sz w:val="18"/>
                <w:szCs w:val="18"/>
              </w:rPr>
            </w:pPr>
            <w:r>
              <w:rPr>
                <w:rFonts w:hint="eastAsia" w:asciiTheme="minorEastAsia" w:hAnsiTheme="minorEastAsia" w:eastAsiaTheme="minorEastAsia"/>
                <w:color w:val="000000"/>
                <w:sz w:val="18"/>
                <w:szCs w:val="18"/>
              </w:rPr>
              <w:t>-</w:t>
            </w:r>
            <w:r>
              <w:rPr>
                <w:rFonts w:asciiTheme="minorEastAsia" w:hAnsiTheme="minorEastAsia" w:eastAsiaTheme="minorEastAsia"/>
                <w:color w:val="000000"/>
                <w:sz w:val="18"/>
                <w:szCs w:val="18"/>
              </w:rPr>
              <w:t>1,731,900</w:t>
            </w:r>
          </w:p>
        </w:tc>
        <w:tc>
          <w:tcPr>
            <w:tcW w:w="643"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 xml:space="preserve">2,269,844 </w:t>
            </w:r>
          </w:p>
        </w:tc>
        <w:tc>
          <w:tcPr>
            <w:tcW w:w="567"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0.69</w:t>
            </w:r>
          </w:p>
        </w:tc>
        <w:tc>
          <w:tcPr>
            <w:tcW w:w="738" w:type="pct"/>
            <w:vAlign w:val="center"/>
          </w:tcPr>
          <w:p>
            <w:pPr>
              <w:jc w:val="right"/>
            </w:pPr>
            <w:r>
              <w:rPr>
                <w:rFonts w:hint="eastAsia"/>
              </w:rPr>
              <w:t>0</w:t>
            </w:r>
          </w:p>
        </w:tc>
        <w:sdt>
          <w:sdtPr>
            <w:rPr>
              <w:color w:val="000000" w:themeColor="text1"/>
              <w14:textFill>
                <w14:solidFill>
                  <w14:schemeClr w14:val="tx1"/>
                </w14:solidFill>
              </w14:textFill>
            </w:rPr>
            <w:alias w:val="前十名股东持有股份状态"/>
            <w:tag w:val="_GBC_d5194108b2a8481e94140819dbdc5afe"/>
            <w:id w:val="1508641103"/>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70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480" w:type="pct"/>
            <w:gridSpan w:val="2"/>
            <w:vAlign w:val="center"/>
          </w:tcPr>
          <w:p>
            <w:pPr>
              <w:jc w:val="right"/>
            </w:pPr>
            <w:r>
              <w:rPr>
                <w:rFonts w:hint="eastAsia"/>
              </w:rPr>
              <w:t>0</w:t>
            </w:r>
          </w:p>
        </w:tc>
        <w:sdt>
          <w:sdtPr>
            <w:rPr>
              <w:color w:val="000000" w:themeColor="text1"/>
              <w14:textFill>
                <w14:solidFill>
                  <w14:schemeClr w14:val="tx1"/>
                </w14:solidFill>
              </w14:textFill>
            </w:rPr>
            <w:alias w:val="前十名股东的股东性质"/>
            <w:tag w:val="_GBC_71380bc899eb4b9781e95e37e7a1e221"/>
            <w:id w:val="-1619988614"/>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507"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境内自然人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5" w:type="pct"/>
            <w:vAlign w:val="center"/>
          </w:tcPr>
          <w:p>
            <w:pPr>
              <w:pStyle w:val="48"/>
            </w:pPr>
            <w:r>
              <w:rPr>
                <w:rFonts w:hint="eastAsia"/>
                <w:color w:val="000000"/>
                <w:sz w:val="22"/>
                <w:szCs w:val="22"/>
              </w:rPr>
              <w:t>香港中央结算有限公司</w:t>
            </w:r>
          </w:p>
        </w:tc>
        <w:tc>
          <w:tcPr>
            <w:tcW w:w="677" w:type="pct"/>
            <w:vAlign w:val="center"/>
          </w:tcPr>
          <w:p>
            <w:pPr>
              <w:jc w:val="right"/>
              <w:rPr>
                <w:rFonts w:hint="eastAsia" w:asciiTheme="minorEastAsia" w:hAnsiTheme="minorEastAsia" w:eastAsiaTheme="minorEastAsia"/>
                <w:color w:val="000000"/>
                <w:sz w:val="18"/>
                <w:szCs w:val="18"/>
              </w:rPr>
            </w:pPr>
            <w:r>
              <w:rPr>
                <w:rFonts w:asciiTheme="minorEastAsia" w:hAnsiTheme="minorEastAsia" w:eastAsiaTheme="minorEastAsia"/>
                <w:color w:val="000000"/>
                <w:sz w:val="18"/>
                <w:szCs w:val="18"/>
              </w:rPr>
              <w:t>-1,890,028</w:t>
            </w:r>
          </w:p>
        </w:tc>
        <w:tc>
          <w:tcPr>
            <w:tcW w:w="643"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 xml:space="preserve">1,961,739 </w:t>
            </w:r>
          </w:p>
        </w:tc>
        <w:tc>
          <w:tcPr>
            <w:tcW w:w="567"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0.59</w:t>
            </w:r>
          </w:p>
        </w:tc>
        <w:tc>
          <w:tcPr>
            <w:tcW w:w="738" w:type="pct"/>
            <w:vAlign w:val="center"/>
          </w:tcPr>
          <w:p>
            <w:pPr>
              <w:jc w:val="right"/>
            </w:pPr>
            <w:r>
              <w:rPr>
                <w:rFonts w:hint="eastAsia"/>
              </w:rPr>
              <w:t>0</w:t>
            </w:r>
          </w:p>
        </w:tc>
        <w:sdt>
          <w:sdtPr>
            <w:rPr>
              <w:color w:val="000000" w:themeColor="text1"/>
              <w14:textFill>
                <w14:solidFill>
                  <w14:schemeClr w14:val="tx1"/>
                </w14:solidFill>
              </w14:textFill>
            </w:rPr>
            <w:alias w:val="前十名股东持有股份状态"/>
            <w:tag w:val="_GBC_d5194108b2a8481e94140819dbdc5afe"/>
            <w:id w:val="331038229"/>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70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480" w:type="pct"/>
            <w:gridSpan w:val="2"/>
            <w:vAlign w:val="center"/>
          </w:tcPr>
          <w:p>
            <w:pPr>
              <w:jc w:val="right"/>
            </w:pPr>
            <w:r>
              <w:rPr>
                <w:rFonts w:hint="eastAsia"/>
              </w:rPr>
              <w:t>0</w:t>
            </w:r>
          </w:p>
        </w:tc>
        <w:sdt>
          <w:sdtPr>
            <w:rPr>
              <w:color w:val="000000" w:themeColor="text1"/>
              <w14:textFill>
                <w14:solidFill>
                  <w14:schemeClr w14:val="tx1"/>
                </w14:solidFill>
              </w14:textFill>
            </w:rPr>
            <w:alias w:val="前十名股东的股东性质"/>
            <w:tag w:val="_GBC_71380bc899eb4b9781e95e37e7a1e221"/>
            <w:id w:val="1974858480"/>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507"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境外法人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85" w:type="pct"/>
            <w:vAlign w:val="center"/>
          </w:tcPr>
          <w:p>
            <w:pPr>
              <w:pStyle w:val="48"/>
            </w:pPr>
            <w:r>
              <w:rPr>
                <w:rFonts w:hint="eastAsia"/>
                <w:color w:val="000000"/>
                <w:sz w:val="22"/>
                <w:szCs w:val="22"/>
              </w:rPr>
              <w:t>张美红</w:t>
            </w:r>
          </w:p>
        </w:tc>
        <w:tc>
          <w:tcPr>
            <w:tcW w:w="677" w:type="pct"/>
            <w:vAlign w:val="center"/>
          </w:tcPr>
          <w:p>
            <w:pPr>
              <w:jc w:val="right"/>
              <w:rPr>
                <w:rFonts w:hint="eastAsia" w:asciiTheme="minorEastAsia" w:hAnsiTheme="minorEastAsia" w:eastAsiaTheme="minorEastAsia"/>
                <w:color w:val="000000"/>
                <w:sz w:val="18"/>
                <w:szCs w:val="18"/>
              </w:rPr>
            </w:pPr>
            <w:r>
              <w:rPr>
                <w:rFonts w:hint="eastAsia" w:asciiTheme="minorEastAsia" w:hAnsiTheme="minorEastAsia" w:eastAsiaTheme="minorEastAsia"/>
                <w:color w:val="000000"/>
                <w:sz w:val="18"/>
                <w:szCs w:val="18"/>
              </w:rPr>
              <w:t>+</w:t>
            </w:r>
            <w:r>
              <w:rPr>
                <w:rFonts w:asciiTheme="minorEastAsia" w:hAnsiTheme="minorEastAsia" w:eastAsiaTheme="minorEastAsia"/>
                <w:color w:val="000000"/>
                <w:sz w:val="18"/>
                <w:szCs w:val="18"/>
              </w:rPr>
              <w:t>208,200</w:t>
            </w:r>
          </w:p>
        </w:tc>
        <w:tc>
          <w:tcPr>
            <w:tcW w:w="643"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 xml:space="preserve">1,470,200 </w:t>
            </w:r>
          </w:p>
        </w:tc>
        <w:tc>
          <w:tcPr>
            <w:tcW w:w="567" w:type="pct"/>
            <w:vAlign w:val="center"/>
          </w:tcPr>
          <w:p>
            <w:pPr>
              <w:jc w:val="right"/>
              <w:rPr>
                <w:rFonts w:hint="eastAsia" w:asciiTheme="minorEastAsia" w:hAnsiTheme="minorEastAsia" w:eastAsiaTheme="minorEastAsia"/>
                <w:sz w:val="18"/>
                <w:szCs w:val="18"/>
              </w:rPr>
            </w:pPr>
            <w:r>
              <w:rPr>
                <w:rFonts w:hint="eastAsia" w:asciiTheme="minorEastAsia" w:hAnsiTheme="minorEastAsia" w:eastAsiaTheme="minorEastAsia"/>
                <w:color w:val="000000"/>
                <w:sz w:val="18"/>
                <w:szCs w:val="18"/>
              </w:rPr>
              <w:t>0.45</w:t>
            </w:r>
          </w:p>
        </w:tc>
        <w:tc>
          <w:tcPr>
            <w:tcW w:w="738" w:type="pct"/>
            <w:vAlign w:val="center"/>
          </w:tcPr>
          <w:p>
            <w:pPr>
              <w:jc w:val="right"/>
            </w:pPr>
            <w:r>
              <w:rPr>
                <w:rFonts w:hint="eastAsia"/>
              </w:rPr>
              <w:t>0</w:t>
            </w:r>
          </w:p>
        </w:tc>
        <w:sdt>
          <w:sdtPr>
            <w:rPr>
              <w:color w:val="000000" w:themeColor="text1"/>
              <w14:textFill>
                <w14:solidFill>
                  <w14:schemeClr w14:val="tx1"/>
                </w14:solidFill>
              </w14:textFill>
            </w:rPr>
            <w:alias w:val="前十名股东持有股份状态"/>
            <w:tag w:val="_GBC_d5194108b2a8481e94140819dbdc5afe"/>
            <w:id w:val="42791687"/>
            <w:comboBox>
              <w:listItem w:displayText="无" w:value="无"/>
              <w:listItem w:displayText="质押" w:value="质押"/>
              <w:listItem w:displayText="标记" w:value="标记"/>
              <w:listItem w:displayText="冻结" w:value="冻结"/>
              <w:listItem w:displayText="未知" w:value="未知"/>
            </w:comboBox>
          </w:sdtPr>
          <w:sdtEndPr>
            <w:rPr>
              <w:color w:val="000000" w:themeColor="text1"/>
              <w14:textFill>
                <w14:solidFill>
                  <w14:schemeClr w14:val="tx1"/>
                </w14:solidFill>
              </w14:textFill>
            </w:rPr>
          </w:sdtEndPr>
          <w:sdtContent>
            <w:tc>
              <w:tcPr>
                <w:tcW w:w="70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无</w:t>
                </w:r>
              </w:p>
            </w:tc>
          </w:sdtContent>
        </w:sdt>
        <w:tc>
          <w:tcPr>
            <w:tcW w:w="480" w:type="pct"/>
            <w:gridSpan w:val="2"/>
            <w:vAlign w:val="center"/>
          </w:tcPr>
          <w:p>
            <w:pPr>
              <w:jc w:val="right"/>
            </w:pPr>
            <w:r>
              <w:rPr>
                <w:rFonts w:hint="eastAsia"/>
              </w:rPr>
              <w:t>0</w:t>
            </w:r>
          </w:p>
        </w:tc>
        <w:sdt>
          <w:sdtPr>
            <w:rPr>
              <w:color w:val="000000" w:themeColor="text1"/>
              <w14:textFill>
                <w14:solidFill>
                  <w14:schemeClr w14:val="tx1"/>
                </w14:solidFill>
              </w14:textFill>
            </w:rPr>
            <w:alias w:val="前十名股东的股东性质"/>
            <w:tag w:val="_GBC_71380bc899eb4b9781e95e37e7a1e221"/>
            <w:id w:val="-1216433326"/>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rPr>
              <w:color w:val="000000" w:themeColor="text1"/>
              <w14:textFill>
                <w14:solidFill>
                  <w14:schemeClr w14:val="tx1"/>
                </w14:solidFill>
              </w14:textFill>
            </w:rPr>
          </w:sdtEndPr>
          <w:sdtContent>
            <w:tc>
              <w:tcPr>
                <w:tcW w:w="507"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境内自然人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6f36efd0621247ffb7b2462dd9753e27"/>
            <w:id w:val="-1519073623"/>
          </w:sdtPr>
          <w:sdtContent>
            <w:tc>
              <w:tcPr>
                <w:tcW w:w="5000" w:type="pct"/>
                <w:gridSpan w:val="9"/>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前十名无限售条件股东持股情况（不含通过转融通出借股份）</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6c8c7d50ba2b44858757eeaaa20b5499"/>
            <w:id w:val="-1918079707"/>
          </w:sdtPr>
          <w:sdtContent>
            <w:tc>
              <w:tcPr>
                <w:tcW w:w="1361" w:type="pct"/>
                <w:gridSpan w:val="2"/>
                <w:vMerge w:val="restar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股东名称</w:t>
                </w:r>
              </w:p>
            </w:tc>
          </w:sdtContent>
        </w:sdt>
        <w:sdt>
          <w:sdtPr>
            <w:tag w:val="_PLD_e4987b1a07a6489c82ab5ef0aa3370ea"/>
            <w:id w:val="-61875575"/>
          </w:sdtPr>
          <w:sdtContent>
            <w:tc>
              <w:tcPr>
                <w:tcW w:w="1948" w:type="pct"/>
                <w:gridSpan w:val="3"/>
                <w:vMerge w:val="restar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持有无限售条件流通股的数量</w:t>
                </w:r>
              </w:p>
            </w:tc>
          </w:sdtContent>
        </w:sdt>
        <w:sdt>
          <w:sdtPr>
            <w:tag w:val="_PLD_26ce78cac14a427ca05aa80b21b65936"/>
            <w:id w:val="-1206479106"/>
          </w:sdtPr>
          <w:sdtContent>
            <w:tc>
              <w:tcPr>
                <w:tcW w:w="1690" w:type="pct"/>
                <w:gridSpan w:val="4"/>
                <w:tcBorders>
                  <w:bottom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股份种类</w:t>
                </w:r>
                <w:r>
                  <w:rPr>
                    <w:rFonts w:hint="eastAsia"/>
                    <w:color w:val="000000" w:themeColor="text1"/>
                    <w14:textFill>
                      <w14:solidFill>
                        <w14:schemeClr w14:val="tx1"/>
                      </w14:solidFill>
                    </w14:textFill>
                  </w:rPr>
                  <w:t>及数量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Merge w:val="continue"/>
            <w:vAlign w:val="center"/>
          </w:tcPr>
          <w:p>
            <w:pPr>
              <w:jc w:val="center"/>
              <w:rPr>
                <w:color w:val="000000" w:themeColor="text1"/>
                <w14:textFill>
                  <w14:solidFill>
                    <w14:schemeClr w14:val="tx1"/>
                  </w14:solidFill>
                </w14:textFill>
              </w:rPr>
            </w:pPr>
          </w:p>
        </w:tc>
        <w:tc>
          <w:tcPr>
            <w:tcW w:w="1948" w:type="pct"/>
            <w:gridSpan w:val="3"/>
            <w:vMerge w:val="continue"/>
            <w:vAlign w:val="center"/>
          </w:tcPr>
          <w:p>
            <w:pPr>
              <w:jc w:val="center"/>
              <w:rPr>
                <w:color w:val="000000" w:themeColor="text1"/>
                <w14:textFill>
                  <w14:solidFill>
                    <w14:schemeClr w14:val="tx1"/>
                  </w14:solidFill>
                </w14:textFill>
              </w:rPr>
            </w:pPr>
          </w:p>
        </w:tc>
        <w:sdt>
          <w:sdtPr>
            <w:tag w:val="_PLD_05580a00e3f942c0b2da618818a84669"/>
            <w:id w:val="-533038403"/>
          </w:sdtPr>
          <w:sdtContent>
            <w:tc>
              <w:tcPr>
                <w:tcW w:w="942" w:type="pct"/>
                <w:gridSpan w:val="2"/>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种类</w:t>
                </w:r>
              </w:p>
            </w:tc>
          </w:sdtContent>
        </w:sdt>
        <w:sdt>
          <w:sdtPr>
            <w:tag w:val="_PLD_7f8ec6251e234192b411b34b07ccd732"/>
            <w:id w:val="276697032"/>
          </w:sdtPr>
          <w:sdtContent>
            <w:tc>
              <w:tcPr>
                <w:tcW w:w="748" w:type="pct"/>
                <w:gridSpan w:val="2"/>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数量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pStyle w:val="48"/>
            </w:pPr>
            <w:r>
              <w:rPr>
                <w:rFonts w:hint="eastAsia"/>
                <w:color w:val="000000"/>
                <w:sz w:val="22"/>
                <w:szCs w:val="22"/>
              </w:rPr>
              <w:t>杨泽民</w:t>
            </w:r>
          </w:p>
        </w:tc>
        <w:tc>
          <w:tcPr>
            <w:tcW w:w="1948" w:type="pct"/>
            <w:gridSpan w:val="3"/>
            <w:vAlign w:val="center"/>
          </w:tcPr>
          <w:p>
            <w:pPr>
              <w:jc w:val="right"/>
            </w:pPr>
            <w:r>
              <w:rPr>
                <w:rFonts w:hint="eastAsia" w:asciiTheme="minorEastAsia" w:hAnsiTheme="minorEastAsia" w:eastAsiaTheme="minorEastAsia"/>
                <w:color w:val="000000"/>
                <w:sz w:val="18"/>
                <w:szCs w:val="18"/>
              </w:rPr>
              <w:t xml:space="preserve">52,618,391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2031678271"/>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942" w:type="pct"/>
                <w:gridSpan w:val="2"/>
                <w:vAlign w:val="center"/>
              </w:tcPr>
              <w:p>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748" w:type="pct"/>
            <w:gridSpan w:val="2"/>
            <w:vAlign w:val="center"/>
          </w:tcPr>
          <w:p>
            <w:pPr>
              <w:jc w:val="right"/>
            </w:pPr>
            <w:r>
              <w:rPr>
                <w:rFonts w:hint="eastAsia" w:asciiTheme="minorEastAsia" w:hAnsiTheme="minorEastAsia" w:eastAsiaTheme="minorEastAsia"/>
                <w:color w:val="000000"/>
                <w:sz w:val="18"/>
                <w:szCs w:val="18"/>
              </w:rPr>
              <w:t xml:space="preserve">52,618,391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pStyle w:val="48"/>
            </w:pPr>
            <w:r>
              <w:rPr>
                <w:rFonts w:hint="eastAsia"/>
                <w:color w:val="000000"/>
                <w:sz w:val="22"/>
                <w:szCs w:val="22"/>
              </w:rPr>
              <w:t>秦惠兰</w:t>
            </w:r>
          </w:p>
        </w:tc>
        <w:tc>
          <w:tcPr>
            <w:tcW w:w="1948" w:type="pct"/>
            <w:gridSpan w:val="3"/>
            <w:vAlign w:val="center"/>
          </w:tcPr>
          <w:p>
            <w:pPr>
              <w:jc w:val="right"/>
            </w:pPr>
            <w:r>
              <w:rPr>
                <w:rFonts w:hint="eastAsia" w:asciiTheme="minorEastAsia" w:hAnsiTheme="minorEastAsia" w:eastAsiaTheme="minorEastAsia"/>
                <w:color w:val="000000"/>
                <w:sz w:val="18"/>
                <w:szCs w:val="18"/>
              </w:rPr>
              <w:t xml:space="preserve">40,841,700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626305155"/>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942" w:type="pct"/>
                <w:gridSpan w:val="2"/>
                <w:vAlign w:val="center"/>
              </w:tcPr>
              <w:p>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748" w:type="pct"/>
            <w:gridSpan w:val="2"/>
            <w:vAlign w:val="center"/>
          </w:tcPr>
          <w:p>
            <w:pPr>
              <w:jc w:val="right"/>
            </w:pPr>
            <w:r>
              <w:rPr>
                <w:rFonts w:hint="eastAsia" w:asciiTheme="minorEastAsia" w:hAnsiTheme="minorEastAsia" w:eastAsiaTheme="minorEastAsia"/>
                <w:color w:val="000000"/>
                <w:sz w:val="18"/>
                <w:szCs w:val="18"/>
              </w:rPr>
              <w:t xml:space="preserve">40,841,700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pStyle w:val="48"/>
            </w:pPr>
            <w:r>
              <w:rPr>
                <w:rFonts w:hint="eastAsia"/>
                <w:color w:val="000000"/>
                <w:sz w:val="22"/>
                <w:szCs w:val="22"/>
              </w:rPr>
              <w:t>杨秦</w:t>
            </w:r>
          </w:p>
        </w:tc>
        <w:tc>
          <w:tcPr>
            <w:tcW w:w="1948" w:type="pct"/>
            <w:gridSpan w:val="3"/>
            <w:vAlign w:val="center"/>
          </w:tcPr>
          <w:p>
            <w:pPr>
              <w:jc w:val="right"/>
            </w:pPr>
            <w:r>
              <w:rPr>
                <w:rFonts w:hint="eastAsia" w:asciiTheme="minorEastAsia" w:hAnsiTheme="minorEastAsia" w:eastAsiaTheme="minorEastAsia"/>
                <w:color w:val="000000"/>
                <w:sz w:val="18"/>
                <w:szCs w:val="18"/>
              </w:rPr>
              <w:t xml:space="preserve">18,015,000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339665425"/>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942" w:type="pct"/>
                <w:gridSpan w:val="2"/>
                <w:vAlign w:val="center"/>
              </w:tcPr>
              <w:p>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748" w:type="pct"/>
            <w:gridSpan w:val="2"/>
            <w:vAlign w:val="center"/>
          </w:tcPr>
          <w:p>
            <w:pPr>
              <w:jc w:val="right"/>
            </w:pPr>
            <w:r>
              <w:rPr>
                <w:rFonts w:hint="eastAsia" w:asciiTheme="minorEastAsia" w:hAnsiTheme="minorEastAsia" w:eastAsiaTheme="minorEastAsia"/>
                <w:color w:val="000000"/>
                <w:sz w:val="18"/>
                <w:szCs w:val="18"/>
              </w:rPr>
              <w:t xml:space="preserve">18,015,000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pStyle w:val="48"/>
            </w:pPr>
            <w:r>
              <w:rPr>
                <w:rFonts w:hint="eastAsia"/>
                <w:color w:val="000000"/>
                <w:sz w:val="22"/>
                <w:szCs w:val="22"/>
              </w:rPr>
              <w:t>杨耀</w:t>
            </w:r>
          </w:p>
        </w:tc>
        <w:tc>
          <w:tcPr>
            <w:tcW w:w="1948" w:type="pct"/>
            <w:gridSpan w:val="3"/>
            <w:vAlign w:val="center"/>
          </w:tcPr>
          <w:p>
            <w:pPr>
              <w:jc w:val="right"/>
            </w:pPr>
            <w:r>
              <w:rPr>
                <w:rFonts w:hint="eastAsia" w:asciiTheme="minorEastAsia" w:hAnsiTheme="minorEastAsia" w:eastAsiaTheme="minorEastAsia"/>
                <w:color w:val="000000"/>
                <w:sz w:val="18"/>
                <w:szCs w:val="18"/>
              </w:rPr>
              <w:t xml:space="preserve">18,000,050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283569172"/>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942" w:type="pct"/>
                <w:gridSpan w:val="2"/>
                <w:vAlign w:val="center"/>
              </w:tcPr>
              <w:p>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748" w:type="pct"/>
            <w:gridSpan w:val="2"/>
            <w:vAlign w:val="center"/>
          </w:tcPr>
          <w:p>
            <w:pPr>
              <w:jc w:val="right"/>
            </w:pPr>
            <w:r>
              <w:rPr>
                <w:rFonts w:hint="eastAsia" w:asciiTheme="minorEastAsia" w:hAnsiTheme="minorEastAsia" w:eastAsiaTheme="minorEastAsia"/>
                <w:color w:val="000000"/>
                <w:sz w:val="18"/>
                <w:szCs w:val="18"/>
              </w:rPr>
              <w:t xml:space="preserve">18,000,050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pStyle w:val="48"/>
            </w:pPr>
            <w:r>
              <w:rPr>
                <w:rFonts w:hint="eastAsia"/>
                <w:color w:val="000000"/>
                <w:sz w:val="22"/>
                <w:szCs w:val="22"/>
              </w:rPr>
              <w:t>赵桂芬</w:t>
            </w:r>
          </w:p>
        </w:tc>
        <w:tc>
          <w:tcPr>
            <w:tcW w:w="1948" w:type="pct"/>
            <w:gridSpan w:val="3"/>
            <w:vAlign w:val="center"/>
          </w:tcPr>
          <w:p>
            <w:pPr>
              <w:jc w:val="right"/>
            </w:pPr>
            <w:r>
              <w:rPr>
                <w:rFonts w:hint="eastAsia" w:asciiTheme="minorEastAsia" w:hAnsiTheme="minorEastAsia" w:eastAsiaTheme="minorEastAsia"/>
                <w:color w:val="000000"/>
                <w:sz w:val="18"/>
                <w:szCs w:val="18"/>
              </w:rPr>
              <w:t xml:space="preserve">3,370,000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342667049"/>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942" w:type="pct"/>
                <w:gridSpan w:val="2"/>
                <w:vAlign w:val="center"/>
              </w:tcPr>
              <w:p>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748" w:type="pct"/>
            <w:gridSpan w:val="2"/>
            <w:vAlign w:val="center"/>
          </w:tcPr>
          <w:p>
            <w:pPr>
              <w:jc w:val="right"/>
            </w:pPr>
            <w:r>
              <w:rPr>
                <w:rFonts w:hint="eastAsia" w:asciiTheme="minorEastAsia" w:hAnsiTheme="minorEastAsia" w:eastAsiaTheme="minorEastAsia"/>
                <w:color w:val="000000"/>
                <w:sz w:val="18"/>
                <w:szCs w:val="18"/>
              </w:rPr>
              <w:t xml:space="preserve">3,370,000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pStyle w:val="48"/>
            </w:pPr>
            <w:r>
              <w:rPr>
                <w:rFonts w:hint="eastAsia"/>
                <w:color w:val="000000"/>
                <w:sz w:val="22"/>
                <w:szCs w:val="22"/>
              </w:rPr>
              <w:t>王育森</w:t>
            </w:r>
          </w:p>
        </w:tc>
        <w:tc>
          <w:tcPr>
            <w:tcW w:w="1948" w:type="pct"/>
            <w:gridSpan w:val="3"/>
            <w:vAlign w:val="center"/>
          </w:tcPr>
          <w:p>
            <w:pPr>
              <w:jc w:val="right"/>
            </w:pPr>
            <w:r>
              <w:rPr>
                <w:rFonts w:hint="eastAsia" w:asciiTheme="minorEastAsia" w:hAnsiTheme="minorEastAsia" w:eastAsiaTheme="minorEastAsia"/>
                <w:color w:val="000000"/>
                <w:sz w:val="18"/>
                <w:szCs w:val="18"/>
              </w:rPr>
              <w:t xml:space="preserve">2,900,000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493213202"/>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942" w:type="pct"/>
                <w:gridSpan w:val="2"/>
                <w:vAlign w:val="center"/>
              </w:tcPr>
              <w:p>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748" w:type="pct"/>
            <w:gridSpan w:val="2"/>
            <w:vAlign w:val="center"/>
          </w:tcPr>
          <w:p>
            <w:pPr>
              <w:jc w:val="right"/>
            </w:pPr>
            <w:r>
              <w:rPr>
                <w:rFonts w:hint="eastAsia" w:asciiTheme="minorEastAsia" w:hAnsiTheme="minorEastAsia" w:eastAsiaTheme="minorEastAsia"/>
                <w:color w:val="000000"/>
                <w:sz w:val="18"/>
                <w:szCs w:val="18"/>
              </w:rPr>
              <w:t xml:space="preserve">2,900,000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pStyle w:val="48"/>
            </w:pPr>
            <w:r>
              <w:rPr>
                <w:rFonts w:hint="eastAsia"/>
                <w:color w:val="000000"/>
                <w:sz w:val="22"/>
                <w:szCs w:val="22"/>
              </w:rPr>
              <w:t>刘远初</w:t>
            </w:r>
          </w:p>
        </w:tc>
        <w:tc>
          <w:tcPr>
            <w:tcW w:w="1948" w:type="pct"/>
            <w:gridSpan w:val="3"/>
            <w:vAlign w:val="center"/>
          </w:tcPr>
          <w:p>
            <w:pPr>
              <w:jc w:val="right"/>
            </w:pPr>
            <w:r>
              <w:rPr>
                <w:rFonts w:hint="eastAsia" w:asciiTheme="minorEastAsia" w:hAnsiTheme="minorEastAsia" w:eastAsiaTheme="minorEastAsia"/>
                <w:color w:val="000000"/>
                <w:sz w:val="18"/>
                <w:szCs w:val="18"/>
              </w:rPr>
              <w:t xml:space="preserve">2,720,644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841544112"/>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942" w:type="pct"/>
                <w:gridSpan w:val="2"/>
                <w:vAlign w:val="center"/>
              </w:tcPr>
              <w:p>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748" w:type="pct"/>
            <w:gridSpan w:val="2"/>
            <w:vAlign w:val="center"/>
          </w:tcPr>
          <w:p>
            <w:pPr>
              <w:jc w:val="right"/>
            </w:pPr>
            <w:r>
              <w:rPr>
                <w:rFonts w:hint="eastAsia" w:asciiTheme="minorEastAsia" w:hAnsiTheme="minorEastAsia" w:eastAsiaTheme="minorEastAsia"/>
                <w:color w:val="000000"/>
                <w:sz w:val="18"/>
                <w:szCs w:val="18"/>
              </w:rPr>
              <w:t xml:space="preserve">2,720,644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pStyle w:val="48"/>
            </w:pPr>
            <w:r>
              <w:rPr>
                <w:rFonts w:hint="eastAsia"/>
                <w:color w:val="000000"/>
                <w:sz w:val="22"/>
                <w:szCs w:val="22"/>
              </w:rPr>
              <w:t>杨厚群</w:t>
            </w:r>
          </w:p>
        </w:tc>
        <w:tc>
          <w:tcPr>
            <w:tcW w:w="1948" w:type="pct"/>
            <w:gridSpan w:val="3"/>
            <w:vAlign w:val="center"/>
          </w:tcPr>
          <w:p>
            <w:pPr>
              <w:jc w:val="right"/>
            </w:pPr>
            <w:r>
              <w:rPr>
                <w:rFonts w:hint="eastAsia" w:asciiTheme="minorEastAsia" w:hAnsiTheme="minorEastAsia" w:eastAsiaTheme="minorEastAsia"/>
                <w:color w:val="000000"/>
                <w:sz w:val="18"/>
                <w:szCs w:val="18"/>
              </w:rPr>
              <w:t xml:space="preserve">2,269,844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758490126"/>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942" w:type="pct"/>
                <w:gridSpan w:val="2"/>
                <w:vAlign w:val="center"/>
              </w:tcPr>
              <w:p>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748" w:type="pct"/>
            <w:gridSpan w:val="2"/>
            <w:vAlign w:val="center"/>
          </w:tcPr>
          <w:p>
            <w:pPr>
              <w:jc w:val="right"/>
            </w:pPr>
            <w:r>
              <w:rPr>
                <w:rFonts w:hint="eastAsia" w:asciiTheme="minorEastAsia" w:hAnsiTheme="minorEastAsia" w:eastAsiaTheme="minorEastAsia"/>
                <w:color w:val="000000"/>
                <w:sz w:val="18"/>
                <w:szCs w:val="18"/>
              </w:rPr>
              <w:t xml:space="preserve">2,269,844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pStyle w:val="48"/>
            </w:pPr>
            <w:r>
              <w:rPr>
                <w:rFonts w:hint="eastAsia"/>
                <w:color w:val="000000"/>
                <w:sz w:val="22"/>
                <w:szCs w:val="22"/>
              </w:rPr>
              <w:t>香港中央结算有限公司</w:t>
            </w:r>
          </w:p>
        </w:tc>
        <w:tc>
          <w:tcPr>
            <w:tcW w:w="1948" w:type="pct"/>
            <w:gridSpan w:val="3"/>
            <w:vAlign w:val="center"/>
          </w:tcPr>
          <w:p>
            <w:pPr>
              <w:jc w:val="right"/>
            </w:pPr>
            <w:r>
              <w:rPr>
                <w:rFonts w:hint="eastAsia" w:asciiTheme="minorEastAsia" w:hAnsiTheme="minorEastAsia" w:eastAsiaTheme="minorEastAsia"/>
                <w:color w:val="000000"/>
                <w:sz w:val="18"/>
                <w:szCs w:val="18"/>
              </w:rPr>
              <w:t xml:space="preserve">1,961,739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743723012"/>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942" w:type="pct"/>
                <w:gridSpan w:val="2"/>
                <w:vAlign w:val="center"/>
              </w:tcPr>
              <w:p>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748" w:type="pct"/>
            <w:gridSpan w:val="2"/>
            <w:vAlign w:val="center"/>
          </w:tcPr>
          <w:p>
            <w:pPr>
              <w:jc w:val="right"/>
            </w:pPr>
            <w:r>
              <w:rPr>
                <w:rFonts w:hint="eastAsia" w:asciiTheme="minorEastAsia" w:hAnsiTheme="minorEastAsia" w:eastAsiaTheme="minorEastAsia"/>
                <w:color w:val="000000"/>
                <w:sz w:val="18"/>
                <w:szCs w:val="18"/>
              </w:rPr>
              <w:t xml:space="preserve">1,961,739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pStyle w:val="48"/>
            </w:pPr>
            <w:r>
              <w:rPr>
                <w:rFonts w:hint="eastAsia"/>
                <w:color w:val="000000"/>
                <w:sz w:val="22"/>
                <w:szCs w:val="22"/>
              </w:rPr>
              <w:t>张美红</w:t>
            </w:r>
          </w:p>
        </w:tc>
        <w:tc>
          <w:tcPr>
            <w:tcW w:w="1948" w:type="pct"/>
            <w:gridSpan w:val="3"/>
            <w:vAlign w:val="center"/>
          </w:tcPr>
          <w:p>
            <w:pPr>
              <w:jc w:val="right"/>
            </w:pPr>
            <w:r>
              <w:rPr>
                <w:rFonts w:hint="eastAsia" w:asciiTheme="minorEastAsia" w:hAnsiTheme="minorEastAsia" w:eastAsiaTheme="minorEastAsia"/>
                <w:color w:val="000000"/>
                <w:sz w:val="18"/>
                <w:szCs w:val="18"/>
              </w:rPr>
              <w:t xml:space="preserve">1,470,200 </w:t>
            </w:r>
          </w:p>
        </w:tc>
        <w:sdt>
          <w:sdtPr>
            <w:rPr>
              <w:bCs w:val="0"/>
              <w:color w:val="000000" w:themeColor="text1"/>
              <w14:textFill>
                <w14:solidFill>
                  <w14:schemeClr w14:val="tx1"/>
                </w14:solidFill>
              </w14:textFill>
            </w:rPr>
            <w:alias w:val="前十名无限售条件股东期末持有流通股的种类"/>
            <w:tag w:val="_GBC_5d0d3dfc3b8545ce906ab8a21728fb94"/>
            <w:id w:val="1954050054"/>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rPr>
              <w:bCs w:val="0"/>
              <w:color w:val="000000" w:themeColor="text1"/>
              <w14:textFill>
                <w14:solidFill>
                  <w14:schemeClr w14:val="tx1"/>
                </w14:solidFill>
              </w14:textFill>
            </w:rPr>
          </w:sdtEndPr>
          <w:sdtContent>
            <w:tc>
              <w:tcPr>
                <w:tcW w:w="942" w:type="pct"/>
                <w:gridSpan w:val="2"/>
                <w:vAlign w:val="center"/>
              </w:tcPr>
              <w:p>
                <w:pPr>
                  <w:jc w:val="center"/>
                  <w:rPr>
                    <w:bCs w:val="0"/>
                    <w:color w:val="000000" w:themeColor="text1"/>
                    <w14:textFill>
                      <w14:solidFill>
                        <w14:schemeClr w14:val="tx1"/>
                      </w14:solidFill>
                    </w14:textFill>
                  </w:rPr>
                </w:pPr>
                <w:r>
                  <w:rPr>
                    <w:bCs w:val="0"/>
                    <w:color w:val="000000" w:themeColor="text1"/>
                    <w14:textFill>
                      <w14:solidFill>
                        <w14:schemeClr w14:val="tx1"/>
                      </w14:solidFill>
                    </w14:textFill>
                  </w:rPr>
                  <w:t>人民币普通股</w:t>
                </w:r>
              </w:p>
            </w:tc>
          </w:sdtContent>
        </w:sdt>
        <w:tc>
          <w:tcPr>
            <w:tcW w:w="748" w:type="pct"/>
            <w:gridSpan w:val="2"/>
            <w:vAlign w:val="center"/>
          </w:tcPr>
          <w:p>
            <w:pPr>
              <w:jc w:val="right"/>
            </w:pPr>
            <w:r>
              <w:rPr>
                <w:rFonts w:hint="eastAsia" w:asciiTheme="minorEastAsia" w:hAnsiTheme="minorEastAsia" w:eastAsiaTheme="minorEastAsia"/>
                <w:color w:val="000000"/>
                <w:sz w:val="18"/>
                <w:szCs w:val="18"/>
              </w:rPr>
              <w:t xml:space="preserve">1,470,200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前十名股东中回购专户情况说明</w:t>
            </w:r>
          </w:p>
        </w:tc>
        <w:tc>
          <w:tcPr>
            <w:tcW w:w="3639" w:type="pct"/>
            <w:gridSpan w:val="7"/>
            <w:vAlign w:val="center"/>
          </w:tcPr>
          <w:p>
            <w:pPr>
              <w:pStyle w:val="48"/>
            </w:pPr>
            <w:r>
              <w:rPr>
                <w:rFonts w:hint="eastAsi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上述股东</w:t>
            </w:r>
            <w:r>
              <w:rPr>
                <w:rFonts w:hint="eastAsia"/>
                <w:color w:val="000000" w:themeColor="text1"/>
                <w14:textFill>
                  <w14:solidFill>
                    <w14:schemeClr w14:val="tx1"/>
                  </w14:solidFill>
                </w14:textFill>
              </w:rPr>
              <w:t>委托表决权、受托表决权、放弃表决权</w:t>
            </w:r>
            <w:r>
              <w:rPr>
                <w:color w:val="000000" w:themeColor="text1"/>
                <w14:textFill>
                  <w14:solidFill>
                    <w14:schemeClr w14:val="tx1"/>
                  </w14:solidFill>
                </w14:textFill>
              </w:rPr>
              <w:t>的说明</w:t>
            </w:r>
          </w:p>
        </w:tc>
        <w:tc>
          <w:tcPr>
            <w:tcW w:w="3639" w:type="pct"/>
            <w:gridSpan w:val="7"/>
            <w:vAlign w:val="center"/>
          </w:tcPr>
          <w:p>
            <w:pPr>
              <w:pStyle w:val="48"/>
            </w:pPr>
            <w:r>
              <w:rPr>
                <w:rFonts w:hint="eastAsi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上述股东关联关系或一致行动的说明</w:t>
            </w:r>
          </w:p>
        </w:tc>
        <w:tc>
          <w:tcPr>
            <w:tcW w:w="3639" w:type="pct"/>
            <w:gridSpan w:val="7"/>
            <w:vAlign w:val="center"/>
          </w:tcPr>
          <w:p>
            <w:pPr>
              <w:pStyle w:val="48"/>
            </w:pPr>
            <w:r>
              <w:t>上述股东中杨泽民、秦惠兰、杨耀与杨秦系一致行动人，杨泽民与秦惠兰系夫妻关系，其女杨秦与其子杨耀系姐弟关系，杨泽民与杨厚群系兄妹关系；除此之外，公司未知上述股东是否存在关联关系，也未知上述股东之间是否属于《上市公司收购管理办法》规定的一致行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61" w:type="pct"/>
            <w:gridSpan w:val="2"/>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表决权恢复的优先股股东及持股数量的说明</w:t>
            </w:r>
          </w:p>
        </w:tc>
        <w:tc>
          <w:tcPr>
            <w:tcW w:w="3639" w:type="pct"/>
            <w:gridSpan w:val="7"/>
            <w:vAlign w:val="center"/>
          </w:tcPr>
          <w:p>
            <w:pPr>
              <w:pStyle w:val="48"/>
            </w:pPr>
            <w:r>
              <w:rPr>
                <w:rFonts w:hint="eastAsia"/>
              </w:rPr>
              <w:t>无</w:t>
            </w:r>
          </w:p>
        </w:tc>
      </w:tr>
    </w:tbl>
    <w:p>
      <w:pPr>
        <w:rPr>
          <w:color w:val="000000" w:themeColor="text1"/>
          <w14:textFill>
            <w14:solidFill>
              <w14:schemeClr w14:val="tx1"/>
            </w14:solidFill>
          </w14:textFill>
        </w:rPr>
      </w:pPr>
    </w:p>
    <w:p>
      <w:pPr>
        <w:spacing w:line="360" w:lineRule="exact"/>
        <w:rPr>
          <w:color w:val="000000" w:themeColor="text1"/>
          <w14:textFill>
            <w14:solidFill>
              <w14:schemeClr w14:val="tx1"/>
            </w14:solidFill>
          </w14:textFill>
        </w:rPr>
      </w:pPr>
      <w:bookmarkStart w:id="112" w:name="_Hlk155094173"/>
      <w:bookmarkStart w:id="113" w:name="_Hlk169006123"/>
      <w:bookmarkStart w:id="114" w:name="_Hlk167799956"/>
      <w:bookmarkStart w:id="115" w:name="_Hlk161321917"/>
      <w:bookmarkStart w:id="116" w:name="_Hlk161154245"/>
      <w:r>
        <w:rPr>
          <w:rFonts w:hint="eastAsia"/>
          <w:color w:val="000000" w:themeColor="text1"/>
          <w14:textFill>
            <w14:solidFill>
              <w14:schemeClr w14:val="tx1"/>
            </w14:solidFill>
          </w14:textFill>
        </w:rPr>
        <w:t>持股</w:t>
      </w:r>
      <w:r>
        <w:rPr>
          <w:color w:val="000000" w:themeColor="text1"/>
          <w14:textFill>
            <w14:solidFill>
              <w14:schemeClr w14:val="tx1"/>
            </w14:solidFill>
          </w14:textFill>
        </w:rPr>
        <w:t>5%以上股东、前</w:t>
      </w:r>
      <w:r>
        <w:rPr>
          <w:rFonts w:hint="eastAsia"/>
          <w:color w:val="000000" w:themeColor="text1"/>
          <w14:textFill>
            <w14:solidFill>
              <w14:schemeClr w14:val="tx1"/>
            </w14:solidFill>
          </w14:textFill>
        </w:rPr>
        <w:t>十</w:t>
      </w:r>
      <w:r>
        <w:rPr>
          <w:color w:val="000000" w:themeColor="text1"/>
          <w14:textFill>
            <w14:solidFill>
              <w14:schemeClr w14:val="tx1"/>
            </w14:solidFill>
          </w14:textFill>
        </w:rPr>
        <w:t>名股东及前</w:t>
      </w:r>
      <w:r>
        <w:rPr>
          <w:rFonts w:hint="eastAsia"/>
          <w:color w:val="000000" w:themeColor="text1"/>
          <w14:textFill>
            <w14:solidFill>
              <w14:schemeClr w14:val="tx1"/>
            </w14:solidFill>
          </w14:textFill>
        </w:rPr>
        <w:t>十</w:t>
      </w:r>
      <w:r>
        <w:rPr>
          <w:color w:val="000000" w:themeColor="text1"/>
          <w14:textFill>
            <w14:solidFill>
              <w14:schemeClr w14:val="tx1"/>
            </w14:solidFill>
          </w14:textFill>
        </w:rPr>
        <w:t>名无限售流通股股东参与转融通业务出借股份情况</w:t>
      </w:r>
    </w:p>
    <w:sdt>
      <w:sdtPr>
        <w:rPr>
          <w:bCs w:val="0"/>
          <w:color w:val="000000" w:themeColor="text1"/>
          <w14:textFill>
            <w14:solidFill>
              <w14:schemeClr w14:val="tx1"/>
            </w14:solidFill>
          </w14:textFill>
        </w:rPr>
        <w:alias w:val="是否适用：前十名股东参与转融通业务出借股份情况[双击切换]"/>
        <w:tag w:val="_GBC_781f403c98a6480ab0058d21456ae70f"/>
        <w:id w:val="-1001811445"/>
        <w:placeholder>
          <w:docPart w:val="GBC22222222222222222222222222222"/>
        </w:placeholder>
      </w:sdtPr>
      <w:sdtEndPr>
        <w:rPr>
          <w:bCs w:val="0"/>
          <w:color w:val="000000" w:themeColor="text1"/>
          <w14:textFill>
            <w14:solidFill>
              <w14:schemeClr w14:val="tx1"/>
            </w14:solidFill>
          </w14:textFill>
        </w:rPr>
      </w:sdtEndPr>
      <w:sdtContent>
        <w:p>
          <w:pPr>
            <w:spacing w:line="360" w:lineRule="exact"/>
            <w:rPr>
              <w:bCs w:val="0"/>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bookmarkEnd w:id="112"/>
    <w:p>
      <w:pPr>
        <w:spacing w:line="360" w:lineRule="exact"/>
        <w:rPr>
          <w:color w:val="000000" w:themeColor="text1"/>
          <w14:textFill>
            <w14:solidFill>
              <w14:schemeClr w14:val="tx1"/>
            </w14:solidFill>
          </w14:textFill>
        </w:rPr>
      </w:pPr>
      <w:bookmarkStart w:id="117" w:name="_Hlk155094189"/>
      <w:r>
        <w:rPr>
          <w:rFonts w:hint="eastAsia"/>
          <w:color w:val="000000" w:themeColor="text1"/>
          <w14:textFill>
            <w14:solidFill>
              <w14:schemeClr w14:val="tx1"/>
            </w14:solidFill>
          </w14:textFill>
        </w:rPr>
        <w:t>前十</w:t>
      </w:r>
      <w:r>
        <w:rPr>
          <w:color w:val="000000" w:themeColor="text1"/>
          <w14:textFill>
            <w14:solidFill>
              <w14:schemeClr w14:val="tx1"/>
            </w14:solidFill>
          </w14:textFill>
        </w:rPr>
        <w:t>名股东及前</w:t>
      </w:r>
      <w:r>
        <w:rPr>
          <w:rFonts w:hint="eastAsia"/>
          <w:color w:val="000000" w:themeColor="text1"/>
          <w14:textFill>
            <w14:solidFill>
              <w14:schemeClr w14:val="tx1"/>
            </w14:solidFill>
          </w14:textFill>
        </w:rPr>
        <w:t>十</w:t>
      </w:r>
      <w:r>
        <w:rPr>
          <w:color w:val="000000" w:themeColor="text1"/>
          <w14:textFill>
            <w14:solidFill>
              <w14:schemeClr w14:val="tx1"/>
            </w14:solidFill>
          </w14:textFill>
        </w:rPr>
        <w:t>名无限售流通股股东因转融通出借/归还原因导致较上期发生变化</w:t>
      </w:r>
    </w:p>
    <w:sdt>
      <w:sdtPr>
        <w:rPr>
          <w:rFonts w:hint="eastAsia"/>
          <w:color w:val="000000" w:themeColor="text1"/>
          <w14:textFill>
            <w14:solidFill>
              <w14:schemeClr w14:val="tx1"/>
            </w14:solidFill>
          </w14:textFill>
        </w:rPr>
        <w:alias w:val="是否适用：前十名股东较上期发生变化[双击切换]"/>
        <w:tag w:val="_GBC_892ba31f016544c894d3e29851e8125d"/>
        <w:id w:val="249780117"/>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13"/>
    <w:bookmarkEnd w:id="114"/>
    <w:bookmarkEnd w:id="115"/>
    <w:bookmarkEnd w:id="116"/>
    <w:bookmarkEnd w:id="117"/>
    <w:p>
      <w:pPr>
        <w:spacing w:line="360" w:lineRule="exact"/>
        <w:rPr>
          <w:color w:val="000000" w:themeColor="text1"/>
          <w14:textFill>
            <w14:solidFill>
              <w14:schemeClr w14:val="tx1"/>
            </w14:solidFill>
          </w14:textFill>
        </w:rPr>
      </w:pPr>
      <w:r>
        <w:rPr>
          <w:color w:val="000000" w:themeColor="text1"/>
          <w14:textFill>
            <w14:solidFill>
              <w14:schemeClr w14:val="tx1"/>
            </w14:solidFill>
          </w14:textFill>
        </w:rPr>
        <w:t>前十名有限售条件股东持股数量及限售条件</w:t>
      </w:r>
    </w:p>
    <w:sdt>
      <w:sdtPr>
        <w:rPr>
          <w:bCs w:val="0"/>
          <w:color w:val="000000" w:themeColor="text1"/>
          <w14:textFill>
            <w14:solidFill>
              <w14:schemeClr w14:val="tx1"/>
            </w14:solidFill>
          </w14:textFill>
        </w:rPr>
        <w:alias w:val="是否适用：前十名有限售条件股东持股数量及限售条件[双击切换]"/>
        <w:tag w:val="_GBC_681c25d581914cb19d4b007c00511b6a"/>
        <w:id w:val="2001694121"/>
        <w:placeholder>
          <w:docPart w:val="GBC22222222222222222222222222222"/>
        </w:placeholder>
      </w:sdtPr>
      <w:sdtEndPr>
        <w:rPr>
          <w:bCs w:val="0"/>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p>
      <w:pPr>
        <w:pStyle w:val="51"/>
        <w:numPr>
          <w:ilvl w:val="1"/>
          <w:numId w:val="26"/>
        </w:numPr>
        <w:spacing w:line="360" w:lineRule="exact"/>
        <w:rPr>
          <w:rFonts w:hint="eastAsia" w:ascii="宋体" w:hAnsi="宋体"/>
          <w:color w:val="000000" w:themeColor="text1"/>
          <w14:textFill>
            <w14:solidFill>
              <w14:schemeClr w14:val="tx1"/>
            </w14:solidFill>
          </w14:textFill>
        </w:rPr>
      </w:pPr>
      <w:bookmarkStart w:id="118" w:name="_Toc342565999"/>
      <w:bookmarkEnd w:id="118"/>
      <w:bookmarkStart w:id="119" w:name="_Toc342059486"/>
      <w:bookmarkEnd w:id="119"/>
      <w:bookmarkStart w:id="120" w:name="_Hlk167800260"/>
      <w:bookmarkEnd w:id="120"/>
      <w:bookmarkStart w:id="121" w:name="_Toc342059487"/>
      <w:bookmarkStart w:id="122" w:name="_Toc342566000"/>
      <w:r>
        <w:rPr>
          <w:rFonts w:ascii="宋体" w:hAnsi="宋体"/>
          <w:color w:val="000000" w:themeColor="text1"/>
          <w14:textFill>
            <w14:solidFill>
              <w14:schemeClr w14:val="tx1"/>
            </w14:solidFill>
          </w14:textFill>
        </w:rPr>
        <w:t>战略投资者或一般法人因配售新股成为前十名股东</w:t>
      </w:r>
    </w:p>
    <w:sdt>
      <w:sdtPr>
        <w:rPr>
          <w:color w:val="000000" w:themeColor="text1"/>
          <w14:textFill>
            <w14:solidFill>
              <w14:schemeClr w14:val="tx1"/>
            </w14:solidFill>
          </w14:textFill>
        </w:rPr>
        <w:alias w:val="是否适用：战略投资者或一般法人因配售新股成为前10名股东[双击切换]"/>
        <w:tag w:val="_GBC_fe7bdc72bd78490fb48d0f3eaca6248e"/>
        <w:id w:val="-589244825"/>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23"/>
        </w:numPr>
        <w:spacing w:line="360" w:lineRule="exact"/>
        <w:ind w:left="422" w:hanging="422"/>
        <w:rPr>
          <w:rFonts w:hint="eastAsia" w:ascii="宋体" w:hAnsi="宋体"/>
          <w:color w:val="000000" w:themeColor="text1"/>
          <w14:textFill>
            <w14:solidFill>
              <w14:schemeClr w14:val="tx1"/>
            </w14:solidFill>
          </w14:textFill>
        </w:rPr>
      </w:pPr>
      <w:bookmarkStart w:id="123" w:name="_Toc342566004"/>
      <w:bookmarkStart w:id="124" w:name="_Toc342057944"/>
      <w:r>
        <w:rPr>
          <w:rFonts w:ascii="宋体" w:hAnsi="宋体"/>
          <w:color w:val="000000" w:themeColor="text1"/>
          <w14:textFill>
            <w14:solidFill>
              <w14:schemeClr w14:val="tx1"/>
            </w14:solidFill>
          </w14:textFill>
        </w:rPr>
        <w:t>董事和高级管理人员情况</w:t>
      </w:r>
    </w:p>
    <w:p>
      <w:pPr>
        <w:pStyle w:val="51"/>
        <w:numPr>
          <w:ilvl w:val="2"/>
          <w:numId w:val="27"/>
        </w:numPr>
        <w:spacing w:line="360" w:lineRule="exac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现任及报告期内离任董事和高级管理人员持股变动情况</w:t>
      </w:r>
    </w:p>
    <w:sdt>
      <w:sdtPr>
        <w:rPr>
          <w:color w:val="000000" w:themeColor="text1"/>
          <w14:textFill>
            <w14:solidFill>
              <w14:schemeClr w14:val="tx1"/>
            </w14:solidFill>
          </w14:textFill>
        </w:rPr>
        <w:alias w:val="是否适用：董事、监事和高级管理人员持股变动[双击切换]"/>
        <w:tag w:val="_GBC_e4aa9f89c24b4cbb80c479762adcf568"/>
        <w:id w:val="2008779585"/>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董事、监事、高级管理人员基本情况"/>
          <w:tag w:val="_GBC_87d809188f454ec0b46d64b3aa35bd40"/>
          <w:id w:val="-163549349"/>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股</w:t>
          </w:r>
        </w:sdtContent>
      </w:sdt>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1471"/>
        <w:gridCol w:w="1471"/>
        <w:gridCol w:w="1470"/>
        <w:gridCol w:w="147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1f7680f216a54f238a0fc6f41541ae82"/>
            <w:id w:val="1206072294"/>
          </w:sdtPr>
          <w:sdtContent>
            <w:tc>
              <w:tcPr>
                <w:tcW w:w="1471"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姓名</w:t>
                </w:r>
              </w:p>
            </w:tc>
          </w:sdtContent>
        </w:sdt>
        <w:sdt>
          <w:sdtPr>
            <w:tag w:val="_PLD_f9cf95b77e9f44c08a598757ed99ae89"/>
            <w:id w:val="430788993"/>
          </w:sdtPr>
          <w:sdtContent>
            <w:tc>
              <w:tcPr>
                <w:tcW w:w="1471"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职务</w:t>
                </w:r>
              </w:p>
            </w:tc>
          </w:sdtContent>
        </w:sdt>
        <w:sdt>
          <w:sdtPr>
            <w:tag w:val="_PLD_97b791fb142e4247b083ceff8590ac69"/>
            <w:id w:val="1534151711"/>
          </w:sdtPr>
          <w:sdtContent>
            <w:tc>
              <w:tcPr>
                <w:tcW w:w="1471"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期初持股数</w:t>
                </w:r>
              </w:p>
            </w:tc>
          </w:sdtContent>
        </w:sdt>
        <w:sdt>
          <w:sdtPr>
            <w:tag w:val="_PLD_548f968bd4a54832b0fba78005a85b32"/>
            <w:id w:val="506953856"/>
          </w:sdtPr>
          <w:sdtContent>
            <w:tc>
              <w:tcPr>
                <w:tcW w:w="1470"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期末持股数</w:t>
                </w:r>
              </w:p>
            </w:tc>
          </w:sdtContent>
        </w:sdt>
        <w:sdt>
          <w:sdtPr>
            <w:tag w:val="_PLD_bbad2f3819564189adee6d267c1fd8e7"/>
            <w:id w:val="1020050562"/>
          </w:sdtPr>
          <w:sdtContent>
            <w:tc>
              <w:tcPr>
                <w:tcW w:w="1470"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报告期内股份增减变动量</w:t>
                </w:r>
              </w:p>
            </w:tc>
          </w:sdtContent>
        </w:sdt>
        <w:sdt>
          <w:sdtPr>
            <w:tag w:val="_PLD_4dafa7f2d8e14e03aadd815fa6ee7ac6"/>
            <w:id w:val="-971443840"/>
          </w:sdtPr>
          <w:sdtContent>
            <w:tc>
              <w:tcPr>
                <w:tcW w:w="1470"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增减变动原因</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Pr>
          <w:p>
            <w:pPr>
              <w:widowControl w:val="0"/>
              <w:jc w:val="both"/>
            </w:pPr>
            <w:r>
              <w:rPr>
                <w:rFonts w:hint="eastAsia"/>
              </w:rPr>
              <w:t>王海波</w:t>
            </w:r>
          </w:p>
        </w:tc>
        <w:tc>
          <w:tcPr>
            <w:tcW w:w="1471" w:type="dxa"/>
          </w:tcPr>
          <w:p>
            <w:pPr>
              <w:widowControl w:val="0"/>
              <w:jc w:val="both"/>
            </w:pPr>
            <w:r>
              <w:rPr>
                <w:rFonts w:hint="eastAsia"/>
              </w:rPr>
              <w:t>职工董事</w:t>
            </w:r>
          </w:p>
        </w:tc>
        <w:tc>
          <w:tcPr>
            <w:tcW w:w="1471" w:type="dxa"/>
            <w:vAlign w:val="center"/>
          </w:tcPr>
          <w:p>
            <w:pPr>
              <w:widowControl w:val="0"/>
              <w:jc w:val="right"/>
            </w:pPr>
            <w:r>
              <w:t>138,000</w:t>
            </w:r>
          </w:p>
        </w:tc>
        <w:tc>
          <w:tcPr>
            <w:tcW w:w="1470" w:type="dxa"/>
            <w:vAlign w:val="center"/>
          </w:tcPr>
          <w:p>
            <w:pPr>
              <w:widowControl w:val="0"/>
              <w:jc w:val="right"/>
            </w:pPr>
            <w:r>
              <w:t>75,000</w:t>
            </w:r>
          </w:p>
        </w:tc>
        <w:tc>
          <w:tcPr>
            <w:tcW w:w="1470" w:type="dxa"/>
            <w:vAlign w:val="center"/>
          </w:tcPr>
          <w:p>
            <w:pPr>
              <w:widowControl w:val="0"/>
              <w:jc w:val="right"/>
            </w:pPr>
            <w:r>
              <w:t>-63,000</w:t>
            </w:r>
          </w:p>
        </w:tc>
        <w:tc>
          <w:tcPr>
            <w:tcW w:w="1470" w:type="dxa"/>
            <w:vMerge w:val="restart"/>
          </w:tcPr>
          <w:p>
            <w:pPr>
              <w:widowControl w:val="0"/>
              <w:jc w:val="both"/>
            </w:pPr>
            <w:r>
              <w:rPr>
                <w:rFonts w:hint="eastAsia"/>
              </w:rPr>
              <w:t>2024年股权激励计划终止回购注销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Pr>
          <w:p>
            <w:pPr>
              <w:widowControl w:val="0"/>
              <w:jc w:val="both"/>
            </w:pPr>
            <w:r>
              <w:rPr>
                <w:rFonts w:hint="eastAsia"/>
              </w:rPr>
              <w:t>杨林</w:t>
            </w:r>
          </w:p>
        </w:tc>
        <w:tc>
          <w:tcPr>
            <w:tcW w:w="1471" w:type="dxa"/>
          </w:tcPr>
          <w:p>
            <w:pPr>
              <w:widowControl w:val="0"/>
              <w:jc w:val="both"/>
            </w:pPr>
            <w:r>
              <w:rPr>
                <w:rFonts w:hint="eastAsia"/>
              </w:rPr>
              <w:t>董事、副总经理</w:t>
            </w:r>
          </w:p>
        </w:tc>
        <w:tc>
          <w:tcPr>
            <w:tcW w:w="1471" w:type="dxa"/>
            <w:vAlign w:val="center"/>
          </w:tcPr>
          <w:p>
            <w:pPr>
              <w:widowControl w:val="0"/>
              <w:jc w:val="right"/>
            </w:pPr>
            <w:r>
              <w:t>154,000</w:t>
            </w:r>
          </w:p>
        </w:tc>
        <w:tc>
          <w:tcPr>
            <w:tcW w:w="1470" w:type="dxa"/>
            <w:vAlign w:val="center"/>
          </w:tcPr>
          <w:p>
            <w:pPr>
              <w:widowControl w:val="0"/>
              <w:tabs>
                <w:tab w:val="center" w:pos="627"/>
                <w:tab w:val="right" w:pos="1254"/>
              </w:tabs>
              <w:jc w:val="right"/>
            </w:pPr>
            <w:r>
              <w:tab/>
            </w:r>
            <w:r>
              <w:tab/>
            </w:r>
            <w:r>
              <w:t>0</w:t>
            </w:r>
          </w:p>
        </w:tc>
        <w:tc>
          <w:tcPr>
            <w:tcW w:w="1470" w:type="dxa"/>
            <w:vAlign w:val="center"/>
          </w:tcPr>
          <w:p>
            <w:pPr>
              <w:widowControl w:val="0"/>
              <w:jc w:val="right"/>
            </w:pPr>
            <w:r>
              <w:t>-154,000</w:t>
            </w:r>
          </w:p>
        </w:tc>
        <w:tc>
          <w:tcPr>
            <w:tcW w:w="1470" w:type="dxa"/>
            <w:vMerge w:val="continue"/>
          </w:tcPr>
          <w:p>
            <w:pPr>
              <w:widowControl w:val="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Pr>
          <w:p>
            <w:pPr>
              <w:widowControl w:val="0"/>
              <w:jc w:val="both"/>
            </w:pPr>
            <w:r>
              <w:rPr>
                <w:rFonts w:hint="eastAsia"/>
              </w:rPr>
              <w:t>胡守天</w:t>
            </w:r>
          </w:p>
        </w:tc>
        <w:tc>
          <w:tcPr>
            <w:tcW w:w="1471" w:type="dxa"/>
          </w:tcPr>
          <w:p>
            <w:pPr>
              <w:widowControl w:val="0"/>
              <w:jc w:val="both"/>
            </w:pPr>
            <w:r>
              <w:rPr>
                <w:rFonts w:hint="eastAsia"/>
              </w:rPr>
              <w:t>副董事长</w:t>
            </w:r>
          </w:p>
        </w:tc>
        <w:tc>
          <w:tcPr>
            <w:tcW w:w="1471" w:type="dxa"/>
            <w:vAlign w:val="center"/>
          </w:tcPr>
          <w:p>
            <w:pPr>
              <w:widowControl w:val="0"/>
              <w:jc w:val="right"/>
            </w:pPr>
            <w:r>
              <w:t>63,000</w:t>
            </w:r>
          </w:p>
        </w:tc>
        <w:tc>
          <w:tcPr>
            <w:tcW w:w="1470" w:type="dxa"/>
            <w:vAlign w:val="center"/>
          </w:tcPr>
          <w:p>
            <w:pPr>
              <w:widowControl w:val="0"/>
              <w:jc w:val="right"/>
            </w:pPr>
            <w:r>
              <w:t>0</w:t>
            </w:r>
          </w:p>
        </w:tc>
        <w:tc>
          <w:tcPr>
            <w:tcW w:w="1470" w:type="dxa"/>
            <w:vAlign w:val="center"/>
          </w:tcPr>
          <w:p>
            <w:pPr>
              <w:widowControl w:val="0"/>
              <w:jc w:val="right"/>
            </w:pPr>
            <w:r>
              <w:t>-63,000</w:t>
            </w:r>
          </w:p>
        </w:tc>
        <w:tc>
          <w:tcPr>
            <w:tcW w:w="1470" w:type="dxa"/>
            <w:vMerge w:val="continue"/>
          </w:tcPr>
          <w:p>
            <w:pPr>
              <w:widowControl w:val="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Pr>
          <w:p>
            <w:pPr>
              <w:widowControl w:val="0"/>
              <w:jc w:val="both"/>
            </w:pPr>
            <w:r>
              <w:rPr>
                <w:rFonts w:hint="eastAsia"/>
              </w:rPr>
              <w:t>付康</w:t>
            </w:r>
          </w:p>
        </w:tc>
        <w:tc>
          <w:tcPr>
            <w:tcW w:w="1471" w:type="dxa"/>
          </w:tcPr>
          <w:p>
            <w:pPr>
              <w:widowControl w:val="0"/>
              <w:jc w:val="both"/>
            </w:pPr>
            <w:r>
              <w:rPr>
                <w:rFonts w:hint="eastAsia"/>
              </w:rPr>
              <w:t>董事</w:t>
            </w:r>
          </w:p>
        </w:tc>
        <w:tc>
          <w:tcPr>
            <w:tcW w:w="1471" w:type="dxa"/>
            <w:vAlign w:val="center"/>
          </w:tcPr>
          <w:p>
            <w:pPr>
              <w:widowControl w:val="0"/>
              <w:jc w:val="right"/>
            </w:pPr>
            <w:r>
              <w:t>63,000</w:t>
            </w:r>
          </w:p>
        </w:tc>
        <w:tc>
          <w:tcPr>
            <w:tcW w:w="1470" w:type="dxa"/>
            <w:vAlign w:val="center"/>
          </w:tcPr>
          <w:p>
            <w:pPr>
              <w:widowControl w:val="0"/>
              <w:jc w:val="right"/>
            </w:pPr>
            <w:r>
              <w:t>0</w:t>
            </w:r>
          </w:p>
        </w:tc>
        <w:tc>
          <w:tcPr>
            <w:tcW w:w="1470" w:type="dxa"/>
            <w:vAlign w:val="center"/>
          </w:tcPr>
          <w:p>
            <w:pPr>
              <w:widowControl w:val="0"/>
              <w:jc w:val="right"/>
            </w:pPr>
            <w:r>
              <w:t>-63,000</w:t>
            </w:r>
          </w:p>
        </w:tc>
        <w:tc>
          <w:tcPr>
            <w:tcW w:w="1470" w:type="dxa"/>
            <w:vMerge w:val="continue"/>
          </w:tcPr>
          <w:p>
            <w:pPr>
              <w:widowControl w:val="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Pr>
          <w:p>
            <w:pPr>
              <w:widowControl w:val="0"/>
              <w:jc w:val="both"/>
            </w:pPr>
            <w:r>
              <w:rPr>
                <w:rFonts w:hint="eastAsia"/>
              </w:rPr>
              <w:t>李代萍</w:t>
            </w:r>
          </w:p>
        </w:tc>
        <w:tc>
          <w:tcPr>
            <w:tcW w:w="1471" w:type="dxa"/>
          </w:tcPr>
          <w:p>
            <w:pPr>
              <w:widowControl w:val="0"/>
              <w:jc w:val="both"/>
            </w:pPr>
            <w:r>
              <w:rPr>
                <w:rFonts w:hint="eastAsia"/>
              </w:rPr>
              <w:t>董事会秘书、副总经理</w:t>
            </w:r>
          </w:p>
        </w:tc>
        <w:tc>
          <w:tcPr>
            <w:tcW w:w="1471" w:type="dxa"/>
            <w:vAlign w:val="center"/>
          </w:tcPr>
          <w:p>
            <w:pPr>
              <w:widowControl w:val="0"/>
              <w:jc w:val="right"/>
            </w:pPr>
            <w:r>
              <w:t>344,300</w:t>
            </w:r>
          </w:p>
        </w:tc>
        <w:tc>
          <w:tcPr>
            <w:tcW w:w="1470" w:type="dxa"/>
            <w:vAlign w:val="center"/>
          </w:tcPr>
          <w:p>
            <w:pPr>
              <w:widowControl w:val="0"/>
              <w:jc w:val="right"/>
            </w:pPr>
            <w:r>
              <w:t>281,300</w:t>
            </w:r>
          </w:p>
        </w:tc>
        <w:tc>
          <w:tcPr>
            <w:tcW w:w="1470" w:type="dxa"/>
            <w:vAlign w:val="center"/>
          </w:tcPr>
          <w:p>
            <w:pPr>
              <w:widowControl w:val="0"/>
              <w:jc w:val="right"/>
            </w:pPr>
            <w:r>
              <w:t>-63,000</w:t>
            </w:r>
          </w:p>
        </w:tc>
        <w:tc>
          <w:tcPr>
            <w:tcW w:w="1470" w:type="dxa"/>
            <w:vMerge w:val="continue"/>
          </w:tcPr>
          <w:p>
            <w:pPr>
              <w:widowControl w:val="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Pr>
          <w:p>
            <w:pPr>
              <w:widowControl w:val="0"/>
              <w:jc w:val="both"/>
            </w:pPr>
            <w:r>
              <w:rPr>
                <w:rFonts w:hint="eastAsia"/>
              </w:rPr>
              <w:t>刘柏林</w:t>
            </w:r>
          </w:p>
        </w:tc>
        <w:tc>
          <w:tcPr>
            <w:tcW w:w="1471" w:type="dxa"/>
          </w:tcPr>
          <w:p>
            <w:pPr>
              <w:widowControl w:val="0"/>
              <w:jc w:val="both"/>
            </w:pPr>
            <w:r>
              <w:rPr>
                <w:rFonts w:hint="eastAsia"/>
              </w:rPr>
              <w:t>副总经理</w:t>
            </w:r>
          </w:p>
        </w:tc>
        <w:tc>
          <w:tcPr>
            <w:tcW w:w="1471" w:type="dxa"/>
            <w:vAlign w:val="center"/>
          </w:tcPr>
          <w:p>
            <w:pPr>
              <w:widowControl w:val="0"/>
              <w:jc w:val="right"/>
            </w:pPr>
            <w:r>
              <w:t>133,000</w:t>
            </w:r>
          </w:p>
        </w:tc>
        <w:tc>
          <w:tcPr>
            <w:tcW w:w="1470" w:type="dxa"/>
            <w:vAlign w:val="center"/>
          </w:tcPr>
          <w:p>
            <w:pPr>
              <w:widowControl w:val="0"/>
              <w:jc w:val="right"/>
            </w:pPr>
            <w:r>
              <w:t>0</w:t>
            </w:r>
          </w:p>
        </w:tc>
        <w:tc>
          <w:tcPr>
            <w:tcW w:w="1470" w:type="dxa"/>
            <w:vAlign w:val="center"/>
          </w:tcPr>
          <w:p>
            <w:pPr>
              <w:widowControl w:val="0"/>
              <w:jc w:val="right"/>
            </w:pPr>
            <w:r>
              <w:t>-133,000</w:t>
            </w:r>
          </w:p>
        </w:tc>
        <w:tc>
          <w:tcPr>
            <w:tcW w:w="1470" w:type="dxa"/>
            <w:vMerge w:val="continue"/>
          </w:tcPr>
          <w:p>
            <w:pPr>
              <w:widowControl w:val="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Pr>
          <w:p>
            <w:pPr>
              <w:widowControl w:val="0"/>
              <w:jc w:val="both"/>
            </w:pPr>
            <w:r>
              <w:rPr>
                <w:rFonts w:hint="eastAsia"/>
              </w:rPr>
              <w:t>肖永号</w:t>
            </w:r>
          </w:p>
        </w:tc>
        <w:tc>
          <w:tcPr>
            <w:tcW w:w="1471" w:type="dxa"/>
          </w:tcPr>
          <w:p>
            <w:pPr>
              <w:widowControl w:val="0"/>
              <w:jc w:val="both"/>
            </w:pPr>
            <w:r>
              <w:rPr>
                <w:rFonts w:hint="eastAsia"/>
              </w:rPr>
              <w:t>副总经理</w:t>
            </w:r>
          </w:p>
        </w:tc>
        <w:tc>
          <w:tcPr>
            <w:tcW w:w="1471" w:type="dxa"/>
            <w:vAlign w:val="center"/>
          </w:tcPr>
          <w:p>
            <w:pPr>
              <w:widowControl w:val="0"/>
              <w:jc w:val="right"/>
            </w:pPr>
            <w:r>
              <w:t>63,000</w:t>
            </w:r>
          </w:p>
        </w:tc>
        <w:tc>
          <w:tcPr>
            <w:tcW w:w="1470" w:type="dxa"/>
            <w:vAlign w:val="center"/>
          </w:tcPr>
          <w:p>
            <w:pPr>
              <w:widowControl w:val="0"/>
              <w:jc w:val="right"/>
            </w:pPr>
            <w:r>
              <w:t>0</w:t>
            </w:r>
          </w:p>
        </w:tc>
        <w:tc>
          <w:tcPr>
            <w:tcW w:w="1470" w:type="dxa"/>
            <w:vAlign w:val="center"/>
          </w:tcPr>
          <w:p>
            <w:pPr>
              <w:widowControl w:val="0"/>
              <w:jc w:val="right"/>
            </w:pPr>
            <w:r>
              <w:t>-63,000</w:t>
            </w:r>
          </w:p>
        </w:tc>
        <w:tc>
          <w:tcPr>
            <w:tcW w:w="1470" w:type="dxa"/>
            <w:vMerge w:val="continue"/>
          </w:tcPr>
          <w:p>
            <w:pPr>
              <w:widowControl w:val="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Pr>
          <w:p>
            <w:pPr>
              <w:widowControl w:val="0"/>
              <w:jc w:val="both"/>
            </w:pPr>
            <w:r>
              <w:rPr>
                <w:rFonts w:hint="eastAsia"/>
              </w:rPr>
              <w:t>杨万华</w:t>
            </w:r>
          </w:p>
        </w:tc>
        <w:tc>
          <w:tcPr>
            <w:tcW w:w="1471" w:type="dxa"/>
          </w:tcPr>
          <w:p>
            <w:pPr>
              <w:widowControl w:val="0"/>
              <w:jc w:val="both"/>
            </w:pPr>
            <w:r>
              <w:rPr>
                <w:rFonts w:hint="eastAsia"/>
              </w:rPr>
              <w:t>财务总监</w:t>
            </w:r>
          </w:p>
        </w:tc>
        <w:tc>
          <w:tcPr>
            <w:tcW w:w="1471" w:type="dxa"/>
            <w:vAlign w:val="center"/>
          </w:tcPr>
          <w:p>
            <w:pPr>
              <w:widowControl w:val="0"/>
              <w:jc w:val="right"/>
            </w:pPr>
            <w:r>
              <w:t>49,000</w:t>
            </w:r>
          </w:p>
        </w:tc>
        <w:tc>
          <w:tcPr>
            <w:tcW w:w="1470" w:type="dxa"/>
            <w:vAlign w:val="center"/>
          </w:tcPr>
          <w:p>
            <w:pPr>
              <w:widowControl w:val="0"/>
              <w:jc w:val="right"/>
            </w:pPr>
            <w:r>
              <w:t>0</w:t>
            </w:r>
          </w:p>
        </w:tc>
        <w:tc>
          <w:tcPr>
            <w:tcW w:w="1470" w:type="dxa"/>
            <w:vAlign w:val="center"/>
          </w:tcPr>
          <w:p>
            <w:pPr>
              <w:widowControl w:val="0"/>
              <w:jc w:val="right"/>
            </w:pPr>
            <w:r>
              <w:t>-49,000</w:t>
            </w:r>
          </w:p>
        </w:tc>
        <w:tc>
          <w:tcPr>
            <w:tcW w:w="1470" w:type="dxa"/>
            <w:vMerge w:val="continue"/>
          </w:tcPr>
          <w:p>
            <w:pPr>
              <w:widowControl w:val="0"/>
              <w:jc w:val="both"/>
            </w:pPr>
          </w:p>
        </w:tc>
      </w:tr>
    </w:tbl>
    <w:p>
      <w:pPr>
        <w:rPr>
          <w:color w:val="000000" w:themeColor="text1"/>
          <w14:textFill>
            <w14:solidFill>
              <w14:schemeClr w14:val="tx1"/>
            </w14:solidFill>
          </w14:textFill>
        </w:rPr>
      </w:pPr>
    </w:p>
    <w:p>
      <w:pPr>
        <w:spacing w:line="360" w:lineRule="atLeast"/>
        <w:rPr>
          <w:color w:val="000000" w:themeColor="text1"/>
          <w14:textFill>
            <w14:solidFill>
              <w14:schemeClr w14:val="tx1"/>
            </w14:solidFill>
          </w14:textFill>
        </w:rPr>
      </w:pPr>
      <w:r>
        <w:rPr>
          <w:color w:val="000000" w:themeColor="text1"/>
          <w14:textFill>
            <w14:solidFill>
              <w14:schemeClr w14:val="tx1"/>
            </w14:solidFill>
          </w14:textFill>
        </w:rPr>
        <w:t>其它情况说明</w:t>
      </w:r>
    </w:p>
    <w:sdt>
      <w:sdtPr>
        <w:rPr>
          <w:color w:val="000000" w:themeColor="text1"/>
          <w14:textFill>
            <w14:solidFill>
              <w14:schemeClr w14:val="tx1"/>
            </w14:solidFill>
          </w14:textFill>
        </w:rPr>
        <w:alias w:val="是否适用：董事、监事 和高级管理人员持股变动及报酬情况其他情况说明[双击切换]"/>
        <w:tag w:val="_GBC_6604d619d6f94a81b12f8155637bb211"/>
        <w:id w:val="630293112"/>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23"/>
    <w:bookmarkEnd w:id="124"/>
    <w:p>
      <w:pPr>
        <w:pStyle w:val="51"/>
        <w:numPr>
          <w:ilvl w:val="2"/>
          <w:numId w:val="27"/>
        </w:numPr>
        <w:spacing w:line="360" w:lineRule="atLeast"/>
        <w:rPr>
          <w:rFonts w:hint="eastAsia" w:ascii="宋体" w:hAnsi="宋体"/>
          <w:color w:val="000000" w:themeColor="text1"/>
          <w14:textFill>
            <w14:solidFill>
              <w14:schemeClr w14:val="tx1"/>
            </w14:solidFill>
          </w14:textFill>
        </w:rPr>
      </w:pPr>
      <w:bookmarkStart w:id="125" w:name="_Toc342566005"/>
      <w:bookmarkStart w:id="126" w:name="_Toc342057945"/>
      <w:r>
        <w:rPr>
          <w:rFonts w:ascii="宋体" w:hAnsi="宋体"/>
          <w:color w:val="000000" w:themeColor="text1"/>
          <w14:textFill>
            <w14:solidFill>
              <w14:schemeClr w14:val="tx1"/>
            </w14:solidFill>
          </w14:textFill>
        </w:rPr>
        <w:t>董事、高级管理人员报告期内被授予的股权激励情况</w:t>
      </w:r>
      <w:bookmarkEnd w:id="125"/>
      <w:bookmarkEnd w:id="126"/>
    </w:p>
    <w:p>
      <w:pPr>
        <w:kinsoku w:val="0"/>
        <w:overflowPunct w:val="0"/>
        <w:autoSpaceDE w:val="0"/>
        <w:autoSpaceDN w:val="0"/>
        <w:adjustRightInd w:val="0"/>
        <w:snapToGrid w:val="0"/>
        <w:spacing w:line="360" w:lineRule="atLeast"/>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董事、监事、高级管理人员报告期内被授予的股权激励情况[双击切换]"/>
          <w:tag w:val="_GBC_3c204ebee7cf4fc2a7c4a3ad63ffe1c4"/>
          <w:id w:val="-1281885120"/>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pStyle w:val="51"/>
        <w:numPr>
          <w:ilvl w:val="2"/>
          <w:numId w:val="27"/>
        </w:numPr>
        <w:spacing w:line="360" w:lineRule="atLeas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其他董事、监事、高级管理人员情况说明[双击切换]"/>
        <w:tag w:val="_GBC_8e7eb434c4c34c1b86cdb9f39b70c323"/>
        <w:id w:val="525448152"/>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21"/>
    <w:bookmarkEnd w:id="122"/>
    <w:p>
      <w:pPr>
        <w:pStyle w:val="50"/>
        <w:numPr>
          <w:ilvl w:val="0"/>
          <w:numId w:val="23"/>
        </w:numPr>
        <w:spacing w:line="360" w:lineRule="atLeast"/>
        <w:ind w:left="422" w:hanging="422"/>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控股股东或实际控制人变更情况</w:t>
      </w:r>
    </w:p>
    <w:sdt>
      <w:sdtPr>
        <w:rPr>
          <w:color w:val="000000" w:themeColor="text1"/>
          <w14:textFill>
            <w14:solidFill>
              <w14:schemeClr w14:val="tx1"/>
            </w14:solidFill>
          </w14:textFill>
        </w:rPr>
        <w:alias w:val="是否适用：控股股东及实际控制人变更情况[双击切换]"/>
        <w:tag w:val="_GBC_84ff369a3f714dbbbec5a13460906f4b"/>
        <w:id w:val="-319043581"/>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23"/>
        </w:numPr>
        <w:spacing w:line="360" w:lineRule="atLeast"/>
        <w:ind w:left="422" w:hanging="422"/>
        <w:rPr>
          <w:rFonts w:hint="eastAsia" w:ascii="宋体" w:hAnsi="宋体"/>
          <w:color w:val="000000" w:themeColor="text1"/>
          <w14:textFill>
            <w14:solidFill>
              <w14:schemeClr w14:val="tx1"/>
            </w14:solidFill>
          </w14:textFill>
        </w:rPr>
      </w:pPr>
      <w:bookmarkStart w:id="127" w:name="_Toc392233017"/>
      <w:bookmarkStart w:id="128" w:name="_Toc76114279"/>
      <w:r>
        <w:rPr>
          <w:rFonts w:ascii="宋体" w:hAnsi="宋体"/>
          <w:color w:val="000000" w:themeColor="text1"/>
          <w14:textFill>
            <w14:solidFill>
              <w14:schemeClr w14:val="tx1"/>
            </w14:solidFill>
          </w14:textFill>
        </w:rPr>
        <w:t>优先股相关情况</w:t>
      </w:r>
    </w:p>
    <w:bookmarkEnd w:id="127"/>
    <w:bookmarkEnd w:id="128"/>
    <w:sdt>
      <w:sdtPr>
        <w:rPr>
          <w:color w:val="000000" w:themeColor="text1"/>
          <w14:textFill>
            <w14:solidFill>
              <w14:schemeClr w14:val="tx1"/>
            </w14:solidFill>
          </w14:textFill>
        </w:rPr>
        <w:alias w:val="是否适用：优先股相关情况[双击切换]"/>
        <w:tag w:val="_GBC_2113adbee8464e1c828b3d6d35c60abf"/>
        <w:id w:val="1286769332"/>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pPr>
        <w:rPr>
          <w:color w:val="000000" w:themeColor="text1"/>
          <w14:textFill>
            <w14:solidFill>
              <w14:schemeClr w14:val="tx1"/>
            </w14:solidFill>
          </w14:textFill>
        </w:rPr>
      </w:pPr>
    </w:p>
    <w:p>
      <w:pPr>
        <w:pStyle w:val="49"/>
        <w:numPr>
          <w:ilvl w:val="0"/>
          <w:numId w:val="2"/>
        </w:numPr>
        <w:rPr>
          <w:rFonts w:hint="eastAsia" w:ascii="黑体" w:hAnsi="黑体"/>
          <w:color w:val="000000" w:themeColor="text1"/>
          <w14:textFill>
            <w14:solidFill>
              <w14:schemeClr w14:val="tx1"/>
            </w14:solidFill>
          </w14:textFill>
        </w:rPr>
      </w:pPr>
      <w:bookmarkStart w:id="129" w:name="_Toc437440717"/>
      <w:bookmarkStart w:id="130" w:name="_Toc438111012"/>
      <w:bookmarkStart w:id="131" w:name="_Toc76114280"/>
      <w:bookmarkStart w:id="132" w:name="_Toc200030545"/>
      <w:r>
        <w:rPr>
          <w:rFonts w:hint="eastAsia" w:ascii="黑体" w:hAnsi="黑体"/>
          <w:color w:val="000000" w:themeColor="text1"/>
          <w14:textFill>
            <w14:solidFill>
              <w14:schemeClr w14:val="tx1"/>
            </w14:solidFill>
          </w14:textFill>
        </w:rPr>
        <w:t>债券相关情况</w:t>
      </w:r>
    </w:p>
    <w:bookmarkEnd w:id="129"/>
    <w:bookmarkEnd w:id="130"/>
    <w:bookmarkEnd w:id="131"/>
    <w:bookmarkEnd w:id="132"/>
    <w:p>
      <w:pPr>
        <w:pStyle w:val="50"/>
        <w:numPr>
          <w:ilvl w:val="0"/>
          <w:numId w:val="28"/>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公司债券（含企业债券）和非金融企业债务融资工具</w:t>
      </w:r>
    </w:p>
    <w:sdt>
      <w:sdtPr>
        <w:rPr>
          <w:color w:val="000000" w:themeColor="text1"/>
          <w14:textFill>
            <w14:solidFill>
              <w14:schemeClr w14:val="tx1"/>
            </w14:solidFill>
          </w14:textFill>
        </w:rPr>
        <w:alias w:val="是否适用：债券相关情况[双击切换]"/>
        <w:tag w:val="_GBC_8e6b9cf2d8c24a6faf41199f98e408b3"/>
        <w:id w:val="1459606663"/>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bookmarkStart w:id="133" w:name="_Hlk73352152"/>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33"/>
    <w:p>
      <w:pPr>
        <w:pStyle w:val="4"/>
        <w:numPr>
          <w:ilvl w:val="0"/>
          <w:numId w:val="29"/>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公司债券（含企业债券）</w:t>
      </w:r>
    </w:p>
    <w:sdt>
      <w:sdtPr>
        <w:rPr>
          <w:color w:val="000000" w:themeColor="text1"/>
          <w14:textFill>
            <w14:solidFill>
              <w14:schemeClr w14:val="tx1"/>
            </w14:solidFill>
          </w14:textFill>
        </w:rPr>
        <w:alias w:val="是否适用：公司债券相关情况[双击切换]"/>
        <w:tag w:val="_GBC_0aefba4fc6d84d32a7c7d372906dfb2e"/>
        <w:id w:val="-1750879309"/>
        <w:placeholder>
          <w:docPart w:val="GBC22222222222222222222222222222"/>
        </w:placeholder>
      </w:sdtPr>
      <w:sdtEndPr>
        <w:rPr>
          <w:color w:val="000000" w:themeColor="text1"/>
          <w14:textFill>
            <w14:solidFill>
              <w14:schemeClr w14:val="tx1"/>
            </w14:solidFill>
          </w14:textFill>
        </w:rPr>
      </w:sdtEndPr>
      <w:sdtContent>
        <w:p>
          <w:pPr>
            <w:spacing w:line="360" w:lineRule="atLeast"/>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29"/>
        </w:numPr>
        <w:spacing w:line="360" w:lineRule="atLeast"/>
        <w:rPr>
          <w:rFonts w:hint="eastAsia" w:ascii="宋体" w:hAnsi="宋体"/>
          <w:color w:val="000000" w:themeColor="text1"/>
          <w14:textFill>
            <w14:solidFill>
              <w14:schemeClr w14:val="tx1"/>
            </w14:solidFill>
          </w14:textFill>
        </w:rPr>
      </w:pPr>
      <w:bookmarkStart w:id="134" w:name="_Hlk200456483"/>
      <w:bookmarkStart w:id="135" w:name="_Hlk105762728"/>
      <w:r>
        <w:rPr>
          <w:rFonts w:hint="eastAsia" w:ascii="宋体" w:hAnsi="宋体"/>
          <w:color w:val="000000" w:themeColor="text1"/>
          <w14:textFill>
            <w14:solidFill>
              <w14:schemeClr w14:val="tx1"/>
            </w14:solidFill>
          </w14:textFill>
        </w:rPr>
        <w:t>公司债券募集资金情况</w:t>
      </w:r>
    </w:p>
    <w:sdt>
      <w:sdtPr>
        <w:rPr>
          <w:bCs w:val="0"/>
          <w:color w:val="000000" w:themeColor="text1"/>
          <w14:textFill>
            <w14:solidFill>
              <w14:schemeClr w14:val="tx1"/>
            </w14:solidFill>
          </w14:textFill>
        </w:rPr>
        <w:alias w:val="是否：在报告期内使用募集资金"/>
        <w:tag w:val="_GBC_a9fc2a22a6aa4f7bb7f1d88774b6e37e"/>
        <w:id w:val="-1211573802"/>
        <w:placeholder>
          <w:docPart w:val="GBC22222222222222222222222222222"/>
        </w:placeholder>
      </w:sdtPr>
      <w:sdtEndPr>
        <w:rPr>
          <w:b/>
          <w:bCs w:val="0"/>
          <w:color w:val="000000" w:themeColor="text1"/>
          <w14:textFill>
            <w14:solidFill>
              <w14:schemeClr w14:val="tx1"/>
            </w14:solidFill>
          </w14:textFill>
        </w:rPr>
      </w:sdtEndPr>
      <w:sdtContent>
        <w:p>
          <w:pPr>
            <w:kinsoku w:val="0"/>
            <w:overflowPunct w:val="0"/>
            <w:spacing w:line="360" w:lineRule="atLeast"/>
            <w:rPr>
              <w:b/>
              <w:bCs w:val="0"/>
              <w:color w:val="000000" w:themeColor="text1"/>
              <w14:textFill>
                <w14:solidFill>
                  <w14:schemeClr w14:val="tx1"/>
                </w14:solidFill>
              </w14:textFill>
            </w:rPr>
          </w:pPr>
          <w:r>
            <w:rPr>
              <w:rFonts w:asciiTheme="majorEastAsia" w:hAnsiTheme="majorEastAsia" w:eastAsiaTheme="majorEastAsia"/>
              <w:bCs w:val="0"/>
              <w:color w:val="000000" w:themeColor="text1"/>
              <w14:textFill>
                <w14:solidFill>
                  <w14:schemeClr w14:val="tx1"/>
                </w14:solidFill>
              </w14:textFill>
            </w:rPr>
            <w:fldChar w:fldCharType="begin"/>
          </w:r>
          <w:r>
            <w:rPr>
              <w:rFonts w:hint="eastAsia" w:asciiTheme="majorEastAsia" w:hAnsiTheme="majorEastAsia" w:eastAsiaTheme="majorEastAsia"/>
              <w:bCs w:val="0"/>
              <w:color w:val="000000" w:themeColor="text1"/>
              <w14:textFill>
                <w14:solidFill>
                  <w14:schemeClr w14:val="tx1"/>
                </w14:solidFill>
              </w14:textFill>
            </w:rPr>
            <w:instrText xml:space="preserve"> MACROBUTTON  SnrToggleCheckbox □公司债券在报告期内涉及募集资金使用或者整改 </w:instrText>
          </w:r>
          <w:r>
            <w:rPr>
              <w:rFonts w:asciiTheme="majorEastAsia" w:hAnsiTheme="majorEastAsia" w:eastAsiaTheme="majorEastAsia"/>
              <w:bCs w:val="0"/>
              <w:color w:val="000000" w:themeColor="text1"/>
              <w14:textFill>
                <w14:solidFill>
                  <w14:schemeClr w14:val="tx1"/>
                </w14:solidFill>
              </w14:textFill>
            </w:rPr>
            <w:fldChar w:fldCharType="end"/>
          </w:r>
          <w:r>
            <w:rPr>
              <w:rFonts w:asciiTheme="majorEastAsia" w:hAnsiTheme="majorEastAsia" w:eastAsiaTheme="majorEastAsia"/>
              <w:bCs w:val="0"/>
              <w:color w:val="000000" w:themeColor="text1"/>
              <w14:textFill>
                <w14:solidFill>
                  <w14:schemeClr w14:val="tx1"/>
                </w14:solidFill>
              </w14:textFill>
            </w:rPr>
            <w:fldChar w:fldCharType="begin"/>
          </w:r>
          <w:r>
            <w:rPr>
              <w:rFonts w:hint="eastAsia" w:asciiTheme="majorEastAsia" w:hAnsiTheme="majorEastAsia" w:eastAsiaTheme="majorEastAsia"/>
              <w:bCs w:val="0"/>
              <w:color w:val="000000" w:themeColor="text1"/>
              <w14:textFill>
                <w14:solidFill>
                  <w14:schemeClr w14:val="tx1"/>
                </w14:solidFill>
              </w14:textFill>
            </w:rPr>
            <w:instrText xml:space="preserve"> MACROBUTTON  SnrToggleCheckbox √本公司所有公司债券在报告期内均不涉及募集资金使用或者整改 </w:instrText>
          </w:r>
          <w:r>
            <w:rPr>
              <w:rFonts w:asciiTheme="majorEastAsia" w:hAnsiTheme="majorEastAsia" w:eastAsiaTheme="majorEastAsia"/>
              <w:bCs w:val="0"/>
              <w:color w:val="000000" w:themeColor="text1"/>
              <w14:textFill>
                <w14:solidFill>
                  <w14:schemeClr w14:val="tx1"/>
                </w14:solidFill>
              </w14:textFill>
            </w:rPr>
            <w:fldChar w:fldCharType="end"/>
          </w:r>
        </w:p>
      </w:sdtContent>
    </w:sdt>
    <w:p>
      <w:pPr>
        <w:pStyle w:val="6"/>
        <w:numPr>
          <w:ilvl w:val="0"/>
          <w:numId w:val="30"/>
        </w:numPr>
        <w:spacing w:after="0" w:line="360" w:lineRule="atLeast"/>
        <w:ind w:left="442" w:hanging="442"/>
      </w:pPr>
      <w:bookmarkStart w:id="136" w:name="_Hlk184047984"/>
      <w:r>
        <w:rPr>
          <w:rFonts w:hint="eastAsia"/>
        </w:rPr>
        <w:t>募集资金用于特定项目</w:t>
      </w:r>
    </w:p>
    <w:sdt>
      <w:sdtPr>
        <w:rPr>
          <w:rFonts w:hint="eastAsia"/>
          <w:color w:val="000000" w:themeColor="text1"/>
          <w14:textFill>
            <w14:solidFill>
              <w14:schemeClr w14:val="tx1"/>
            </w14:solidFill>
          </w14:textFill>
        </w:rPr>
        <w:alias w:val="是否适用：募集资金用于特定项目[双击切换]"/>
        <w:tag w:val="_GBC_1a258ca37e2647629fccfc157d47c195"/>
        <w:id w:val="1532998071"/>
        <w:placeholder>
          <w:docPart w:val="GBC22222222222222222222222222222"/>
        </w:placeholder>
      </w:sdtPr>
      <w:sdtEndPr>
        <w:rPr>
          <w:rFonts w:hint="eastAsia"/>
          <w:color w:val="000000" w:themeColor="text1"/>
          <w14:textFill>
            <w14:solidFill>
              <w14:schemeClr w14:val="tx1"/>
            </w14:solidFill>
          </w14:textFill>
        </w:rPr>
      </w:sdtEndPr>
      <w:sdtContent>
        <w:p>
          <w:pPr>
            <w:kinsoku w:val="0"/>
            <w:overflowPunct w:val="0"/>
            <w:spacing w:line="360" w:lineRule="atLeast"/>
            <w:rPr>
              <w:b/>
              <w:bCs w:val="0"/>
            </w:rPr>
          </w:pP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hint="eastAsia" w:ascii="宋体" w:hAnsi="宋体"/>
              <w:color w:val="000000" w:themeColor="text1"/>
              <w14:textFill>
                <w14:solidFill>
                  <w14:schemeClr w14:val="tx1"/>
                </w14:solidFill>
              </w14:textFill>
            </w:rPr>
            <w:fldChar w:fldCharType="end"/>
          </w:r>
          <w:r>
            <w:rPr>
              <w:rFonts w:hint="eastAsia"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hint="eastAsia" w:ascii="宋体" w:hAnsi="宋体"/>
              <w:color w:val="000000" w:themeColor="text1"/>
              <w14:textFill>
                <w14:solidFill>
                  <w14:schemeClr w14:val="tx1"/>
                </w14:solidFill>
              </w14:textFill>
            </w:rPr>
            <w:fldChar w:fldCharType="end"/>
          </w:r>
        </w:p>
      </w:sdtContent>
    </w:sdt>
    <w:bookmarkEnd w:id="134"/>
    <w:bookmarkEnd w:id="136"/>
    <w:p>
      <w:pPr>
        <w:pStyle w:val="4"/>
        <w:numPr>
          <w:ilvl w:val="0"/>
          <w:numId w:val="29"/>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专项品种债券应当披露的其他事项</w:t>
      </w:r>
    </w:p>
    <w:p>
      <w:pPr>
        <w:spacing w:line="360" w:lineRule="atLeast"/>
        <w:rPr>
          <w:color w:val="000000" w:themeColor="text1"/>
          <w14:textFill>
            <w14:solidFill>
              <w14:schemeClr w14:val="tx1"/>
            </w14:solidFill>
          </w14:textFill>
        </w:rPr>
      </w:pPr>
      <w:sdt>
        <w:sdtPr>
          <w:rPr>
            <w:color w:val="000000" w:themeColor="text1"/>
            <w14:textFill>
              <w14:solidFill>
                <w14:schemeClr w14:val="tx1"/>
              </w14:solidFill>
            </w14:textFill>
          </w:rPr>
          <w:alias w:val="是否适用：专项品种债券事项[双击切换]"/>
          <w:tag w:val="_GBC_8990cd09e94e41caa21161912e5ca382"/>
          <w:id w:val="1925146383"/>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bookmarkEnd w:id="135"/>
    <w:p>
      <w:pPr>
        <w:pStyle w:val="4"/>
        <w:numPr>
          <w:ilvl w:val="0"/>
          <w:numId w:val="29"/>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报告期内公司债券相关重要事项</w:t>
      </w:r>
    </w:p>
    <w:sdt>
      <w:sdtPr>
        <w:rPr>
          <w:color w:val="000000" w:themeColor="text1"/>
          <w14:textFill>
            <w14:solidFill>
              <w14:schemeClr w14:val="tx1"/>
            </w14:solidFill>
          </w14:textFill>
        </w:rPr>
        <w:alias w:val="是否适用：报告期内公司债券相关重要事项[双击切换]"/>
        <w:tag w:val="_GBC_b5c1f1bb171d41db987ae555bddecbbd"/>
        <w:id w:val="772753562"/>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29"/>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银行间债券市场非金融企业债务融资工具</w:t>
      </w:r>
    </w:p>
    <w:sdt>
      <w:sdtPr>
        <w:rPr>
          <w:rFonts w:hint="eastAsia"/>
          <w:color w:val="000000" w:themeColor="text1"/>
          <w14:textFill>
            <w14:solidFill>
              <w14:schemeClr w14:val="tx1"/>
            </w14:solidFill>
          </w14:textFill>
        </w:rPr>
        <w:alias w:val="是否适用：银行间债券市场非金融企业债务融资工具相关情况[双击切换]"/>
        <w:tag w:val="_GBC_26e1b928d11c47bfad361d998e446706"/>
        <w:id w:val="783383457"/>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atLeast"/>
            <w:rPr>
              <w:rFonts w:cs="Times New Roman"/>
              <w:bCs w:val="0"/>
              <w:color w:val="000000" w:themeColor="text1"/>
              <w:kern w:val="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29"/>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公司报告期内合并报表范围亏损超过上年末净资产10%</w:t>
      </w:r>
    </w:p>
    <w:sdt>
      <w:sdtPr>
        <w:rPr>
          <w:rFonts w:cs="Times New Roman"/>
          <w:bCs w:val="0"/>
          <w:color w:val="000000" w:themeColor="text1"/>
          <w:kern w:val="2"/>
          <w14:textFill>
            <w14:solidFill>
              <w14:schemeClr w14:val="tx1"/>
            </w14:solidFill>
          </w14:textFill>
        </w:rPr>
        <w:alias w:val="是否适用：公司报告期内合并报表范围亏损超过上年末净资产10% [双击切换]"/>
        <w:tag w:val="_GBC_ff0f2375ea374f0b8a9d7ba3ce91f6ae"/>
        <w:id w:val="-1471198189"/>
        <w:placeholder>
          <w:docPart w:val="GBC22222222222222222222222222222"/>
        </w:placeholder>
      </w:sdtPr>
      <w:sdtEndPr>
        <w:rPr>
          <w:rFonts w:cs="Times New Roman"/>
          <w:bCs w:val="0"/>
          <w:color w:val="000000" w:themeColor="text1"/>
          <w:kern w:val="2"/>
          <w14:textFill>
            <w14:solidFill>
              <w14:schemeClr w14:val="tx1"/>
            </w14:solidFill>
          </w14:textFill>
        </w:rPr>
      </w:sdtEndPr>
      <w:sdtContent>
        <w:p>
          <w:pPr>
            <w:adjustRightInd w:val="0"/>
            <w:snapToGrid w:val="0"/>
            <w:spacing w:line="360" w:lineRule="atLeast"/>
            <w:rPr>
              <w:rFonts w:cs="Times New Roman"/>
              <w:bCs w:val="0"/>
              <w:color w:val="000000" w:themeColor="text1"/>
              <w:kern w:val="2"/>
              <w14:textFill>
                <w14:solidFill>
                  <w14:schemeClr w14:val="tx1"/>
                </w14:solidFill>
              </w14:textFill>
            </w:rPr>
          </w:pP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□适用 </w:instrText>
          </w:r>
          <w:r>
            <w:rPr>
              <w:rFonts w:ascii="宋体" w:hAnsi="宋体" w:cs="Times New Roman"/>
              <w:bCs w:val="0"/>
              <w:color w:val="000000" w:themeColor="text1"/>
              <w:kern w:val="2"/>
              <w14:textFill>
                <w14:solidFill>
                  <w14:schemeClr w14:val="tx1"/>
                </w14:solidFill>
              </w14:textFill>
            </w:rPr>
            <w:fldChar w:fldCharType="end"/>
          </w:r>
          <w:r>
            <w:rPr>
              <w:rFonts w:ascii="宋体" w:hAnsi="宋体" w:cs="Times New Roman"/>
              <w:bCs w:val="0"/>
              <w:color w:val="000000" w:themeColor="text1"/>
              <w:kern w:val="2"/>
              <w14:textFill>
                <w14:solidFill>
                  <w14:schemeClr w14:val="tx1"/>
                </w14:solidFill>
              </w14:textFill>
            </w:rPr>
            <w:fldChar w:fldCharType="begin"/>
          </w:r>
          <w:r>
            <w:rPr>
              <w:rFonts w:hint="eastAsia" w:ascii="宋体" w:hAnsi="宋体" w:cs="Times New Roman"/>
              <w:color w:val="000000" w:themeColor="text1"/>
              <w:kern w:val="2"/>
              <w14:textFill>
                <w14:solidFill>
                  <w14:schemeClr w14:val="tx1"/>
                </w14:solidFill>
              </w14:textFill>
            </w:rPr>
            <w:instrText xml:space="preserve"> MACROBUTTON  SnrToggleCheckbox √不适用 </w:instrText>
          </w:r>
          <w:r>
            <w:rPr>
              <w:rFonts w:ascii="宋体" w:hAnsi="宋体" w:cs="Times New Roman"/>
              <w:bCs w:val="0"/>
              <w:color w:val="000000" w:themeColor="text1"/>
              <w:kern w:val="2"/>
              <w14:textFill>
                <w14:solidFill>
                  <w14:schemeClr w14:val="tx1"/>
                </w14:solidFill>
              </w14:textFill>
            </w:rPr>
            <w:fldChar w:fldCharType="end"/>
          </w:r>
        </w:p>
      </w:sdtContent>
    </w:sdt>
    <w:p>
      <w:pPr>
        <w:pStyle w:val="4"/>
        <w:numPr>
          <w:ilvl w:val="0"/>
          <w:numId w:val="29"/>
        </w:numPr>
        <w:spacing w:line="360" w:lineRule="atLeast"/>
        <w:rPr>
          <w:rFonts w:hint="eastAsia" w:ascii="宋体" w:hAnsi="宋体"/>
          <w:color w:val="000000" w:themeColor="text1"/>
          <w14:textFill>
            <w14:solidFill>
              <w14:schemeClr w14:val="tx1"/>
            </w14:solidFill>
          </w14:textFill>
        </w:rPr>
      </w:pPr>
      <w:bookmarkStart w:id="137" w:name="_Hlk89434062"/>
      <w:r>
        <w:rPr>
          <w:rFonts w:hint="eastAsia" w:ascii="宋体" w:hAnsi="宋体"/>
          <w:color w:val="000000" w:themeColor="text1"/>
          <w14:textFill>
            <w14:solidFill>
              <w14:schemeClr w14:val="tx1"/>
            </w14:solidFill>
          </w14:textFill>
        </w:rPr>
        <w:t xml:space="preserve"> 违反规定及约定情况</w:t>
      </w:r>
    </w:p>
    <w:p>
      <w:pPr>
        <w:pStyle w:val="48"/>
        <w:spacing w:line="360" w:lineRule="atLeast"/>
      </w:pPr>
      <w:r>
        <w:t>报告期内违反</w:t>
      </w:r>
      <w:r>
        <w:rPr>
          <w:rFonts w:hint="eastAsia"/>
        </w:rPr>
        <w:t>法律法规、自律</w:t>
      </w:r>
      <w:r>
        <w:t>规则</w:t>
      </w:r>
      <w:r>
        <w:rPr>
          <w:rFonts w:hint="eastAsia"/>
        </w:rPr>
        <w:t>、公司章程、信息披露事务管理制度等规定以及债券募集说明书约定或承诺的情况，以及相关</w:t>
      </w:r>
      <w:r>
        <w:t>情况</w:t>
      </w:r>
      <w:r>
        <w:rPr>
          <w:rFonts w:hint="eastAsia"/>
        </w:rPr>
        <w:t>对债券投资者权益的影响</w:t>
      </w:r>
    </w:p>
    <w:sdt>
      <w:sdtPr>
        <w:rPr>
          <w:rFonts w:asciiTheme="minorEastAsia" w:hAnsiTheme="minorEastAsia" w:eastAsiaTheme="minorEastAsia"/>
          <w:bCs w:val="0"/>
          <w:kern w:val="2"/>
        </w:rPr>
        <w:alias w:val="是否适用：报告期内违反情况以及对债券投资者权益的影响 [双击切换]"/>
        <w:tag w:val="_GBC_f7269c2ecd0d4da1abccc7ce4ae5643f"/>
        <w:id w:val="1449580928"/>
        <w:placeholder>
          <w:docPart w:val="GBC22222222222222222222222222222"/>
        </w:placeholder>
      </w:sdtPr>
      <w:sdtEndPr>
        <w:rPr>
          <w:rFonts w:asciiTheme="minorEastAsia" w:hAnsiTheme="minorEastAsia" w:eastAsiaTheme="minorEastAsia"/>
          <w:bCs w:val="0"/>
          <w:kern w:val="2"/>
        </w:rPr>
      </w:sdtEndPr>
      <w:sdtContent>
        <w:p>
          <w:pPr>
            <w:spacing w:line="360" w:lineRule="atLeast"/>
            <w:rPr>
              <w:bCs w:val="0"/>
              <w:kern w:val="2"/>
            </w:rPr>
          </w:pPr>
          <w:r>
            <w:rPr>
              <w:rFonts w:asciiTheme="minorEastAsia" w:hAnsiTheme="minorEastAsia" w:eastAsiaTheme="minorEastAsia"/>
              <w:bCs w:val="0"/>
              <w:kern w:val="2"/>
            </w:rPr>
            <w:fldChar w:fldCharType="begin"/>
          </w:r>
          <w:r>
            <w:rPr>
              <w:rFonts w:hint="eastAsia" w:asciiTheme="minorEastAsia" w:hAnsiTheme="minorEastAsia" w:eastAsiaTheme="minorEastAsia"/>
              <w:bCs w:val="0"/>
              <w:kern w:val="2"/>
            </w:rPr>
            <w:instrText xml:space="preserve"> MACROBUTTON  SnrToggleCheckbox □适用 </w:instrText>
          </w:r>
          <w:r>
            <w:rPr>
              <w:rFonts w:asciiTheme="minorEastAsia" w:hAnsiTheme="minorEastAsia" w:eastAsiaTheme="minorEastAsia"/>
              <w:bCs w:val="0"/>
              <w:kern w:val="2"/>
            </w:rPr>
            <w:fldChar w:fldCharType="end"/>
          </w:r>
          <w:r>
            <w:rPr>
              <w:rFonts w:asciiTheme="minorEastAsia" w:hAnsiTheme="minorEastAsia" w:eastAsiaTheme="minorEastAsia"/>
              <w:bCs w:val="0"/>
              <w:kern w:val="2"/>
            </w:rPr>
            <w:fldChar w:fldCharType="begin"/>
          </w:r>
          <w:r>
            <w:rPr>
              <w:rFonts w:hint="eastAsia" w:asciiTheme="minorEastAsia" w:hAnsiTheme="minorEastAsia" w:eastAsiaTheme="minorEastAsia"/>
              <w:bCs w:val="0"/>
              <w:kern w:val="2"/>
            </w:rPr>
            <w:instrText xml:space="preserve"> MACROBUTTON  SnrToggleCheckbox √不适用 </w:instrText>
          </w:r>
          <w:r>
            <w:rPr>
              <w:rFonts w:asciiTheme="minorEastAsia" w:hAnsiTheme="minorEastAsia" w:eastAsiaTheme="minorEastAsia"/>
              <w:bCs w:val="0"/>
              <w:kern w:val="2"/>
            </w:rPr>
            <w:fldChar w:fldCharType="end"/>
          </w:r>
        </w:p>
      </w:sdtContent>
    </w:sdt>
    <w:bookmarkEnd w:id="137"/>
    <w:p>
      <w:pPr>
        <w:pStyle w:val="4"/>
        <w:numPr>
          <w:ilvl w:val="0"/>
          <w:numId w:val="29"/>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主要会计数据和财务指标 </w:t>
      </w:r>
    </w:p>
    <w:sdt>
      <w:sdtPr>
        <w:rPr>
          <w:color w:val="000000" w:themeColor="text1"/>
          <w14:textFill>
            <w14:solidFill>
              <w14:schemeClr w14:val="tx1"/>
            </w14:solidFill>
          </w14:textFill>
        </w:rPr>
        <w:alias w:val="是否适用：截至报告期末和上年末（或本报告期和上年同期）下列会计数据和财务指标 [双击切换]"/>
        <w:tag w:val="_GBC_e1fb30558f9c454b8f3ba9e82315063f"/>
        <w:id w:val="-722752827"/>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0"/>
        <w:numPr>
          <w:ilvl w:val="0"/>
          <w:numId w:val="28"/>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可转换公司债券情况</w:t>
      </w:r>
    </w:p>
    <w:sdt>
      <w:sdtPr>
        <w:rPr>
          <w:color w:val="000000" w:themeColor="text1"/>
          <w14:textFill>
            <w14:solidFill>
              <w14:schemeClr w14:val="tx1"/>
            </w14:solidFill>
          </w14:textFill>
        </w:rPr>
        <w:alias w:val="是否适用：可转换公司债券情况[双击切换]"/>
        <w:tag w:val="_GBC_6a49e99841294af3b87ba6216b1997d9"/>
        <w:id w:val="594592594"/>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p>
    <w:p>
      <w:pPr>
        <w:spacing w:line="360" w:lineRule="atLeast"/>
        <w:rPr>
          <w:color w:val="000000" w:themeColor="text1"/>
          <w14:textFill>
            <w14:solidFill>
              <w14:schemeClr w14:val="tx1"/>
            </w14:solidFill>
          </w14:textFill>
        </w:rPr>
      </w:pPr>
    </w:p>
    <w:p>
      <w:pPr>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p>
    <w:p>
      <w:pPr>
        <w:pStyle w:val="49"/>
        <w:numPr>
          <w:ilvl w:val="0"/>
          <w:numId w:val="2"/>
        </w:numPr>
        <w:rPr>
          <w:rFonts w:hint="eastAsia" w:ascii="黑体" w:hAnsi="黑体"/>
          <w:color w:val="000000" w:themeColor="text1"/>
          <w14:textFill>
            <w14:solidFill>
              <w14:schemeClr w14:val="tx1"/>
            </w14:solidFill>
          </w14:textFill>
        </w:rPr>
      </w:pPr>
      <w:bookmarkStart w:id="138" w:name="_Toc200030546"/>
      <w:bookmarkStart w:id="139" w:name="_Toc76114281"/>
      <w:r>
        <w:rPr>
          <w:rFonts w:hint="eastAsia" w:ascii="黑体" w:hAnsi="黑体"/>
          <w:color w:val="000000" w:themeColor="text1"/>
          <w14:textFill>
            <w14:solidFill>
              <w14:schemeClr w14:val="tx1"/>
            </w14:solidFill>
          </w14:textFill>
        </w:rPr>
        <w:t>财务报告</w:t>
      </w:r>
    </w:p>
    <w:bookmarkEnd w:id="138"/>
    <w:bookmarkEnd w:id="139"/>
    <w:p>
      <w:pPr>
        <w:pStyle w:val="3"/>
        <w:numPr>
          <w:ilvl w:val="0"/>
          <w:numId w:val="31"/>
        </w:numPr>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审计报告</w:t>
      </w:r>
    </w:p>
    <w:sdt>
      <w:sdtPr>
        <w:rPr>
          <w:color w:val="000000" w:themeColor="text1"/>
          <w14:textFill>
            <w14:solidFill>
              <w14:schemeClr w14:val="tx1"/>
            </w14:solidFill>
          </w14:textFill>
        </w:rPr>
        <w:alias w:val="是否适用：审计报告[双击切换]"/>
        <w:tag w:val="_GBC_33dac3baf6634fba91e3026ebaaad280"/>
        <w:id w:val="-191592798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
        <w:numPr>
          <w:ilvl w:val="0"/>
          <w:numId w:val="31"/>
        </w:numPr>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财务报表</w:t>
      </w:r>
    </w:p>
    <w:p>
      <w:pPr>
        <w:pStyle w:val="4"/>
        <w:jc w:val="center"/>
        <w:rPr>
          <w:rFonts w:hint="eastAsia" w:ascii="宋体" w:hAnsi="宋体"/>
          <w:color w:val="000000" w:themeColor="text1"/>
          <w14:textFill>
            <w14:solidFill>
              <w14:schemeClr w14:val="tx1"/>
            </w14:solidFill>
          </w14:textFill>
        </w:rPr>
      </w:pPr>
      <w:bookmarkStart w:id="140" w:name="_Hlk10208794"/>
      <w:r>
        <w:rPr>
          <w:rFonts w:hint="eastAsia" w:ascii="宋体" w:hAnsi="宋体"/>
          <w:color w:val="000000" w:themeColor="text1"/>
          <w14:textFill>
            <w14:solidFill>
              <w14:schemeClr w14:val="tx1"/>
            </w14:solidFill>
          </w14:textFill>
        </w:rPr>
        <w:t>合并资产负债表</w:t>
      </w:r>
    </w:p>
    <w:p>
      <w:pPr>
        <w:snapToGrid w:val="0"/>
        <w:spacing w:line="240" w:lineRule="atLeast"/>
        <w:jc w:val="center"/>
        <w:rPr>
          <w:b/>
          <w:color w:val="000000" w:themeColor="text1"/>
          <w14:textFill>
            <w14:solidFill>
              <w14:schemeClr w14:val="tx1"/>
            </w14:solidFill>
          </w14:textFill>
        </w:rPr>
      </w:pPr>
      <w:r>
        <w:rPr>
          <w:color w:val="000000" w:themeColor="text1"/>
          <w14:textFill>
            <w14:solidFill>
              <w14:schemeClr w14:val="tx1"/>
            </w14:solidFill>
          </w14:textFill>
        </w:rPr>
        <w:t>2026年6月30日</w:t>
      </w:r>
    </w:p>
    <w:p>
      <w:pPr>
        <w:rPr>
          <w:color w:val="000000" w:themeColor="text1"/>
          <w14:textFill>
            <w14:solidFill>
              <w14:schemeClr w14:val="tx1"/>
            </w14:solidFill>
          </w14:textFill>
        </w:rPr>
      </w:pPr>
      <w:r>
        <w:rPr>
          <w:color w:val="000000" w:themeColor="text1"/>
          <w14:textFill>
            <w14:solidFill>
              <w14:schemeClr w14:val="tx1"/>
            </w14:solidFill>
          </w14:textFill>
        </w:rPr>
        <w:t xml:space="preserve">编制单位： </w:t>
      </w:r>
      <w:sdt>
        <w:sdtPr>
          <w:rPr>
            <w:color w:val="000000" w:themeColor="text1"/>
            <w14:textFill>
              <w14:solidFill>
                <w14:schemeClr w14:val="tx1"/>
              </w14:solidFill>
            </w14:textFill>
          </w:rPr>
          <w:alias w:val="公司法定中文名称"/>
          <w:tag w:val="_GBC_76dae7aa62d842859c05c05e750163c2"/>
          <w:id w:val="-385648676"/>
          <w:placeholder>
            <w:docPart w:val="GBC22222222222222222222222222222"/>
          </w:placeholder>
          <w15:dataBinding w:prefixMappings="xmlns:clcid-cgi='clcid-cgi'" w:xpath="/*/clcid-cgi:GongSiFaDingZhongWenMingCheng[not(@periodRef)]" w:storeItemID="{89EBAB94-44A0-46A2-B712-30D997D04A6D}"/>
          <w:text/>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重庆望变电气（集团）股份有限公司</w:t>
          </w:r>
        </w:sdtContent>
      </w:sdt>
    </w:p>
    <w:p>
      <w:pPr>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合并资产负债表"/>
          <w:tag w:val="_GBC_710dced47e5943589779e071c78c5512"/>
          <w:id w:val="-191369424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合并资产负债表"/>
          <w:tag w:val="_GBC_7e2679155b104d33ba04158c7414bcff"/>
          <w:id w:val="11492529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44"/>
        <w:tblW w:w="4994"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944"/>
        <w:gridCol w:w="1133"/>
        <w:gridCol w:w="2551"/>
        <w:gridCol w:w="241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1d3f74748a444e6ea0d191e81e54edca"/>
            <w:id w:val="1994291289"/>
          </w:sdtPr>
          <w:sdtContent>
            <w:tc>
              <w:tcPr>
                <w:tcW w:w="1629" w:type="pct"/>
                <w:tcBorders>
                  <w:top w:val="outset" w:color="auto" w:sz="6" w:space="0"/>
                  <w:left w:val="outset" w:color="auto" w:sz="6" w:space="0"/>
                  <w:bottom w:val="outset" w:color="auto" w:sz="6" w:space="0"/>
                  <w:right w:val="outset" w:color="auto" w:sz="6" w:space="0"/>
                </w:tcBorders>
                <w:vAlign w:val="center"/>
              </w:tcPr>
              <w:p>
                <w:pPr>
                  <w:jc w:val="center"/>
                  <w:rPr>
                    <w:b/>
                    <w:color w:val="000000" w:themeColor="text1"/>
                    <w14:textFill>
                      <w14:solidFill>
                        <w14:schemeClr w14:val="tx1"/>
                      </w14:solidFill>
                    </w14:textFill>
                  </w:rPr>
                </w:pPr>
                <w:bookmarkStart w:id="141" w:name="_Hlk137046697"/>
                <w:r>
                  <w:rPr>
                    <w:b/>
                    <w:color w:val="000000" w:themeColor="text1"/>
                    <w14:textFill>
                      <w14:solidFill>
                        <w14:schemeClr w14:val="tx1"/>
                      </w14:solidFill>
                    </w14:textFill>
                  </w:rPr>
                  <w:t>项目</w:t>
                </w:r>
              </w:p>
            </w:tc>
          </w:sdtContent>
        </w:sdt>
        <w:sdt>
          <w:sdtPr>
            <w:tag w:val="_PLD_da216b439a53487e85f12225916c5563"/>
            <w:id w:val="1302040980"/>
          </w:sdtPr>
          <w:sdtContent>
            <w:tc>
              <w:tcPr>
                <w:tcW w:w="627" w:type="pct"/>
                <w:tcBorders>
                  <w:top w:val="outset" w:color="auto" w:sz="6" w:space="0"/>
                  <w:left w:val="outset" w:color="auto" w:sz="6" w:space="0"/>
                  <w:bottom w:val="outset" w:color="auto" w:sz="6" w:space="0"/>
                  <w:right w:val="outset" w:color="auto" w:sz="6" w:space="0"/>
                </w:tcBorders>
                <w:vAlign w:val="center"/>
              </w:tcPr>
              <w:p>
                <w:pPr>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附注</w:t>
                </w:r>
              </w:p>
            </w:tc>
          </w:sdtContent>
        </w:sdt>
        <w:sdt>
          <w:sdtPr>
            <w:tag w:val="_PLD_21df1d74f3114abf83688ef31bc4d9a7"/>
            <w:id w:val="880134043"/>
          </w:sdtPr>
          <w:sdtContent>
            <w:tc>
              <w:tcPr>
                <w:tcW w:w="1411" w:type="pct"/>
                <w:tcBorders>
                  <w:top w:val="outset" w:color="auto" w:sz="6" w:space="0"/>
                  <w:left w:val="outset" w:color="auto" w:sz="6" w:space="0"/>
                  <w:bottom w:val="outset" w:color="auto" w:sz="6" w:space="0"/>
                  <w:right w:val="outset" w:color="auto" w:sz="6" w:space="0"/>
                </w:tcBorders>
                <w:vAlign w:val="center"/>
              </w:tcPr>
              <w:p>
                <w:pPr>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2026年6月</w:t>
                </w:r>
                <w:r>
                  <w:rPr>
                    <w:b/>
                    <w:color w:val="000000" w:themeColor="text1"/>
                    <w14:textFill>
                      <w14:solidFill>
                        <w14:schemeClr w14:val="tx1"/>
                      </w14:solidFill>
                    </w14:textFill>
                  </w:rPr>
                  <w:t>3</w:t>
                </w:r>
                <w:r>
                  <w:rPr>
                    <w:rFonts w:hint="eastAsia"/>
                    <w:b/>
                    <w:color w:val="000000" w:themeColor="text1"/>
                    <w14:textFill>
                      <w14:solidFill>
                        <w14:schemeClr w14:val="tx1"/>
                      </w14:solidFill>
                    </w14:textFill>
                  </w:rPr>
                  <w:t>0日</w:t>
                </w:r>
              </w:p>
            </w:tc>
          </w:sdtContent>
        </w:sdt>
        <w:sdt>
          <w:sdtPr>
            <w:tag w:val="_PLD_d92c936206d34a64b4b2139999e7311b"/>
            <w:id w:val="-495808667"/>
          </w:sdtPr>
          <w:sdtContent>
            <w:tc>
              <w:tcPr>
                <w:tcW w:w="1333" w:type="pct"/>
                <w:tcBorders>
                  <w:top w:val="outset" w:color="auto" w:sz="6" w:space="0"/>
                  <w:left w:val="outset" w:color="auto" w:sz="6" w:space="0"/>
                  <w:bottom w:val="outset" w:color="auto" w:sz="6" w:space="0"/>
                  <w:right w:val="outset" w:color="auto" w:sz="6" w:space="0"/>
                </w:tcBorders>
                <w:vAlign w:val="center"/>
              </w:tcPr>
              <w:p>
                <w:pPr>
                  <w:jc w:val="center"/>
                  <w:rPr>
                    <w:b/>
                    <w:color w:val="000000" w:themeColor="text1"/>
                    <w14:textFill>
                      <w14:solidFill>
                        <w14:schemeClr w14:val="tx1"/>
                      </w14:solidFill>
                    </w14:textFill>
                  </w:rPr>
                </w:pPr>
                <w:r>
                  <w:rPr>
                    <w:b/>
                    <w:color w:val="000000" w:themeColor="text1"/>
                    <w14:textFill>
                      <w14:solidFill>
                        <w14:schemeClr w14:val="tx1"/>
                      </w14:solidFill>
                    </w14:textFill>
                  </w:rPr>
                  <w:t>2025年12月31日</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47a329e79ad491ca413bdaf35b1f19b"/>
            <w:id w:val="1896077547"/>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pPr>
                  <w:rPr>
                    <w:b/>
                    <w:color w:val="000000" w:themeColor="text1"/>
                    <w14:textFill>
                      <w14:solidFill>
                        <w14:schemeClr w14:val="tx1"/>
                      </w14:solidFill>
                    </w14:textFill>
                  </w:rPr>
                </w:pPr>
                <w:r>
                  <w:rPr>
                    <w:rFonts w:hint="eastAsia"/>
                    <w:b/>
                    <w:color w:val="000000" w:themeColor="text1"/>
                    <w14:textFill>
                      <w14:solidFill>
                        <w14:schemeClr w14:val="tx1"/>
                      </w14:solidFill>
                    </w14:textFill>
                  </w:rPr>
                  <w:t>流动资产：</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货币资金</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七、1</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1,032,994,045.03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1,385,204,671.27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结算备付金</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拆出资金</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交易性金融资产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衍生金融资产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应收票据</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七、4</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249,833,104.88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286,692,728.03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七、5</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2,143,416,961.45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1,970,210,637.25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应收款项融资</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七、7</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34,121,157.77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37,433,524.10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预付款项</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七、8</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78,707,873.81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142,709,339.57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应收保费</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应收分保账款</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应收分保合同准备金</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其他应收款</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七、9</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145,674,357.08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122,669,436.29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其中：应收利息</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840" w:firstLineChars="400"/>
              <w:rPr>
                <w:color w:val="000000" w:themeColor="text1"/>
                <w14:textFill>
                  <w14:solidFill>
                    <w14:schemeClr w14:val="tx1"/>
                  </w14:solidFill>
                </w14:textFill>
              </w:rPr>
            </w:pPr>
            <w:r>
              <w:rPr>
                <w:rFonts w:hint="eastAsia"/>
                <w:color w:val="000000" w:themeColor="text1"/>
                <w14:textFill>
                  <w14:solidFill>
                    <w14:schemeClr w14:val="tx1"/>
                  </w14:solidFill>
                </w14:textFill>
              </w:rPr>
              <w:t>应收股利</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买入返售金融资产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存货</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七、10</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1,104,340,541.04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992,574,354.94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其中：数据资源</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合同资产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持有待售资产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一年内到期的非流动资产</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七、12</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9,962,690.77 </w:t>
            </w: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其他流动资产</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七、13</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9,533,524.03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1,923,737.69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流动资产合计</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4,808,584,255.86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4,939,418,429.14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6ac6acc14e74939b5cc43190a3afd2b"/>
            <w:id w:val="442973625"/>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非流动资产：</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发放贷款和垫款</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债权投资</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其他债权投资</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长期应收款</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七、16</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23,499,791.29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3,642,085.59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长期股权投资</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七、17</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12,935,524.67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16,104,348.61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其他权益工具投资</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七、18</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13,412,529.90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15,122,992.50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其他非流动金融资产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投资性房地产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固定资产</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七、21</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1,872,369,686.32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1,923,504,168.59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在建工程</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七、22</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21,881,032.31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34,835,289.06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生产性生物资产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油气资产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使用权资产</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七、25</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41,332,924.17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20,579,452.84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无形资产</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七、26</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220,659,465.16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225,020,922.90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其中：数据资源</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开发支出</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其中：数据资源</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商誉</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七、27</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45,542,860.20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45,542,860.20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长期待摊费用</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七、28</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1,695,040.22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2,072,586.42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递延所得税资产</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七、29</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20,779,988.99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21,223,386.88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其他非流动资产</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七、30</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7,682,705.42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11,320,873.96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非流动资产合计</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2,281,791,548.65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2,318,968,967.55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资产总计</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7,090,375,804.51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7,258,387,396.69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375d0f637964c329fb26d2b4f648745"/>
            <w:id w:val="903961440"/>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流动负债：</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短期借款</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七、32</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314,057,459.88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260,133,690.90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向中央银行借款</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拆入资金</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交易性金融负债</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衍生金融负债</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应付票据</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七、35</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662,455,993.63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878,158,051.60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应付账款</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七、36</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762,651,643.32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743,992,815.82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预收款项</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合同负债</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七、38</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163,472,399.84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127,805,864.76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卖出回购金融资产款</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吸收存款及同业存放</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代理买卖证券款</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代理承销证券款</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应付职工薪酬</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七、39</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22,783,996.37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58,042,953.16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应交税费</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七、40</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21,382,290.05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39,888,756.49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其他应付款</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七、41</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35,572,414.29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62,168,818.34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其中：应付利息</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840" w:firstLineChars="400"/>
              <w:rPr>
                <w:color w:val="000000" w:themeColor="text1"/>
                <w14:textFill>
                  <w14:solidFill>
                    <w14:schemeClr w14:val="tx1"/>
                  </w14:solidFill>
                </w14:textFill>
              </w:rPr>
            </w:pPr>
            <w:r>
              <w:rPr>
                <w:rFonts w:hint="eastAsia"/>
                <w:color w:val="000000" w:themeColor="text1"/>
                <w14:textFill>
                  <w14:solidFill>
                    <w14:schemeClr w14:val="tx1"/>
                  </w14:solidFill>
                </w14:textFill>
              </w:rPr>
              <w:t>应付股利</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应付手续费及佣金</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应付分保账款</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持有待售负债</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一年内到期的非流动负债</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七、43</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686,355,828.64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465,468,089.35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其他流动负债</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七、44</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277,962,324.76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330,232,486.51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流动负债合计</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2,946,694,350.78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2,965,891,526.93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92d79badc1945afbed8782cdacf599f"/>
            <w:id w:val="-712583649"/>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非流动负债：</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保险合同准备金</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长期借款</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七、45</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1,378,320,396.06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1,527,715,083.81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应付债券</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其中：优先股</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840" w:firstLineChars="400"/>
              <w:rPr>
                <w:color w:val="000000" w:themeColor="text1"/>
                <w14:textFill>
                  <w14:solidFill>
                    <w14:schemeClr w14:val="tx1"/>
                  </w14:solidFill>
                </w14:textFill>
              </w:rPr>
            </w:pPr>
            <w:r>
              <w:rPr>
                <w:rFonts w:hint="eastAsia"/>
                <w:color w:val="000000" w:themeColor="text1"/>
                <w14:textFill>
                  <w14:solidFill>
                    <w14:schemeClr w14:val="tx1"/>
                  </w14:solidFill>
                </w14:textFill>
              </w:rPr>
              <w:t>永续债</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租赁负债</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七、47</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28,367,460.07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12,129,816.01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长期应付款</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七、48</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121,261,880.15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141,501,816.72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长期应付职工薪酬</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预计负债</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七、50</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3,430,213.15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2,893,417.02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递延收益</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七、51</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66,041,682.74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68,350,233.52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递延所得税负债</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七、29</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35,732,901.08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41,633,400.55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其他非流动负债</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非流动负债合计</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1,633,154,533.25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1,794,223,767.63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负债合计</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4,579,848,884.03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4,760,115,294.56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4fe68479676b4c8c840de2211f0c67b8"/>
            <w:id w:val="-778948704"/>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所有者权益（或股东权益）：</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实收资本（或股本）</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r>
              <w:rPr>
                <w:rFonts w:hint="eastAsia"/>
              </w:rPr>
              <w:t>七、53</w:t>
            </w: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329,964,639.00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rPr>
                <w:rFonts w:hint="eastAsia"/>
              </w:rPr>
              <w:t xml:space="preserve"> 332,353,407.00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其中：优先股</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840" w:firstLineChars="400"/>
              <w:rPr>
                <w:color w:val="000000" w:themeColor="text1"/>
                <w14:textFill>
                  <w14:solidFill>
                    <w14:schemeClr w14:val="tx1"/>
                  </w14:solidFill>
                </w14:textFill>
              </w:rPr>
            </w:pPr>
            <w:r>
              <w:rPr>
                <w:rFonts w:hint="eastAsia"/>
                <w:color w:val="000000" w:themeColor="text1"/>
                <w14:textFill>
                  <w14:solidFill>
                    <w14:schemeClr w14:val="tx1"/>
                  </w14:solidFill>
                </w14:textFill>
              </w:rPr>
              <w:t>永续债</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资本公积</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r>
              <w:rPr>
                <w:rFonts w:hint="eastAsia"/>
              </w:rPr>
              <w:t>七、55</w:t>
            </w: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962,074,417.02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rPr>
                <w:rFonts w:hint="eastAsia"/>
              </w:rPr>
              <w:t xml:space="preserve"> 979,601,250.80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减：库存股</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r>
              <w:rPr>
                <w:rFonts w:hint="eastAsia"/>
              </w:rPr>
              <w:t>七、56</w:t>
            </w: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rPr>
                <w:rFonts w:hint="eastAsia"/>
              </w:rPr>
              <w:t xml:space="preserve"> 19,807,681.28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其他综合收益</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r>
              <w:rPr>
                <w:rFonts w:hint="eastAsia"/>
              </w:rPr>
              <w:t>七、57</w:t>
            </w: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-429,958.76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rPr>
                <w:rFonts w:hint="eastAsia"/>
              </w:rPr>
              <w:t xml:space="preserve"> 1,023,934.45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专项储备</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r>
              <w:rPr>
                <w:rFonts w:hint="eastAsia"/>
              </w:rPr>
              <w:t>七、58</w:t>
            </w: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19,588,783.62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rPr>
                <w:rFonts w:hint="eastAsia"/>
              </w:rPr>
              <w:t xml:space="preserve"> 22,715,521.68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盈余公积</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r>
              <w:rPr>
                <w:rFonts w:hint="eastAsia"/>
              </w:rPr>
              <w:t>七、59</w:t>
            </w: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127,047,120.13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rPr>
                <w:rFonts w:hint="eastAsia"/>
              </w:rPr>
              <w:t xml:space="preserve"> 127,047,120.13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一般风险准备</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未分配利润</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r>
              <w:rPr>
                <w:rFonts w:hint="eastAsia"/>
              </w:rPr>
              <w:t>七、60</w:t>
            </w: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1,054,286,830.14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rPr>
                <w:rFonts w:hint="eastAsia"/>
              </w:rPr>
              <w:t xml:space="preserve"> 1,051,708,163.82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归属于母公司所有者权益（或股东权益）合计</w:t>
            </w:r>
          </w:p>
        </w:tc>
        <w:tc>
          <w:tcPr>
            <w:tcW w:w="627" w:type="pct"/>
            <w:tcBorders>
              <w:top w:val="outset" w:color="auto" w:sz="6" w:space="0"/>
              <w:left w:val="outset" w:color="auto" w:sz="6" w:space="0"/>
              <w:bottom w:val="outset" w:color="auto" w:sz="6" w:space="0"/>
              <w:right w:val="outset" w:color="auto" w:sz="6" w:space="0"/>
            </w:tcBorders>
            <w:vAlign w:val="center"/>
          </w:tcPr>
          <w:p>
            <w:pPr>
              <w:jc w:val="both"/>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2,492,531,831.15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2,494,641,716.60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少数股东权益</w:t>
            </w:r>
          </w:p>
        </w:tc>
        <w:tc>
          <w:tcPr>
            <w:tcW w:w="627" w:type="pct"/>
            <w:tcBorders>
              <w:top w:val="outset" w:color="auto" w:sz="6" w:space="0"/>
              <w:left w:val="outset" w:color="auto" w:sz="6" w:space="0"/>
              <w:bottom w:val="outset" w:color="auto" w:sz="6" w:space="0"/>
              <w:right w:val="outset" w:color="auto" w:sz="6" w:space="0"/>
            </w:tcBorders>
            <w:vAlign w:val="center"/>
          </w:tcPr>
          <w:p>
            <w:pPr>
              <w:jc w:val="right"/>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17,995,089.33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3,630,385.53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所有者权益（或股东权益）合计</w:t>
            </w:r>
          </w:p>
        </w:tc>
        <w:tc>
          <w:tcPr>
            <w:tcW w:w="627" w:type="pct"/>
            <w:tcBorders>
              <w:top w:val="outset" w:color="auto" w:sz="6" w:space="0"/>
              <w:left w:val="outset" w:color="auto" w:sz="6" w:space="0"/>
              <w:bottom w:val="outset" w:color="auto" w:sz="6" w:space="0"/>
              <w:right w:val="outset" w:color="auto" w:sz="6" w:space="0"/>
            </w:tcBorders>
            <w:vAlign w:val="center"/>
          </w:tcPr>
          <w:p>
            <w:pPr>
              <w:jc w:val="right"/>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2,510,526,920.48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2,498,272,102.13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负债和所有者权益（或股东权益）总计</w:t>
            </w:r>
          </w:p>
        </w:tc>
        <w:tc>
          <w:tcPr>
            <w:tcW w:w="627" w:type="pct"/>
            <w:tcBorders>
              <w:top w:val="outset" w:color="auto" w:sz="6" w:space="0"/>
              <w:left w:val="outset" w:color="auto" w:sz="6" w:space="0"/>
              <w:bottom w:val="outset" w:color="auto" w:sz="6" w:space="0"/>
              <w:right w:val="outset" w:color="auto" w:sz="6" w:space="0"/>
            </w:tcBorders>
            <w:vAlign w:val="center"/>
          </w:tcPr>
          <w:p>
            <w:pPr>
              <w:jc w:val="right"/>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7,090,375,804.51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7,258,387,396.69 </w:t>
            </w:r>
          </w:p>
        </w:tc>
      </w:tr>
      <w:bookmarkEnd w:id="141"/>
    </w:tbl>
    <w:p>
      <w:pPr>
        <w:ind w:right="-153" w:rightChars="-73"/>
        <w:rPr>
          <w:color w:val="000000" w:themeColor="text1"/>
          <w:u w:val="single"/>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82350876809b4479afe9f3c55db147dd"/>
          <w:id w:val="1560755439"/>
          <w:placeholder>
            <w:docPart w:val="GBC22222222222222222222222222222"/>
          </w:placeholder>
          <w15: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杨泽民</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9caf2fff268b41a7b3fe74fc4a3d6533"/>
          <w:id w:val="-74673815"/>
          <w:placeholder>
            <w:docPart w:val="GBC22222222222222222222222222222"/>
          </w:placeholder>
          <w15: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杨万华</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8cacbe4a6fcc41699e67ce809516ec50"/>
          <w:id w:val="-898831820"/>
          <w:placeholder>
            <w:docPart w:val="GBC22222222222222222222222222222"/>
          </w:placeholder>
          <w15: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冯波</w:t>
          </w:r>
        </w:sdtContent>
      </w:sdt>
    </w:p>
    <w:p>
      <w:pPr>
        <w:ind w:right="-153" w:rightChars="-73"/>
        <w:rPr>
          <w:b/>
          <w:bCs w:val="0"/>
          <w:color w:val="000000" w:themeColor="text1"/>
          <w:u w:val="single"/>
          <w14:textFill>
            <w14:solidFill>
              <w14:schemeClr w14:val="tx1"/>
            </w14:solidFill>
          </w14:textFill>
        </w:rPr>
      </w:pPr>
    </w:p>
    <w:p>
      <w:pPr>
        <w:snapToGrid w:val="0"/>
        <w:spacing w:line="240" w:lineRule="atLeast"/>
        <w:ind w:right="-1594" w:rightChars="-759"/>
        <w:rPr>
          <w:color w:val="000000" w:themeColor="text1"/>
          <w14:textFill>
            <w14:solidFill>
              <w14:schemeClr w14:val="tx1"/>
            </w14:solidFill>
          </w14:textFill>
        </w:rPr>
      </w:pPr>
    </w:p>
    <w:p>
      <w:pPr>
        <w:pStyle w:val="4"/>
        <w:jc w:val="cente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母公司</w:t>
      </w:r>
      <w:r>
        <w:rPr>
          <w:rFonts w:ascii="宋体" w:hAnsi="宋体"/>
          <w:color w:val="000000" w:themeColor="text1"/>
          <w14:textFill>
            <w14:solidFill>
              <w14:schemeClr w14:val="tx1"/>
            </w14:solidFill>
          </w14:textFill>
        </w:rPr>
        <w:t>资产负债表</w:t>
      </w:r>
    </w:p>
    <w:p>
      <w:pPr>
        <w:snapToGrid w:val="0"/>
        <w:spacing w:line="240" w:lineRule="atLeast"/>
        <w:jc w:val="center"/>
        <w:rPr>
          <w:b/>
          <w:color w:val="000000" w:themeColor="text1"/>
          <w14:textFill>
            <w14:solidFill>
              <w14:schemeClr w14:val="tx1"/>
            </w14:solidFill>
          </w14:textFill>
        </w:rPr>
      </w:pPr>
      <w:r>
        <w:rPr>
          <w:color w:val="000000" w:themeColor="text1"/>
          <w14:textFill>
            <w14:solidFill>
              <w14:schemeClr w14:val="tx1"/>
            </w14:solidFill>
          </w14:textFill>
        </w:rPr>
        <w:t>2026年6月30日</w:t>
      </w:r>
    </w:p>
    <w:p>
      <w:pPr>
        <w:rPr>
          <w:color w:val="000000" w:themeColor="text1"/>
          <w14:textFill>
            <w14:solidFill>
              <w14:schemeClr w14:val="tx1"/>
            </w14:solidFill>
          </w14:textFill>
        </w:rPr>
      </w:pPr>
      <w:r>
        <w:rPr>
          <w:color w:val="000000" w:themeColor="text1"/>
          <w14:textFill>
            <w14:solidFill>
              <w14:schemeClr w14:val="tx1"/>
            </w14:solidFill>
          </w14:textFill>
        </w:rPr>
        <w:t>编制单位：</w:t>
      </w:r>
      <w:sdt>
        <w:sdtPr>
          <w:rPr>
            <w:color w:val="000000" w:themeColor="text1"/>
            <w14:textFill>
              <w14:solidFill>
                <w14:schemeClr w14:val="tx1"/>
              </w14:solidFill>
            </w14:textFill>
          </w:rPr>
          <w:alias w:val="公司法定中文名称"/>
          <w:tag w:val="_GBC_824a3e7402834e78aa66a9ee77d287bc"/>
          <w:id w:val="842215295"/>
          <w:placeholder>
            <w:docPart w:val="GBC22222222222222222222222222222"/>
          </w:placeholder>
          <w15:dataBinding w:prefixMappings="xmlns:clcid-cgi='clcid-cgi'" w:xpath="/*/clcid-cgi:GongSiFaDingZhongWenMingCheng[not(@periodRef)]" w:storeItemID="{89EBAB94-44A0-46A2-B712-30D997D04A6D}"/>
          <w:text/>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重庆望变电气（集团）股份有限公司</w:t>
          </w:r>
        </w:sdtContent>
      </w:sdt>
      <w:r>
        <w:rPr>
          <w:color w:val="000000" w:themeColor="text1"/>
          <w14:textFill>
            <w14:solidFill>
              <w14:schemeClr w14:val="tx1"/>
            </w14:solidFill>
          </w14:textFill>
        </w:rPr>
        <w:t> </w:t>
      </w:r>
    </w:p>
    <w:p>
      <w:pPr>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母公司资产负债表"/>
          <w:tag w:val="_GBC_7be010b1a07f4048a3805d40208ccda4"/>
          <w:id w:val="209935849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母公司资产负债表"/>
          <w:tag w:val="_GBC_ecd35f8ce6f84d6f8ad30e1e244c15ff"/>
          <w:id w:val="-104628140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44"/>
        <w:tblW w:w="4994"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944"/>
        <w:gridCol w:w="1133"/>
        <w:gridCol w:w="2551"/>
        <w:gridCol w:w="241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b231a79acb54050b640bf23dd34ab8c"/>
            <w:id w:val="416682116"/>
          </w:sdtPr>
          <w:sdtContent>
            <w:tc>
              <w:tcPr>
                <w:tcW w:w="1629" w:type="pct"/>
                <w:tcBorders>
                  <w:top w:val="outset" w:color="auto" w:sz="6" w:space="0"/>
                  <w:left w:val="outset" w:color="auto" w:sz="6" w:space="0"/>
                  <w:bottom w:val="outset" w:color="auto" w:sz="6" w:space="0"/>
                  <w:right w:val="outset" w:color="auto" w:sz="6" w:space="0"/>
                </w:tcBorders>
                <w:vAlign w:val="center"/>
              </w:tcPr>
              <w:p>
                <w:pPr>
                  <w:jc w:val="center"/>
                  <w:rPr>
                    <w:b/>
                    <w:bCs w:val="0"/>
                    <w:color w:val="000000" w:themeColor="text1"/>
                    <w14:textFill>
                      <w14:solidFill>
                        <w14:schemeClr w14:val="tx1"/>
                      </w14:solidFill>
                    </w14:textFill>
                  </w:rPr>
                </w:pPr>
                <w:bookmarkStart w:id="142" w:name="_Hlk105686791"/>
                <w:r>
                  <w:rPr>
                    <w:b/>
                    <w:bCs w:val="0"/>
                    <w:color w:val="000000" w:themeColor="text1"/>
                    <w14:textFill>
                      <w14:solidFill>
                        <w14:schemeClr w14:val="tx1"/>
                      </w14:solidFill>
                    </w14:textFill>
                  </w:rPr>
                  <w:t>项目</w:t>
                </w:r>
              </w:p>
            </w:tc>
          </w:sdtContent>
        </w:sdt>
        <w:sdt>
          <w:sdtPr>
            <w:tag w:val="_PLD_5e370aa08a144a709185abd9b2f11c20"/>
            <w:id w:val="-353654831"/>
          </w:sdtPr>
          <w:sdtContent>
            <w:tc>
              <w:tcPr>
                <w:tcW w:w="627" w:type="pct"/>
                <w:tcBorders>
                  <w:top w:val="outset" w:color="auto" w:sz="6" w:space="0"/>
                  <w:left w:val="outset" w:color="auto" w:sz="6" w:space="0"/>
                  <w:bottom w:val="outset" w:color="auto" w:sz="6" w:space="0"/>
                  <w:right w:val="outset" w:color="auto" w:sz="6" w:space="0"/>
                </w:tcBorders>
                <w:vAlign w:val="center"/>
              </w:tcPr>
              <w:p>
                <w:pPr>
                  <w:jc w:val="center"/>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附注</w:t>
                </w:r>
              </w:p>
            </w:tc>
          </w:sdtContent>
        </w:sdt>
        <w:sdt>
          <w:sdtPr>
            <w:tag w:val="_PLD_0aa0a7a0cd4c45afa7cfb1bcfbba36c3"/>
            <w:id w:val="1619566515"/>
          </w:sdtPr>
          <w:sdtContent>
            <w:tc>
              <w:tcPr>
                <w:tcW w:w="1411" w:type="pct"/>
                <w:tcBorders>
                  <w:top w:val="outset" w:color="auto" w:sz="6" w:space="0"/>
                  <w:left w:val="outset" w:color="auto" w:sz="6" w:space="0"/>
                  <w:bottom w:val="outset" w:color="auto" w:sz="6" w:space="0"/>
                  <w:right w:val="outset" w:color="auto" w:sz="6" w:space="0"/>
                </w:tcBorders>
                <w:vAlign w:val="center"/>
              </w:tcPr>
              <w:p>
                <w:pPr>
                  <w:jc w:val="center"/>
                  <w:rPr>
                    <w:b/>
                    <w:bCs w:val="0"/>
                    <w:color w:val="000000" w:themeColor="text1"/>
                    <w14:textFill>
                      <w14:solidFill>
                        <w14:schemeClr w14:val="tx1"/>
                      </w14:solidFill>
                    </w14:textFill>
                  </w:rPr>
                </w:pPr>
                <w:r>
                  <w:rPr>
                    <w:rFonts w:hint="eastAsia"/>
                    <w:b/>
                    <w:bCs w:val="0"/>
                    <w:color w:val="000000" w:themeColor="text1"/>
                    <w14:textFill>
                      <w14:solidFill>
                        <w14:schemeClr w14:val="tx1"/>
                      </w14:solidFill>
                    </w14:textFill>
                  </w:rPr>
                  <w:t>2026年6月</w:t>
                </w:r>
                <w:r>
                  <w:rPr>
                    <w:b/>
                    <w:bCs w:val="0"/>
                    <w:color w:val="000000" w:themeColor="text1"/>
                    <w14:textFill>
                      <w14:solidFill>
                        <w14:schemeClr w14:val="tx1"/>
                      </w14:solidFill>
                    </w14:textFill>
                  </w:rPr>
                  <w:t>3</w:t>
                </w:r>
                <w:r>
                  <w:rPr>
                    <w:rFonts w:hint="eastAsia"/>
                    <w:b/>
                    <w:bCs w:val="0"/>
                    <w:color w:val="000000" w:themeColor="text1"/>
                    <w14:textFill>
                      <w14:solidFill>
                        <w14:schemeClr w14:val="tx1"/>
                      </w14:solidFill>
                    </w14:textFill>
                  </w:rPr>
                  <w:t>0日</w:t>
                </w:r>
              </w:p>
            </w:tc>
          </w:sdtContent>
        </w:sdt>
        <w:sdt>
          <w:sdtPr>
            <w:tag w:val="_PLD_e986dda0dbc74346a9296e5a4646b696"/>
            <w:id w:val="-34969474"/>
          </w:sdtPr>
          <w:sdtContent>
            <w:tc>
              <w:tcPr>
                <w:tcW w:w="1333" w:type="pct"/>
                <w:tcBorders>
                  <w:top w:val="outset" w:color="auto" w:sz="6" w:space="0"/>
                  <w:left w:val="outset" w:color="auto" w:sz="6" w:space="0"/>
                  <w:bottom w:val="outset" w:color="auto" w:sz="6" w:space="0"/>
                  <w:right w:val="outset" w:color="auto" w:sz="6" w:space="0"/>
                </w:tcBorders>
                <w:vAlign w:val="center"/>
              </w:tcPr>
              <w:p>
                <w:pPr>
                  <w:jc w:val="center"/>
                  <w:rPr>
                    <w:b/>
                    <w:bCs w:val="0"/>
                    <w:color w:val="000000" w:themeColor="text1"/>
                    <w14:textFill>
                      <w14:solidFill>
                        <w14:schemeClr w14:val="tx1"/>
                      </w14:solidFill>
                    </w14:textFill>
                  </w:rPr>
                </w:pPr>
                <w:r>
                  <w:rPr>
                    <w:b/>
                    <w:bCs w:val="0"/>
                    <w:color w:val="000000" w:themeColor="text1"/>
                    <w14:textFill>
                      <w14:solidFill>
                        <w14:schemeClr w14:val="tx1"/>
                      </w14:solidFill>
                    </w14:textFill>
                  </w:rPr>
                  <w:t>2025年12月31日</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64ae72669eea4837a1a220d585585bdf"/>
            <w:id w:val="348299988"/>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pPr>
                  <w:rPr>
                    <w:b/>
                    <w:color w:val="000000" w:themeColor="text1"/>
                    <w14:textFill>
                      <w14:solidFill>
                        <w14:schemeClr w14:val="tx1"/>
                      </w14:solidFill>
                    </w14:textFill>
                  </w:rPr>
                </w:pPr>
                <w:r>
                  <w:rPr>
                    <w:rFonts w:hint="eastAsia"/>
                    <w:b/>
                    <w:color w:val="000000" w:themeColor="text1"/>
                    <w14:textFill>
                      <w14:solidFill>
                        <w14:schemeClr w14:val="tx1"/>
                      </w14:solidFill>
                    </w14:textFill>
                  </w:rPr>
                  <w:t>流动资产：</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货币资金</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794,032,998.95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1,117,398,944.39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交易性金融资产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衍生金融资产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应收票据</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185,182,391.68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270,555,723.85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十九、1</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1,303,913,627.22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1,150,085,767.86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应收款项融资</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21,941,476.51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29,744,229.08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预付款项</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57,453,587.28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36,113,916.40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其他应收款</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十九、2</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461,830,775.17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382,065,489.93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其中：应收利息</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840" w:firstLineChars="400"/>
              <w:rPr>
                <w:color w:val="000000" w:themeColor="text1"/>
                <w14:textFill>
                  <w14:solidFill>
                    <w14:schemeClr w14:val="tx1"/>
                  </w14:solidFill>
                </w14:textFill>
              </w:rPr>
            </w:pPr>
            <w:r>
              <w:rPr>
                <w:rFonts w:hint="eastAsia"/>
                <w:color w:val="000000" w:themeColor="text1"/>
                <w14:textFill>
                  <w14:solidFill>
                    <w14:schemeClr w14:val="tx1"/>
                  </w14:solidFill>
                </w14:textFill>
              </w:rPr>
              <w:t>应收股利</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存货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543,237,243.48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507,717,452.77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其中：数据资源</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合同资产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持有待售资产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一年内到期的非流动资产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其他流动资产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流动资产合计</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3,367,592,100.29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3,493,681,524.28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1f45ac7535d4ffeaa6273d6527bae0d"/>
            <w:id w:val="-268936835"/>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非流动资产：</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债权投资</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其他债权投资</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长期应收款</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1,992,419.76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3,642,085.59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长期股权投资</w:t>
            </w:r>
          </w:p>
        </w:tc>
        <w:tc>
          <w:tcPr>
            <w:tcW w:w="627" w:type="pct"/>
            <w:tcBorders>
              <w:top w:val="outset" w:color="auto" w:sz="6" w:space="0"/>
              <w:left w:val="outset" w:color="auto" w:sz="6" w:space="0"/>
              <w:bottom w:val="outset" w:color="auto" w:sz="6" w:space="0"/>
              <w:right w:val="outset" w:color="auto" w:sz="6" w:space="0"/>
            </w:tcBorders>
          </w:tcPr>
          <w:p>
            <w:pPr>
              <w:pStyle w:val="48"/>
            </w:pPr>
            <w:r>
              <w:rPr>
                <w:rFonts w:hint="eastAsia"/>
              </w:rPr>
              <w:t>十九、3</w:t>
            </w: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892,714,915.60 </w:t>
            </w:r>
          </w:p>
        </w:tc>
        <w:tc>
          <w:tcPr>
            <w:tcW w:w="1333" w:type="pct"/>
            <w:tcBorders>
              <w:top w:val="outset" w:color="auto" w:sz="6" w:space="0"/>
              <w:left w:val="outset" w:color="auto" w:sz="6" w:space="0"/>
              <w:bottom w:val="outset" w:color="auto" w:sz="6" w:space="0"/>
              <w:right w:val="outset" w:color="auto" w:sz="6" w:space="0"/>
            </w:tcBorders>
          </w:tcPr>
          <w:p>
            <w:pPr>
              <w:jc w:val="right"/>
            </w:pPr>
            <w:r>
              <w:rPr>
                <w:rFonts w:hint="eastAsia"/>
              </w:rPr>
              <w:t xml:space="preserve"> 854,083,024.51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其他权益工具投资</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其他非流动金融资产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投资性房地产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固定资产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1,402,722,122.83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1,469,109,976.07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在建工程</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3,576,344.95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3,576,344.95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生产性生物资产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油气资产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使用权资产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9,557,062.21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9,199,568.63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无形资产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118,390,160.31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120,716,062.82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其中：数据资源</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开发支出</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其中：数据资源</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商誉</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长期待摊费用</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774,101.49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1,074,611.89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其他非流动资产</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6,053,922.42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4,902,784.04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非流动资产合计</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2,435,781,049.57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2,466,304,458.50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资产总计</w:t>
            </w:r>
          </w:p>
        </w:tc>
        <w:tc>
          <w:tcPr>
            <w:tcW w:w="627" w:type="pct"/>
            <w:tcBorders>
              <w:top w:val="outset" w:color="auto" w:sz="6" w:space="0"/>
              <w:left w:val="outset" w:color="auto" w:sz="6" w:space="0"/>
              <w:bottom w:val="outset" w:color="auto" w:sz="6" w:space="0"/>
              <w:right w:val="outset" w:color="auto" w:sz="6" w:space="0"/>
            </w:tcBorders>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5,803,373,149.86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5,959,985,982.78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80943e088034c15ad8af33927d58d1b"/>
            <w:id w:val="1511877938"/>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流动负债：</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短期借款</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261,382,073.21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199,996,650.20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交易性金融负债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衍生金融负债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应付票据</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437,693,072.25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608,605,292.80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应付账款</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454,882,420.81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384,060,901.32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预收款项</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合同负债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53,996,700.74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47,886,062.79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应付职工薪酬</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11,443,481.71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31,473,685.47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应交税费</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10,977,783.46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23,133,054.82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其他应付款</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31,909,310.47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33,595,423.16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其中：应付利息</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840" w:firstLineChars="400"/>
              <w:rPr>
                <w:color w:val="000000" w:themeColor="text1"/>
                <w14:textFill>
                  <w14:solidFill>
                    <w14:schemeClr w14:val="tx1"/>
                  </w14:solidFill>
                </w14:textFill>
              </w:rPr>
            </w:pPr>
            <w:r>
              <w:rPr>
                <w:rFonts w:hint="eastAsia"/>
                <w:color w:val="000000" w:themeColor="text1"/>
                <w14:textFill>
                  <w14:solidFill>
                    <w14:schemeClr w14:val="tx1"/>
                  </w14:solidFill>
                </w14:textFill>
              </w:rPr>
              <w:t>应付股利</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持有待售负债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一年内到期的非流动负债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473,340,818.71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346,276,724.83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其他流动负债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197,008,848.15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266,250,979.96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流动负债合计</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1,932,634,509.51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1,941,278,775.35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62929b21cd4456494013c9cb0dc5b16"/>
            <w:id w:val="2053417839"/>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非流动负债：</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长期借款</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1,266,541,663.71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1,345,094,914.65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应付债券</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其中：优先股</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840" w:firstLineChars="400"/>
              <w:rPr>
                <w:color w:val="000000" w:themeColor="text1"/>
                <w14:textFill>
                  <w14:solidFill>
                    <w14:schemeClr w14:val="tx1"/>
                  </w14:solidFill>
                </w14:textFill>
              </w:rPr>
            </w:pPr>
            <w:r>
              <w:rPr>
                <w:rFonts w:hint="eastAsia"/>
                <w:color w:val="000000" w:themeColor="text1"/>
                <w14:textFill>
                  <w14:solidFill>
                    <w14:schemeClr w14:val="tx1"/>
                  </w14:solidFill>
                </w14:textFill>
              </w:rPr>
              <w:t>永续债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租赁负债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4,438,522.17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4,348,971.71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长期应付款</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121,261,880.15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141,501,816.72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长期应付职工薪酬</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预计负债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995,561.33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491,453.48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递延收益</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63,482,135.67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65,949,466.53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递延所得税负债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23,067,896.58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28,822,400.21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其他非流动负债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p>
        </w:tc>
        <w:tc>
          <w:tcPr>
            <w:tcW w:w="1333" w:type="pct"/>
            <w:tcBorders>
              <w:top w:val="outset" w:color="auto" w:sz="6" w:space="0"/>
              <w:left w:val="outset" w:color="auto" w:sz="6" w:space="0"/>
              <w:bottom w:val="outset" w:color="auto" w:sz="6" w:space="0"/>
              <w:right w:val="outset" w:color="auto" w:sz="6"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非流动负债合计</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1,479,787,659.61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1,586,209,023.30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负债合计</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tcPr>
          <w:p>
            <w:pPr>
              <w:jc w:val="right"/>
            </w:pPr>
            <w:r>
              <w:t xml:space="preserve"> 3,412,422,169.12 </w:t>
            </w:r>
          </w:p>
        </w:tc>
        <w:tc>
          <w:tcPr>
            <w:tcW w:w="1333" w:type="pct"/>
            <w:tcBorders>
              <w:top w:val="outset" w:color="auto" w:sz="6" w:space="0"/>
              <w:left w:val="outset" w:color="auto" w:sz="6" w:space="0"/>
              <w:bottom w:val="outset" w:color="auto" w:sz="6" w:space="0"/>
              <w:right w:val="outset" w:color="auto" w:sz="6" w:space="0"/>
            </w:tcBorders>
          </w:tcPr>
          <w:p>
            <w:pPr>
              <w:jc w:val="right"/>
            </w:pPr>
            <w:r>
              <w:t xml:space="preserve"> 3,527,487,798.65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b3c95ee428314f8b8091bd15dff2a83d"/>
            <w:id w:val="675387178"/>
          </w:sdtPr>
          <w:sdtContent>
            <w:tc>
              <w:tcPr>
                <w:tcW w:w="5000" w:type="pct"/>
                <w:gridSpan w:val="4"/>
                <w:tcBorders>
                  <w:top w:val="outset" w:color="auto" w:sz="6" w:space="0"/>
                  <w:left w:val="outset" w:color="auto" w:sz="6" w:space="0"/>
                  <w:bottom w:val="outset" w:color="auto" w:sz="6" w:space="0"/>
                  <w:right w:val="outset" w:color="auto" w:sz="6"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所有者权益（或股东权益）：</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实收资本（或股本）</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329,964,639.00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332,353,407.00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其中：优先股</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840" w:firstLineChars="400"/>
              <w:rPr>
                <w:color w:val="000000" w:themeColor="text1"/>
                <w14:textFill>
                  <w14:solidFill>
                    <w14:schemeClr w14:val="tx1"/>
                  </w14:solidFill>
                </w14:textFill>
              </w:rPr>
            </w:pPr>
            <w:r>
              <w:rPr>
                <w:rFonts w:hint="eastAsia"/>
                <w:color w:val="000000" w:themeColor="text1"/>
                <w14:textFill>
                  <w14:solidFill>
                    <w14:schemeClr w14:val="tx1"/>
                  </w14:solidFill>
                </w14:textFill>
              </w:rPr>
              <w:t>永续债</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资本公积</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945,244,338.15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962,663,251.43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减：库存股</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19,807,681.28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其他综合收益</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专项储备</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15,888,109.33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20,467,028.68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盈余公积</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126,346,004.08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126,346,004.08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未分配利润</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973,507,890.18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1,010,476,174.22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所有者权益（或股东权益）合计</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2,390,950,980.74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2,432,498,184.13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29" w:type="pct"/>
            <w:tcBorders>
              <w:top w:val="outset" w:color="auto" w:sz="6" w:space="0"/>
              <w:left w:val="outset" w:color="auto" w:sz="6" w:space="0"/>
              <w:bottom w:val="outset" w:color="auto" w:sz="6" w:space="0"/>
              <w:right w:val="outset" w:color="auto" w:sz="6"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负债和所有者权益（或股东权益）总计</w:t>
            </w:r>
          </w:p>
        </w:tc>
        <w:tc>
          <w:tcPr>
            <w:tcW w:w="627" w:type="pct"/>
            <w:tcBorders>
              <w:top w:val="outset" w:color="auto" w:sz="6" w:space="0"/>
              <w:left w:val="outset" w:color="auto" w:sz="6" w:space="0"/>
              <w:bottom w:val="outset" w:color="auto" w:sz="6" w:space="0"/>
              <w:right w:val="outset" w:color="auto" w:sz="6" w:space="0"/>
            </w:tcBorders>
            <w:vAlign w:val="center"/>
          </w:tcPr>
          <w:p>
            <w:pPr>
              <w:pStyle w:val="48"/>
            </w:pPr>
          </w:p>
        </w:tc>
        <w:tc>
          <w:tcPr>
            <w:tcW w:w="1411" w:type="pct"/>
            <w:tcBorders>
              <w:top w:val="outset" w:color="auto" w:sz="6" w:space="0"/>
              <w:left w:val="outset" w:color="auto" w:sz="6" w:space="0"/>
              <w:bottom w:val="outset" w:color="auto" w:sz="6" w:space="0"/>
              <w:right w:val="outset" w:color="auto" w:sz="6" w:space="0"/>
            </w:tcBorders>
            <w:vAlign w:val="center"/>
          </w:tcPr>
          <w:p>
            <w:pPr>
              <w:jc w:val="right"/>
            </w:pPr>
            <w:r>
              <w:t xml:space="preserve"> 5,803,373,149.86 </w:t>
            </w:r>
          </w:p>
        </w:tc>
        <w:tc>
          <w:tcPr>
            <w:tcW w:w="1333" w:type="pct"/>
            <w:tcBorders>
              <w:top w:val="outset" w:color="auto" w:sz="6" w:space="0"/>
              <w:left w:val="outset" w:color="auto" w:sz="6" w:space="0"/>
              <w:bottom w:val="outset" w:color="auto" w:sz="6" w:space="0"/>
              <w:right w:val="outset" w:color="auto" w:sz="6" w:space="0"/>
            </w:tcBorders>
            <w:vAlign w:val="center"/>
          </w:tcPr>
          <w:p>
            <w:pPr>
              <w:jc w:val="right"/>
            </w:pPr>
            <w:r>
              <w:t xml:space="preserve"> 5,959,985,982.78 </w:t>
            </w:r>
          </w:p>
        </w:tc>
      </w:tr>
      <w:bookmarkEnd w:id="142"/>
    </w:tbl>
    <w:p>
      <w:pPr>
        <w:ind w:right="-153" w:rightChars="-73"/>
        <w:rPr>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f43f422c96ec4e009c3976ce8e58b778"/>
          <w:id w:val="-2070180238"/>
          <w:placeholder>
            <w:docPart w:val="GBC22222222222222222222222222222"/>
          </w:placeholder>
          <w15: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杨泽民</w:t>
          </w:r>
        </w:sdtContent>
      </w:sdt>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3ac751c8378d4424bbdf4c74057683d9"/>
          <w:id w:val="70792189"/>
          <w:placeholder>
            <w:docPart w:val="GBC22222222222222222222222222222"/>
          </w:placeholder>
          <w15: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杨万华</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182ff185180a4ea4b9c93bbd4b01de2c"/>
          <w:id w:val="-981916401"/>
          <w:placeholder>
            <w:docPart w:val="GBC22222222222222222222222222222"/>
          </w:placeholder>
          <w15: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冯波</w:t>
          </w:r>
        </w:sdtContent>
      </w:sdt>
    </w:p>
    <w:p>
      <w:pPr>
        <w:snapToGrid w:val="0"/>
        <w:rPr>
          <w:color w:val="000000" w:themeColor="text1"/>
          <w14:textFill>
            <w14:solidFill>
              <w14:schemeClr w14:val="tx1"/>
            </w14:solidFill>
          </w14:textFill>
        </w:rPr>
      </w:pPr>
    </w:p>
    <w:bookmarkEnd w:id="140"/>
    <w:p>
      <w:pPr>
        <w:ind w:right="-153" w:rightChars="-73"/>
        <w:rPr>
          <w:b/>
          <w:bCs w:val="0"/>
          <w:color w:val="000000" w:themeColor="text1"/>
          <w:u w:val="single"/>
          <w14:textFill>
            <w14:solidFill>
              <w14:schemeClr w14:val="tx1"/>
            </w14:solidFill>
          </w14:textFill>
        </w:rPr>
      </w:pPr>
      <w:bookmarkStart w:id="143" w:name="_Hlk10210632"/>
      <w:bookmarkEnd w:id="143"/>
    </w:p>
    <w:p>
      <w:pPr>
        <w:jc w:val="center"/>
        <w:rPr>
          <w:b/>
          <w:color w:val="000000" w:themeColor="text1"/>
          <w14:textFill>
            <w14:solidFill>
              <w14:schemeClr w14:val="tx1"/>
            </w14:solidFill>
          </w14:textFill>
        </w:rPr>
      </w:pPr>
      <w:bookmarkStart w:id="144" w:name="_Hlk10210822"/>
    </w:p>
    <w:p>
      <w:pPr>
        <w:pStyle w:val="4"/>
        <w:jc w:val="cente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合并</w:t>
      </w:r>
      <w:r>
        <w:rPr>
          <w:rFonts w:ascii="宋体" w:hAnsi="宋体"/>
          <w:color w:val="000000" w:themeColor="text1"/>
          <w14:textFill>
            <w14:solidFill>
              <w14:schemeClr w14:val="tx1"/>
            </w14:solidFill>
          </w14:textFill>
        </w:rPr>
        <w:t>利润表</w:t>
      </w:r>
    </w:p>
    <w:p>
      <w:pPr>
        <w:jc w:val="center"/>
        <w:rPr>
          <w:b/>
          <w:bCs w:val="0"/>
          <w:color w:val="000000" w:themeColor="text1"/>
          <w14:textFill>
            <w14:solidFill>
              <w14:schemeClr w14:val="tx1"/>
            </w14:solidFill>
          </w14:textFill>
        </w:rPr>
      </w:pPr>
      <w:r>
        <w:rPr>
          <w:color w:val="000000" w:themeColor="text1"/>
          <w14:textFill>
            <w14:solidFill>
              <w14:schemeClr w14:val="tx1"/>
            </w14:solidFill>
          </w14:textFill>
        </w:rPr>
        <w:t>2026年</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月</w:t>
      </w:r>
    </w:p>
    <w:p>
      <w:pPr>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合并利润表"/>
          <w:tag w:val="_GBC_4fec24feb4834b768c484fe556046382"/>
          <w:id w:val="14872051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合并利润表"/>
          <w:tag w:val="_GBC_ae5c0d79e5694eb28ba1b8160e27a464"/>
          <w:id w:val="-177354439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507"/>
        <w:gridCol w:w="1517"/>
        <w:gridCol w:w="2009"/>
        <w:gridCol w:w="201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ea01e0b0c9224fe59426c375515c2359"/>
            <w:id w:val="-709490978"/>
          </w:sdtPr>
          <w:sdtContent>
            <w:tc>
              <w:tcPr>
                <w:tcW w:w="1938" w:type="pct"/>
                <w:tcBorders>
                  <w:top w:val="outset" w:color="auto" w:sz="4" w:space="0"/>
                  <w:left w:val="outset" w:color="auto" w:sz="4" w:space="0"/>
                  <w:bottom w:val="outset" w:color="auto" w:sz="4" w:space="0"/>
                  <w:right w:val="outset" w:color="auto" w:sz="4" w:space="0"/>
                </w:tcBorders>
                <w:vAlign w:val="center"/>
              </w:tcPr>
              <w:p>
                <w:pPr>
                  <w:ind w:left="40" w:hanging="39" w:hangingChars="19"/>
                  <w:jc w:val="center"/>
                  <w:rPr>
                    <w:b/>
                    <w:color w:val="000000" w:themeColor="text1"/>
                    <w14:textFill>
                      <w14:solidFill>
                        <w14:schemeClr w14:val="tx1"/>
                      </w14:solidFill>
                    </w14:textFill>
                  </w:rPr>
                </w:pPr>
                <w:bookmarkStart w:id="145" w:name="_Hlk137050130"/>
                <w:r>
                  <w:rPr>
                    <w:b/>
                    <w:color w:val="000000" w:themeColor="text1"/>
                    <w14:textFill>
                      <w14:solidFill>
                        <w14:schemeClr w14:val="tx1"/>
                      </w14:solidFill>
                    </w14:textFill>
                  </w:rPr>
                  <w:t>项目</w:t>
                </w:r>
              </w:p>
            </w:tc>
          </w:sdtContent>
        </w:sdt>
        <w:sdt>
          <w:sdtPr>
            <w:tag w:val="_PLD_e4f45f42e79e4a4aba892e3a7a7b123d"/>
            <w:id w:val="-1119379634"/>
          </w:sdtPr>
          <w:sdtContent>
            <w:tc>
              <w:tcPr>
                <w:tcW w:w="838" w:type="pct"/>
                <w:tcBorders>
                  <w:top w:val="outset" w:color="auto" w:sz="4" w:space="0"/>
                  <w:left w:val="outset" w:color="auto" w:sz="4" w:space="0"/>
                  <w:bottom w:val="outset" w:color="auto" w:sz="4" w:space="0"/>
                  <w:right w:val="outset" w:color="auto" w:sz="4" w:space="0"/>
                </w:tcBorders>
                <w:vAlign w:val="center"/>
              </w:tcPr>
              <w:p>
                <w:pPr>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附注</w:t>
                </w:r>
              </w:p>
            </w:tc>
          </w:sdtContent>
        </w:sdt>
        <w:sdt>
          <w:sdtPr>
            <w:tag w:val="_PLD_41682cdf00e5450394986df99de953d1"/>
            <w:id w:val="-910315855"/>
          </w:sdtPr>
          <w:sdtContent>
            <w:tc>
              <w:tcPr>
                <w:tcW w:w="1110" w:type="pct"/>
                <w:tcBorders>
                  <w:top w:val="outset" w:color="auto" w:sz="4" w:space="0"/>
                  <w:left w:val="outset" w:color="auto" w:sz="4" w:space="0"/>
                  <w:bottom w:val="outset" w:color="auto" w:sz="4" w:space="0"/>
                  <w:right w:val="outset" w:color="auto" w:sz="4" w:space="0"/>
                </w:tcBorders>
                <w:vAlign w:val="center"/>
              </w:tcPr>
              <w:p>
                <w:pPr>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2026年半年度</w:t>
                </w:r>
              </w:p>
            </w:tc>
          </w:sdtContent>
        </w:sdt>
        <w:sdt>
          <w:sdtPr>
            <w:tag w:val="_PLD_f020215569a54a6db2bd3d5298280e01"/>
            <w:id w:val="408344134"/>
          </w:sdtPr>
          <w:sdtContent>
            <w:tc>
              <w:tcPr>
                <w:tcW w:w="1114" w:type="pct"/>
                <w:tcBorders>
                  <w:top w:val="outset" w:color="auto" w:sz="4" w:space="0"/>
                  <w:left w:val="outset" w:color="auto" w:sz="4" w:space="0"/>
                  <w:bottom w:val="outset" w:color="auto" w:sz="4" w:space="0"/>
                  <w:right w:val="outset" w:color="auto" w:sz="4" w:space="0"/>
                </w:tcBorders>
                <w:vAlign w:val="center"/>
              </w:tcPr>
              <w:p>
                <w:pPr>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2025年半年度</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一、营业总收入</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1,870,450,879.75 </w:t>
            </w:r>
          </w:p>
        </w:tc>
        <w:tc>
          <w:tcPr>
            <w:tcW w:w="1114" w:type="pct"/>
            <w:tcBorders>
              <w:top w:val="outset" w:color="auto" w:sz="4" w:space="0"/>
              <w:left w:val="outset" w:color="auto" w:sz="4" w:space="0"/>
              <w:bottom w:val="outset" w:color="auto" w:sz="4" w:space="0"/>
              <w:right w:val="outset" w:color="auto" w:sz="4" w:space="0"/>
            </w:tcBorders>
          </w:tcPr>
          <w:p>
            <w:pPr>
              <w:jc w:val="right"/>
            </w:pPr>
            <w:r>
              <w:t xml:space="preserve"> 1,835,983,089.83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其中：营业收入</w:t>
            </w:r>
          </w:p>
        </w:tc>
        <w:tc>
          <w:tcPr>
            <w:tcW w:w="838" w:type="pct"/>
            <w:tcBorders>
              <w:top w:val="outset" w:color="auto" w:sz="4" w:space="0"/>
              <w:left w:val="outset" w:color="auto" w:sz="4" w:space="0"/>
              <w:bottom w:val="outset" w:color="auto" w:sz="4" w:space="0"/>
              <w:right w:val="outset" w:color="auto" w:sz="4" w:space="0"/>
            </w:tcBorders>
          </w:tcPr>
          <w:p>
            <w:pPr>
              <w:pStyle w:val="48"/>
            </w:pPr>
            <w:r>
              <w:rPr>
                <w:rFonts w:hint="eastAsia"/>
              </w:rPr>
              <w:t>七、61</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1,870,450,879.75 </w:t>
            </w:r>
          </w:p>
        </w:tc>
        <w:tc>
          <w:tcPr>
            <w:tcW w:w="1114" w:type="pct"/>
            <w:tcBorders>
              <w:top w:val="outset" w:color="auto" w:sz="4" w:space="0"/>
              <w:left w:val="outset" w:color="auto" w:sz="4" w:space="0"/>
              <w:bottom w:val="outset" w:color="auto" w:sz="4" w:space="0"/>
              <w:right w:val="outset" w:color="auto" w:sz="4" w:space="0"/>
            </w:tcBorders>
          </w:tcPr>
          <w:p>
            <w:pPr>
              <w:jc w:val="right"/>
            </w:pPr>
            <w:r>
              <w:rPr>
                <w:rFonts w:hint="eastAsia"/>
              </w:rPr>
              <w:t xml:space="preserve"> 1,835,983,089.83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利息收入</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已赚保费</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手续费及佣金收入</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二、营业总成本</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1,861,829,334.41 </w:t>
            </w:r>
          </w:p>
        </w:tc>
        <w:tc>
          <w:tcPr>
            <w:tcW w:w="1114" w:type="pct"/>
            <w:tcBorders>
              <w:top w:val="outset" w:color="auto" w:sz="4" w:space="0"/>
              <w:left w:val="outset" w:color="auto" w:sz="4" w:space="0"/>
              <w:bottom w:val="outset" w:color="auto" w:sz="4" w:space="0"/>
              <w:right w:val="outset" w:color="auto" w:sz="4" w:space="0"/>
            </w:tcBorders>
          </w:tcPr>
          <w:p>
            <w:pPr>
              <w:jc w:val="right"/>
            </w:pPr>
            <w:r>
              <w:t xml:space="preserve"> 1,765,491,634.22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其中：营业成本</w:t>
            </w:r>
          </w:p>
        </w:tc>
        <w:tc>
          <w:tcPr>
            <w:tcW w:w="838" w:type="pct"/>
            <w:tcBorders>
              <w:top w:val="outset" w:color="auto" w:sz="4" w:space="0"/>
              <w:left w:val="outset" w:color="auto" w:sz="4" w:space="0"/>
              <w:bottom w:val="outset" w:color="auto" w:sz="4" w:space="0"/>
              <w:right w:val="outset" w:color="auto" w:sz="4" w:space="0"/>
            </w:tcBorders>
          </w:tcPr>
          <w:p>
            <w:pPr>
              <w:pStyle w:val="48"/>
            </w:pPr>
            <w:r>
              <w:rPr>
                <w:rFonts w:hint="eastAsia"/>
              </w:rPr>
              <w:t>七、61</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1,696,870,319.48 </w:t>
            </w:r>
          </w:p>
        </w:tc>
        <w:tc>
          <w:tcPr>
            <w:tcW w:w="1114" w:type="pct"/>
            <w:tcBorders>
              <w:top w:val="outset" w:color="auto" w:sz="4" w:space="0"/>
              <w:left w:val="outset" w:color="auto" w:sz="4" w:space="0"/>
              <w:bottom w:val="outset" w:color="auto" w:sz="4" w:space="0"/>
              <w:right w:val="outset" w:color="auto" w:sz="4" w:space="0"/>
            </w:tcBorders>
          </w:tcPr>
          <w:p>
            <w:pPr>
              <w:jc w:val="right"/>
            </w:pPr>
            <w:r>
              <w:rPr>
                <w:rFonts w:hint="eastAsia"/>
              </w:rPr>
              <w:t xml:space="preserve"> 1,602,351,143.85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利息支出</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手续费及佣金支出</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退保金</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赔付支出净额</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提取保险责任准备金净额</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保单红利支出</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分保费用</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税金及附加</w:t>
            </w:r>
          </w:p>
        </w:tc>
        <w:tc>
          <w:tcPr>
            <w:tcW w:w="838" w:type="pct"/>
            <w:tcBorders>
              <w:top w:val="outset" w:color="auto" w:sz="4" w:space="0"/>
              <w:left w:val="outset" w:color="auto" w:sz="4" w:space="0"/>
              <w:bottom w:val="outset" w:color="auto" w:sz="4" w:space="0"/>
              <w:right w:val="outset" w:color="auto" w:sz="4" w:space="0"/>
            </w:tcBorders>
          </w:tcPr>
          <w:p>
            <w:pPr>
              <w:pStyle w:val="48"/>
            </w:pPr>
            <w:r>
              <w:rPr>
                <w:rFonts w:hint="eastAsia"/>
              </w:rPr>
              <w:t>七、62</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11,005,666.62 </w:t>
            </w:r>
          </w:p>
        </w:tc>
        <w:tc>
          <w:tcPr>
            <w:tcW w:w="1114" w:type="pct"/>
            <w:tcBorders>
              <w:top w:val="outset" w:color="auto" w:sz="4" w:space="0"/>
              <w:left w:val="outset" w:color="auto" w:sz="4" w:space="0"/>
              <w:bottom w:val="outset" w:color="auto" w:sz="4" w:space="0"/>
              <w:right w:val="outset" w:color="auto" w:sz="4" w:space="0"/>
            </w:tcBorders>
          </w:tcPr>
          <w:p>
            <w:pPr>
              <w:jc w:val="right"/>
            </w:pPr>
            <w:r>
              <w:rPr>
                <w:rFonts w:hint="eastAsia"/>
              </w:rPr>
              <w:t xml:space="preserve"> 10,290,410.60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销售费用</w:t>
            </w:r>
          </w:p>
        </w:tc>
        <w:tc>
          <w:tcPr>
            <w:tcW w:w="838" w:type="pct"/>
            <w:tcBorders>
              <w:top w:val="outset" w:color="auto" w:sz="4" w:space="0"/>
              <w:left w:val="outset" w:color="auto" w:sz="4" w:space="0"/>
              <w:bottom w:val="outset" w:color="auto" w:sz="4" w:space="0"/>
              <w:right w:val="outset" w:color="auto" w:sz="4" w:space="0"/>
            </w:tcBorders>
          </w:tcPr>
          <w:p>
            <w:pPr>
              <w:pStyle w:val="48"/>
            </w:pPr>
            <w:r>
              <w:rPr>
                <w:rFonts w:hint="eastAsia"/>
              </w:rPr>
              <w:t>七、63</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49,913,281.00 </w:t>
            </w:r>
          </w:p>
        </w:tc>
        <w:tc>
          <w:tcPr>
            <w:tcW w:w="1114" w:type="pct"/>
            <w:tcBorders>
              <w:top w:val="outset" w:color="auto" w:sz="4" w:space="0"/>
              <w:left w:val="outset" w:color="auto" w:sz="4" w:space="0"/>
              <w:bottom w:val="outset" w:color="auto" w:sz="4" w:space="0"/>
              <w:right w:val="outset" w:color="auto" w:sz="4" w:space="0"/>
            </w:tcBorders>
          </w:tcPr>
          <w:p>
            <w:pPr>
              <w:jc w:val="right"/>
            </w:pPr>
            <w:r>
              <w:rPr>
                <w:rFonts w:hint="eastAsia"/>
              </w:rPr>
              <w:t xml:space="preserve"> 59,491,446.53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管理费用</w:t>
            </w:r>
          </w:p>
        </w:tc>
        <w:tc>
          <w:tcPr>
            <w:tcW w:w="838" w:type="pct"/>
            <w:tcBorders>
              <w:top w:val="outset" w:color="auto" w:sz="4" w:space="0"/>
              <w:left w:val="outset" w:color="auto" w:sz="4" w:space="0"/>
              <w:bottom w:val="outset" w:color="auto" w:sz="4" w:space="0"/>
              <w:right w:val="outset" w:color="auto" w:sz="4" w:space="0"/>
            </w:tcBorders>
          </w:tcPr>
          <w:p>
            <w:pPr>
              <w:pStyle w:val="48"/>
            </w:pPr>
            <w:r>
              <w:rPr>
                <w:rFonts w:hint="eastAsia"/>
              </w:rPr>
              <w:t>七、64</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63,745,003.49 </w:t>
            </w:r>
          </w:p>
        </w:tc>
        <w:tc>
          <w:tcPr>
            <w:tcW w:w="1114" w:type="pct"/>
            <w:tcBorders>
              <w:top w:val="outset" w:color="auto" w:sz="4" w:space="0"/>
              <w:left w:val="outset" w:color="auto" w:sz="4" w:space="0"/>
              <w:bottom w:val="outset" w:color="auto" w:sz="4" w:space="0"/>
              <w:right w:val="outset" w:color="auto" w:sz="4" w:space="0"/>
            </w:tcBorders>
          </w:tcPr>
          <w:p>
            <w:pPr>
              <w:jc w:val="right"/>
            </w:pPr>
            <w:r>
              <w:rPr>
                <w:rFonts w:hint="eastAsia"/>
              </w:rPr>
              <w:t xml:space="preserve"> 63,176,217.35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研发费用</w:t>
            </w:r>
          </w:p>
        </w:tc>
        <w:tc>
          <w:tcPr>
            <w:tcW w:w="838" w:type="pct"/>
            <w:tcBorders>
              <w:top w:val="outset" w:color="auto" w:sz="4" w:space="0"/>
              <w:left w:val="outset" w:color="auto" w:sz="4" w:space="0"/>
              <w:bottom w:val="outset" w:color="auto" w:sz="4" w:space="0"/>
              <w:right w:val="outset" w:color="auto" w:sz="4" w:space="0"/>
            </w:tcBorders>
          </w:tcPr>
          <w:p>
            <w:pPr>
              <w:pStyle w:val="48"/>
            </w:pPr>
            <w:r>
              <w:rPr>
                <w:rFonts w:hint="eastAsia"/>
              </w:rPr>
              <w:t>七、65</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20,754,902.50 </w:t>
            </w:r>
          </w:p>
        </w:tc>
        <w:tc>
          <w:tcPr>
            <w:tcW w:w="1114" w:type="pct"/>
            <w:tcBorders>
              <w:top w:val="outset" w:color="auto" w:sz="4" w:space="0"/>
              <w:left w:val="outset" w:color="auto" w:sz="4" w:space="0"/>
              <w:bottom w:val="outset" w:color="auto" w:sz="4" w:space="0"/>
              <w:right w:val="outset" w:color="auto" w:sz="4" w:space="0"/>
            </w:tcBorders>
          </w:tcPr>
          <w:p>
            <w:pPr>
              <w:jc w:val="right"/>
            </w:pPr>
            <w:r>
              <w:rPr>
                <w:rFonts w:hint="eastAsia"/>
              </w:rPr>
              <w:t xml:space="preserve"> 20,565,044.04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财务费用</w:t>
            </w:r>
          </w:p>
        </w:tc>
        <w:tc>
          <w:tcPr>
            <w:tcW w:w="838" w:type="pct"/>
            <w:tcBorders>
              <w:top w:val="outset" w:color="auto" w:sz="4" w:space="0"/>
              <w:left w:val="outset" w:color="auto" w:sz="4" w:space="0"/>
              <w:bottom w:val="outset" w:color="auto" w:sz="4" w:space="0"/>
              <w:right w:val="outset" w:color="auto" w:sz="4" w:space="0"/>
            </w:tcBorders>
          </w:tcPr>
          <w:p>
            <w:pPr>
              <w:pStyle w:val="48"/>
            </w:pPr>
            <w:r>
              <w:rPr>
                <w:rFonts w:hint="eastAsia"/>
              </w:rPr>
              <w:t>七、66</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19,540,161.32 </w:t>
            </w:r>
          </w:p>
        </w:tc>
        <w:tc>
          <w:tcPr>
            <w:tcW w:w="1114" w:type="pct"/>
            <w:tcBorders>
              <w:top w:val="outset" w:color="auto" w:sz="4" w:space="0"/>
              <w:left w:val="outset" w:color="auto" w:sz="4" w:space="0"/>
              <w:bottom w:val="outset" w:color="auto" w:sz="4" w:space="0"/>
              <w:right w:val="outset" w:color="auto" w:sz="4" w:space="0"/>
            </w:tcBorders>
          </w:tcPr>
          <w:p>
            <w:pPr>
              <w:jc w:val="right"/>
            </w:pPr>
            <w:r>
              <w:rPr>
                <w:rFonts w:hint="eastAsia"/>
              </w:rPr>
              <w:t xml:space="preserve"> 9,617,371.85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其中：利息费用</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30,028,458.04 </w:t>
            </w:r>
          </w:p>
        </w:tc>
        <w:tc>
          <w:tcPr>
            <w:tcW w:w="1114" w:type="pct"/>
            <w:tcBorders>
              <w:top w:val="outset" w:color="auto" w:sz="4" w:space="0"/>
              <w:left w:val="outset" w:color="auto" w:sz="4" w:space="0"/>
              <w:bottom w:val="outset" w:color="auto" w:sz="4" w:space="0"/>
              <w:right w:val="outset" w:color="auto" w:sz="4" w:space="0"/>
            </w:tcBorders>
          </w:tcPr>
          <w:p>
            <w:pPr>
              <w:jc w:val="right"/>
            </w:pPr>
            <w:r>
              <w:t xml:space="preserve"> 26,894,497.85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1260" w:firstLineChars="600"/>
              <w:rPr>
                <w:color w:val="000000" w:themeColor="text1"/>
                <w14:textFill>
                  <w14:solidFill>
                    <w14:schemeClr w14:val="tx1"/>
                  </w14:solidFill>
                </w14:textFill>
              </w:rPr>
            </w:pPr>
            <w:r>
              <w:rPr>
                <w:rFonts w:hint="eastAsia"/>
                <w:color w:val="000000" w:themeColor="text1"/>
                <w14:textFill>
                  <w14:solidFill>
                    <w14:schemeClr w14:val="tx1"/>
                  </w14:solidFill>
                </w14:textFill>
              </w:rPr>
              <w:t>利息收入</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14,283,100.99 </w:t>
            </w:r>
          </w:p>
        </w:tc>
        <w:tc>
          <w:tcPr>
            <w:tcW w:w="1114" w:type="pct"/>
            <w:tcBorders>
              <w:top w:val="outset" w:color="auto" w:sz="4" w:space="0"/>
              <w:left w:val="outset" w:color="auto" w:sz="4" w:space="0"/>
              <w:bottom w:val="outset" w:color="auto" w:sz="4" w:space="0"/>
              <w:right w:val="outset" w:color="auto" w:sz="4" w:space="0"/>
            </w:tcBorders>
          </w:tcPr>
          <w:p>
            <w:pPr>
              <w:jc w:val="right"/>
            </w:pPr>
            <w:r>
              <w:t xml:space="preserve"> 18,082,394.86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加：其他收益</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jc w:val="both"/>
            </w:pPr>
            <w:r>
              <w:rPr>
                <w:rFonts w:hint="eastAsia"/>
              </w:rPr>
              <w:t>七、67</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29,285,244.89 </w:t>
            </w:r>
          </w:p>
        </w:tc>
        <w:tc>
          <w:tcPr>
            <w:tcW w:w="1114" w:type="pct"/>
            <w:tcBorders>
              <w:top w:val="outset" w:color="auto" w:sz="4" w:space="0"/>
              <w:left w:val="outset" w:color="auto" w:sz="4" w:space="0"/>
              <w:bottom w:val="outset" w:color="auto" w:sz="4" w:space="0"/>
              <w:right w:val="outset" w:color="auto" w:sz="4" w:space="0"/>
            </w:tcBorders>
          </w:tcPr>
          <w:p>
            <w:pPr>
              <w:jc w:val="right"/>
            </w:pPr>
            <w:r>
              <w:rPr>
                <w:rFonts w:hint="eastAsia"/>
              </w:rPr>
              <w:t xml:space="preserve"> 16,411,587.05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投资收益（损失以“-”号填列）</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jc w:val="both"/>
            </w:pPr>
            <w:r>
              <w:rPr>
                <w:rFonts w:hint="eastAsia"/>
              </w:rPr>
              <w:t>七、68</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-1,822,540.72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-512,472.84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其中：对联营企业和合营企业的投资收益</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jc w:val="both"/>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-1,368,108.91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-1,373,937.85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1155" w:firstLineChars="550"/>
              <w:rPr>
                <w:color w:val="000000" w:themeColor="text1"/>
                <w14:textFill>
                  <w14:solidFill>
                    <w14:schemeClr w14:val="tx1"/>
                  </w14:solidFill>
                </w14:textFill>
              </w:rPr>
            </w:pPr>
            <w:r>
              <w:rPr>
                <w:rFonts w:hint="eastAsia"/>
                <w:color w:val="000000" w:themeColor="text1"/>
                <w14:textFill>
                  <w14:solidFill>
                    <w14:schemeClr w14:val="tx1"/>
                  </w14:solidFill>
                </w14:textFill>
              </w:rPr>
              <w:t>以摊余成本计量的金融资产终止确认收益（损失以“</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汇兑收益（损失以“-”号填列）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净敞口套期收益（损失以“</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公允价值变动收益</w:t>
            </w:r>
            <w:bookmarkStart w:id="146" w:name="OLE_LINK51"/>
            <w:r>
              <w:rPr>
                <w:rFonts w:hint="eastAsia"/>
                <w:color w:val="000000" w:themeColor="text1"/>
                <w14:textFill>
                  <w14:solidFill>
                    <w14:schemeClr w14:val="tx1"/>
                  </w14:solidFill>
                </w14:textFill>
              </w:rPr>
              <w:t>（损失以“-”号填列）</w:t>
            </w:r>
            <w:bookmarkEnd w:id="146"/>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信用减值损失（损失以“</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jc w:val="both"/>
            </w:pPr>
            <w:r>
              <w:rPr>
                <w:rFonts w:hint="eastAsia"/>
              </w:rPr>
              <w:t>七、71</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-5,824,508.93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-5,207,818.47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资产减值损失（损失以“</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jc w:val="both"/>
            </w:pPr>
            <w:r>
              <w:rPr>
                <w:rFonts w:hint="eastAsia"/>
              </w:rPr>
              <w:t>七、72</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-8,634,235.54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-9,228,094.05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资产处置收益（损失以“-”号填列）</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jc w:val="both"/>
            </w:pPr>
            <w:r>
              <w:rPr>
                <w:rFonts w:hint="eastAsia"/>
              </w:rPr>
              <w:t>七、73</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-90,957.05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96,562.33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bookmarkStart w:id="147" w:name="OLE_LINK54"/>
            <w:r>
              <w:rPr>
                <w:rFonts w:hint="eastAsia"/>
                <w:color w:val="000000" w:themeColor="text1"/>
                <w14:textFill>
                  <w14:solidFill>
                    <w14:schemeClr w14:val="tx1"/>
                  </w14:solidFill>
                </w14:textFill>
              </w:rPr>
              <w:t>三、营业利润</w:t>
            </w:r>
            <w:bookmarkStart w:id="148" w:name="OLE_LINK53"/>
            <w:r>
              <w:rPr>
                <w:rFonts w:hint="eastAsia"/>
                <w:color w:val="000000" w:themeColor="text1"/>
                <w14:textFill>
                  <w14:solidFill>
                    <w14:schemeClr w14:val="tx1"/>
                  </w14:solidFill>
                </w14:textFill>
              </w:rPr>
              <w:t>（亏损以“-”号填列）</w:t>
            </w:r>
            <w:bookmarkEnd w:id="147"/>
            <w:bookmarkEnd w:id="148"/>
          </w:p>
        </w:tc>
        <w:tc>
          <w:tcPr>
            <w:tcW w:w="838" w:type="pct"/>
            <w:tcBorders>
              <w:top w:val="outset" w:color="auto" w:sz="4" w:space="0"/>
              <w:left w:val="outset" w:color="auto" w:sz="4" w:space="0"/>
              <w:bottom w:val="outset" w:color="auto" w:sz="4" w:space="0"/>
              <w:right w:val="outset" w:color="auto" w:sz="4" w:space="0"/>
            </w:tcBorders>
            <w:vAlign w:val="center"/>
          </w:tcPr>
          <w:p>
            <w:pPr>
              <w:pStyle w:val="48"/>
              <w:jc w:val="both"/>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21,534,547.99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72,051,219.63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加：营业外收入</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jc w:val="both"/>
            </w:pPr>
            <w:r>
              <w:rPr>
                <w:rFonts w:hint="eastAsia"/>
              </w:rPr>
              <w:t>七、74</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395,550.23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4,259.50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减：营业外支出</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jc w:val="both"/>
            </w:pPr>
            <w:r>
              <w:rPr>
                <w:rFonts w:hint="eastAsia"/>
              </w:rPr>
              <w:t>七、75</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1,036,603.82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2,263,566.39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四、利润总额</w:t>
            </w:r>
            <w:bookmarkStart w:id="149" w:name="OLE_LINK55"/>
            <w:r>
              <w:rPr>
                <w:rFonts w:hint="eastAsia"/>
                <w:color w:val="000000" w:themeColor="text1"/>
                <w14:textFill>
                  <w14:solidFill>
                    <w14:schemeClr w14:val="tx1"/>
                  </w14:solidFill>
                </w14:textFill>
              </w:rPr>
              <w:t>（亏损总额以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bookmarkEnd w:id="149"/>
          </w:p>
        </w:tc>
        <w:tc>
          <w:tcPr>
            <w:tcW w:w="838" w:type="pct"/>
            <w:tcBorders>
              <w:top w:val="outset" w:color="auto" w:sz="4" w:space="0"/>
              <w:left w:val="outset" w:color="auto" w:sz="4" w:space="0"/>
              <w:bottom w:val="outset" w:color="auto" w:sz="4" w:space="0"/>
              <w:right w:val="outset" w:color="auto" w:sz="4" w:space="0"/>
            </w:tcBorders>
            <w:vAlign w:val="center"/>
          </w:tcPr>
          <w:p>
            <w:pPr>
              <w:pStyle w:val="48"/>
              <w:jc w:val="both"/>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20,893,494.40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69,791,912.74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减：所得税费用</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jc w:val="both"/>
            </w:pPr>
            <w:r>
              <w:rPr>
                <w:rFonts w:hint="eastAsia"/>
              </w:rPr>
              <w:t>七、76</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54,812.83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10,126,287.37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五、净利润</w:t>
            </w:r>
            <w:bookmarkStart w:id="150" w:name="OLE_LINK56"/>
            <w:r>
              <w:rPr>
                <w:rFonts w:hint="eastAsia"/>
                <w:color w:val="000000" w:themeColor="text1"/>
                <w14:textFill>
                  <w14:solidFill>
                    <w14:schemeClr w14:val="tx1"/>
                  </w14:solidFill>
                </w14:textFill>
              </w:rPr>
              <w:t>（净亏损以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bookmarkEnd w:id="150"/>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20,838,681.57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59,665,625.37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c576a2f5fbec4ba2b1cc36d0a215ba5c"/>
            <w:id w:val="-1834598832"/>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（一）</w:t>
                </w:r>
                <w:r>
                  <w:rPr>
                    <w:color w:val="000000" w:themeColor="text1"/>
                    <w14:textFill>
                      <w14:solidFill>
                        <w14:schemeClr w14:val="tx1"/>
                      </w14:solidFill>
                    </w14:textFill>
                  </w:rPr>
                  <w:t>按经营持续性分类</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1.持续经营净利润（净亏损以“</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20,838,681.57</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59,665,625.37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2.终止经营净利润（净亏损以“</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da729560f54464cbcc9ce762078f9ba"/>
            <w:id w:val="-935828937"/>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（二）</w:t>
                </w:r>
                <w:r>
                  <w:rPr>
                    <w:color w:val="000000" w:themeColor="text1"/>
                    <w14:textFill>
                      <w14:solidFill>
                        <w14:schemeClr w14:val="tx1"/>
                      </w14:solidFill>
                    </w14:textFill>
                  </w:rPr>
                  <w:t>按所有权归属分类</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归属于母公司股东的净利润（净亏损以“</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19,076,898.27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54,632,217.78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少数股东损益（净亏损以“</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1,761,783.30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5,033,407.59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六、其他综合收益的税后净额</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r>
              <w:t>七、77</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-1,453,893.21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407,799.31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（一）归属母公司所有者的其他综合收益的税后净额</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-1,453,893.21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326,117.11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不能重分类进损益的其他综合收益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-1,453,893.21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326,117.11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重新计量设定受益计划变动额</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权益法下不能转损益的其他综合收益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其他权益工具投资公允价值变动</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-1,453,893.21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326,117.11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企业自身信用风险公允价值变动</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将重分类进损益的其他综合收益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权益法下可转损益的其他综合收益</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其他债权投资公允价值变动</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金融资产重分类计入其他综合收益的金额</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其他债权投资信用减值准备</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（5）</w:t>
            </w:r>
            <w:r>
              <w:rPr>
                <w:color w:val="000000" w:themeColor="text1"/>
                <w14:textFill>
                  <w14:solidFill>
                    <w14:schemeClr w14:val="tx1"/>
                  </w14:solidFill>
                </w14:textFill>
              </w:rPr>
              <w:t>现金流量套期储备</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（6）</w:t>
            </w:r>
            <w:r>
              <w:rPr>
                <w:color w:val="000000" w:themeColor="text1"/>
                <w14:textFill>
                  <w14:solidFill>
                    <w14:schemeClr w14:val="tx1"/>
                  </w14:solidFill>
                </w14:textFill>
              </w:rPr>
              <w:t>外币财务报表折算差额</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（7）</w:t>
            </w:r>
            <w:r>
              <w:rPr>
                <w:color w:val="000000" w:themeColor="text1"/>
                <w14:textFill>
                  <w14:solidFill>
                    <w14:schemeClr w14:val="tx1"/>
                  </w14:solidFill>
                </w14:textFill>
              </w:rPr>
              <w:t>其他</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（二）归属于少数股东的其他综合收益的税后净额</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81,682.20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七、综合收益总额</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19,384,788.36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60,073,424.68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color w:val="000000" w:themeColor="text1"/>
                <w14:textFill>
                  <w14:solidFill>
                    <w14:schemeClr w14:val="tx1"/>
                  </w14:solidFill>
                </w14:textFill>
              </w:rPr>
              <w:t>（一）</w:t>
            </w:r>
            <w:r>
              <w:rPr>
                <w:rFonts w:hint="eastAsia"/>
                <w:color w:val="000000" w:themeColor="text1"/>
                <w14:textFill>
                  <w14:solidFill>
                    <w14:schemeClr w14:val="tx1"/>
                  </w14:solidFill>
                </w14:textFill>
              </w:rPr>
              <w:t>归属于母公司所有者的综合收益总额</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17,623,005.06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54,958,334.89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color w:val="000000" w:themeColor="text1"/>
                <w14:textFill>
                  <w14:solidFill>
                    <w14:schemeClr w14:val="tx1"/>
                  </w14:solidFill>
                </w14:textFill>
              </w:rPr>
              <w:t>（二）</w:t>
            </w:r>
            <w:r>
              <w:rPr>
                <w:rFonts w:hint="eastAsia"/>
                <w:color w:val="000000" w:themeColor="text1"/>
                <w14:textFill>
                  <w14:solidFill>
                    <w14:schemeClr w14:val="tx1"/>
                  </w14:solidFill>
                </w14:textFill>
              </w:rPr>
              <w:t>归属于少数股东的综合收益总额</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1,761,783.30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5,115,089.79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faba48500f741229b3467bfe3ce2495"/>
            <w:id w:val="596916019"/>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八、每股收益：</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color w:val="000000" w:themeColor="text1"/>
                <w14:textFill>
                  <w14:solidFill>
                    <w14:schemeClr w14:val="tx1"/>
                  </w14:solidFill>
                </w14:textFill>
              </w:rPr>
              <w:t>（一）基本每股收益</w:t>
            </w:r>
            <w:r>
              <w:rPr>
                <w:rFonts w:hint="eastAsia"/>
                <w:color w:val="000000" w:themeColor="text1"/>
                <w14:textFill>
                  <w14:solidFill>
                    <w14:schemeClr w14:val="tx1"/>
                  </w14:solidFill>
                </w14:textFill>
              </w:rPr>
              <w:t>(元/股)</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tcPr>
          <w:p>
            <w:pPr>
              <w:jc w:val="right"/>
            </w:pPr>
            <w:r>
              <w:t xml:space="preserve"> 0.06 </w:t>
            </w:r>
          </w:p>
        </w:tc>
        <w:tc>
          <w:tcPr>
            <w:tcW w:w="1114" w:type="pct"/>
            <w:tcBorders>
              <w:top w:val="outset" w:color="auto" w:sz="4" w:space="0"/>
              <w:left w:val="outset" w:color="auto" w:sz="4" w:space="0"/>
              <w:bottom w:val="outset" w:color="auto" w:sz="4" w:space="0"/>
              <w:right w:val="outset" w:color="auto" w:sz="4" w:space="0"/>
            </w:tcBorders>
          </w:tcPr>
          <w:p>
            <w:pPr>
              <w:jc w:val="right"/>
            </w:pPr>
            <w:r>
              <w:t xml:space="preserve"> 0.17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color w:val="000000" w:themeColor="text1"/>
                <w14:textFill>
                  <w14:solidFill>
                    <w14:schemeClr w14:val="tx1"/>
                  </w14:solidFill>
                </w14:textFill>
              </w:rPr>
              <w:t>（二）稀释每股收益</w:t>
            </w:r>
            <w:r>
              <w:rPr>
                <w:rFonts w:hint="eastAsia"/>
                <w:color w:val="000000" w:themeColor="text1"/>
                <w14:textFill>
                  <w14:solidFill>
                    <w14:schemeClr w14:val="tx1"/>
                  </w14:solidFill>
                </w14:textFill>
              </w:rPr>
              <w:t>(元/股)</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tcPr>
          <w:p>
            <w:pPr>
              <w:jc w:val="right"/>
            </w:pPr>
            <w:r>
              <w:t xml:space="preserve"> 0.06 </w:t>
            </w:r>
          </w:p>
        </w:tc>
        <w:tc>
          <w:tcPr>
            <w:tcW w:w="1114" w:type="pct"/>
            <w:tcBorders>
              <w:top w:val="outset" w:color="auto" w:sz="4" w:space="0"/>
              <w:left w:val="outset" w:color="auto" w:sz="4" w:space="0"/>
              <w:bottom w:val="outset" w:color="auto" w:sz="4" w:space="0"/>
              <w:right w:val="outset" w:color="auto" w:sz="4" w:space="0"/>
            </w:tcBorders>
          </w:tcPr>
          <w:p>
            <w:pPr>
              <w:jc w:val="right"/>
            </w:pPr>
            <w:r>
              <w:t xml:space="preserve"> 0.17 </w:t>
            </w:r>
          </w:p>
        </w:tc>
      </w:tr>
      <w:bookmarkEnd w:id="145"/>
    </w:tbl>
    <w:p>
      <w:pPr>
        <w:rPr>
          <w:b/>
          <w:bCs w:val="0"/>
          <w:color w:val="000000" w:themeColor="text1"/>
          <w14:textFill>
            <w14:solidFill>
              <w14:schemeClr w14:val="tx1"/>
            </w14:solidFill>
          </w14:textFill>
        </w:rPr>
      </w:pPr>
      <w:r>
        <w:rPr>
          <w:rFonts w:hint="eastAsia"/>
          <w:color w:val="000000" w:themeColor="text1"/>
          <w14:textFill>
            <w14:solidFill>
              <w14:schemeClr w14:val="tx1"/>
            </w14:solidFill>
          </w14:textFill>
        </w:rPr>
        <w:t>本期发生同一控制下企业合并的，被合并方在合并前实现的净利润为：</w:t>
      </w:r>
      <w:sdt>
        <w:sdtPr>
          <w:rPr>
            <w:rFonts w:hint="eastAsia"/>
            <w:color w:val="000000" w:themeColor="text1"/>
            <w14:textFill>
              <w14:solidFill>
                <w14:schemeClr w14:val="tx1"/>
              </w14:solidFill>
            </w14:textFill>
          </w:rPr>
          <w:alias w:val="同一控制下的企业合并中被合并方在合并前实现的净利润"/>
          <w:tag w:val="_GBC_0d3f3004d896427080339d4b0e2d499c"/>
          <w:id w:val="-35970702"/>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 xml:space="preserve"> 元, 上期被合并方实现的净利润为： </w:t>
      </w:r>
      <w:sdt>
        <w:sdtPr>
          <w:rPr>
            <w:rFonts w:hint="eastAsia"/>
            <w:color w:val="000000" w:themeColor="text1"/>
            <w14:textFill>
              <w14:solidFill>
                <w14:schemeClr w14:val="tx1"/>
              </w14:solidFill>
            </w14:textFill>
          </w:rPr>
          <w:alias w:val="同一控制下的企业合并中被合并方在合并前实现的净利润"/>
          <w:tag w:val="_GBC_7e8cf02e71b9434883c60dcb8fb33270"/>
          <w:id w:val="1526211352"/>
          <w:placeholder>
            <w:docPart w:val="GBC22222222222222222222222222222"/>
          </w:placeholder>
        </w:sdtPr>
        <w:sdtEndPr>
          <w:rPr>
            <w:rFonts w:hint="default"/>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 xml:space="preserve"> 元。</w:t>
      </w:r>
    </w:p>
    <w:p>
      <w:pPr>
        <w:rPr>
          <w:color w:val="000000" w:themeColor="text1"/>
          <w:u w:val="single"/>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84d2ead02dbe49699dff5184a9cd1bd3"/>
          <w:id w:val="-1494100824"/>
          <w:placeholder>
            <w:docPart w:val="GBC22222222222222222222222222222"/>
          </w:placeholder>
          <w15: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杨泽民</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e958f3d59232458da90c4799548d15ea"/>
          <w:id w:val="284546452"/>
          <w:placeholder>
            <w:docPart w:val="GBC22222222222222222222222222222"/>
          </w:placeholder>
          <w15: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杨万华</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83eea96809554a8b86e8c53c6e3da040"/>
          <w:id w:val="-417174473"/>
          <w:placeholder>
            <w:docPart w:val="GBC22222222222222222222222222222"/>
          </w:placeholder>
          <w15: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冯波</w:t>
          </w:r>
        </w:sdtContent>
      </w:sdt>
    </w:p>
    <w:p>
      <w:pPr>
        <w:rPr>
          <w:color w:val="000000" w:themeColor="text1"/>
          <w:u w:val="single"/>
          <w14:textFill>
            <w14:solidFill>
              <w14:schemeClr w14:val="tx1"/>
            </w14:solidFill>
          </w14:textFill>
        </w:rPr>
      </w:pPr>
    </w:p>
    <w:p>
      <w:pPr>
        <w:rPr>
          <w:color w:val="000000" w:themeColor="text1"/>
          <w:u w:val="single"/>
          <w14:textFill>
            <w14:solidFill>
              <w14:schemeClr w14:val="tx1"/>
            </w14:solidFill>
          </w14:textFill>
        </w:rPr>
      </w:pPr>
    </w:p>
    <w:p>
      <w:pPr>
        <w:pStyle w:val="4"/>
        <w:jc w:val="cente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母公司</w:t>
      </w:r>
      <w:r>
        <w:rPr>
          <w:rFonts w:ascii="宋体" w:hAnsi="宋体"/>
          <w:color w:val="000000" w:themeColor="text1"/>
          <w14:textFill>
            <w14:solidFill>
              <w14:schemeClr w14:val="tx1"/>
            </w14:solidFill>
          </w14:textFill>
        </w:rPr>
        <w:t>利润表</w:t>
      </w:r>
    </w:p>
    <w:p>
      <w:pPr>
        <w:jc w:val="center"/>
        <w:rPr>
          <w:b/>
          <w:bCs w:val="0"/>
          <w:color w:val="000000" w:themeColor="text1"/>
          <w14:textFill>
            <w14:solidFill>
              <w14:schemeClr w14:val="tx1"/>
            </w14:solidFill>
          </w14:textFill>
        </w:rPr>
      </w:pPr>
      <w:r>
        <w:rPr>
          <w:color w:val="000000" w:themeColor="text1"/>
          <w14:textFill>
            <w14:solidFill>
              <w14:schemeClr w14:val="tx1"/>
            </w14:solidFill>
          </w14:textFill>
        </w:rPr>
        <w:t>2026年</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月</w:t>
      </w:r>
    </w:p>
    <w:p>
      <w:pPr>
        <w:snapToGrid w:val="0"/>
        <w:spacing w:line="240" w:lineRule="atLeast"/>
        <w:jc w:val="right"/>
        <w:rPr>
          <w:b/>
          <w:bCs w:val="0"/>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母公司利润表"/>
          <w:tag w:val="_GBC_955732cd74ff4f1f9b098e70c1b85c60"/>
          <w:id w:val="-85033533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母公司利润表"/>
          <w:tag w:val="_GBC_125a2547934143ccb384434361f57d37"/>
          <w:id w:val="-210918199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507"/>
        <w:gridCol w:w="1517"/>
        <w:gridCol w:w="2009"/>
        <w:gridCol w:w="201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sdt>
            <w:sdtPr>
              <w:tag w:val="_PLD_2746da9ce382479bbcc34de94cc91419"/>
              <w:id w:val="941502323"/>
            </w:sdtPr>
            <w:sdtContent>
              <w:p>
                <w:pPr>
                  <w:ind w:left="40" w:hanging="39" w:hangingChars="19"/>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项目</w:t>
                </w:r>
              </w:p>
            </w:sdtContent>
          </w:sdt>
        </w:tc>
        <w:tc>
          <w:tcPr>
            <w:tcW w:w="838" w:type="pct"/>
            <w:tcBorders>
              <w:top w:val="outset" w:color="auto" w:sz="4" w:space="0"/>
              <w:left w:val="outset" w:color="auto" w:sz="4" w:space="0"/>
              <w:bottom w:val="outset" w:color="auto" w:sz="4" w:space="0"/>
              <w:right w:val="outset" w:color="auto" w:sz="4" w:space="0"/>
            </w:tcBorders>
            <w:vAlign w:val="center"/>
          </w:tcPr>
          <w:sdt>
            <w:sdtPr>
              <w:tag w:val="_PLD_353d1b95815e4cb9bce619c23384aae7"/>
              <w:id w:val="-1806689100"/>
            </w:sdtPr>
            <w:sdtContent>
              <w:p>
                <w:pPr>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附注</w:t>
                </w:r>
              </w:p>
            </w:sdtContent>
          </w:sdt>
        </w:tc>
        <w:tc>
          <w:tcPr>
            <w:tcW w:w="1110" w:type="pct"/>
            <w:tcBorders>
              <w:top w:val="outset" w:color="auto" w:sz="4" w:space="0"/>
              <w:left w:val="outset" w:color="auto" w:sz="4" w:space="0"/>
              <w:bottom w:val="outset" w:color="auto" w:sz="4" w:space="0"/>
              <w:right w:val="outset" w:color="auto" w:sz="4" w:space="0"/>
            </w:tcBorders>
            <w:vAlign w:val="center"/>
          </w:tcPr>
          <w:sdt>
            <w:sdtPr>
              <w:tag w:val="_PLD_aa6da19e961f4f0aa9c1f47a5d8bdb21"/>
              <w:id w:val="1779066859"/>
            </w:sdtPr>
            <w:sdtContent>
              <w:p>
                <w:pPr>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2026年半年度</w:t>
                </w:r>
              </w:p>
            </w:sdtContent>
          </w:sdt>
        </w:tc>
        <w:tc>
          <w:tcPr>
            <w:tcW w:w="1114" w:type="pct"/>
            <w:tcBorders>
              <w:top w:val="outset" w:color="auto" w:sz="4" w:space="0"/>
              <w:left w:val="outset" w:color="auto" w:sz="4" w:space="0"/>
              <w:bottom w:val="outset" w:color="auto" w:sz="4" w:space="0"/>
              <w:right w:val="outset" w:color="auto" w:sz="4" w:space="0"/>
            </w:tcBorders>
            <w:vAlign w:val="center"/>
          </w:tcPr>
          <w:sdt>
            <w:sdtPr>
              <w:tag w:val="_PLD_fd6f3d63a7544a05b6f572cee64f39fb"/>
              <w:id w:val="109947826"/>
            </w:sdtPr>
            <w:sdtContent>
              <w:p>
                <w:pPr>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2025年半年度</w:t>
                </w:r>
              </w:p>
            </w:sdtContent>
          </w:sdt>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一、营业收入</w:t>
            </w:r>
          </w:p>
        </w:tc>
        <w:tc>
          <w:tcPr>
            <w:tcW w:w="838" w:type="pct"/>
            <w:tcBorders>
              <w:top w:val="outset" w:color="auto" w:sz="4" w:space="0"/>
              <w:left w:val="outset" w:color="auto" w:sz="4" w:space="0"/>
              <w:bottom w:val="outset" w:color="auto" w:sz="4" w:space="0"/>
              <w:right w:val="outset" w:color="auto" w:sz="4" w:space="0"/>
            </w:tcBorders>
            <w:vAlign w:val="center"/>
          </w:tcPr>
          <w:p>
            <w:pPr>
              <w:jc w:val="both"/>
            </w:pPr>
            <w:r>
              <w:rPr>
                <w:rFonts w:hint="eastAsia"/>
              </w:rPr>
              <w:t>十九、4</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1,307,153,771.37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1,352,448,182.54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减：营业成本</w:t>
            </w:r>
          </w:p>
        </w:tc>
        <w:tc>
          <w:tcPr>
            <w:tcW w:w="838" w:type="pct"/>
            <w:tcBorders>
              <w:top w:val="outset" w:color="auto" w:sz="4" w:space="0"/>
              <w:left w:val="outset" w:color="auto" w:sz="4" w:space="0"/>
              <w:bottom w:val="outset" w:color="auto" w:sz="4" w:space="0"/>
              <w:right w:val="outset" w:color="auto" w:sz="4" w:space="0"/>
            </w:tcBorders>
            <w:vAlign w:val="center"/>
          </w:tcPr>
          <w:p>
            <w:pPr>
              <w:jc w:val="both"/>
            </w:pPr>
            <w:r>
              <w:rPr>
                <w:rFonts w:hint="eastAsia"/>
              </w:rPr>
              <w:t>十九、4</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1,244,905,551.38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1,186,424,762.46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税金及附加</w:t>
            </w:r>
          </w:p>
        </w:tc>
        <w:tc>
          <w:tcPr>
            <w:tcW w:w="838" w:type="pct"/>
            <w:tcBorders>
              <w:top w:val="outset" w:color="auto" w:sz="4" w:space="0"/>
              <w:left w:val="outset" w:color="auto" w:sz="4" w:space="0"/>
              <w:bottom w:val="outset" w:color="auto" w:sz="4" w:space="0"/>
              <w:right w:val="outset" w:color="auto" w:sz="4" w:space="0"/>
            </w:tcBorders>
            <w:vAlign w:val="center"/>
          </w:tcPr>
          <w:p>
            <w:pPr>
              <w:jc w:val="both"/>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7,657,846.22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7,525,134.01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销售费用</w:t>
            </w:r>
          </w:p>
        </w:tc>
        <w:tc>
          <w:tcPr>
            <w:tcW w:w="838" w:type="pct"/>
            <w:tcBorders>
              <w:top w:val="outset" w:color="auto" w:sz="4" w:space="0"/>
              <w:left w:val="outset" w:color="auto" w:sz="4" w:space="0"/>
              <w:bottom w:val="outset" w:color="auto" w:sz="4" w:space="0"/>
              <w:right w:val="outset" w:color="auto" w:sz="4" w:space="0"/>
            </w:tcBorders>
            <w:vAlign w:val="center"/>
          </w:tcPr>
          <w:p>
            <w:pPr>
              <w:jc w:val="both"/>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32,288,743.24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39,022,740.28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管理费用</w:t>
            </w:r>
          </w:p>
        </w:tc>
        <w:tc>
          <w:tcPr>
            <w:tcW w:w="838" w:type="pct"/>
            <w:tcBorders>
              <w:top w:val="outset" w:color="auto" w:sz="4" w:space="0"/>
              <w:left w:val="outset" w:color="auto" w:sz="4" w:space="0"/>
              <w:bottom w:val="outset" w:color="auto" w:sz="4" w:space="0"/>
              <w:right w:val="outset" w:color="auto" w:sz="4" w:space="0"/>
            </w:tcBorders>
            <w:vAlign w:val="center"/>
          </w:tcPr>
          <w:p>
            <w:pPr>
              <w:jc w:val="both"/>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38,023,018.63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40,887,876.48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研发费用</w:t>
            </w:r>
          </w:p>
        </w:tc>
        <w:tc>
          <w:tcPr>
            <w:tcW w:w="838" w:type="pct"/>
            <w:tcBorders>
              <w:top w:val="outset" w:color="auto" w:sz="4" w:space="0"/>
              <w:left w:val="outset" w:color="auto" w:sz="4" w:space="0"/>
              <w:bottom w:val="outset" w:color="auto" w:sz="4" w:space="0"/>
              <w:right w:val="outset" w:color="auto" w:sz="4" w:space="0"/>
            </w:tcBorders>
            <w:vAlign w:val="center"/>
          </w:tcPr>
          <w:p>
            <w:pPr>
              <w:jc w:val="both"/>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14,039,477.61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14,252,220.61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财务费用</w:t>
            </w:r>
          </w:p>
        </w:tc>
        <w:tc>
          <w:tcPr>
            <w:tcW w:w="838" w:type="pct"/>
            <w:tcBorders>
              <w:top w:val="outset" w:color="auto" w:sz="4" w:space="0"/>
              <w:left w:val="outset" w:color="auto" w:sz="4" w:space="0"/>
              <w:bottom w:val="outset" w:color="auto" w:sz="4" w:space="0"/>
              <w:right w:val="outset" w:color="auto" w:sz="4" w:space="0"/>
            </w:tcBorders>
            <w:vAlign w:val="center"/>
          </w:tcPr>
          <w:p>
            <w:pPr>
              <w:jc w:val="both"/>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9,035,234.57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2,654,908.29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其中：利息费用</w:t>
            </w:r>
          </w:p>
        </w:tc>
        <w:tc>
          <w:tcPr>
            <w:tcW w:w="838" w:type="pct"/>
            <w:tcBorders>
              <w:top w:val="outset" w:color="auto" w:sz="4" w:space="0"/>
              <w:left w:val="outset" w:color="auto" w:sz="4" w:space="0"/>
              <w:bottom w:val="outset" w:color="auto" w:sz="4" w:space="0"/>
              <w:right w:val="outset" w:color="auto" w:sz="4" w:space="0"/>
            </w:tcBorders>
            <w:vAlign w:val="center"/>
          </w:tcPr>
          <w:p>
            <w:pPr>
              <w:jc w:val="both"/>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24,908,160.34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24,130,177.88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1260" w:firstLineChars="600"/>
              <w:rPr>
                <w:color w:val="000000" w:themeColor="text1"/>
                <w14:textFill>
                  <w14:solidFill>
                    <w14:schemeClr w14:val="tx1"/>
                  </w14:solidFill>
                </w14:textFill>
              </w:rPr>
            </w:pPr>
            <w:r>
              <w:rPr>
                <w:rFonts w:hint="eastAsia"/>
                <w:color w:val="000000" w:themeColor="text1"/>
                <w14:textFill>
                  <w14:solidFill>
                    <w14:schemeClr w14:val="tx1"/>
                  </w14:solidFill>
                </w14:textFill>
              </w:rPr>
              <w:t>利息收入</w:t>
            </w:r>
          </w:p>
        </w:tc>
        <w:tc>
          <w:tcPr>
            <w:tcW w:w="838" w:type="pct"/>
            <w:tcBorders>
              <w:top w:val="outset" w:color="auto" w:sz="4" w:space="0"/>
              <w:left w:val="outset" w:color="auto" w:sz="4" w:space="0"/>
              <w:bottom w:val="outset" w:color="auto" w:sz="4" w:space="0"/>
              <w:right w:val="outset" w:color="auto" w:sz="4" w:space="0"/>
            </w:tcBorders>
            <w:vAlign w:val="center"/>
          </w:tcPr>
          <w:p>
            <w:pPr>
              <w:jc w:val="both"/>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18,442,988.96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22,022,855.86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加：其他收益</w:t>
            </w:r>
          </w:p>
        </w:tc>
        <w:tc>
          <w:tcPr>
            <w:tcW w:w="838" w:type="pct"/>
            <w:tcBorders>
              <w:top w:val="outset" w:color="auto" w:sz="4" w:space="0"/>
              <w:left w:val="outset" w:color="auto" w:sz="4" w:space="0"/>
              <w:bottom w:val="outset" w:color="auto" w:sz="4" w:space="0"/>
              <w:right w:val="outset" w:color="auto" w:sz="4" w:space="0"/>
            </w:tcBorders>
            <w:vAlign w:val="center"/>
          </w:tcPr>
          <w:p>
            <w:pPr>
              <w:jc w:val="both"/>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20,761,897.42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8,500,207.22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投资收益</w:t>
            </w:r>
            <w:bookmarkStart w:id="151" w:name="OLE_LINK57"/>
            <w:r>
              <w:rPr>
                <w:rFonts w:hint="eastAsia"/>
                <w:color w:val="000000" w:themeColor="text1"/>
                <w14:textFill>
                  <w14:solidFill>
                    <w14:schemeClr w14:val="tx1"/>
                  </w14:solidFill>
                </w14:textFill>
              </w:rPr>
              <w:t>（损失以“-”号填列）</w:t>
            </w:r>
            <w:bookmarkEnd w:id="151"/>
          </w:p>
        </w:tc>
        <w:tc>
          <w:tcPr>
            <w:tcW w:w="838" w:type="pct"/>
            <w:tcBorders>
              <w:top w:val="outset" w:color="auto" w:sz="4" w:space="0"/>
              <w:left w:val="outset" w:color="auto" w:sz="4" w:space="0"/>
              <w:bottom w:val="outset" w:color="auto" w:sz="4" w:space="0"/>
              <w:right w:val="outset" w:color="auto" w:sz="4" w:space="0"/>
            </w:tcBorders>
            <w:vAlign w:val="center"/>
          </w:tcPr>
          <w:p>
            <w:pPr>
              <w:jc w:val="both"/>
            </w:pPr>
            <w:r>
              <w:rPr>
                <w:rFonts w:hint="eastAsia"/>
              </w:rPr>
              <w:t>十九、5</w:t>
            </w: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-1,623,255.76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-1,303,040.31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其中：对联营企业和合营企业的投资收益</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-1,368,108.91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-1,373,937.85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1155" w:firstLineChars="550"/>
              <w:rPr>
                <w:color w:val="000000" w:themeColor="text1"/>
                <w14:textFill>
                  <w14:solidFill>
                    <w14:schemeClr w14:val="tx1"/>
                  </w14:solidFill>
                </w14:textFill>
              </w:rPr>
            </w:pPr>
            <w:r>
              <w:rPr>
                <w:rFonts w:hint="eastAsia"/>
                <w:color w:val="000000" w:themeColor="text1"/>
                <w14:textFill>
                  <w14:solidFill>
                    <w14:schemeClr w14:val="tx1"/>
                  </w14:solidFill>
                </w14:textFill>
              </w:rPr>
              <w:t>以摊余成本计量的金融资产终止确认收益（损失以“</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rPr>
                <w:bCs w:val="0"/>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净敞口套期收益（损失以“</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公允价值变动收益（损失以“-”号填列）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信用减值损失（损失以“</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-773,341.61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-4,410,432.77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资产减值损失（损失以“</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-6,975,479.25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-7,416,968.38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资产处置收益（损失以“-”号填列）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-98,408.29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96,562.33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二、营业利润</w:t>
            </w:r>
            <w:bookmarkStart w:id="152" w:name="OLE_LINK58"/>
            <w:r>
              <w:rPr>
                <w:rFonts w:hint="eastAsia"/>
                <w:color w:val="000000" w:themeColor="text1"/>
                <w14:textFill>
                  <w14:solidFill>
                    <w14:schemeClr w14:val="tx1"/>
                  </w14:solidFill>
                </w14:textFill>
              </w:rPr>
              <w:t>（亏损以“-”号填列）</w:t>
            </w:r>
            <w:bookmarkEnd w:id="152"/>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-27,504,687.77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57,146,868.50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加：营业外收入</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387,550.23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减：营业外支出</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1,021,309.61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2,250,000.00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三、利润总额（亏损总额以“-”号填列）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-28,138,447.15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54,896,868.50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减：所得税费用</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-7,668,395.06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7,920,000.70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四、净利润</w:t>
            </w:r>
            <w:bookmarkStart w:id="153" w:name="OLE_LINK59"/>
            <w:r>
              <w:rPr>
                <w:rFonts w:hint="eastAsia"/>
                <w:color w:val="000000" w:themeColor="text1"/>
                <w14:textFill>
                  <w14:solidFill>
                    <w14:schemeClr w14:val="tx1"/>
                  </w14:solidFill>
                </w14:textFill>
              </w:rPr>
              <w:t>（净亏损以“-”号填列）</w:t>
            </w:r>
            <w:bookmarkEnd w:id="153"/>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-20,470,052.09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46,976,867.80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26" w:firstLineChars="108"/>
              <w:rPr>
                <w:color w:val="000000" w:themeColor="text1"/>
                <w14:textFill>
                  <w14:solidFill>
                    <w14:schemeClr w14:val="tx1"/>
                  </w14:solidFill>
                </w14:textFill>
              </w:rPr>
            </w:pPr>
            <w:r>
              <w:rPr>
                <w:rFonts w:hint="eastAsia"/>
                <w:color w:val="000000" w:themeColor="text1"/>
                <w14:textFill>
                  <w14:solidFill>
                    <w14:schemeClr w14:val="tx1"/>
                  </w14:solidFill>
                </w14:textFill>
              </w:rPr>
              <w:t>（一）</w:t>
            </w:r>
            <w:r>
              <w:rPr>
                <w:color w:val="000000" w:themeColor="text1"/>
                <w14:textFill>
                  <w14:solidFill>
                    <w14:schemeClr w14:val="tx1"/>
                  </w14:solidFill>
                </w14:textFill>
              </w:rPr>
              <w:t>持续经营净利润（净亏损以“</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-20,470,052.09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46,976,867.80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26" w:firstLineChars="108"/>
              <w:rPr>
                <w:color w:val="000000" w:themeColor="text1"/>
                <w14:textFill>
                  <w14:solidFill>
                    <w14:schemeClr w14:val="tx1"/>
                  </w14:solidFill>
                </w14:textFill>
              </w:rPr>
            </w:pPr>
            <w:r>
              <w:rPr>
                <w:rFonts w:hint="eastAsia"/>
                <w:color w:val="000000" w:themeColor="text1"/>
                <w14:textFill>
                  <w14:solidFill>
                    <w14:schemeClr w14:val="tx1"/>
                  </w14:solidFill>
                </w14:textFill>
              </w:rPr>
              <w:t>（二）终止经营净利润（净亏损以“-”号填列）</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五、其他综合收益的税后净额</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（一）不能重分类进损益的其他综合收益</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1.重新计量设定受益计划变动额</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2.权益法下不能转损益的其他综合收益</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3.其他权益工具投资公允价值变动</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4.企业自身信用风险公允价值变动</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（二）将重分类进损益的其他综合收益</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1.权益法下可转损益的其他综合收益</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2.其他债权投资公允价值变动</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3.金融资产重分类计入其他综合收益的金额</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4.其他债权投资信用减值准备</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5.现金流量套期储备</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6.外币财务报表折算差额</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7.其他</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六、综合收益总额</w:t>
            </w:r>
          </w:p>
        </w:tc>
        <w:tc>
          <w:tcPr>
            <w:tcW w:w="838" w:type="pct"/>
            <w:tcBorders>
              <w:top w:val="outset" w:color="auto" w:sz="4" w:space="0"/>
              <w:left w:val="outset" w:color="auto" w:sz="4" w:space="0"/>
              <w:bottom w:val="outset" w:color="auto" w:sz="4" w:space="0"/>
              <w:right w:val="outset" w:color="auto" w:sz="4" w:space="0"/>
            </w:tcBorders>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r>
              <w:t xml:space="preserve"> -20,470,052.09 </w:t>
            </w: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r>
              <w:t xml:space="preserve"> 46,976,867.80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302a225367d84b88a766d8daaf22e468"/>
            <w:id w:val="614339218"/>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七</w:t>
                </w:r>
                <w:r>
                  <w:rPr>
                    <w:color w:val="000000" w:themeColor="text1"/>
                    <w14:textFill>
                      <w14:solidFill>
                        <w14:schemeClr w14:val="tx1"/>
                      </w14:solidFill>
                    </w14:textFill>
                  </w:rPr>
                  <w:t>、每股收益：</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（一）基本每股收益</w:t>
            </w:r>
            <w:r>
              <w:rPr>
                <w:rFonts w:hint="eastAsia"/>
                <w:color w:val="000000" w:themeColor="text1"/>
                <w14:textFill>
                  <w14:solidFill>
                    <w14:schemeClr w14:val="tx1"/>
                  </w14:solidFill>
                </w14:textFill>
              </w:rPr>
              <w:t>(元/股)</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38"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（二）稀释每股收益</w:t>
            </w:r>
            <w:r>
              <w:rPr>
                <w:rFonts w:hint="eastAsia"/>
                <w:color w:val="000000" w:themeColor="text1"/>
                <w14:textFill>
                  <w14:solidFill>
                    <w14:schemeClr w14:val="tx1"/>
                  </w14:solidFill>
                </w14:textFill>
              </w:rPr>
              <w:t>(元/股)</w:t>
            </w:r>
          </w:p>
        </w:tc>
        <w:tc>
          <w:tcPr>
            <w:tcW w:w="838" w:type="pct"/>
            <w:tcBorders>
              <w:top w:val="outset" w:color="auto" w:sz="4" w:space="0"/>
              <w:left w:val="outset" w:color="auto" w:sz="4" w:space="0"/>
              <w:bottom w:val="outset" w:color="auto" w:sz="4" w:space="0"/>
              <w:right w:val="outset" w:color="auto" w:sz="4" w:space="0"/>
            </w:tcBorders>
            <w:vAlign w:val="center"/>
          </w:tcPr>
          <w:p>
            <w:pPr>
              <w:pStyle w:val="48"/>
            </w:pPr>
          </w:p>
        </w:tc>
        <w:tc>
          <w:tcPr>
            <w:tcW w:w="1110" w:type="pct"/>
            <w:tcBorders>
              <w:top w:val="outset" w:color="auto" w:sz="4" w:space="0"/>
              <w:left w:val="outset" w:color="auto" w:sz="4" w:space="0"/>
              <w:bottom w:val="outset" w:color="auto" w:sz="4" w:space="0"/>
              <w:right w:val="outset" w:color="auto" w:sz="4" w:space="0"/>
            </w:tcBorders>
            <w:vAlign w:val="center"/>
          </w:tcPr>
          <w:p>
            <w:pPr>
              <w:jc w:val="right"/>
            </w:pPr>
          </w:p>
        </w:tc>
        <w:tc>
          <w:tcPr>
            <w:tcW w:w="1114" w:type="pct"/>
            <w:tcBorders>
              <w:top w:val="outset" w:color="auto" w:sz="4" w:space="0"/>
              <w:left w:val="outset" w:color="auto" w:sz="4" w:space="0"/>
              <w:bottom w:val="outset" w:color="auto" w:sz="4" w:space="0"/>
              <w:right w:val="outset" w:color="auto" w:sz="4" w:space="0"/>
            </w:tcBorders>
            <w:vAlign w:val="center"/>
          </w:tcPr>
          <w:p>
            <w:pPr>
              <w:jc w:val="right"/>
            </w:pPr>
          </w:p>
        </w:tc>
      </w:tr>
    </w:tbl>
    <w:p>
      <w:pPr>
        <w:snapToGrid w:val="0"/>
        <w:spacing w:line="240" w:lineRule="atLeast"/>
        <w:ind w:right="-153" w:rightChars="-73"/>
        <w:rPr>
          <w:rFonts w:cs="宋体-方正超大字符集"/>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6be9c51ef68a40f0b60486f4414f2413"/>
          <w:id w:val="-1200627321"/>
          <w:placeholder>
            <w:docPart w:val="GBC22222222222222222222222222222"/>
          </w:placeholder>
          <w15: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杨泽民</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ac91a6c67f0a401ab312a449bd87b833"/>
          <w:id w:val="1679311109"/>
          <w:placeholder>
            <w:docPart w:val="GBC22222222222222222222222222222"/>
          </w:placeholder>
          <w15: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杨万华</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60f6b900783346cfad817de4d84acf5e"/>
          <w:id w:val="-1092462918"/>
          <w:placeholder>
            <w:docPart w:val="GBC22222222222222222222222222222"/>
          </w:placeholder>
          <w15: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冯波</w:t>
          </w:r>
        </w:sdtContent>
      </w:sdt>
    </w:p>
    <w:p>
      <w:pPr>
        <w:snapToGrid w:val="0"/>
        <w:spacing w:line="240" w:lineRule="atLeast"/>
        <w:ind w:right="-153" w:rightChars="-73"/>
        <w:rPr>
          <w:b/>
          <w:bCs w:val="0"/>
          <w:color w:val="000000" w:themeColor="text1"/>
          <w14:textFill>
            <w14:solidFill>
              <w14:schemeClr w14:val="tx1"/>
            </w14:solidFill>
          </w14:textFill>
        </w:rPr>
      </w:pPr>
    </w:p>
    <w:bookmarkEnd w:id="144"/>
    <w:p>
      <w:pPr>
        <w:rPr>
          <w:color w:val="000000" w:themeColor="text1"/>
          <w14:textFill>
            <w14:solidFill>
              <w14:schemeClr w14:val="tx1"/>
            </w14:solidFill>
          </w14:textFill>
        </w:rPr>
      </w:pPr>
      <w:bookmarkStart w:id="154" w:name="_Hlk10211424"/>
      <w:bookmarkEnd w:id="154"/>
    </w:p>
    <w:p>
      <w:pPr>
        <w:rPr>
          <w:color w:val="000000" w:themeColor="text1"/>
          <w14:textFill>
            <w14:solidFill>
              <w14:schemeClr w14:val="tx1"/>
            </w14:solidFill>
          </w14:textFill>
        </w:rPr>
      </w:pPr>
    </w:p>
    <w:p>
      <w:pPr>
        <w:pStyle w:val="4"/>
        <w:jc w:val="center"/>
        <w:rPr>
          <w:rFonts w:hint="eastAsia" w:ascii="宋体" w:hAnsi="宋体"/>
          <w:color w:val="000000" w:themeColor="text1"/>
          <w14:textFill>
            <w14:solidFill>
              <w14:schemeClr w14:val="tx1"/>
            </w14:solidFill>
          </w14:textFill>
        </w:rPr>
      </w:pPr>
      <w:bookmarkStart w:id="155" w:name="_Hlk10211590"/>
      <w:r>
        <w:rPr>
          <w:rFonts w:hint="eastAsia" w:ascii="宋体" w:hAnsi="宋体"/>
          <w:color w:val="000000" w:themeColor="text1"/>
          <w14:textFill>
            <w14:solidFill>
              <w14:schemeClr w14:val="tx1"/>
            </w14:solidFill>
          </w14:textFill>
        </w:rPr>
        <w:t>合并</w:t>
      </w:r>
      <w:r>
        <w:rPr>
          <w:rFonts w:ascii="宋体" w:hAnsi="宋体"/>
          <w:color w:val="000000" w:themeColor="text1"/>
          <w14:textFill>
            <w14:solidFill>
              <w14:schemeClr w14:val="tx1"/>
            </w14:solidFill>
          </w14:textFill>
        </w:rPr>
        <w:t>现金流量表</w:t>
      </w:r>
    </w:p>
    <w:p>
      <w:pPr>
        <w:jc w:val="center"/>
        <w:rPr>
          <w:b/>
          <w:bCs w:val="0"/>
          <w:color w:val="000000" w:themeColor="text1"/>
          <w14:textFill>
            <w14:solidFill>
              <w14:schemeClr w14:val="tx1"/>
            </w14:solidFill>
          </w14:textFill>
        </w:rPr>
      </w:pPr>
      <w:r>
        <w:rPr>
          <w:color w:val="000000" w:themeColor="text1"/>
          <w14:textFill>
            <w14:solidFill>
              <w14:schemeClr w14:val="tx1"/>
            </w14:solidFill>
          </w14:textFill>
        </w:rPr>
        <w:t>2026年</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月</w:t>
      </w:r>
    </w:p>
    <w:p>
      <w:pPr>
        <w:jc w:val="right"/>
        <w:rPr>
          <w:color w:val="000000" w:themeColor="text1"/>
          <w14:textFill>
            <w14:solidFill>
              <w14:schemeClr w14:val="tx1"/>
            </w14:solidFill>
          </w14:textFill>
        </w:rPr>
      </w:pPr>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单位：合并现金流量表"/>
          <w:tag w:val="_GBC_7049413ddb8f4e5eac9cb9fb4f802433"/>
          <w:id w:val="183842477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合并现金流量表"/>
          <w:tag w:val="_GBC_5ab1c6e244484b228b8cdc6ee3840fd6"/>
          <w:id w:val="23182463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142"/>
        <w:gridCol w:w="1567"/>
        <w:gridCol w:w="2174"/>
        <w:gridCol w:w="216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a3b6af3ab824e2db1022630f7a58e18"/>
            <w:id w:val="1473403061"/>
          </w:sdtPr>
          <w:sdtContent>
            <w:tc>
              <w:tcPr>
                <w:tcW w:w="1736" w:type="pct"/>
                <w:tcBorders>
                  <w:top w:val="outset" w:color="auto" w:sz="4" w:space="0"/>
                  <w:left w:val="outset" w:color="auto" w:sz="4" w:space="0"/>
                  <w:bottom w:val="outset" w:color="auto" w:sz="4" w:space="0"/>
                  <w:right w:val="outset" w:color="auto" w:sz="4" w:space="0"/>
                </w:tcBorders>
                <w:vAlign w:val="center"/>
              </w:tcPr>
              <w:p>
                <w:pPr>
                  <w:jc w:val="center"/>
                  <w:rPr>
                    <w:b/>
                    <w:bCs w:val="0"/>
                    <w:color w:val="000000" w:themeColor="text1"/>
                    <w14:textFill>
                      <w14:solidFill>
                        <w14:schemeClr w14:val="tx1"/>
                      </w14:solidFill>
                    </w14:textFill>
                  </w:rPr>
                </w:pPr>
                <w:bookmarkStart w:id="156" w:name="_Hlk238217936"/>
                <w:r>
                  <w:rPr>
                    <w:b/>
                    <w:color w:val="000000" w:themeColor="text1"/>
                    <w14:textFill>
                      <w14:solidFill>
                        <w14:schemeClr w14:val="tx1"/>
                      </w14:solidFill>
                    </w14:textFill>
                  </w:rPr>
                  <w:t>项目</w:t>
                </w:r>
              </w:p>
            </w:tc>
          </w:sdtContent>
        </w:sdt>
        <w:sdt>
          <w:sdtPr>
            <w:tag w:val="_PLD_49df1a6f5a224085bdcd56671a898d47"/>
            <w:id w:val="-2145726760"/>
          </w:sdtPr>
          <w:sdtContent>
            <w:tc>
              <w:tcPr>
                <w:tcW w:w="866" w:type="pct"/>
                <w:tcBorders>
                  <w:top w:val="outset" w:color="auto" w:sz="4" w:space="0"/>
                  <w:left w:val="outset" w:color="auto" w:sz="4" w:space="0"/>
                  <w:bottom w:val="outset" w:color="auto" w:sz="4" w:space="0"/>
                  <w:right w:val="outset" w:color="auto" w:sz="4" w:space="0"/>
                </w:tcBorders>
                <w:vAlign w:val="center"/>
              </w:tcPr>
              <w:p>
                <w:pPr>
                  <w:jc w:val="center"/>
                  <w:rPr>
                    <w:b/>
                    <w:color w:val="000000" w:themeColor="text1"/>
                    <w14:textFill>
                      <w14:solidFill>
                        <w14:schemeClr w14:val="tx1"/>
                      </w14:solidFill>
                    </w14:textFill>
                  </w:rPr>
                </w:pPr>
                <w:r>
                  <w:rPr>
                    <w:b/>
                    <w:color w:val="000000" w:themeColor="text1"/>
                    <w14:textFill>
                      <w14:solidFill>
                        <w14:schemeClr w14:val="tx1"/>
                      </w14:solidFill>
                    </w14:textFill>
                  </w:rPr>
                  <w:t>附注</w:t>
                </w:r>
              </w:p>
            </w:tc>
          </w:sdtContent>
        </w:sdt>
        <w:sdt>
          <w:sdtPr>
            <w:tag w:val="_PLD_aba5e14092764f689b78fdbe9892bc51"/>
            <w:id w:val="-1419403358"/>
          </w:sdtPr>
          <w:sdtContent>
            <w:tc>
              <w:tcPr>
                <w:tcW w:w="1201" w:type="pct"/>
                <w:tcBorders>
                  <w:top w:val="outset" w:color="auto" w:sz="4" w:space="0"/>
                  <w:left w:val="outset" w:color="auto" w:sz="4" w:space="0"/>
                  <w:bottom w:val="outset" w:color="auto" w:sz="4" w:space="0"/>
                  <w:right w:val="outset" w:color="auto" w:sz="4" w:space="0"/>
                </w:tcBorders>
                <w:vAlign w:val="center"/>
              </w:tcPr>
              <w:p>
                <w:pPr>
                  <w:autoSpaceDE w:val="0"/>
                  <w:autoSpaceDN w:val="0"/>
                  <w:adjustRightInd w:val="0"/>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2026年半年度</w:t>
                </w:r>
              </w:p>
            </w:tc>
          </w:sdtContent>
        </w:sdt>
        <w:sdt>
          <w:sdtPr>
            <w:tag w:val="_PLD_8cac70c6f00c4266a9b8cff482cc71cc"/>
            <w:id w:val="1903786747"/>
          </w:sdtPr>
          <w:sdtContent>
            <w:tc>
              <w:tcPr>
                <w:tcW w:w="1197" w:type="pct"/>
                <w:tcBorders>
                  <w:top w:val="outset" w:color="auto" w:sz="4" w:space="0"/>
                  <w:left w:val="outset" w:color="auto" w:sz="4" w:space="0"/>
                  <w:bottom w:val="outset" w:color="auto" w:sz="4" w:space="0"/>
                  <w:right w:val="outset" w:color="auto" w:sz="4" w:space="0"/>
                </w:tcBorders>
                <w:vAlign w:val="center"/>
              </w:tcPr>
              <w:p>
                <w:pPr>
                  <w:autoSpaceDE w:val="0"/>
                  <w:autoSpaceDN w:val="0"/>
                  <w:adjustRightInd w:val="0"/>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2025年半年度</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ffd119a1ffa641c1a00397806a78ee23"/>
            <w:id w:val="1299189783"/>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一、经营活动产生的现金流量：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销售商品、提供劳务收到的现金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1,355,321,207.51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1,275,751,787.43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客户存款和同业存放款项净增加额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向中央银行借款净增加额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向其他金融机构拆入资金净增加额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收到原保险合同保费取得的现金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收到再保业务现金净额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保户储金及投资款净增加额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收取利息、手续费及佣金的现金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拆入资金净增加额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回购业务资金净增加额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代理买卖证券收到的现金净额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收到的税费返还</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11,716.19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1,817,290.20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收到其他与经营活动有关的现金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r>
              <w:rPr>
                <w:rFonts w:hint="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33,792,101.18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60,001,733.80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经营活动现金流入小计</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1,389,125,024.88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1,337,570,811.43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购买商品、接受劳务支付的现金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1,187,070,733.86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1,001,935,350.45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客户贷款及垫款净增加额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存放中央银行和同业款项净增加额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支付原保险合同赔付款项的现金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拆出资金净增加额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支付利息、手续费及佣金的现金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支付保单红利的现金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支付给职工及为职工支付的现金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180,236,834.31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165,760,019.82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支付的各项税费</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57,206,274.79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36,934,423.44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支付其他与经营活动有关的现金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r>
              <w:rPr>
                <w:rFonts w:hint="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84,594,152.35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113,109,828.49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经营活动现金流出小计</w:t>
            </w:r>
          </w:p>
        </w:tc>
        <w:tc>
          <w:tcPr>
            <w:tcW w:w="866" w:type="pct"/>
            <w:tcBorders>
              <w:top w:val="outset" w:color="auto" w:sz="4" w:space="0"/>
              <w:left w:val="outset" w:color="auto" w:sz="4" w:space="0"/>
              <w:bottom w:val="outset" w:color="auto" w:sz="4" w:space="0"/>
              <w:right w:val="outset" w:color="auto" w:sz="4" w:space="0"/>
            </w:tcBorders>
          </w:tcPr>
          <w:p>
            <w:pPr>
              <w:pStyle w:val="48"/>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1,509,107,995.31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1,317,739,622.20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经营活动产生的现金流量净额</w:t>
            </w:r>
          </w:p>
        </w:tc>
        <w:tc>
          <w:tcPr>
            <w:tcW w:w="866" w:type="pct"/>
            <w:tcBorders>
              <w:top w:val="outset" w:color="auto" w:sz="4" w:space="0"/>
              <w:left w:val="outset" w:color="auto" w:sz="4" w:space="0"/>
              <w:bottom w:val="outset" w:color="auto" w:sz="4" w:space="0"/>
              <w:right w:val="outset" w:color="auto" w:sz="4" w:space="0"/>
            </w:tcBorders>
          </w:tcPr>
          <w:p>
            <w:pPr>
              <w:pStyle w:val="48"/>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-119,982,970.43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19,831,189.23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95b1c638e8714129b03173a0758b863f"/>
            <w:id w:val="-2031712227"/>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二、投资活动产生的现金流量：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收回投资收到的现金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25,137,500.00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取得投资收益收到的现金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790,567.47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处置固定资产、无形资产和其他长期资产收回的现金净额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71,621.50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处置子公司及其他营业单位收到的现金净额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收到其他与投资活动有关的现金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r>
              <w:rPr>
                <w:rFonts w:hint="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1,487,043.51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投资活动现金流入小计</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1,558,665.01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25,928,067.47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购建固定资产、无形资产和其他长期资产支付的现金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24,775,008.55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57,251,389.13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投资支付的现金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4,000,000.00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质押贷款净增加额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取得子公司及其他营业单位支付的现金净额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支付其他与投资活动有关的现金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r>
              <w:rPr>
                <w:rFonts w:hint="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投资活动现金流出小计</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24,775,008.55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61,251,389.13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投资活动产生的现金流量净额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-23,216,343.54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-35,323,321.66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0ebd9a8b5d8e4227a6bc3b0738379ef1"/>
            <w:id w:val="789478024"/>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三、筹资活动产生的现金流量：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吸收投资收到的现金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12,495,000.00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4,550,000.00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其中：子公司吸收少数股东投资收到的现金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取得借款收到的现金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340,217,813.93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850,323,220.51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收到其他与筹资活动有关的现金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r>
              <w:rPr>
                <w:rFonts w:hint="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204,605,200.00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筹资活动现金流入小计</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352,712,813.93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1,059,478,420.51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偿还债务支付的现金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408,010,913.07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791,219,192.93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分配股利、利润或偿付利息支付的现金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43,155,530.50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42,408,505.55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其中：子公司支付给少数股东的股利、利润</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支付其他与筹资活动有关的现金</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r>
              <w:rPr>
                <w:rFonts w:hint="eastAsia"/>
              </w:rPr>
              <w:t>七、78</w:t>
            </w: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74,891,180.78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rPr>
                <w:rFonts w:hint="eastAsia"/>
              </w:rPr>
              <w:t xml:space="preserve"> 152,408,224.63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筹资活动现金流出小计</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526,057,624.35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986,035,923.11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筹资活动产生的现金流量净额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-173,344,810.42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73,442,497.40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四、汇率变动对现金及现金等价物的影响</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-2,411,080.21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311,736.64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五、现金及现金等价物净增加额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-318,955,204.60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58,262,101.61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加：期初现金及现金等价物余额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1,205,429,662.37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996,421,333.80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36"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六、期末现金及现金等价物余额</w:t>
            </w:r>
          </w:p>
        </w:tc>
        <w:tc>
          <w:tcPr>
            <w:tcW w:w="866" w:type="pct"/>
            <w:tcBorders>
              <w:top w:val="outset" w:color="auto" w:sz="4" w:space="0"/>
              <w:left w:val="outset" w:color="auto" w:sz="4" w:space="0"/>
              <w:bottom w:val="outset" w:color="auto" w:sz="4" w:space="0"/>
              <w:right w:val="outset" w:color="auto" w:sz="4" w:space="0"/>
            </w:tcBorders>
            <w:vAlign w:val="center"/>
          </w:tcPr>
          <w:p>
            <w:pPr>
              <w:jc w:val="both"/>
            </w:pPr>
          </w:p>
        </w:tc>
        <w:tc>
          <w:tcPr>
            <w:tcW w:w="1201" w:type="pct"/>
            <w:tcBorders>
              <w:top w:val="outset" w:color="auto" w:sz="4" w:space="0"/>
              <w:left w:val="outset" w:color="auto" w:sz="4" w:space="0"/>
              <w:bottom w:val="outset" w:color="auto" w:sz="4" w:space="0"/>
              <w:right w:val="outset" w:color="auto" w:sz="4" w:space="0"/>
            </w:tcBorders>
            <w:vAlign w:val="center"/>
          </w:tcPr>
          <w:p>
            <w:pPr>
              <w:jc w:val="right"/>
            </w:pPr>
            <w:r>
              <w:t xml:space="preserve"> 886,474,457.77 </w:t>
            </w:r>
          </w:p>
        </w:tc>
        <w:tc>
          <w:tcPr>
            <w:tcW w:w="1197" w:type="pct"/>
            <w:tcBorders>
              <w:top w:val="outset" w:color="auto" w:sz="4" w:space="0"/>
              <w:left w:val="outset" w:color="auto" w:sz="4" w:space="0"/>
              <w:bottom w:val="outset" w:color="auto" w:sz="4" w:space="0"/>
              <w:right w:val="outset" w:color="auto" w:sz="4" w:space="0"/>
            </w:tcBorders>
            <w:vAlign w:val="center"/>
          </w:tcPr>
          <w:p>
            <w:pPr>
              <w:jc w:val="right"/>
            </w:pPr>
            <w:r>
              <w:t xml:space="preserve"> 1,054,683,435.41 </w:t>
            </w:r>
          </w:p>
        </w:tc>
      </w:tr>
      <w:bookmarkEnd w:id="156"/>
    </w:tbl>
    <w:p>
      <w:pPr>
        <w:snapToGrid w:val="0"/>
        <w:spacing w:line="240" w:lineRule="atLeast"/>
        <w:ind w:right="25" w:rightChars="12"/>
        <w:rPr>
          <w:b/>
          <w:bCs w:val="0"/>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d1f7cb193ab444ff8482a06aad12f0db"/>
          <w:id w:val="478654816"/>
          <w:placeholder>
            <w:docPart w:val="GBC22222222222222222222222222222"/>
          </w:placeholder>
          <w15: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杨泽民</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45110b4746914613a7aad68cef7b1bed"/>
          <w:id w:val="426233092"/>
          <w:placeholder>
            <w:docPart w:val="GBC22222222222222222222222222222"/>
          </w:placeholder>
          <w15: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杨万华</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e7d70223996e482d9871cfff87704452"/>
          <w:id w:val="2127969205"/>
          <w:placeholder>
            <w:docPart w:val="GBC22222222222222222222222222222"/>
          </w:placeholder>
          <w15: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冯波</w:t>
          </w:r>
        </w:sdtContent>
      </w:sdt>
    </w:p>
    <w:p>
      <w:pPr>
        <w:rPr>
          <w:color w:val="000000" w:themeColor="text1"/>
          <w14:textFill>
            <w14:solidFill>
              <w14:schemeClr w14:val="tx1"/>
            </w14:solidFill>
          </w14:textFill>
        </w:rPr>
      </w:pPr>
    </w:p>
    <w:p>
      <w:pPr>
        <w:jc w:val="center"/>
        <w:rPr>
          <w:b/>
          <w:bCs w:val="0"/>
          <w:color w:val="000000" w:themeColor="text1"/>
          <w14:textFill>
            <w14:solidFill>
              <w14:schemeClr w14:val="tx1"/>
            </w14:solidFill>
          </w14:textFill>
        </w:rPr>
      </w:pPr>
    </w:p>
    <w:p>
      <w:pPr>
        <w:pStyle w:val="4"/>
        <w:jc w:val="cente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母公司</w:t>
      </w:r>
      <w:r>
        <w:rPr>
          <w:rFonts w:ascii="宋体" w:hAnsi="宋体"/>
          <w:color w:val="000000" w:themeColor="text1"/>
          <w14:textFill>
            <w14:solidFill>
              <w14:schemeClr w14:val="tx1"/>
            </w14:solidFill>
          </w14:textFill>
        </w:rPr>
        <w:t>现金流量表</w:t>
      </w:r>
    </w:p>
    <w:p>
      <w:pPr>
        <w:jc w:val="center"/>
        <w:rPr>
          <w:b/>
          <w:bCs w:val="0"/>
          <w:color w:val="000000" w:themeColor="text1"/>
          <w14:textFill>
            <w14:solidFill>
              <w14:schemeClr w14:val="tx1"/>
            </w14:solidFill>
          </w14:textFill>
        </w:rPr>
      </w:pPr>
      <w:r>
        <w:rPr>
          <w:color w:val="000000" w:themeColor="text1"/>
          <w14:textFill>
            <w14:solidFill>
              <w14:schemeClr w14:val="tx1"/>
            </w14:solidFill>
          </w14:textFill>
        </w:rPr>
        <w:t>2026年</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月</w:t>
      </w:r>
    </w:p>
    <w:p>
      <w:pPr>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母公司现金流量表"/>
          <w:tag w:val="_GBC_993ead81b27a41dfaccaacfaec8b7c78"/>
          <w:id w:val="-36074822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母公司现金流量表"/>
          <w:tag w:val="_GBC_2dd4b706d0a244a4b4c21166025356cc"/>
          <w:id w:val="-18218738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067"/>
        <w:gridCol w:w="1801"/>
        <w:gridCol w:w="2096"/>
        <w:gridCol w:w="208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20ae0904ed714106892a5beddfe5846a"/>
            <w:id w:val="1287771390"/>
          </w:sdtPr>
          <w:sdtContent>
            <w:tc>
              <w:tcPr>
                <w:tcW w:w="1695" w:type="pct"/>
                <w:tcBorders>
                  <w:top w:val="outset" w:color="auto" w:sz="4" w:space="0"/>
                  <w:left w:val="outset" w:color="auto" w:sz="4" w:space="0"/>
                  <w:bottom w:val="outset" w:color="auto" w:sz="4" w:space="0"/>
                  <w:right w:val="outset" w:color="auto" w:sz="4" w:space="0"/>
                </w:tcBorders>
                <w:vAlign w:val="center"/>
              </w:tcPr>
              <w:p>
                <w:pPr>
                  <w:jc w:val="center"/>
                  <w:rPr>
                    <w:b/>
                    <w:bCs w:val="0"/>
                    <w:color w:val="000000" w:themeColor="text1"/>
                    <w14:textFill>
                      <w14:solidFill>
                        <w14:schemeClr w14:val="tx1"/>
                      </w14:solidFill>
                    </w14:textFill>
                  </w:rPr>
                </w:pPr>
                <w:r>
                  <w:rPr>
                    <w:b/>
                    <w:color w:val="000000" w:themeColor="text1"/>
                    <w14:textFill>
                      <w14:solidFill>
                        <w14:schemeClr w14:val="tx1"/>
                      </w14:solidFill>
                    </w14:textFill>
                  </w:rPr>
                  <w:t>项目</w:t>
                </w:r>
              </w:p>
            </w:tc>
          </w:sdtContent>
        </w:sdt>
        <w:sdt>
          <w:sdtPr>
            <w:tag w:val="_PLD_9cb87427e0de42d2b7e58a286ff58290"/>
            <w:id w:val="1979252073"/>
          </w:sdtPr>
          <w:sdtContent>
            <w:tc>
              <w:tcPr>
                <w:tcW w:w="995" w:type="pct"/>
                <w:tcBorders>
                  <w:top w:val="outset" w:color="auto" w:sz="4" w:space="0"/>
                  <w:left w:val="outset" w:color="auto" w:sz="4" w:space="0"/>
                  <w:bottom w:val="outset" w:color="auto" w:sz="4" w:space="0"/>
                  <w:right w:val="outset" w:color="auto" w:sz="4" w:space="0"/>
                </w:tcBorders>
                <w:vAlign w:val="center"/>
              </w:tcPr>
              <w:p>
                <w:pPr>
                  <w:autoSpaceDE w:val="0"/>
                  <w:autoSpaceDN w:val="0"/>
                  <w:adjustRightInd w:val="0"/>
                  <w:jc w:val="center"/>
                  <w:rPr>
                    <w:b/>
                    <w:color w:val="000000" w:themeColor="text1"/>
                    <w14:textFill>
                      <w14:solidFill>
                        <w14:schemeClr w14:val="tx1"/>
                      </w14:solidFill>
                    </w14:textFill>
                  </w:rPr>
                </w:pPr>
                <w:r>
                  <w:rPr>
                    <w:b/>
                    <w:color w:val="000000" w:themeColor="text1"/>
                    <w14:textFill>
                      <w14:solidFill>
                        <w14:schemeClr w14:val="tx1"/>
                      </w14:solidFill>
                    </w14:textFill>
                  </w:rPr>
                  <w:t>附注</w:t>
                </w:r>
              </w:p>
            </w:tc>
          </w:sdtContent>
        </w:sdt>
        <w:sdt>
          <w:sdtPr>
            <w:tag w:val="_PLD_514bbce28b6040e393e59c5ec50c3820"/>
            <w:id w:val="573012079"/>
          </w:sdtPr>
          <w:sdtContent>
            <w:tc>
              <w:tcPr>
                <w:tcW w:w="1158" w:type="pct"/>
                <w:tcBorders>
                  <w:top w:val="outset" w:color="auto" w:sz="4" w:space="0"/>
                  <w:left w:val="outset" w:color="auto" w:sz="4" w:space="0"/>
                  <w:bottom w:val="outset" w:color="auto" w:sz="4" w:space="0"/>
                  <w:right w:val="outset" w:color="auto" w:sz="4" w:space="0"/>
                </w:tcBorders>
                <w:vAlign w:val="center"/>
              </w:tcPr>
              <w:p>
                <w:pPr>
                  <w:autoSpaceDE w:val="0"/>
                  <w:autoSpaceDN w:val="0"/>
                  <w:adjustRightInd w:val="0"/>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2026年半年度</w:t>
                </w:r>
              </w:p>
            </w:tc>
          </w:sdtContent>
        </w:sdt>
        <w:sdt>
          <w:sdtPr>
            <w:tag w:val="_PLD_de39c3f730c74ecca3c9a890bc08a2c1"/>
            <w:id w:val="-1937663849"/>
          </w:sdtPr>
          <w:sdtContent>
            <w:tc>
              <w:tcPr>
                <w:tcW w:w="1152" w:type="pct"/>
                <w:tcBorders>
                  <w:top w:val="outset" w:color="auto" w:sz="4" w:space="0"/>
                  <w:left w:val="outset" w:color="auto" w:sz="4" w:space="0"/>
                  <w:bottom w:val="outset" w:color="auto" w:sz="4" w:space="0"/>
                  <w:right w:val="outset" w:color="auto" w:sz="4" w:space="0"/>
                </w:tcBorders>
                <w:vAlign w:val="center"/>
              </w:tcPr>
              <w:p>
                <w:pPr>
                  <w:autoSpaceDE w:val="0"/>
                  <w:autoSpaceDN w:val="0"/>
                  <w:adjustRightInd w:val="0"/>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2025年半年度</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575fd724a7cb4261a6c80660162ce2fb"/>
            <w:id w:val="1080258761"/>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一、经营活动产生的现金流量：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销售商品、提供劳务收到的现金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803,378,117.66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802,607,133.89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收到的税费返还</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收到其他与经营活动有关的现金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379,539,262.84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171,560,254.02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经营活动现金流入小计</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1,182,917,380.50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974,167,387.91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购买商品、接受劳务支付的现金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642,377,887.58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616,311,358.82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支付给职工及为职工支付的现金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114,415,288.64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106,970,969.62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支付的各项税费</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35,628,290.15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13,250,709.98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支付其他与经营活动有关的现金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375,836,068.14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205,671,985.61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经营活动现金流出小计</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1,168,257,534.51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942,205,024.03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经营活动产生的现金流量净额</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14,659,845.99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31,962,363.88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8f9190ce4227402ab02ac6431a00b46e"/>
            <w:id w:val="780303053"/>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二、投资活动产生的现金流量：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收回投资收到的现金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33,297,500.00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取得投资收益收到的现金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处置固定资产、无形资产和其他长期资产收回的现金净额</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71,621.50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处置子公司及其他营业单位收到的现金净额</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收到其他与投资活动有关的现金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85,663,690.14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103,528,300.00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投资活动现金流入小计</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85,735,311.64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136,825,800.00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购建固定资产、无形资产和其他长期资产支付的现金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10,492,897.39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2,715,628.87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投资支付的现金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40,000,000.00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147,712,481.68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取得子公司及其他营业单位支付的现金净额</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支付其他与投资活动有关的现金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157,631,600.00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66,800,000.00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投资活动现金流出小计</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208,124,497.39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217,228,110.55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投资活动产生的现金流量净额</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-122,389,185.75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-80,402,310.55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sdt>
          <w:sdtPr>
            <w:tag w:val="_PLD_7d68e34216d04af0934267b3078d3c35"/>
            <w:id w:val="1842272329"/>
          </w:sdtPr>
          <w:sdtContent>
            <w:tc>
              <w:tcPr>
                <w:tcW w:w="5000" w:type="pct"/>
                <w:gridSpan w:val="4"/>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三、筹资活动产生的现金流量：</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吸收投资收到的现金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取得借款收到的现金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229,197,650.68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593,876,550.00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收到其他与筹资活动有关的现金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204,605,200.00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筹资活动现金流入小计</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229,197,650.68 </w:t>
            </w:r>
          </w:p>
        </w:tc>
        <w:tc>
          <w:tcPr>
            <w:tcW w:w="1152" w:type="pct"/>
            <w:tcBorders>
              <w:top w:val="outset" w:color="auto" w:sz="4" w:space="0"/>
              <w:left w:val="outset" w:color="auto" w:sz="4" w:space="0"/>
              <w:bottom w:val="outset" w:color="auto" w:sz="4" w:space="0"/>
              <w:right w:val="outset" w:color="auto" w:sz="4" w:space="0"/>
            </w:tcBorders>
            <w:vAlign w:val="center"/>
          </w:tcPr>
          <w:p>
            <w:pPr>
              <w:tabs>
                <w:tab w:val="center" w:pos="989"/>
                <w:tab w:val="right" w:pos="1979"/>
              </w:tabs>
              <w:jc w:val="right"/>
            </w:pPr>
            <w:r>
              <w:t xml:space="preserve"> 798,481,750.00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偿还债务支付的现金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295,452,799.07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662,744,192.93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分配股利、利润或偿付利息支付的现金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38,518,063.39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38,877,981.47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支付其他与筹资活动有关的现金</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71,922,605.93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23,462,236.36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筹资活动现金流出小计</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405,893,468.39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725,084,410.76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筹资活动产生的现金流量净额</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-176,695,817.71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73,397,339.24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四、汇率变动对现金及现金等价物的影响</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-2,206,762.24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312,875.49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五、现金及现金等价物净增加额</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-286,631,919.71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25,270,268.06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加：期初现金及现金等价物余额</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1,013,465,633.02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955,361,421.37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95" w:type="pct"/>
            <w:tcBorders>
              <w:top w:val="outset" w:color="auto" w:sz="4" w:space="0"/>
              <w:left w:val="outset" w:color="auto" w:sz="4" w:space="0"/>
              <w:bottom w:val="outset" w:color="auto" w:sz="4" w:space="0"/>
              <w:right w:val="outset" w:color="auto" w:sz="4" w:space="0"/>
            </w:tcBorders>
            <w:vAlign w:val="center"/>
          </w:tcPr>
          <w:p>
            <w:pPr>
              <w:rPr>
                <w:color w:val="000000" w:themeColor="text1"/>
                <w14:textFill>
                  <w14:solidFill>
                    <w14:schemeClr w14:val="tx1"/>
                  </w14:solidFill>
                </w14:textFill>
              </w:rPr>
            </w:pPr>
            <w:r>
              <w:rPr>
                <w:rFonts w:hint="eastAsia"/>
                <w:b/>
                <w:color w:val="000000" w:themeColor="text1"/>
                <w14:textFill>
                  <w14:solidFill>
                    <w14:schemeClr w14:val="tx1"/>
                  </w14:solidFill>
                </w14:textFill>
              </w:rPr>
              <w:t>六、期末现金及现金等价物余额</w:t>
            </w:r>
          </w:p>
        </w:tc>
        <w:tc>
          <w:tcPr>
            <w:tcW w:w="995" w:type="pct"/>
            <w:tcBorders>
              <w:top w:val="outset" w:color="auto" w:sz="4" w:space="0"/>
              <w:left w:val="outset" w:color="auto" w:sz="4" w:space="0"/>
              <w:bottom w:val="outset" w:color="auto" w:sz="4" w:space="0"/>
              <w:right w:val="outset" w:color="auto" w:sz="4" w:space="0"/>
            </w:tcBorders>
            <w:vAlign w:val="center"/>
          </w:tcPr>
          <w:p>
            <w:pPr>
              <w:pStyle w:val="48"/>
            </w:pPr>
          </w:p>
        </w:tc>
        <w:tc>
          <w:tcPr>
            <w:tcW w:w="1158" w:type="pct"/>
            <w:tcBorders>
              <w:top w:val="outset" w:color="auto" w:sz="4" w:space="0"/>
              <w:left w:val="outset" w:color="auto" w:sz="4" w:space="0"/>
              <w:bottom w:val="outset" w:color="auto" w:sz="4" w:space="0"/>
              <w:right w:val="outset" w:color="auto" w:sz="4" w:space="0"/>
            </w:tcBorders>
            <w:vAlign w:val="center"/>
          </w:tcPr>
          <w:p>
            <w:pPr>
              <w:jc w:val="right"/>
            </w:pPr>
            <w:r>
              <w:t xml:space="preserve"> 726,833,713.31 </w:t>
            </w:r>
          </w:p>
        </w:tc>
        <w:tc>
          <w:tcPr>
            <w:tcW w:w="1152" w:type="pct"/>
            <w:tcBorders>
              <w:top w:val="outset" w:color="auto" w:sz="4" w:space="0"/>
              <w:left w:val="outset" w:color="auto" w:sz="4" w:space="0"/>
              <w:bottom w:val="outset" w:color="auto" w:sz="4" w:space="0"/>
              <w:right w:val="outset" w:color="auto" w:sz="4" w:space="0"/>
            </w:tcBorders>
            <w:vAlign w:val="center"/>
          </w:tcPr>
          <w:p>
            <w:pPr>
              <w:jc w:val="right"/>
            </w:pPr>
            <w:r>
              <w:t xml:space="preserve"> 980,631,689.43 </w:t>
            </w:r>
          </w:p>
        </w:tc>
      </w:tr>
    </w:tbl>
    <w:p>
      <w:pPr>
        <w:snapToGrid w:val="0"/>
        <w:spacing w:line="240" w:lineRule="atLeast"/>
        <w:ind w:right="-153" w:rightChars="-73"/>
        <w:rPr>
          <w:color w:val="000000" w:themeColor="text1"/>
          <w14:textFill>
            <w14:solidFill>
              <w14:schemeClr w14:val="tx1"/>
            </w14:solidFill>
          </w14:textFill>
        </w:rPr>
      </w:pPr>
    </w:p>
    <w:p>
      <w:pPr>
        <w:snapToGrid w:val="0"/>
        <w:spacing w:line="240" w:lineRule="atLeast"/>
        <w:ind w:right="-153" w:rightChars="-73"/>
        <w:rPr>
          <w:b/>
          <w:bCs w:val="0"/>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b872f4b10a12453987b2d73dfe2a5ff9"/>
          <w:id w:val="-816031345"/>
          <w:placeholder>
            <w:docPart w:val="GBC22222222222222222222222222222"/>
          </w:placeholder>
          <w15: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杨泽民</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29443dd8858043c68f8217b05d1e3346"/>
          <w:id w:val="511494876"/>
          <w:placeholder>
            <w:docPart w:val="GBC22222222222222222222222222222"/>
          </w:placeholder>
          <w15: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杨万华</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952065710c0f41709539d877935c1903"/>
          <w:id w:val="-1167015097"/>
          <w:placeholder>
            <w:docPart w:val="GBC22222222222222222222222222222"/>
          </w:placeholder>
          <w15: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冯波</w:t>
          </w:r>
        </w:sdtContent>
      </w:sdt>
    </w:p>
    <w:p>
      <w:pPr>
        <w:rPr>
          <w:b/>
          <w:bCs w:val="0"/>
          <w:color w:val="000000" w:themeColor="text1"/>
          <w14:textFill>
            <w14:solidFill>
              <w14:schemeClr w14:val="tx1"/>
            </w14:solidFill>
          </w14:textFill>
        </w:rPr>
      </w:pPr>
    </w:p>
    <w:bookmarkEnd w:id="155"/>
    <w:p>
      <w:pPr>
        <w:snapToGrid w:val="0"/>
        <w:spacing w:line="240" w:lineRule="atLeast"/>
        <w:ind w:right="-153" w:rightChars="-73"/>
        <w:rPr>
          <w:color w:val="000000" w:themeColor="text1"/>
          <w14:textFill>
            <w14:solidFill>
              <w14:schemeClr w14:val="tx1"/>
            </w14:solidFill>
          </w14:textFill>
        </w:rPr>
        <w:sectPr>
          <w:pgSz w:w="11906" w:h="16838"/>
          <w:pgMar w:top="1525" w:right="1276" w:bottom="1440" w:left="1797" w:header="851" w:footer="992" w:gutter="0"/>
          <w:cols w:space="425" w:num="1"/>
          <w:docGrid w:linePitch="312" w:charSpace="0"/>
        </w:sectPr>
      </w:pPr>
      <w:bookmarkStart w:id="157" w:name="_Hlk10211660"/>
      <w:bookmarkEnd w:id="157"/>
    </w:p>
    <w:p>
      <w:pPr>
        <w:snapToGrid w:val="0"/>
        <w:spacing w:line="240" w:lineRule="atLeast"/>
        <w:ind w:right="-153" w:rightChars="-73"/>
        <w:rPr>
          <w:color w:val="000000" w:themeColor="text1"/>
          <w14:textFill>
            <w14:solidFill>
              <w14:schemeClr w14:val="tx1"/>
            </w14:solidFill>
          </w14:textFill>
        </w:rPr>
      </w:pPr>
    </w:p>
    <w:p>
      <w:pPr>
        <w:rPr>
          <w:bCs w:val="0"/>
        </w:rPr>
      </w:pPr>
      <w:bookmarkStart w:id="158" w:name="_Hlk10211858"/>
    </w:p>
    <w:p>
      <w:pPr>
        <w:pStyle w:val="4"/>
        <w:jc w:val="cente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合并</w:t>
      </w:r>
      <w:r>
        <w:rPr>
          <w:rFonts w:hint="eastAsia" w:ascii="宋体" w:hAnsi="宋体"/>
          <w:color w:val="000000" w:themeColor="text1"/>
          <w14:textFill>
            <w14:solidFill>
              <w14:schemeClr w14:val="tx1"/>
            </w14:solidFill>
          </w14:textFill>
        </w:rPr>
        <w:t>所有者权益变动表</w:t>
      </w:r>
    </w:p>
    <w:p>
      <w:pPr>
        <w:tabs>
          <w:tab w:val="left" w:pos="10080"/>
        </w:tabs>
        <w:snapToGrid w:val="0"/>
        <w:spacing w:line="240" w:lineRule="atLeast"/>
        <w:ind w:right="25" w:rightChars="12"/>
        <w:jc w:val="center"/>
        <w:rPr>
          <w:color w:val="000000" w:themeColor="text1"/>
          <w14:textFill>
            <w14:solidFill>
              <w14:schemeClr w14:val="tx1"/>
            </w14:solidFill>
          </w14:textFill>
        </w:rPr>
      </w:pPr>
      <w:r>
        <w:rPr>
          <w:color w:val="000000" w:themeColor="text1"/>
          <w14:textFill>
            <w14:solidFill>
              <w14:schemeClr w14:val="tx1"/>
            </w14:solidFill>
          </w14:textFill>
        </w:rPr>
        <w:t>2026年</w:t>
      </w:r>
      <w:r>
        <w:rPr>
          <w:rFonts w:hint="eastAsia"/>
          <w:color w:val="000000" w:themeColor="text1"/>
          <w14:textFill>
            <w14:solidFill>
              <w14:schemeClr w14:val="tx1"/>
            </w14:solidFill>
          </w14:textFill>
        </w:rPr>
        <w:t>1—6月</w:t>
      </w:r>
    </w:p>
    <w:p>
      <w:pPr>
        <w:tabs>
          <w:tab w:val="left" w:pos="10080"/>
        </w:tabs>
        <w:snapToGrid w:val="0"/>
        <w:spacing w:line="240" w:lineRule="atLeast"/>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合并股东权益调节表"/>
          <w:tag w:val="_GBC_57faea4e453e49ad93821b7dd6ce8bc4"/>
          <w:id w:val="-7821057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合并股东权益调节表"/>
          <w:tag w:val="_GBC_cef77704267643d794145c73763360e5"/>
          <w:id w:val="45229682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937"/>
        <w:gridCol w:w="338"/>
        <w:gridCol w:w="284"/>
        <w:gridCol w:w="347"/>
        <w:gridCol w:w="1070"/>
        <w:gridCol w:w="1140"/>
        <w:gridCol w:w="994"/>
        <w:gridCol w:w="1068"/>
        <w:gridCol w:w="909"/>
        <w:gridCol w:w="597"/>
        <w:gridCol w:w="1246"/>
        <w:gridCol w:w="283"/>
        <w:gridCol w:w="1134"/>
        <w:gridCol w:w="1134"/>
        <w:gridCol w:w="1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restart"/>
            <w:vAlign w:val="center"/>
          </w:tcPr>
          <w:sdt>
            <w:sdtPr>
              <w:rPr>
                <w:sz w:val="15"/>
                <w:szCs w:val="15"/>
              </w:rPr>
              <w:tag w:val="_PLD_5bd68ed5796041328d1a003c1362ceaf"/>
              <w:id w:val="-1308228062"/>
            </w:sdtPr>
            <w:sdtEndPr>
              <w:rPr>
                <w:sz w:val="15"/>
                <w:szCs w:val="15"/>
              </w:rPr>
            </w:sdtEndPr>
            <w:sdtContent>
              <w:p>
                <w:pPr>
                  <w:snapToGrid w:val="0"/>
                  <w:spacing w:line="240" w:lineRule="atLeast"/>
                  <w:jc w:val="center"/>
                  <w:rPr>
                    <w:color w:val="000000" w:themeColor="text1"/>
                    <w:sz w:val="15"/>
                    <w:szCs w:val="15"/>
                    <w14:textFill>
                      <w14:solidFill>
                        <w14:schemeClr w14:val="tx1"/>
                      </w14:solidFill>
                    </w14:textFill>
                  </w:rPr>
                </w:pPr>
                <w:bookmarkStart w:id="159" w:name="_Hlk238218046"/>
                <w:r>
                  <w:rPr>
                    <w:rFonts w:hint="eastAsia"/>
                    <w:color w:val="000000" w:themeColor="text1"/>
                    <w:sz w:val="15"/>
                    <w:szCs w:val="15"/>
                    <w14:textFill>
                      <w14:solidFill>
                        <w14:schemeClr w14:val="tx1"/>
                      </w14:solidFill>
                    </w14:textFill>
                  </w:rPr>
                  <w:t>项目</w:t>
                </w:r>
              </w:p>
            </w:sdtContent>
          </w:sdt>
        </w:tc>
        <w:tc>
          <w:tcPr>
            <w:tcW w:w="12875" w:type="dxa"/>
            <w:gridSpan w:val="15"/>
            <w:vAlign w:val="center"/>
          </w:tcPr>
          <w:p>
            <w:pPr>
              <w:snapToGrid w:val="0"/>
              <w:spacing w:line="240" w:lineRule="atLeast"/>
              <w:ind w:right="-1594" w:rightChars="-759"/>
              <w:jc w:val="center"/>
              <w:rPr>
                <w:color w:val="000000" w:themeColor="text1"/>
                <w:sz w:val="15"/>
                <w:szCs w:val="15"/>
                <w14:textFill>
                  <w14:solidFill>
                    <w14:schemeClr w14:val="tx1"/>
                  </w14:solidFill>
                </w14:textFill>
              </w:rPr>
            </w:pPr>
            <w:sdt>
              <w:sdtPr>
                <w:rPr>
                  <w:sz w:val="15"/>
                  <w:szCs w:val="15"/>
                </w:rPr>
                <w:tag w:val="_PLD_70c71cd0427542b1b96a0fa943173d3d"/>
                <w:id w:val="-1647573702"/>
              </w:sdtPr>
              <w:sdtEndPr>
                <w:rPr>
                  <w:sz w:val="15"/>
                  <w:szCs w:val="15"/>
                </w:rPr>
              </w:sdtEndPr>
              <w:sdtContent>
                <w:r>
                  <w:rPr>
                    <w:rFonts w:hint="eastAsia"/>
                    <w:color w:val="000000" w:themeColor="text1"/>
                    <w:sz w:val="15"/>
                    <w:szCs w:val="15"/>
                    <w14:textFill>
                      <w14:solidFill>
                        <w14:schemeClr w14:val="tx1"/>
                      </w14:solidFill>
                    </w14:textFill>
                  </w:rPr>
                  <w:t>2026年半年度</w:t>
                </w:r>
              </w:sdtContent>
            </w:sdt>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88" w:type="dxa"/>
            <w:vMerge w:val="continue"/>
            <w:vAlign w:val="center"/>
          </w:tcPr>
          <w:p>
            <w:pPr>
              <w:snapToGrid w:val="0"/>
              <w:spacing w:line="240" w:lineRule="atLeast"/>
              <w:ind w:right="-1594" w:rightChars="-759"/>
              <w:rPr>
                <w:color w:val="000000" w:themeColor="text1"/>
                <w:sz w:val="15"/>
                <w:szCs w:val="15"/>
                <w14:textFill>
                  <w14:solidFill>
                    <w14:schemeClr w14:val="tx1"/>
                  </w14:solidFill>
                </w14:textFill>
              </w:rPr>
            </w:pPr>
          </w:p>
        </w:tc>
        <w:sdt>
          <w:sdtPr>
            <w:rPr>
              <w:sz w:val="15"/>
              <w:szCs w:val="15"/>
            </w:rPr>
            <w:tag w:val="_PLD_e146ec74496c4c03a714dcef40faa972"/>
            <w:id w:val="-697009594"/>
          </w:sdtPr>
          <w:sdtEndPr>
            <w:rPr>
              <w:sz w:val="15"/>
              <w:szCs w:val="15"/>
            </w:rPr>
          </w:sdtEndPr>
          <w:sdtContent>
            <w:tc>
              <w:tcPr>
                <w:tcW w:w="10347" w:type="dxa"/>
                <w:gridSpan w:val="13"/>
                <w:vAlign w:val="center"/>
              </w:tcPr>
              <w:p>
                <w:pPr>
                  <w:jc w:val="cente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归属于母公司所有者权益</w:t>
                </w:r>
              </w:p>
            </w:tc>
          </w:sdtContent>
        </w:sdt>
        <w:sdt>
          <w:sdtPr>
            <w:rPr>
              <w:sz w:val="15"/>
              <w:szCs w:val="15"/>
            </w:rPr>
            <w:tag w:val="_PLD_b1ca85c50c1341e59b4b412e92d87f2f"/>
            <w:id w:val="1018883779"/>
          </w:sdtPr>
          <w:sdtEndPr>
            <w:rPr>
              <w:sz w:val="15"/>
              <w:szCs w:val="15"/>
            </w:rPr>
          </w:sdtEndPr>
          <w:sdtContent>
            <w:tc>
              <w:tcPr>
                <w:tcW w:w="1134" w:type="dxa"/>
                <w:vMerge w:val="restart"/>
                <w:vAlign w:val="center"/>
              </w:tcPr>
              <w:p>
                <w:pPr>
                  <w:jc w:val="cente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少数股东权益</w:t>
                </w:r>
              </w:p>
            </w:tc>
          </w:sdtContent>
        </w:sdt>
        <w:sdt>
          <w:sdtPr>
            <w:rPr>
              <w:sz w:val="15"/>
              <w:szCs w:val="15"/>
            </w:rPr>
            <w:tag w:val="_PLD_0e252e0d00f04386b93d4e3064ba423d"/>
            <w:id w:val="719175038"/>
          </w:sdtPr>
          <w:sdtEndPr>
            <w:rPr>
              <w:sz w:val="15"/>
              <w:szCs w:val="15"/>
            </w:rPr>
          </w:sdtEndPr>
          <w:sdtContent>
            <w:tc>
              <w:tcPr>
                <w:tcW w:w="1394" w:type="dxa"/>
                <w:vMerge w:val="restart"/>
                <w:vAlign w:val="center"/>
              </w:tcPr>
              <w:p>
                <w:pPr>
                  <w:jc w:val="cente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所有者权益合计</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88" w:type="dxa"/>
            <w:vMerge w:val="continue"/>
            <w:vAlign w:val="center"/>
          </w:tcPr>
          <w:p>
            <w:pPr>
              <w:snapToGrid w:val="0"/>
              <w:spacing w:line="240" w:lineRule="atLeast"/>
              <w:ind w:right="-1594" w:rightChars="-759"/>
              <w:rPr>
                <w:color w:val="000000" w:themeColor="text1"/>
                <w:sz w:val="15"/>
                <w:szCs w:val="15"/>
                <w14:textFill>
                  <w14:solidFill>
                    <w14:schemeClr w14:val="tx1"/>
                  </w14:solidFill>
                </w14:textFill>
              </w:rPr>
            </w:pPr>
          </w:p>
        </w:tc>
        <w:sdt>
          <w:sdtPr>
            <w:rPr>
              <w:sz w:val="15"/>
              <w:szCs w:val="15"/>
            </w:rPr>
            <w:tag w:val="_PLD_1605afb5a60946a9ba86cca783d492d3"/>
            <w:id w:val="-318508010"/>
          </w:sdtPr>
          <w:sdtEndPr>
            <w:rPr>
              <w:sz w:val="15"/>
              <w:szCs w:val="15"/>
            </w:rPr>
          </w:sdtEndPr>
          <w:sdtContent>
            <w:tc>
              <w:tcPr>
                <w:tcW w:w="937"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实收资本</w:t>
                </w:r>
                <w:r>
                  <w:rPr>
                    <w:color w:val="000000" w:themeColor="text1"/>
                    <w:sz w:val="15"/>
                    <w:szCs w:val="15"/>
                    <w14:textFill>
                      <w14:solidFill>
                        <w14:schemeClr w14:val="tx1"/>
                      </w14:solidFill>
                    </w14:textFill>
                  </w:rPr>
                  <w:t xml:space="preserve"> (或股本)</w:t>
                </w:r>
              </w:p>
            </w:tc>
          </w:sdtContent>
        </w:sdt>
        <w:sdt>
          <w:sdtPr>
            <w:rPr>
              <w:sz w:val="15"/>
              <w:szCs w:val="15"/>
            </w:rPr>
            <w:tag w:val="_PLD_78f5e518a65d422c99d27d23e96afb9e"/>
            <w:id w:val="1417739210"/>
          </w:sdtPr>
          <w:sdtEndPr>
            <w:rPr>
              <w:sz w:val="15"/>
              <w:szCs w:val="15"/>
            </w:rPr>
          </w:sdtEndPr>
          <w:sdtContent>
            <w:tc>
              <w:tcPr>
                <w:tcW w:w="969" w:type="dxa"/>
                <w:gridSpan w:val="3"/>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其他权益工具</w:t>
                </w:r>
              </w:p>
            </w:tc>
          </w:sdtContent>
        </w:sdt>
        <w:sdt>
          <w:sdtPr>
            <w:rPr>
              <w:sz w:val="15"/>
              <w:szCs w:val="15"/>
            </w:rPr>
            <w:tag w:val="_PLD_f67d05ac9f6f4daaafdf90084911dcee"/>
            <w:id w:val="-766308188"/>
          </w:sdtPr>
          <w:sdtEndPr>
            <w:rPr>
              <w:sz w:val="15"/>
              <w:szCs w:val="15"/>
            </w:rPr>
          </w:sdtEndPr>
          <w:sdtContent>
            <w:tc>
              <w:tcPr>
                <w:tcW w:w="1070"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资本公积</w:t>
                </w:r>
              </w:p>
            </w:tc>
          </w:sdtContent>
        </w:sdt>
        <w:sdt>
          <w:sdtPr>
            <w:rPr>
              <w:sz w:val="15"/>
              <w:szCs w:val="15"/>
            </w:rPr>
            <w:tag w:val="_PLD_21df11f52b3443acacf7dd8421b5cc67"/>
            <w:id w:val="-1657148930"/>
          </w:sdtPr>
          <w:sdtEndPr>
            <w:rPr>
              <w:sz w:val="15"/>
              <w:szCs w:val="15"/>
            </w:rPr>
          </w:sdtEndPr>
          <w:sdtContent>
            <w:tc>
              <w:tcPr>
                <w:tcW w:w="1140"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减：库存股</w:t>
                </w:r>
              </w:p>
            </w:tc>
          </w:sdtContent>
        </w:sdt>
        <w:sdt>
          <w:sdtPr>
            <w:rPr>
              <w:sz w:val="15"/>
              <w:szCs w:val="15"/>
            </w:rPr>
            <w:tag w:val="_PLD_bdc12fd277ea4fbe9c90f9480d9ecddb"/>
            <w:id w:val="651484976"/>
          </w:sdtPr>
          <w:sdtEndPr>
            <w:rPr>
              <w:sz w:val="15"/>
              <w:szCs w:val="15"/>
            </w:rPr>
          </w:sdtEndPr>
          <w:sdtContent>
            <w:tc>
              <w:tcPr>
                <w:tcW w:w="994"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其他综合收益</w:t>
                </w:r>
              </w:p>
            </w:tc>
          </w:sdtContent>
        </w:sdt>
        <w:sdt>
          <w:sdtPr>
            <w:rPr>
              <w:sz w:val="15"/>
              <w:szCs w:val="15"/>
            </w:rPr>
            <w:tag w:val="_PLD_b4aa95f4be904a02958b77b5542bb78d"/>
            <w:id w:val="-1649047774"/>
          </w:sdtPr>
          <w:sdtEndPr>
            <w:rPr>
              <w:sz w:val="15"/>
              <w:szCs w:val="15"/>
            </w:rPr>
          </w:sdtEndPr>
          <w:sdtContent>
            <w:tc>
              <w:tcPr>
                <w:tcW w:w="1068"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专项储备</w:t>
                </w:r>
              </w:p>
            </w:tc>
          </w:sdtContent>
        </w:sdt>
        <w:sdt>
          <w:sdtPr>
            <w:rPr>
              <w:sz w:val="15"/>
              <w:szCs w:val="15"/>
            </w:rPr>
            <w:tag w:val="_PLD_1ee8f47ee38e4000af64e781a1a0e729"/>
            <w:id w:val="2049175000"/>
          </w:sdtPr>
          <w:sdtEndPr>
            <w:rPr>
              <w:sz w:val="15"/>
              <w:szCs w:val="15"/>
            </w:rPr>
          </w:sdtEndPr>
          <w:sdtContent>
            <w:tc>
              <w:tcPr>
                <w:tcW w:w="909"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盈余公积</w:t>
                </w:r>
              </w:p>
            </w:tc>
          </w:sdtContent>
        </w:sdt>
        <w:sdt>
          <w:sdtPr>
            <w:rPr>
              <w:sz w:val="15"/>
              <w:szCs w:val="15"/>
            </w:rPr>
            <w:tag w:val="_PLD_b09258af0aa4494b8e88e711ca2dd7b8"/>
            <w:id w:val="-535426625"/>
          </w:sdtPr>
          <w:sdtEndPr>
            <w:rPr>
              <w:sz w:val="15"/>
              <w:szCs w:val="15"/>
            </w:rPr>
          </w:sdtEndPr>
          <w:sdtContent>
            <w:tc>
              <w:tcPr>
                <w:tcW w:w="597"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一般风险准备</w:t>
                </w:r>
              </w:p>
            </w:tc>
          </w:sdtContent>
        </w:sdt>
        <w:sdt>
          <w:sdtPr>
            <w:rPr>
              <w:sz w:val="15"/>
              <w:szCs w:val="15"/>
            </w:rPr>
            <w:tag w:val="_PLD_f20054bead0a491aafe7bb5a5952f48f"/>
            <w:id w:val="843595879"/>
          </w:sdtPr>
          <w:sdtEndPr>
            <w:rPr>
              <w:sz w:val="15"/>
              <w:szCs w:val="15"/>
            </w:rPr>
          </w:sdtEndPr>
          <w:sdtContent>
            <w:tc>
              <w:tcPr>
                <w:tcW w:w="1246"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未分配利润</w:t>
                </w:r>
              </w:p>
            </w:tc>
          </w:sdtContent>
        </w:sdt>
        <w:tc>
          <w:tcPr>
            <w:tcW w:w="283" w:type="dxa"/>
            <w:vMerge w:val="restart"/>
            <w:vAlign w:val="center"/>
          </w:tcPr>
          <w:sdt>
            <w:sdtPr>
              <w:rPr>
                <w:sz w:val="15"/>
                <w:szCs w:val="15"/>
              </w:rPr>
              <w:tag w:val="_PLD_ee763dfa69fd4fa3bec927cefa83eadc"/>
              <w:id w:val="322788885"/>
            </w:sdtPr>
            <w:sdtEndPr>
              <w:rPr>
                <w:sz w:val="15"/>
                <w:szCs w:val="15"/>
              </w:rPr>
            </w:sdtEndPr>
            <w:sdtContent>
              <w:p>
                <w:pPr>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w:t>
                </w:r>
              </w:p>
            </w:sdtContent>
          </w:sdt>
        </w:tc>
        <w:tc>
          <w:tcPr>
            <w:tcW w:w="1134" w:type="dxa"/>
            <w:vMerge w:val="restart"/>
            <w:vAlign w:val="center"/>
          </w:tcPr>
          <w:sdt>
            <w:sdtPr>
              <w:rPr>
                <w:sz w:val="15"/>
                <w:szCs w:val="15"/>
              </w:rPr>
              <w:tag w:val="_PLD_97c92cf2be1e4f36880a16a2c16704b4"/>
              <w:id w:val="-1873988705"/>
            </w:sdtPr>
            <w:sdtEndPr>
              <w:rPr>
                <w:sz w:val="15"/>
                <w:szCs w:val="15"/>
              </w:rPr>
            </w:sdtEndPr>
            <w:sdtContent>
              <w:p>
                <w:pPr>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小计</w:t>
                </w:r>
              </w:p>
            </w:sdtContent>
          </w:sdt>
        </w:tc>
        <w:tc>
          <w:tcPr>
            <w:tcW w:w="1134" w:type="dxa"/>
            <w:vMerge w:val="continue"/>
            <w:vAlign w:val="center"/>
          </w:tcPr>
          <w:p>
            <w:pPr>
              <w:jc w:val="center"/>
              <w:rPr>
                <w:color w:val="000000" w:themeColor="text1"/>
                <w:sz w:val="15"/>
                <w:szCs w:val="15"/>
                <w14:textFill>
                  <w14:solidFill>
                    <w14:schemeClr w14:val="tx1"/>
                  </w14:solidFill>
                </w14:textFill>
              </w:rPr>
            </w:pPr>
          </w:p>
        </w:tc>
        <w:tc>
          <w:tcPr>
            <w:tcW w:w="1394" w:type="dxa"/>
            <w:vMerge w:val="continue"/>
            <w:vAlign w:val="center"/>
          </w:tcPr>
          <w:p>
            <w:pPr>
              <w:jc w:val="center"/>
              <w:rPr>
                <w:color w:val="000000" w:themeColor="text1"/>
                <w:sz w:val="15"/>
                <w:szCs w:val="15"/>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988" w:type="dxa"/>
            <w:vMerge w:val="continue"/>
            <w:vAlign w:val="center"/>
          </w:tcPr>
          <w:p>
            <w:pPr>
              <w:snapToGrid w:val="0"/>
              <w:spacing w:line="240" w:lineRule="atLeast"/>
              <w:ind w:right="-1594" w:rightChars="-759"/>
              <w:rPr>
                <w:color w:val="000000" w:themeColor="text1"/>
                <w:sz w:val="15"/>
                <w:szCs w:val="15"/>
                <w14:textFill>
                  <w14:solidFill>
                    <w14:schemeClr w14:val="tx1"/>
                  </w14:solidFill>
                </w14:textFill>
              </w:rPr>
            </w:pPr>
          </w:p>
        </w:tc>
        <w:tc>
          <w:tcPr>
            <w:tcW w:w="937"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sdt>
          <w:sdtPr>
            <w:rPr>
              <w:sz w:val="15"/>
              <w:szCs w:val="15"/>
            </w:rPr>
            <w:tag w:val="_PLD_7b6493af25ff4e3986120f711cb3be4e"/>
            <w:id w:val="-1437291456"/>
          </w:sdtPr>
          <w:sdtEndPr>
            <w:rPr>
              <w:sz w:val="15"/>
              <w:szCs w:val="15"/>
            </w:rPr>
          </w:sdtEndPr>
          <w:sdtContent>
            <w:tc>
              <w:tcPr>
                <w:tcW w:w="338" w:type="dxa"/>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优先股</w:t>
                </w:r>
              </w:p>
            </w:tc>
          </w:sdtContent>
        </w:sdt>
        <w:sdt>
          <w:sdtPr>
            <w:rPr>
              <w:sz w:val="15"/>
              <w:szCs w:val="15"/>
            </w:rPr>
            <w:tag w:val="_PLD_446c35c8857c4ad0bb648db82e104141"/>
            <w:id w:val="-2015989722"/>
          </w:sdtPr>
          <w:sdtEndPr>
            <w:rPr>
              <w:sz w:val="15"/>
              <w:szCs w:val="15"/>
            </w:rPr>
          </w:sdtEndPr>
          <w:sdtContent>
            <w:tc>
              <w:tcPr>
                <w:tcW w:w="284" w:type="dxa"/>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永续债</w:t>
                </w:r>
              </w:p>
            </w:tc>
          </w:sdtContent>
        </w:sdt>
        <w:sdt>
          <w:sdtPr>
            <w:rPr>
              <w:sz w:val="15"/>
              <w:szCs w:val="15"/>
            </w:rPr>
            <w:tag w:val="_PLD_e8048d05ab294ec8a2a849ca1f70a7c9"/>
            <w:id w:val="-1176111369"/>
          </w:sdtPr>
          <w:sdtEndPr>
            <w:rPr>
              <w:sz w:val="15"/>
              <w:szCs w:val="15"/>
            </w:rPr>
          </w:sdtEndPr>
          <w:sdtContent>
            <w:tc>
              <w:tcPr>
                <w:tcW w:w="347" w:type="dxa"/>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w:t>
                </w:r>
              </w:p>
            </w:tc>
          </w:sdtContent>
        </w:sdt>
        <w:tc>
          <w:tcPr>
            <w:tcW w:w="1070"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1140"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994"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1068"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909"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597"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1246"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283" w:type="dxa"/>
            <w:vMerge w:val="continue"/>
            <w:vAlign w:val="center"/>
          </w:tcPr>
          <w:p>
            <w:pPr>
              <w:jc w:val="center"/>
              <w:rPr>
                <w:color w:val="000000" w:themeColor="text1"/>
                <w:sz w:val="15"/>
                <w:szCs w:val="15"/>
                <w14:textFill>
                  <w14:solidFill>
                    <w14:schemeClr w14:val="tx1"/>
                  </w14:solidFill>
                </w14:textFill>
              </w:rPr>
            </w:pPr>
          </w:p>
        </w:tc>
        <w:tc>
          <w:tcPr>
            <w:tcW w:w="1134" w:type="dxa"/>
            <w:vMerge w:val="continue"/>
            <w:vAlign w:val="center"/>
          </w:tcPr>
          <w:p>
            <w:pPr>
              <w:jc w:val="center"/>
              <w:rPr>
                <w:color w:val="000000" w:themeColor="text1"/>
                <w:sz w:val="15"/>
                <w:szCs w:val="15"/>
                <w14:textFill>
                  <w14:solidFill>
                    <w14:schemeClr w14:val="tx1"/>
                  </w14:solidFill>
                </w14:textFill>
              </w:rPr>
            </w:pPr>
          </w:p>
        </w:tc>
        <w:tc>
          <w:tcPr>
            <w:tcW w:w="1134" w:type="dxa"/>
            <w:vMerge w:val="continue"/>
            <w:vAlign w:val="center"/>
          </w:tcPr>
          <w:p>
            <w:pPr>
              <w:jc w:val="center"/>
              <w:rPr>
                <w:color w:val="000000" w:themeColor="text1"/>
                <w:sz w:val="15"/>
                <w:szCs w:val="15"/>
                <w14:textFill>
                  <w14:solidFill>
                    <w14:schemeClr w14:val="tx1"/>
                  </w14:solidFill>
                </w14:textFill>
              </w:rPr>
            </w:pPr>
          </w:p>
        </w:tc>
        <w:tc>
          <w:tcPr>
            <w:tcW w:w="1394" w:type="dxa"/>
            <w:vMerge w:val="continue"/>
            <w:tcBorders>
              <w:bottom w:val="nil"/>
            </w:tcBorders>
            <w:vAlign w:val="center"/>
          </w:tcPr>
          <w:p>
            <w:pPr>
              <w:jc w:val="center"/>
              <w:rPr>
                <w:color w:val="000000" w:themeColor="text1"/>
                <w:sz w:val="15"/>
                <w:szCs w:val="15"/>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1f22f69e67ea4292afb08dec65f863c7"/>
            <w:id w:val="-974978217"/>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一、上年</w:t>
                </w:r>
                <w:r>
                  <w:rPr>
                    <w:rFonts w:hint="eastAsia"/>
                    <w:color w:val="000000" w:themeColor="text1"/>
                    <w:sz w:val="15"/>
                    <w:szCs w:val="15"/>
                    <w14:textFill>
                      <w14:solidFill>
                        <w14:schemeClr w14:val="tx1"/>
                      </w14:solidFill>
                    </w14:textFill>
                  </w:rPr>
                  <w:t>期</w:t>
                </w:r>
                <w:r>
                  <w:rPr>
                    <w:color w:val="000000" w:themeColor="text1"/>
                    <w:sz w:val="15"/>
                    <w:szCs w:val="15"/>
                    <w14:textFill>
                      <w14:solidFill>
                        <w14:schemeClr w14:val="tx1"/>
                      </w14:solidFill>
                    </w14:textFill>
                  </w:rPr>
                  <w:t>末余额</w:t>
                </w:r>
              </w:p>
            </w:tc>
          </w:sdtContent>
        </w:sdt>
        <w:tc>
          <w:tcPr>
            <w:tcW w:w="937" w:type="dxa"/>
            <w:vAlign w:val="center"/>
          </w:tcPr>
          <w:p>
            <w:pPr>
              <w:jc w:val="right"/>
              <w:rPr>
                <w:sz w:val="15"/>
                <w:szCs w:val="15"/>
              </w:rPr>
            </w:pPr>
            <w:r>
              <w:rPr>
                <w:sz w:val="15"/>
                <w:szCs w:val="15"/>
              </w:rPr>
              <w:t xml:space="preserve"> 332,353,407.00 </w:t>
            </w: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r>
              <w:rPr>
                <w:sz w:val="15"/>
                <w:szCs w:val="15"/>
              </w:rPr>
              <w:t xml:space="preserve"> 979,601,250.80 </w:t>
            </w:r>
          </w:p>
        </w:tc>
        <w:tc>
          <w:tcPr>
            <w:tcW w:w="1140" w:type="dxa"/>
            <w:vAlign w:val="center"/>
          </w:tcPr>
          <w:p>
            <w:pPr>
              <w:jc w:val="right"/>
              <w:rPr>
                <w:sz w:val="15"/>
                <w:szCs w:val="15"/>
              </w:rPr>
            </w:pPr>
            <w:r>
              <w:rPr>
                <w:sz w:val="15"/>
                <w:szCs w:val="15"/>
              </w:rPr>
              <w:t xml:space="preserve">19,807,681.28 </w:t>
            </w:r>
          </w:p>
        </w:tc>
        <w:tc>
          <w:tcPr>
            <w:tcW w:w="994" w:type="dxa"/>
            <w:vAlign w:val="center"/>
          </w:tcPr>
          <w:p>
            <w:pPr>
              <w:jc w:val="right"/>
              <w:rPr>
                <w:sz w:val="15"/>
                <w:szCs w:val="15"/>
              </w:rPr>
            </w:pPr>
            <w:r>
              <w:rPr>
                <w:sz w:val="15"/>
                <w:szCs w:val="15"/>
              </w:rPr>
              <w:t xml:space="preserve"> 1,023,934.45 </w:t>
            </w:r>
          </w:p>
        </w:tc>
        <w:tc>
          <w:tcPr>
            <w:tcW w:w="1068" w:type="dxa"/>
            <w:vAlign w:val="center"/>
          </w:tcPr>
          <w:p>
            <w:pPr>
              <w:jc w:val="right"/>
              <w:rPr>
                <w:sz w:val="15"/>
                <w:szCs w:val="15"/>
              </w:rPr>
            </w:pPr>
            <w:r>
              <w:rPr>
                <w:sz w:val="15"/>
                <w:szCs w:val="15"/>
              </w:rPr>
              <w:t xml:space="preserve"> 22,715,521.68 </w:t>
            </w:r>
          </w:p>
        </w:tc>
        <w:tc>
          <w:tcPr>
            <w:tcW w:w="909" w:type="dxa"/>
            <w:vAlign w:val="center"/>
          </w:tcPr>
          <w:p>
            <w:pPr>
              <w:jc w:val="right"/>
              <w:rPr>
                <w:sz w:val="15"/>
                <w:szCs w:val="15"/>
              </w:rPr>
            </w:pPr>
            <w:r>
              <w:rPr>
                <w:sz w:val="15"/>
                <w:szCs w:val="15"/>
              </w:rPr>
              <w:t xml:space="preserve"> 127,047,120.13 </w:t>
            </w:r>
          </w:p>
        </w:tc>
        <w:tc>
          <w:tcPr>
            <w:tcW w:w="597" w:type="dxa"/>
            <w:vAlign w:val="center"/>
          </w:tcPr>
          <w:p>
            <w:pPr>
              <w:jc w:val="right"/>
              <w:rPr>
                <w:sz w:val="15"/>
                <w:szCs w:val="15"/>
              </w:rPr>
            </w:pPr>
          </w:p>
        </w:tc>
        <w:tc>
          <w:tcPr>
            <w:tcW w:w="1246" w:type="dxa"/>
            <w:vAlign w:val="center"/>
          </w:tcPr>
          <w:p>
            <w:pPr>
              <w:jc w:val="right"/>
              <w:rPr>
                <w:sz w:val="15"/>
                <w:szCs w:val="15"/>
              </w:rPr>
            </w:pPr>
            <w:r>
              <w:rPr>
                <w:sz w:val="15"/>
                <w:szCs w:val="15"/>
              </w:rPr>
              <w:t xml:space="preserve"> 1,051,708,163.82 </w:t>
            </w: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 xml:space="preserve"> 2,494,641,716.60 </w:t>
            </w:r>
          </w:p>
        </w:tc>
        <w:tc>
          <w:tcPr>
            <w:tcW w:w="1134" w:type="dxa"/>
            <w:vAlign w:val="center"/>
          </w:tcPr>
          <w:p>
            <w:pPr>
              <w:jc w:val="right"/>
              <w:rPr>
                <w:sz w:val="15"/>
                <w:szCs w:val="15"/>
              </w:rPr>
            </w:pPr>
            <w:r>
              <w:rPr>
                <w:sz w:val="15"/>
                <w:szCs w:val="15"/>
              </w:rPr>
              <w:t xml:space="preserve"> 3,630,385.53 </w:t>
            </w:r>
          </w:p>
        </w:tc>
        <w:tc>
          <w:tcPr>
            <w:tcW w:w="1394" w:type="dxa"/>
            <w:vAlign w:val="center"/>
          </w:tcPr>
          <w:p>
            <w:pPr>
              <w:jc w:val="right"/>
              <w:rPr>
                <w:sz w:val="15"/>
                <w:szCs w:val="15"/>
              </w:rPr>
            </w:pPr>
            <w:r>
              <w:rPr>
                <w:sz w:val="15"/>
                <w:szCs w:val="15"/>
              </w:rPr>
              <w:t xml:space="preserve"> 2,498,272,102.13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8753148a28244d68bf92b2fbad32f9b8"/>
            <w:id w:val="1604151537"/>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加：</w:t>
                </w:r>
                <w:r>
                  <w:rPr>
                    <w:color w:val="000000" w:themeColor="text1"/>
                    <w:sz w:val="15"/>
                    <w:szCs w:val="15"/>
                    <w14:textFill>
                      <w14:solidFill>
                        <w14:schemeClr w14:val="tx1"/>
                      </w14:solidFill>
                    </w14:textFill>
                  </w:rPr>
                  <w:t>会计政策变更</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291ece6b974e4962be6cec3c398fd5be"/>
            <w:id w:val="1345974075"/>
          </w:sdtPr>
          <w:sdtEndPr>
            <w:rPr>
              <w:sz w:val="15"/>
              <w:szCs w:val="15"/>
            </w:rPr>
          </w:sdtEndPr>
          <w:sdtContent>
            <w:tc>
              <w:tcPr>
                <w:tcW w:w="988" w:type="dxa"/>
                <w:vAlign w:val="center"/>
              </w:tcPr>
              <w:p>
                <w:pPr>
                  <w:ind w:firstLine="300" w:firstLineChars="200"/>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前期差错更正</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7953fd87201b462ab8c42a4716d6cb65"/>
            <w:id w:val="380765861"/>
          </w:sdtPr>
          <w:sdtEndPr>
            <w:rPr>
              <w:sz w:val="15"/>
              <w:szCs w:val="15"/>
            </w:rPr>
          </w:sdtEndPr>
          <w:sdtContent>
            <w:tc>
              <w:tcPr>
                <w:tcW w:w="988" w:type="dxa"/>
                <w:vAlign w:val="center"/>
              </w:tcPr>
              <w:p>
                <w:pPr>
                  <w:ind w:firstLine="300" w:firstLineChars="200"/>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16d601e73dc14990b60ca53acf1371ba"/>
            <w:id w:val="566536349"/>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二、本年</w:t>
                </w:r>
                <w:r>
                  <w:rPr>
                    <w:rFonts w:hint="eastAsia"/>
                    <w:color w:val="000000" w:themeColor="text1"/>
                    <w:sz w:val="15"/>
                    <w:szCs w:val="15"/>
                    <w14:textFill>
                      <w14:solidFill>
                        <w14:schemeClr w14:val="tx1"/>
                      </w14:solidFill>
                    </w14:textFill>
                  </w:rPr>
                  <w:t>期</w:t>
                </w:r>
                <w:r>
                  <w:rPr>
                    <w:color w:val="000000" w:themeColor="text1"/>
                    <w:sz w:val="15"/>
                    <w:szCs w:val="15"/>
                    <w14:textFill>
                      <w14:solidFill>
                        <w14:schemeClr w14:val="tx1"/>
                      </w14:solidFill>
                    </w14:textFill>
                  </w:rPr>
                  <w:t>初余额</w:t>
                </w:r>
              </w:p>
            </w:tc>
          </w:sdtContent>
        </w:sdt>
        <w:tc>
          <w:tcPr>
            <w:tcW w:w="937" w:type="dxa"/>
            <w:vAlign w:val="center"/>
          </w:tcPr>
          <w:p>
            <w:pPr>
              <w:jc w:val="right"/>
              <w:rPr>
                <w:sz w:val="15"/>
                <w:szCs w:val="15"/>
              </w:rPr>
            </w:pPr>
            <w:r>
              <w:rPr>
                <w:sz w:val="15"/>
                <w:szCs w:val="15"/>
              </w:rPr>
              <w:t xml:space="preserve"> 332,353,407.00 </w:t>
            </w: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r>
              <w:rPr>
                <w:sz w:val="15"/>
                <w:szCs w:val="15"/>
              </w:rPr>
              <w:t xml:space="preserve"> 979,601,250.80 </w:t>
            </w:r>
          </w:p>
        </w:tc>
        <w:tc>
          <w:tcPr>
            <w:tcW w:w="1140" w:type="dxa"/>
            <w:vAlign w:val="center"/>
          </w:tcPr>
          <w:p>
            <w:pPr>
              <w:jc w:val="right"/>
              <w:rPr>
                <w:sz w:val="15"/>
                <w:szCs w:val="15"/>
              </w:rPr>
            </w:pPr>
            <w:r>
              <w:rPr>
                <w:sz w:val="15"/>
                <w:szCs w:val="15"/>
              </w:rPr>
              <w:t xml:space="preserve">19,807,681.28 </w:t>
            </w:r>
          </w:p>
        </w:tc>
        <w:tc>
          <w:tcPr>
            <w:tcW w:w="994" w:type="dxa"/>
            <w:vAlign w:val="center"/>
          </w:tcPr>
          <w:p>
            <w:pPr>
              <w:jc w:val="right"/>
              <w:rPr>
                <w:sz w:val="15"/>
                <w:szCs w:val="15"/>
              </w:rPr>
            </w:pPr>
            <w:r>
              <w:rPr>
                <w:sz w:val="15"/>
                <w:szCs w:val="15"/>
              </w:rPr>
              <w:t xml:space="preserve"> 1,023,934.45 </w:t>
            </w:r>
          </w:p>
        </w:tc>
        <w:tc>
          <w:tcPr>
            <w:tcW w:w="1068" w:type="dxa"/>
            <w:vAlign w:val="center"/>
          </w:tcPr>
          <w:p>
            <w:pPr>
              <w:jc w:val="right"/>
              <w:rPr>
                <w:sz w:val="15"/>
                <w:szCs w:val="15"/>
              </w:rPr>
            </w:pPr>
            <w:r>
              <w:rPr>
                <w:sz w:val="15"/>
                <w:szCs w:val="15"/>
              </w:rPr>
              <w:t xml:space="preserve"> 22,715,521.68 </w:t>
            </w:r>
          </w:p>
        </w:tc>
        <w:tc>
          <w:tcPr>
            <w:tcW w:w="909" w:type="dxa"/>
            <w:vAlign w:val="center"/>
          </w:tcPr>
          <w:p>
            <w:pPr>
              <w:jc w:val="right"/>
              <w:rPr>
                <w:sz w:val="15"/>
                <w:szCs w:val="15"/>
              </w:rPr>
            </w:pPr>
            <w:r>
              <w:rPr>
                <w:sz w:val="15"/>
                <w:szCs w:val="15"/>
              </w:rPr>
              <w:t xml:space="preserve"> 127,047,120.13 </w:t>
            </w:r>
          </w:p>
        </w:tc>
        <w:tc>
          <w:tcPr>
            <w:tcW w:w="597" w:type="dxa"/>
            <w:vAlign w:val="center"/>
          </w:tcPr>
          <w:p>
            <w:pPr>
              <w:jc w:val="right"/>
              <w:rPr>
                <w:sz w:val="15"/>
                <w:szCs w:val="15"/>
              </w:rPr>
            </w:pPr>
          </w:p>
        </w:tc>
        <w:tc>
          <w:tcPr>
            <w:tcW w:w="1246" w:type="dxa"/>
            <w:vAlign w:val="center"/>
          </w:tcPr>
          <w:p>
            <w:pPr>
              <w:jc w:val="right"/>
              <w:rPr>
                <w:sz w:val="15"/>
                <w:szCs w:val="15"/>
              </w:rPr>
            </w:pPr>
            <w:r>
              <w:rPr>
                <w:sz w:val="15"/>
                <w:szCs w:val="15"/>
              </w:rPr>
              <w:t xml:space="preserve"> 1,051,708,163.82 </w:t>
            </w: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 xml:space="preserve"> 2,494,641,716.60 </w:t>
            </w:r>
          </w:p>
        </w:tc>
        <w:tc>
          <w:tcPr>
            <w:tcW w:w="1134" w:type="dxa"/>
            <w:vAlign w:val="center"/>
          </w:tcPr>
          <w:p>
            <w:pPr>
              <w:jc w:val="right"/>
              <w:rPr>
                <w:sz w:val="15"/>
                <w:szCs w:val="15"/>
              </w:rPr>
            </w:pPr>
            <w:r>
              <w:rPr>
                <w:sz w:val="15"/>
                <w:szCs w:val="15"/>
              </w:rPr>
              <w:t xml:space="preserve"> 3,630,385.53 </w:t>
            </w:r>
          </w:p>
        </w:tc>
        <w:tc>
          <w:tcPr>
            <w:tcW w:w="1394" w:type="dxa"/>
            <w:vAlign w:val="center"/>
          </w:tcPr>
          <w:p>
            <w:pPr>
              <w:jc w:val="right"/>
              <w:rPr>
                <w:sz w:val="15"/>
                <w:szCs w:val="15"/>
              </w:rPr>
            </w:pPr>
            <w:r>
              <w:rPr>
                <w:sz w:val="15"/>
                <w:szCs w:val="15"/>
              </w:rPr>
              <w:t xml:space="preserve"> 2,498,272,102.13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60156dcb8ac241a7929015e75c8eef16"/>
            <w:id w:val="-280652807"/>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三、本</w:t>
                </w:r>
                <w:r>
                  <w:rPr>
                    <w:rFonts w:hint="eastAsia"/>
                    <w:color w:val="000000" w:themeColor="text1"/>
                    <w:sz w:val="15"/>
                    <w:szCs w:val="15"/>
                    <w14:textFill>
                      <w14:solidFill>
                        <w14:schemeClr w14:val="tx1"/>
                      </w14:solidFill>
                    </w14:textFill>
                  </w:rPr>
                  <w:t>期</w:t>
                </w:r>
                <w:r>
                  <w:rPr>
                    <w:color w:val="000000" w:themeColor="text1"/>
                    <w:sz w:val="15"/>
                    <w:szCs w:val="15"/>
                    <w14:textFill>
                      <w14:solidFill>
                        <w14:schemeClr w14:val="tx1"/>
                      </w14:solidFill>
                    </w14:textFill>
                  </w:rPr>
                  <w:t>增减变动金额（减少以“</w:t>
                </w:r>
                <w:r>
                  <w:rPr>
                    <w:rFonts w:hint="eastAsia"/>
                    <w:color w:val="000000" w:themeColor="text1"/>
                    <w:sz w:val="15"/>
                    <w:szCs w:val="15"/>
                    <w14:textFill>
                      <w14:solidFill>
                        <w14:schemeClr w14:val="tx1"/>
                      </w14:solidFill>
                    </w14:textFill>
                  </w:rPr>
                  <w:t>-</w:t>
                </w:r>
                <w:r>
                  <w:rPr>
                    <w:color w:val="000000" w:themeColor="text1"/>
                    <w:sz w:val="15"/>
                    <w:szCs w:val="15"/>
                    <w14:textFill>
                      <w14:solidFill>
                        <w14:schemeClr w14:val="tx1"/>
                      </w14:solidFill>
                    </w14:textFill>
                  </w:rPr>
                  <w:t>”号填列）</w:t>
                </w:r>
              </w:p>
            </w:tc>
          </w:sdtContent>
        </w:sdt>
        <w:tc>
          <w:tcPr>
            <w:tcW w:w="937" w:type="dxa"/>
            <w:vAlign w:val="center"/>
          </w:tcPr>
          <w:p>
            <w:pPr>
              <w:jc w:val="right"/>
              <w:rPr>
                <w:sz w:val="15"/>
                <w:szCs w:val="15"/>
              </w:rPr>
            </w:pPr>
            <w:r>
              <w:rPr>
                <w:sz w:val="15"/>
                <w:szCs w:val="15"/>
              </w:rPr>
              <w:t xml:space="preserve"> -2,388,768.00 </w:t>
            </w: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r>
              <w:rPr>
                <w:sz w:val="15"/>
                <w:szCs w:val="15"/>
              </w:rPr>
              <w:t xml:space="preserve"> -17,526,833.78 </w:t>
            </w:r>
          </w:p>
        </w:tc>
        <w:tc>
          <w:tcPr>
            <w:tcW w:w="1140" w:type="dxa"/>
            <w:vAlign w:val="center"/>
          </w:tcPr>
          <w:p>
            <w:pPr>
              <w:jc w:val="right"/>
              <w:rPr>
                <w:sz w:val="15"/>
                <w:szCs w:val="15"/>
              </w:rPr>
            </w:pPr>
            <w:r>
              <w:rPr>
                <w:sz w:val="15"/>
                <w:szCs w:val="15"/>
              </w:rPr>
              <w:t xml:space="preserve">-19,807,681.28 </w:t>
            </w:r>
          </w:p>
        </w:tc>
        <w:tc>
          <w:tcPr>
            <w:tcW w:w="994" w:type="dxa"/>
            <w:vAlign w:val="center"/>
          </w:tcPr>
          <w:p>
            <w:pPr>
              <w:jc w:val="right"/>
              <w:rPr>
                <w:sz w:val="15"/>
                <w:szCs w:val="15"/>
              </w:rPr>
            </w:pPr>
            <w:r>
              <w:rPr>
                <w:sz w:val="15"/>
                <w:szCs w:val="15"/>
              </w:rPr>
              <w:t xml:space="preserve"> -1,453,893.21 </w:t>
            </w:r>
          </w:p>
        </w:tc>
        <w:tc>
          <w:tcPr>
            <w:tcW w:w="1068" w:type="dxa"/>
            <w:vAlign w:val="center"/>
          </w:tcPr>
          <w:p>
            <w:pPr>
              <w:jc w:val="right"/>
              <w:rPr>
                <w:sz w:val="15"/>
                <w:szCs w:val="15"/>
              </w:rPr>
            </w:pPr>
            <w:r>
              <w:rPr>
                <w:sz w:val="15"/>
                <w:szCs w:val="15"/>
              </w:rPr>
              <w:t xml:space="preserve">-3,126,738.06 </w:t>
            </w: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r>
              <w:rPr>
                <w:sz w:val="15"/>
                <w:szCs w:val="15"/>
              </w:rPr>
              <w:t xml:space="preserve">2,578,666.32  </w:t>
            </w: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-2,109,885.45</w:t>
            </w:r>
          </w:p>
        </w:tc>
        <w:tc>
          <w:tcPr>
            <w:tcW w:w="1134" w:type="dxa"/>
            <w:vAlign w:val="center"/>
          </w:tcPr>
          <w:p>
            <w:pPr>
              <w:jc w:val="right"/>
              <w:rPr>
                <w:sz w:val="15"/>
                <w:szCs w:val="15"/>
              </w:rPr>
            </w:pPr>
            <w:r>
              <w:rPr>
                <w:sz w:val="15"/>
                <w:szCs w:val="15"/>
              </w:rPr>
              <w:t xml:space="preserve">14,364,703.80  </w:t>
            </w:r>
          </w:p>
        </w:tc>
        <w:tc>
          <w:tcPr>
            <w:tcW w:w="1394" w:type="dxa"/>
            <w:vAlign w:val="center"/>
          </w:tcPr>
          <w:p>
            <w:pPr>
              <w:jc w:val="right"/>
              <w:rPr>
                <w:sz w:val="15"/>
                <w:szCs w:val="15"/>
              </w:rPr>
            </w:pPr>
            <w:r>
              <w:rPr>
                <w:sz w:val="15"/>
                <w:szCs w:val="15"/>
              </w:rPr>
              <w:t xml:space="preserve">12,254,818.35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b05dacde51ff43abaf7ec73bf9668d99"/>
            <w:id w:val="211551033"/>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（一）综合收益总额</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r>
              <w:rPr>
                <w:sz w:val="15"/>
                <w:szCs w:val="15"/>
              </w:rPr>
              <w:t xml:space="preserve"> -1,453,893.21 </w:t>
            </w: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r>
              <w:rPr>
                <w:sz w:val="15"/>
                <w:szCs w:val="15"/>
              </w:rPr>
              <w:t>19,076,898.27</w:t>
            </w: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17,623,005.06</w:t>
            </w:r>
          </w:p>
        </w:tc>
        <w:tc>
          <w:tcPr>
            <w:tcW w:w="1134" w:type="dxa"/>
            <w:vAlign w:val="center"/>
          </w:tcPr>
          <w:p>
            <w:pPr>
              <w:jc w:val="right"/>
              <w:rPr>
                <w:sz w:val="15"/>
                <w:szCs w:val="15"/>
              </w:rPr>
            </w:pPr>
            <w:r>
              <w:rPr>
                <w:sz w:val="15"/>
                <w:szCs w:val="15"/>
              </w:rPr>
              <w:t xml:space="preserve"> 1,761,783.30  </w:t>
            </w:r>
          </w:p>
        </w:tc>
        <w:tc>
          <w:tcPr>
            <w:tcW w:w="1394" w:type="dxa"/>
            <w:vAlign w:val="center"/>
          </w:tcPr>
          <w:p>
            <w:pPr>
              <w:jc w:val="right"/>
              <w:rPr>
                <w:sz w:val="15"/>
                <w:szCs w:val="15"/>
              </w:rPr>
            </w:pPr>
            <w:r>
              <w:rPr>
                <w:sz w:val="15"/>
                <w:szCs w:val="15"/>
              </w:rPr>
              <w:t xml:space="preserve">19,384,788.36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f17921fb207340239c73a056e615d773"/>
            <w:id w:val="-321118649"/>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w:t>
                </w:r>
                <w:r>
                  <w:rPr>
                    <w:rFonts w:hint="eastAsia"/>
                    <w:color w:val="000000" w:themeColor="text1"/>
                    <w:sz w:val="15"/>
                    <w:szCs w:val="15"/>
                    <w14:textFill>
                      <w14:solidFill>
                        <w14:schemeClr w14:val="tx1"/>
                      </w14:solidFill>
                    </w14:textFill>
                  </w:rPr>
                  <w:t>二</w:t>
                </w:r>
                <w:r>
                  <w:rPr>
                    <w:color w:val="000000" w:themeColor="text1"/>
                    <w:sz w:val="15"/>
                    <w:szCs w:val="15"/>
                    <w14:textFill>
                      <w14:solidFill>
                        <w14:schemeClr w14:val="tx1"/>
                      </w14:solidFill>
                    </w14:textFill>
                  </w:rPr>
                  <w:t>）所有者投入和减少资本</w:t>
                </w:r>
              </w:p>
            </w:tc>
          </w:sdtContent>
        </w:sdt>
        <w:tc>
          <w:tcPr>
            <w:tcW w:w="937" w:type="dxa"/>
            <w:vAlign w:val="center"/>
          </w:tcPr>
          <w:p>
            <w:pPr>
              <w:jc w:val="right"/>
              <w:rPr>
                <w:sz w:val="15"/>
                <w:szCs w:val="15"/>
              </w:rPr>
            </w:pPr>
            <w:r>
              <w:rPr>
                <w:sz w:val="15"/>
                <w:szCs w:val="15"/>
              </w:rPr>
              <w:t xml:space="preserve"> -2,388,768.00 </w:t>
            </w: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r>
              <w:rPr>
                <w:sz w:val="15"/>
                <w:szCs w:val="15"/>
              </w:rPr>
              <w:t xml:space="preserve"> -17,526,833.78 </w:t>
            </w:r>
          </w:p>
        </w:tc>
        <w:tc>
          <w:tcPr>
            <w:tcW w:w="1140" w:type="dxa"/>
            <w:vAlign w:val="center"/>
          </w:tcPr>
          <w:p>
            <w:pPr>
              <w:jc w:val="right"/>
              <w:rPr>
                <w:sz w:val="15"/>
                <w:szCs w:val="15"/>
              </w:rPr>
            </w:pPr>
            <w:r>
              <w:rPr>
                <w:sz w:val="15"/>
                <w:szCs w:val="15"/>
              </w:rPr>
              <w:t xml:space="preserve">-19,807,681.28 </w:t>
            </w: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 xml:space="preserve"> -107,920.50 </w:t>
            </w:r>
          </w:p>
        </w:tc>
        <w:tc>
          <w:tcPr>
            <w:tcW w:w="1134" w:type="dxa"/>
            <w:vAlign w:val="center"/>
          </w:tcPr>
          <w:p>
            <w:pPr>
              <w:jc w:val="right"/>
              <w:rPr>
                <w:sz w:val="15"/>
                <w:szCs w:val="15"/>
              </w:rPr>
            </w:pPr>
            <w:r>
              <w:rPr>
                <w:sz w:val="15"/>
                <w:szCs w:val="15"/>
              </w:rPr>
              <w:t xml:space="preserve">12,602,920.50 </w:t>
            </w:r>
          </w:p>
        </w:tc>
        <w:tc>
          <w:tcPr>
            <w:tcW w:w="1394" w:type="dxa"/>
            <w:vAlign w:val="center"/>
          </w:tcPr>
          <w:p>
            <w:pPr>
              <w:jc w:val="right"/>
              <w:rPr>
                <w:sz w:val="15"/>
                <w:szCs w:val="15"/>
              </w:rPr>
            </w:pPr>
            <w:r>
              <w:rPr>
                <w:sz w:val="15"/>
                <w:szCs w:val="15"/>
              </w:rPr>
              <w:t xml:space="preserve"> 12,495,000.00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a4e5a1909d05445a88f8a664e237ae02"/>
            <w:id w:val="-440995997"/>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1．所有者投入的普通股</w:t>
                </w:r>
              </w:p>
            </w:tc>
          </w:sdtContent>
        </w:sdt>
        <w:tc>
          <w:tcPr>
            <w:tcW w:w="937" w:type="dxa"/>
            <w:vAlign w:val="center"/>
          </w:tcPr>
          <w:p>
            <w:pPr>
              <w:jc w:val="right"/>
              <w:rPr>
                <w:sz w:val="15"/>
                <w:szCs w:val="15"/>
              </w:rPr>
            </w:pPr>
            <w:r>
              <w:rPr>
                <w:sz w:val="15"/>
                <w:szCs w:val="15"/>
              </w:rPr>
              <w:t xml:space="preserve"> -2,388,768.00 </w:t>
            </w: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 xml:space="preserve"> -2,388,768.00 </w:t>
            </w:r>
          </w:p>
        </w:tc>
        <w:tc>
          <w:tcPr>
            <w:tcW w:w="1134" w:type="dxa"/>
            <w:vAlign w:val="center"/>
          </w:tcPr>
          <w:p>
            <w:pPr>
              <w:jc w:val="right"/>
              <w:rPr>
                <w:sz w:val="15"/>
                <w:szCs w:val="15"/>
              </w:rPr>
            </w:pPr>
            <w:r>
              <w:rPr>
                <w:sz w:val="15"/>
                <w:szCs w:val="15"/>
              </w:rPr>
              <w:t xml:space="preserve">12,495,000.00 </w:t>
            </w:r>
          </w:p>
        </w:tc>
        <w:tc>
          <w:tcPr>
            <w:tcW w:w="1394" w:type="dxa"/>
            <w:vAlign w:val="center"/>
          </w:tcPr>
          <w:p>
            <w:pPr>
              <w:jc w:val="right"/>
              <w:rPr>
                <w:sz w:val="15"/>
                <w:szCs w:val="15"/>
              </w:rPr>
            </w:pPr>
            <w:r>
              <w:rPr>
                <w:sz w:val="15"/>
                <w:szCs w:val="15"/>
              </w:rPr>
              <w:t xml:space="preserve"> 10,106,232.00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00983bc5e4cc404f92b2fab2c532ec5f"/>
            <w:id w:val="340751634"/>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2．其他权益工具持有者投入资本</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b945685508384f75ad9507566dd406a5"/>
            <w:id w:val="-1699996974"/>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3</w:t>
                </w:r>
                <w:r>
                  <w:rPr>
                    <w:color w:val="000000" w:themeColor="text1"/>
                    <w:sz w:val="15"/>
                    <w:szCs w:val="15"/>
                    <w14:textFill>
                      <w14:solidFill>
                        <w14:schemeClr w14:val="tx1"/>
                      </w14:solidFill>
                    </w14:textFill>
                  </w:rPr>
                  <w:t>．股份支付计入所有者权益的金额</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r>
              <w:rPr>
                <w:sz w:val="15"/>
                <w:szCs w:val="15"/>
              </w:rPr>
              <w:t xml:space="preserve"> -17,418,913.28 </w:t>
            </w:r>
          </w:p>
        </w:tc>
        <w:tc>
          <w:tcPr>
            <w:tcW w:w="1140" w:type="dxa"/>
            <w:vAlign w:val="center"/>
          </w:tcPr>
          <w:p>
            <w:pPr>
              <w:jc w:val="right"/>
              <w:rPr>
                <w:sz w:val="15"/>
                <w:szCs w:val="15"/>
              </w:rPr>
            </w:pPr>
            <w:r>
              <w:rPr>
                <w:sz w:val="15"/>
                <w:szCs w:val="15"/>
              </w:rPr>
              <w:t xml:space="preserve">-19,807,681.28 </w:t>
            </w: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 xml:space="preserve"> 2,388,768.00 </w:t>
            </w:r>
          </w:p>
        </w:tc>
        <w:tc>
          <w:tcPr>
            <w:tcW w:w="1134" w:type="dxa"/>
            <w:vAlign w:val="center"/>
          </w:tcPr>
          <w:p>
            <w:pPr>
              <w:jc w:val="right"/>
              <w:rPr>
                <w:sz w:val="15"/>
                <w:szCs w:val="15"/>
              </w:rPr>
            </w:pPr>
          </w:p>
        </w:tc>
        <w:tc>
          <w:tcPr>
            <w:tcW w:w="1394" w:type="dxa"/>
            <w:vAlign w:val="center"/>
          </w:tcPr>
          <w:p>
            <w:pPr>
              <w:jc w:val="right"/>
              <w:rPr>
                <w:sz w:val="15"/>
                <w:szCs w:val="15"/>
              </w:rPr>
            </w:pPr>
            <w:r>
              <w:rPr>
                <w:sz w:val="15"/>
                <w:szCs w:val="15"/>
              </w:rPr>
              <w:t xml:space="preserve"> 2,388,768.00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86538f5d06744ca9be65b0b439b17643"/>
            <w:id w:val="1053352525"/>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4</w:t>
                </w:r>
                <w:r>
                  <w:rPr>
                    <w:color w:val="000000" w:themeColor="text1"/>
                    <w:sz w:val="15"/>
                    <w:szCs w:val="15"/>
                    <w14:textFill>
                      <w14:solidFill>
                        <w14:schemeClr w14:val="tx1"/>
                      </w14:solidFill>
                    </w14:textFill>
                  </w:rPr>
                  <w:t>．其他</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r>
              <w:rPr>
                <w:sz w:val="15"/>
                <w:szCs w:val="15"/>
              </w:rPr>
              <w:t xml:space="preserve"> -107,920.50 </w:t>
            </w: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 xml:space="preserve"> -107,920.50 </w:t>
            </w:r>
          </w:p>
        </w:tc>
        <w:tc>
          <w:tcPr>
            <w:tcW w:w="1134" w:type="dxa"/>
            <w:vAlign w:val="center"/>
          </w:tcPr>
          <w:p>
            <w:pPr>
              <w:jc w:val="right"/>
              <w:rPr>
                <w:sz w:val="15"/>
                <w:szCs w:val="15"/>
              </w:rPr>
            </w:pPr>
            <w:r>
              <w:rPr>
                <w:sz w:val="15"/>
                <w:szCs w:val="15"/>
              </w:rPr>
              <w:t xml:space="preserve"> 107,920.50 </w:t>
            </w:r>
          </w:p>
        </w:tc>
        <w:tc>
          <w:tcPr>
            <w:tcW w:w="1394" w:type="dxa"/>
            <w:vAlign w:val="center"/>
          </w:tcPr>
          <w:p>
            <w:pPr>
              <w:jc w:val="right"/>
              <w:rPr>
                <w:sz w:val="15"/>
                <w:szCs w:val="15"/>
              </w:rPr>
            </w:pPr>
            <w:r>
              <w:rPr>
                <w:sz w:val="15"/>
                <w:szCs w:val="15"/>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8fb1d678e8ca4e3ba31e34bed05e6c58"/>
            <w:id w:val="446829332"/>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w:t>
                </w:r>
                <w:r>
                  <w:rPr>
                    <w:rFonts w:hint="eastAsia"/>
                    <w:color w:val="000000" w:themeColor="text1"/>
                    <w:sz w:val="15"/>
                    <w:szCs w:val="15"/>
                    <w14:textFill>
                      <w14:solidFill>
                        <w14:schemeClr w14:val="tx1"/>
                      </w14:solidFill>
                    </w14:textFill>
                  </w:rPr>
                  <w:t>三</w:t>
                </w:r>
                <w:r>
                  <w:rPr>
                    <w:color w:val="000000" w:themeColor="text1"/>
                    <w:sz w:val="15"/>
                    <w:szCs w:val="15"/>
                    <w14:textFill>
                      <w14:solidFill>
                        <w14:schemeClr w14:val="tx1"/>
                      </w14:solidFill>
                    </w14:textFill>
                  </w:rPr>
                  <w:t>）利润分配</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r>
              <w:rPr>
                <w:sz w:val="15"/>
                <w:szCs w:val="15"/>
              </w:rPr>
              <w:t xml:space="preserve">-16,498,231.95 </w:t>
            </w:r>
          </w:p>
        </w:tc>
        <w:tc>
          <w:tcPr>
            <w:tcW w:w="283" w:type="dxa"/>
            <w:vAlign w:val="center"/>
          </w:tcPr>
          <w:p>
            <w:pPr>
              <w:jc w:val="right"/>
              <w:rPr>
                <w:sz w:val="15"/>
                <w:szCs w:val="15"/>
              </w:rPr>
            </w:pPr>
            <w:r>
              <w:rPr>
                <w:sz w:val="15"/>
                <w:szCs w:val="15"/>
              </w:rPr>
              <w:t xml:space="preserve">  </w:t>
            </w:r>
          </w:p>
        </w:tc>
        <w:tc>
          <w:tcPr>
            <w:tcW w:w="1134" w:type="dxa"/>
            <w:vAlign w:val="center"/>
          </w:tcPr>
          <w:p>
            <w:pPr>
              <w:jc w:val="right"/>
              <w:rPr>
                <w:sz w:val="15"/>
                <w:szCs w:val="15"/>
              </w:rPr>
            </w:pPr>
            <w:r>
              <w:rPr>
                <w:sz w:val="15"/>
                <w:szCs w:val="15"/>
              </w:rPr>
              <w:t xml:space="preserve">-16,498,231.95 </w:t>
            </w:r>
          </w:p>
        </w:tc>
        <w:tc>
          <w:tcPr>
            <w:tcW w:w="1134" w:type="dxa"/>
            <w:vAlign w:val="center"/>
          </w:tcPr>
          <w:p>
            <w:pPr>
              <w:jc w:val="right"/>
              <w:rPr>
                <w:sz w:val="15"/>
                <w:szCs w:val="15"/>
              </w:rPr>
            </w:pPr>
            <w:r>
              <w:rPr>
                <w:sz w:val="15"/>
                <w:szCs w:val="15"/>
              </w:rPr>
              <w:t xml:space="preserve">  </w:t>
            </w:r>
          </w:p>
        </w:tc>
        <w:tc>
          <w:tcPr>
            <w:tcW w:w="1394" w:type="dxa"/>
            <w:vAlign w:val="center"/>
          </w:tcPr>
          <w:p>
            <w:pPr>
              <w:jc w:val="right"/>
              <w:rPr>
                <w:sz w:val="15"/>
                <w:szCs w:val="15"/>
              </w:rPr>
            </w:pPr>
            <w:r>
              <w:rPr>
                <w:sz w:val="15"/>
                <w:szCs w:val="15"/>
              </w:rPr>
              <w:t xml:space="preserve"> -16,498,231.95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5badbc22860d48e29f8d8d9a4a633d8c"/>
            <w:id w:val="686408175"/>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1．提取盈余公积</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2c8b649d670044a9b5fda521dd40705d"/>
            <w:id w:val="1356691208"/>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2．提取一般风险准备</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254428ff3bee49c2acd11ef634901543"/>
            <w:id w:val="-715348300"/>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3．对所有者（或股东）的分配</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r>
              <w:rPr>
                <w:sz w:val="15"/>
                <w:szCs w:val="15"/>
              </w:rPr>
              <w:t xml:space="preserve"> -16,498,231.95 </w:t>
            </w: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 xml:space="preserve"> -16,498,231.95 </w:t>
            </w:r>
          </w:p>
        </w:tc>
        <w:tc>
          <w:tcPr>
            <w:tcW w:w="1134" w:type="dxa"/>
            <w:vAlign w:val="center"/>
          </w:tcPr>
          <w:p>
            <w:pPr>
              <w:jc w:val="right"/>
              <w:rPr>
                <w:sz w:val="15"/>
                <w:szCs w:val="15"/>
              </w:rPr>
            </w:pPr>
          </w:p>
        </w:tc>
        <w:tc>
          <w:tcPr>
            <w:tcW w:w="1394" w:type="dxa"/>
            <w:vAlign w:val="center"/>
          </w:tcPr>
          <w:p>
            <w:pPr>
              <w:jc w:val="right"/>
              <w:rPr>
                <w:sz w:val="15"/>
                <w:szCs w:val="15"/>
              </w:rPr>
            </w:pPr>
            <w:r>
              <w:rPr>
                <w:sz w:val="15"/>
                <w:szCs w:val="15"/>
              </w:rPr>
              <w:t xml:space="preserve"> -16,498,231.95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b3d350728a6c49ccaa6dbb4adf16c691"/>
            <w:id w:val="-1485923660"/>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4．其他</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03ab84b7536c4ddcaaad4c99a2dd5fd3"/>
            <w:id w:val="1151870955"/>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w:t>
                </w:r>
                <w:r>
                  <w:rPr>
                    <w:rFonts w:hint="eastAsia"/>
                    <w:color w:val="000000" w:themeColor="text1"/>
                    <w:sz w:val="15"/>
                    <w:szCs w:val="15"/>
                    <w14:textFill>
                      <w14:solidFill>
                        <w14:schemeClr w14:val="tx1"/>
                      </w14:solidFill>
                    </w14:textFill>
                  </w:rPr>
                  <w:t>四</w:t>
                </w:r>
                <w:r>
                  <w:rPr>
                    <w:color w:val="000000" w:themeColor="text1"/>
                    <w:sz w:val="15"/>
                    <w:szCs w:val="15"/>
                    <w14:textFill>
                      <w14:solidFill>
                        <w14:schemeClr w14:val="tx1"/>
                      </w14:solidFill>
                    </w14:textFill>
                  </w:rPr>
                  <w:t>）所有者权益内部结转</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88233f88b9ea4ceb82a1cc6cd7a5030d"/>
            <w:id w:val="-1536959240"/>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1．资本公积转增资本（或股本）</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4a9492c5a232434296cfdef5eeded778"/>
            <w:id w:val="1889682359"/>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2．盈余公积转增资本（或股本）</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25911664beff496799fc3193be7c3182"/>
            <w:id w:val="129522737"/>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3．盈余公积弥补亏损</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sdt>
            <w:sdtPr>
              <w:rPr>
                <w:sz w:val="15"/>
                <w:szCs w:val="15"/>
              </w:rPr>
              <w:tag w:val="_PLD_c2918ada9b53437193e4f9cfffa064e3"/>
              <w:id w:val="365962484"/>
            </w:sdtPr>
            <w:sdtEndPr>
              <w:rPr>
                <w:sz w:val="15"/>
                <w:szCs w:val="15"/>
              </w:rPr>
            </w:sdtEndPr>
            <w:sdtContent>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4．设定受益计划变动额结转留存收益</w:t>
                </w:r>
              </w:p>
            </w:sdtContent>
          </w:sdt>
        </w:tc>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sdt>
            <w:sdtPr>
              <w:rPr>
                <w:sz w:val="15"/>
                <w:szCs w:val="15"/>
              </w:rPr>
              <w:tag w:val="_PLD_ea153cdd99f74bf1b50bc1743d25f429"/>
              <w:id w:val="-498655723"/>
            </w:sdtPr>
            <w:sdtEndPr>
              <w:rPr>
                <w:sz w:val="15"/>
                <w:szCs w:val="15"/>
              </w:rPr>
            </w:sdtEndPr>
            <w:sdtContent>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5．其他综合收益结转留存收益</w:t>
                </w:r>
              </w:p>
            </w:sdtContent>
          </w:sdt>
        </w:tc>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sdt>
            <w:sdtPr>
              <w:rPr>
                <w:sz w:val="15"/>
                <w:szCs w:val="15"/>
              </w:rPr>
              <w:tag w:val="_PLD_de42fced9d0547ecb946b8443ac4ea20"/>
              <w:id w:val="1188182292"/>
            </w:sdtPr>
            <w:sdtEndPr>
              <w:rPr>
                <w:sz w:val="15"/>
                <w:szCs w:val="15"/>
              </w:rPr>
            </w:sdtEndPr>
            <w:sdtContent>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6．其他</w:t>
                </w:r>
              </w:p>
            </w:sdtContent>
          </w:sdt>
        </w:tc>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14d25c6e75074c52a0f884581cc84dba"/>
            <w:id w:val="-64885669"/>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（五）专项储备</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r>
              <w:rPr>
                <w:sz w:val="15"/>
                <w:szCs w:val="15"/>
              </w:rPr>
              <w:t xml:space="preserve"> -3,126,738.06 </w:t>
            </w: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 xml:space="preserve"> -3,126,738.06 </w:t>
            </w:r>
          </w:p>
        </w:tc>
        <w:tc>
          <w:tcPr>
            <w:tcW w:w="1134" w:type="dxa"/>
            <w:vAlign w:val="center"/>
          </w:tcPr>
          <w:p>
            <w:pPr>
              <w:jc w:val="right"/>
              <w:rPr>
                <w:sz w:val="15"/>
                <w:szCs w:val="15"/>
              </w:rPr>
            </w:pPr>
          </w:p>
        </w:tc>
        <w:tc>
          <w:tcPr>
            <w:tcW w:w="1394" w:type="dxa"/>
            <w:vAlign w:val="center"/>
          </w:tcPr>
          <w:p>
            <w:pPr>
              <w:jc w:val="right"/>
              <w:rPr>
                <w:sz w:val="15"/>
                <w:szCs w:val="15"/>
              </w:rPr>
            </w:pPr>
            <w:r>
              <w:rPr>
                <w:sz w:val="15"/>
                <w:szCs w:val="15"/>
              </w:rPr>
              <w:t xml:space="preserve"> -3,126,738.06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672c666008dd4adfa2ab5933e9cd1671"/>
            <w:id w:val="-766999699"/>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1．本期提取</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r>
              <w:rPr>
                <w:sz w:val="15"/>
                <w:szCs w:val="15"/>
              </w:rPr>
              <w:t xml:space="preserve">7,834,400.94 </w:t>
            </w: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 xml:space="preserve"> 7,834,400.94 </w:t>
            </w:r>
          </w:p>
        </w:tc>
        <w:tc>
          <w:tcPr>
            <w:tcW w:w="1134" w:type="dxa"/>
            <w:vAlign w:val="center"/>
          </w:tcPr>
          <w:p>
            <w:pPr>
              <w:jc w:val="right"/>
              <w:rPr>
                <w:sz w:val="15"/>
                <w:szCs w:val="15"/>
              </w:rPr>
            </w:pPr>
          </w:p>
        </w:tc>
        <w:tc>
          <w:tcPr>
            <w:tcW w:w="1394" w:type="dxa"/>
            <w:vAlign w:val="center"/>
          </w:tcPr>
          <w:p>
            <w:pPr>
              <w:jc w:val="right"/>
              <w:rPr>
                <w:sz w:val="15"/>
                <w:szCs w:val="15"/>
              </w:rPr>
            </w:pPr>
            <w:r>
              <w:rPr>
                <w:sz w:val="15"/>
                <w:szCs w:val="15"/>
              </w:rPr>
              <w:t xml:space="preserve"> 7,834,400.94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810ec2533aac40f59079e8e8d20e52c3"/>
            <w:id w:val="1229268793"/>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2．本期使用</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r>
              <w:rPr>
                <w:sz w:val="15"/>
                <w:szCs w:val="15"/>
              </w:rPr>
              <w:t xml:space="preserve"> -10,961,139.00 </w:t>
            </w: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r>
              <w:rPr>
                <w:sz w:val="15"/>
                <w:szCs w:val="15"/>
              </w:rPr>
              <w:t xml:space="preserve"> -10,961,139.00 </w:t>
            </w:r>
          </w:p>
        </w:tc>
        <w:tc>
          <w:tcPr>
            <w:tcW w:w="1134" w:type="dxa"/>
            <w:vAlign w:val="center"/>
          </w:tcPr>
          <w:p>
            <w:pPr>
              <w:jc w:val="right"/>
              <w:rPr>
                <w:sz w:val="15"/>
                <w:szCs w:val="15"/>
              </w:rPr>
            </w:pPr>
          </w:p>
        </w:tc>
        <w:tc>
          <w:tcPr>
            <w:tcW w:w="1394" w:type="dxa"/>
            <w:vAlign w:val="center"/>
          </w:tcPr>
          <w:p>
            <w:pPr>
              <w:jc w:val="right"/>
              <w:rPr>
                <w:sz w:val="15"/>
                <w:szCs w:val="15"/>
              </w:rPr>
            </w:pPr>
            <w:r>
              <w:rPr>
                <w:sz w:val="15"/>
                <w:szCs w:val="15"/>
              </w:rPr>
              <w:t xml:space="preserve"> -10,961,139.00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f4bc69f9c7d34151a4b7a0d89088f0ee"/>
            <w:id w:val="337431263"/>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（六）其他</w:t>
                </w:r>
              </w:p>
            </w:tc>
          </w:sdtContent>
        </w:sdt>
        <w:tc>
          <w:tcPr>
            <w:tcW w:w="937" w:type="dxa"/>
            <w:vAlign w:val="center"/>
          </w:tcPr>
          <w:p>
            <w:pPr>
              <w:jc w:val="right"/>
              <w:rPr>
                <w:sz w:val="15"/>
                <w:szCs w:val="15"/>
              </w:rPr>
            </w:pP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p>
        </w:tc>
        <w:tc>
          <w:tcPr>
            <w:tcW w:w="1140" w:type="dxa"/>
            <w:vAlign w:val="center"/>
          </w:tcPr>
          <w:p>
            <w:pPr>
              <w:jc w:val="right"/>
              <w:rPr>
                <w:sz w:val="15"/>
                <w:szCs w:val="15"/>
              </w:rPr>
            </w:pPr>
          </w:p>
        </w:tc>
        <w:tc>
          <w:tcPr>
            <w:tcW w:w="994" w:type="dxa"/>
            <w:vAlign w:val="center"/>
          </w:tcPr>
          <w:p>
            <w:pPr>
              <w:jc w:val="right"/>
              <w:rPr>
                <w:sz w:val="15"/>
                <w:szCs w:val="15"/>
              </w:rPr>
            </w:pPr>
          </w:p>
        </w:tc>
        <w:tc>
          <w:tcPr>
            <w:tcW w:w="1068" w:type="dxa"/>
            <w:vAlign w:val="center"/>
          </w:tcPr>
          <w:p>
            <w:pPr>
              <w:jc w:val="right"/>
              <w:rPr>
                <w:sz w:val="15"/>
                <w:szCs w:val="15"/>
              </w:rPr>
            </w:pPr>
          </w:p>
        </w:tc>
        <w:tc>
          <w:tcPr>
            <w:tcW w:w="909" w:type="dxa"/>
            <w:vAlign w:val="center"/>
          </w:tcPr>
          <w:p>
            <w:pPr>
              <w:jc w:val="right"/>
              <w:rPr>
                <w:sz w:val="15"/>
                <w:szCs w:val="15"/>
              </w:rPr>
            </w:pPr>
          </w:p>
        </w:tc>
        <w:tc>
          <w:tcPr>
            <w:tcW w:w="597" w:type="dxa"/>
            <w:vAlign w:val="center"/>
          </w:tcPr>
          <w:p>
            <w:pPr>
              <w:jc w:val="right"/>
              <w:rPr>
                <w:sz w:val="15"/>
                <w:szCs w:val="15"/>
              </w:rPr>
            </w:pPr>
          </w:p>
        </w:tc>
        <w:tc>
          <w:tcPr>
            <w:tcW w:w="1246" w:type="dxa"/>
            <w:vAlign w:val="center"/>
          </w:tcPr>
          <w:p>
            <w:pPr>
              <w:jc w:val="right"/>
              <w:rPr>
                <w:sz w:val="15"/>
                <w:szCs w:val="15"/>
              </w:rPr>
            </w:pPr>
          </w:p>
        </w:tc>
        <w:tc>
          <w:tcPr>
            <w:tcW w:w="283" w:type="dxa"/>
            <w:vAlign w:val="center"/>
          </w:tcPr>
          <w:p>
            <w:pPr>
              <w:jc w:val="right"/>
              <w:rPr>
                <w:sz w:val="15"/>
                <w:szCs w:val="15"/>
              </w:rPr>
            </w:pPr>
          </w:p>
        </w:tc>
        <w:tc>
          <w:tcPr>
            <w:tcW w:w="1134" w:type="dxa"/>
            <w:vAlign w:val="center"/>
          </w:tcPr>
          <w:p>
            <w:pPr>
              <w:jc w:val="right"/>
              <w:rPr>
                <w:sz w:val="15"/>
                <w:szCs w:val="15"/>
              </w:rPr>
            </w:pPr>
          </w:p>
        </w:tc>
        <w:tc>
          <w:tcPr>
            <w:tcW w:w="1134"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033ca7ec3c1d4c1b905d0af57ca8a614"/>
            <w:id w:val="1021048430"/>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四、本期期末余额</w:t>
                </w:r>
              </w:p>
            </w:tc>
          </w:sdtContent>
        </w:sdt>
        <w:tc>
          <w:tcPr>
            <w:tcW w:w="937" w:type="dxa"/>
            <w:vAlign w:val="center"/>
          </w:tcPr>
          <w:p>
            <w:pPr>
              <w:jc w:val="right"/>
              <w:rPr>
                <w:sz w:val="15"/>
                <w:szCs w:val="15"/>
              </w:rPr>
            </w:pPr>
            <w:r>
              <w:rPr>
                <w:sz w:val="15"/>
                <w:szCs w:val="15"/>
              </w:rPr>
              <w:t xml:space="preserve"> 329,964,639.00 </w:t>
            </w:r>
          </w:p>
        </w:tc>
        <w:tc>
          <w:tcPr>
            <w:tcW w:w="338" w:type="dxa"/>
            <w:vAlign w:val="center"/>
          </w:tcPr>
          <w:p>
            <w:pPr>
              <w:jc w:val="right"/>
              <w:rPr>
                <w:sz w:val="15"/>
                <w:szCs w:val="15"/>
              </w:rPr>
            </w:pPr>
          </w:p>
        </w:tc>
        <w:tc>
          <w:tcPr>
            <w:tcW w:w="284" w:type="dxa"/>
            <w:vAlign w:val="center"/>
          </w:tcPr>
          <w:p>
            <w:pPr>
              <w:jc w:val="right"/>
              <w:rPr>
                <w:sz w:val="15"/>
                <w:szCs w:val="15"/>
              </w:rPr>
            </w:pPr>
          </w:p>
        </w:tc>
        <w:tc>
          <w:tcPr>
            <w:tcW w:w="347" w:type="dxa"/>
            <w:vAlign w:val="center"/>
          </w:tcPr>
          <w:p>
            <w:pPr>
              <w:jc w:val="right"/>
              <w:rPr>
                <w:sz w:val="15"/>
                <w:szCs w:val="15"/>
              </w:rPr>
            </w:pPr>
          </w:p>
        </w:tc>
        <w:tc>
          <w:tcPr>
            <w:tcW w:w="1070" w:type="dxa"/>
            <w:vAlign w:val="center"/>
          </w:tcPr>
          <w:p>
            <w:pPr>
              <w:jc w:val="right"/>
              <w:rPr>
                <w:sz w:val="15"/>
                <w:szCs w:val="15"/>
              </w:rPr>
            </w:pPr>
            <w:r>
              <w:rPr>
                <w:sz w:val="15"/>
                <w:szCs w:val="15"/>
              </w:rPr>
              <w:t xml:space="preserve"> 962,074,417.02 </w:t>
            </w:r>
          </w:p>
        </w:tc>
        <w:tc>
          <w:tcPr>
            <w:tcW w:w="1140" w:type="dxa"/>
            <w:vAlign w:val="center"/>
          </w:tcPr>
          <w:p>
            <w:pPr>
              <w:jc w:val="right"/>
              <w:rPr>
                <w:sz w:val="15"/>
                <w:szCs w:val="15"/>
              </w:rPr>
            </w:pPr>
            <w:r>
              <w:rPr>
                <w:sz w:val="15"/>
                <w:szCs w:val="15"/>
              </w:rPr>
              <w:t xml:space="preserve">   </w:t>
            </w:r>
          </w:p>
        </w:tc>
        <w:tc>
          <w:tcPr>
            <w:tcW w:w="994" w:type="dxa"/>
            <w:vAlign w:val="center"/>
          </w:tcPr>
          <w:p>
            <w:pPr>
              <w:jc w:val="right"/>
              <w:rPr>
                <w:sz w:val="15"/>
                <w:szCs w:val="15"/>
              </w:rPr>
            </w:pPr>
            <w:r>
              <w:rPr>
                <w:sz w:val="15"/>
                <w:szCs w:val="15"/>
              </w:rPr>
              <w:t xml:space="preserve"> -429,958.76 </w:t>
            </w:r>
          </w:p>
        </w:tc>
        <w:tc>
          <w:tcPr>
            <w:tcW w:w="1068" w:type="dxa"/>
            <w:vAlign w:val="center"/>
          </w:tcPr>
          <w:p>
            <w:pPr>
              <w:jc w:val="right"/>
              <w:rPr>
                <w:sz w:val="15"/>
                <w:szCs w:val="15"/>
              </w:rPr>
            </w:pPr>
            <w:r>
              <w:rPr>
                <w:sz w:val="15"/>
                <w:szCs w:val="15"/>
              </w:rPr>
              <w:t xml:space="preserve"> 19,588,783.62 </w:t>
            </w:r>
          </w:p>
        </w:tc>
        <w:tc>
          <w:tcPr>
            <w:tcW w:w="909" w:type="dxa"/>
            <w:vAlign w:val="center"/>
          </w:tcPr>
          <w:p>
            <w:pPr>
              <w:jc w:val="right"/>
              <w:rPr>
                <w:sz w:val="15"/>
                <w:szCs w:val="15"/>
              </w:rPr>
            </w:pPr>
            <w:r>
              <w:rPr>
                <w:sz w:val="15"/>
                <w:szCs w:val="15"/>
              </w:rPr>
              <w:t xml:space="preserve"> 127,047,120.13 </w:t>
            </w:r>
          </w:p>
        </w:tc>
        <w:tc>
          <w:tcPr>
            <w:tcW w:w="597" w:type="dxa"/>
            <w:vAlign w:val="center"/>
          </w:tcPr>
          <w:p>
            <w:pPr>
              <w:jc w:val="right"/>
              <w:rPr>
                <w:sz w:val="15"/>
                <w:szCs w:val="15"/>
              </w:rPr>
            </w:pPr>
            <w:r>
              <w:rPr>
                <w:sz w:val="15"/>
                <w:szCs w:val="15"/>
              </w:rPr>
              <w:t xml:space="preserve">   </w:t>
            </w:r>
          </w:p>
        </w:tc>
        <w:tc>
          <w:tcPr>
            <w:tcW w:w="1246" w:type="dxa"/>
            <w:vAlign w:val="center"/>
          </w:tcPr>
          <w:p>
            <w:pPr>
              <w:jc w:val="right"/>
              <w:rPr>
                <w:sz w:val="15"/>
                <w:szCs w:val="15"/>
              </w:rPr>
            </w:pPr>
            <w:r>
              <w:rPr>
                <w:sz w:val="15"/>
                <w:szCs w:val="15"/>
              </w:rPr>
              <w:t xml:space="preserve"> 1,054,286,830.14  </w:t>
            </w:r>
          </w:p>
        </w:tc>
        <w:tc>
          <w:tcPr>
            <w:tcW w:w="283" w:type="dxa"/>
            <w:vAlign w:val="center"/>
          </w:tcPr>
          <w:p>
            <w:pPr>
              <w:jc w:val="right"/>
              <w:rPr>
                <w:sz w:val="15"/>
                <w:szCs w:val="15"/>
              </w:rPr>
            </w:pPr>
            <w:r>
              <w:rPr>
                <w:sz w:val="15"/>
                <w:szCs w:val="15"/>
              </w:rPr>
              <w:t xml:space="preserve">  </w:t>
            </w:r>
          </w:p>
        </w:tc>
        <w:tc>
          <w:tcPr>
            <w:tcW w:w="1134" w:type="dxa"/>
            <w:vAlign w:val="center"/>
          </w:tcPr>
          <w:p>
            <w:pPr>
              <w:jc w:val="right"/>
              <w:rPr>
                <w:sz w:val="15"/>
                <w:szCs w:val="15"/>
              </w:rPr>
            </w:pPr>
            <w:r>
              <w:rPr>
                <w:sz w:val="15"/>
                <w:szCs w:val="15"/>
              </w:rPr>
              <w:t xml:space="preserve"> 2,492,531,831.15  </w:t>
            </w:r>
          </w:p>
        </w:tc>
        <w:tc>
          <w:tcPr>
            <w:tcW w:w="1134" w:type="dxa"/>
            <w:vAlign w:val="center"/>
          </w:tcPr>
          <w:p>
            <w:pPr>
              <w:jc w:val="right"/>
              <w:rPr>
                <w:sz w:val="15"/>
                <w:szCs w:val="15"/>
              </w:rPr>
            </w:pPr>
            <w:r>
              <w:rPr>
                <w:sz w:val="15"/>
                <w:szCs w:val="15"/>
              </w:rPr>
              <w:t xml:space="preserve">17,995,089.33 </w:t>
            </w:r>
          </w:p>
        </w:tc>
        <w:tc>
          <w:tcPr>
            <w:tcW w:w="1394" w:type="dxa"/>
            <w:vAlign w:val="center"/>
          </w:tcPr>
          <w:p>
            <w:pPr>
              <w:jc w:val="right"/>
              <w:rPr>
                <w:sz w:val="15"/>
                <w:szCs w:val="15"/>
              </w:rPr>
            </w:pPr>
            <w:r>
              <w:rPr>
                <w:sz w:val="15"/>
                <w:szCs w:val="15"/>
              </w:rPr>
              <w:t xml:space="preserve">2,510,526,920.48  </w:t>
            </w:r>
          </w:p>
        </w:tc>
      </w:tr>
      <w:bookmarkEnd w:id="159"/>
    </w:tbl>
    <w:p>
      <w:pPr>
        <w:snapToGrid w:val="0"/>
        <w:spacing w:line="240" w:lineRule="atLeast"/>
        <w:ind w:right="-1594" w:rightChars="-759"/>
        <w:rPr>
          <w:color w:val="000000" w:themeColor="text1"/>
          <w14:textFill>
            <w14:solidFill>
              <w14:schemeClr w14:val="tx1"/>
            </w14:solidFill>
          </w14:textFill>
        </w:rPr>
      </w:pP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992"/>
        <w:gridCol w:w="283"/>
        <w:gridCol w:w="284"/>
        <w:gridCol w:w="335"/>
        <w:gridCol w:w="1136"/>
        <w:gridCol w:w="1062"/>
        <w:gridCol w:w="988"/>
        <w:gridCol w:w="1062"/>
        <w:gridCol w:w="945"/>
        <w:gridCol w:w="567"/>
        <w:gridCol w:w="1134"/>
        <w:gridCol w:w="378"/>
        <w:gridCol w:w="1040"/>
        <w:gridCol w:w="1275"/>
        <w:gridCol w:w="1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Merge w:val="restart"/>
            <w:vAlign w:val="center"/>
          </w:tcPr>
          <w:sdt>
            <w:sdtPr>
              <w:rPr>
                <w:sz w:val="15"/>
                <w:szCs w:val="15"/>
              </w:rPr>
              <w:tag w:val="_PLD_20eb9c9dd1e14fb0a0790f87b63a489d"/>
              <w:id w:val="1073078980"/>
            </w:sdtPr>
            <w:sdtEndPr>
              <w:rPr>
                <w:sz w:val="15"/>
                <w:szCs w:val="15"/>
              </w:rPr>
            </w:sdtEndPr>
            <w:sdtContent>
              <w:p>
                <w:pPr>
                  <w:snapToGrid w:val="0"/>
                  <w:spacing w:line="240" w:lineRule="atLeast"/>
                  <w:jc w:val="center"/>
                  <w:rPr>
                    <w:color w:val="000000" w:themeColor="text1"/>
                    <w:sz w:val="15"/>
                    <w:szCs w:val="15"/>
                    <w14:textFill>
                      <w14:solidFill>
                        <w14:schemeClr w14:val="tx1"/>
                      </w14:solidFill>
                    </w14:textFill>
                  </w:rPr>
                </w:pPr>
                <w:bookmarkStart w:id="160" w:name="_Hlk238107831"/>
                <w:r>
                  <w:rPr>
                    <w:rFonts w:hint="eastAsia"/>
                    <w:color w:val="000000" w:themeColor="text1"/>
                    <w:sz w:val="15"/>
                    <w:szCs w:val="15"/>
                    <w14:textFill>
                      <w14:solidFill>
                        <w14:schemeClr w14:val="tx1"/>
                      </w14:solidFill>
                    </w14:textFill>
                  </w:rPr>
                  <w:t>项目</w:t>
                </w:r>
              </w:p>
            </w:sdtContent>
          </w:sdt>
        </w:tc>
        <w:tc>
          <w:tcPr>
            <w:tcW w:w="12875" w:type="dxa"/>
            <w:gridSpan w:val="15"/>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 xml:space="preserve"> </w:t>
            </w:r>
            <w:sdt>
              <w:sdtPr>
                <w:rPr>
                  <w:sz w:val="15"/>
                  <w:szCs w:val="15"/>
                </w:rPr>
                <w:tag w:val="_PLD_95c0e6e5f75a49daa1b601f67b7dd704"/>
                <w:id w:val="-254980972"/>
              </w:sdtPr>
              <w:sdtEndPr>
                <w:rPr>
                  <w:sz w:val="15"/>
                  <w:szCs w:val="15"/>
                </w:rPr>
              </w:sdtEndPr>
              <w:sdtContent>
                <w:r>
                  <w:rPr>
                    <w:rFonts w:hint="eastAsia"/>
                    <w:color w:val="000000" w:themeColor="text1"/>
                    <w:sz w:val="15"/>
                    <w:szCs w:val="15"/>
                    <w14:textFill>
                      <w14:solidFill>
                        <w14:schemeClr w14:val="tx1"/>
                      </w14:solidFill>
                    </w14:textFill>
                  </w:rPr>
                  <w:t>2025年半年度</w:t>
                </w:r>
              </w:sdtContent>
            </w:sdt>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988" w:type="dxa"/>
            <w:vMerge w:val="continue"/>
            <w:vAlign w:val="center"/>
          </w:tcPr>
          <w:p>
            <w:pPr>
              <w:snapToGrid w:val="0"/>
              <w:spacing w:line="240" w:lineRule="atLeast"/>
              <w:ind w:right="-1594" w:rightChars="-759"/>
              <w:rPr>
                <w:color w:val="000000" w:themeColor="text1"/>
                <w:sz w:val="15"/>
                <w:szCs w:val="15"/>
                <w14:textFill>
                  <w14:solidFill>
                    <w14:schemeClr w14:val="tx1"/>
                  </w14:solidFill>
                </w14:textFill>
              </w:rPr>
            </w:pPr>
          </w:p>
        </w:tc>
        <w:sdt>
          <w:sdtPr>
            <w:rPr>
              <w:sz w:val="15"/>
              <w:szCs w:val="15"/>
            </w:rPr>
            <w:tag w:val="_PLD_3c5d65171933469ea16eac46afc03a54"/>
            <w:id w:val="411983534"/>
          </w:sdtPr>
          <w:sdtEndPr>
            <w:rPr>
              <w:sz w:val="15"/>
              <w:szCs w:val="15"/>
            </w:rPr>
          </w:sdtEndPr>
          <w:sdtContent>
            <w:tc>
              <w:tcPr>
                <w:tcW w:w="10206" w:type="dxa"/>
                <w:gridSpan w:val="13"/>
                <w:vAlign w:val="center"/>
              </w:tcPr>
              <w:p>
                <w:pPr>
                  <w:jc w:val="cente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归属于母公司所有者权益</w:t>
                </w:r>
              </w:p>
            </w:tc>
          </w:sdtContent>
        </w:sdt>
        <w:sdt>
          <w:sdtPr>
            <w:rPr>
              <w:sz w:val="15"/>
              <w:szCs w:val="15"/>
            </w:rPr>
            <w:tag w:val="_PLD_ba7b1c99b1634f48939c500d6c46ce09"/>
            <w:id w:val="-1725360568"/>
          </w:sdtPr>
          <w:sdtEndPr>
            <w:rPr>
              <w:sz w:val="15"/>
              <w:szCs w:val="15"/>
            </w:rPr>
          </w:sdtEndPr>
          <w:sdtContent>
            <w:tc>
              <w:tcPr>
                <w:tcW w:w="1275" w:type="dxa"/>
                <w:vMerge w:val="restart"/>
                <w:vAlign w:val="center"/>
              </w:tcPr>
              <w:p>
                <w:pPr>
                  <w:jc w:val="cente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少数股东权益</w:t>
                </w:r>
              </w:p>
            </w:tc>
          </w:sdtContent>
        </w:sdt>
        <w:sdt>
          <w:sdtPr>
            <w:rPr>
              <w:sz w:val="15"/>
              <w:szCs w:val="15"/>
            </w:rPr>
            <w:tag w:val="_PLD_fb367567c5f141a5863649df07435b71"/>
            <w:id w:val="238141893"/>
          </w:sdtPr>
          <w:sdtEndPr>
            <w:rPr>
              <w:sz w:val="15"/>
              <w:szCs w:val="15"/>
            </w:rPr>
          </w:sdtEndPr>
          <w:sdtContent>
            <w:tc>
              <w:tcPr>
                <w:tcW w:w="1394" w:type="dxa"/>
                <w:vMerge w:val="restart"/>
                <w:vAlign w:val="center"/>
              </w:tcPr>
              <w:p>
                <w:pPr>
                  <w:jc w:val="cente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所有者权益合计</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988" w:type="dxa"/>
            <w:vMerge w:val="continue"/>
            <w:vAlign w:val="center"/>
          </w:tcPr>
          <w:p>
            <w:pPr>
              <w:snapToGrid w:val="0"/>
              <w:spacing w:line="240" w:lineRule="atLeast"/>
              <w:ind w:right="-1594" w:rightChars="-759"/>
              <w:rPr>
                <w:color w:val="000000" w:themeColor="text1"/>
                <w:sz w:val="15"/>
                <w:szCs w:val="15"/>
                <w14:textFill>
                  <w14:solidFill>
                    <w14:schemeClr w14:val="tx1"/>
                  </w14:solidFill>
                </w14:textFill>
              </w:rPr>
            </w:pPr>
          </w:p>
        </w:tc>
        <w:sdt>
          <w:sdtPr>
            <w:rPr>
              <w:sz w:val="15"/>
              <w:szCs w:val="15"/>
            </w:rPr>
            <w:tag w:val="_PLD_36b3a5c009c04b53b0bd25afc2596e7e"/>
            <w:id w:val="335734596"/>
          </w:sdtPr>
          <w:sdtEndPr>
            <w:rPr>
              <w:sz w:val="15"/>
              <w:szCs w:val="15"/>
            </w:rPr>
          </w:sdtEndPr>
          <w:sdtContent>
            <w:tc>
              <w:tcPr>
                <w:tcW w:w="992"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实收资本</w:t>
                </w:r>
                <w:r>
                  <w:rPr>
                    <w:color w:val="000000" w:themeColor="text1"/>
                    <w:sz w:val="15"/>
                    <w:szCs w:val="15"/>
                    <w14:textFill>
                      <w14:solidFill>
                        <w14:schemeClr w14:val="tx1"/>
                      </w14:solidFill>
                    </w14:textFill>
                  </w:rPr>
                  <w:t>(或股本)</w:t>
                </w:r>
              </w:p>
            </w:tc>
          </w:sdtContent>
        </w:sdt>
        <w:sdt>
          <w:sdtPr>
            <w:rPr>
              <w:sz w:val="15"/>
              <w:szCs w:val="15"/>
            </w:rPr>
            <w:tag w:val="_PLD_c0579a9940424a129a85d26955bb30bc"/>
            <w:id w:val="-1846924591"/>
          </w:sdtPr>
          <w:sdtEndPr>
            <w:rPr>
              <w:sz w:val="15"/>
              <w:szCs w:val="15"/>
            </w:rPr>
          </w:sdtEndPr>
          <w:sdtContent>
            <w:tc>
              <w:tcPr>
                <w:tcW w:w="902" w:type="dxa"/>
                <w:gridSpan w:val="3"/>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其他权益工具</w:t>
                </w:r>
              </w:p>
            </w:tc>
          </w:sdtContent>
        </w:sdt>
        <w:sdt>
          <w:sdtPr>
            <w:rPr>
              <w:sz w:val="15"/>
              <w:szCs w:val="15"/>
            </w:rPr>
            <w:tag w:val="_PLD_f728bf12d1d64c4fa04dfc828a7a0411"/>
            <w:id w:val="-435832400"/>
          </w:sdtPr>
          <w:sdtEndPr>
            <w:rPr>
              <w:sz w:val="15"/>
              <w:szCs w:val="15"/>
            </w:rPr>
          </w:sdtEndPr>
          <w:sdtContent>
            <w:tc>
              <w:tcPr>
                <w:tcW w:w="1136"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资本公积</w:t>
                </w:r>
              </w:p>
            </w:tc>
          </w:sdtContent>
        </w:sdt>
        <w:sdt>
          <w:sdtPr>
            <w:rPr>
              <w:sz w:val="15"/>
              <w:szCs w:val="15"/>
            </w:rPr>
            <w:tag w:val="_PLD_8c191e0685ac4367b113504c484a11e9"/>
            <w:id w:val="124511287"/>
          </w:sdtPr>
          <w:sdtEndPr>
            <w:rPr>
              <w:sz w:val="15"/>
              <w:szCs w:val="15"/>
            </w:rPr>
          </w:sdtEndPr>
          <w:sdtContent>
            <w:tc>
              <w:tcPr>
                <w:tcW w:w="1062"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减：库存股</w:t>
                </w:r>
              </w:p>
            </w:tc>
          </w:sdtContent>
        </w:sdt>
        <w:sdt>
          <w:sdtPr>
            <w:rPr>
              <w:sz w:val="15"/>
              <w:szCs w:val="15"/>
            </w:rPr>
            <w:tag w:val="_PLD_68ae3206209542ea8491f40d49bafeb7"/>
            <w:id w:val="-1904445676"/>
          </w:sdtPr>
          <w:sdtEndPr>
            <w:rPr>
              <w:sz w:val="15"/>
              <w:szCs w:val="15"/>
            </w:rPr>
          </w:sdtEndPr>
          <w:sdtContent>
            <w:tc>
              <w:tcPr>
                <w:tcW w:w="988"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其他综合收益</w:t>
                </w:r>
              </w:p>
            </w:tc>
          </w:sdtContent>
        </w:sdt>
        <w:sdt>
          <w:sdtPr>
            <w:rPr>
              <w:sz w:val="15"/>
              <w:szCs w:val="15"/>
            </w:rPr>
            <w:tag w:val="_PLD_6402f064d7a041d58973d8b8205096d0"/>
            <w:id w:val="-2006885035"/>
          </w:sdtPr>
          <w:sdtEndPr>
            <w:rPr>
              <w:sz w:val="15"/>
              <w:szCs w:val="15"/>
            </w:rPr>
          </w:sdtEndPr>
          <w:sdtContent>
            <w:tc>
              <w:tcPr>
                <w:tcW w:w="1062"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专项储备</w:t>
                </w:r>
              </w:p>
            </w:tc>
          </w:sdtContent>
        </w:sdt>
        <w:sdt>
          <w:sdtPr>
            <w:rPr>
              <w:sz w:val="15"/>
              <w:szCs w:val="15"/>
            </w:rPr>
            <w:tag w:val="_PLD_b1d22d8686164205bfa14ef647cebfcd"/>
            <w:id w:val="-270316000"/>
          </w:sdtPr>
          <w:sdtEndPr>
            <w:rPr>
              <w:sz w:val="15"/>
              <w:szCs w:val="15"/>
            </w:rPr>
          </w:sdtEndPr>
          <w:sdtContent>
            <w:tc>
              <w:tcPr>
                <w:tcW w:w="945"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盈余公积</w:t>
                </w:r>
              </w:p>
            </w:tc>
          </w:sdtContent>
        </w:sdt>
        <w:sdt>
          <w:sdtPr>
            <w:rPr>
              <w:sz w:val="15"/>
              <w:szCs w:val="15"/>
            </w:rPr>
            <w:tag w:val="_PLD_c5c57d0195b14864b413898a9c76e89d"/>
            <w:id w:val="2144541232"/>
          </w:sdtPr>
          <w:sdtEndPr>
            <w:rPr>
              <w:sz w:val="15"/>
              <w:szCs w:val="15"/>
            </w:rPr>
          </w:sdtEndPr>
          <w:sdtContent>
            <w:tc>
              <w:tcPr>
                <w:tcW w:w="567"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一般风险准备</w:t>
                </w:r>
              </w:p>
            </w:tc>
          </w:sdtContent>
        </w:sdt>
        <w:sdt>
          <w:sdtPr>
            <w:rPr>
              <w:sz w:val="15"/>
              <w:szCs w:val="15"/>
            </w:rPr>
            <w:tag w:val="_PLD_c9bffd2027d24ca1955db036ad79f5ea"/>
            <w:id w:val="-429969268"/>
          </w:sdtPr>
          <w:sdtEndPr>
            <w:rPr>
              <w:sz w:val="15"/>
              <w:szCs w:val="15"/>
            </w:rPr>
          </w:sdtEndPr>
          <w:sdtContent>
            <w:tc>
              <w:tcPr>
                <w:tcW w:w="1134" w:type="dxa"/>
                <w:vMerge w:val="restart"/>
                <w:vAlign w:val="center"/>
              </w:tcPr>
              <w:p>
                <w:pPr>
                  <w:snapToGrid w:val="0"/>
                  <w:spacing w:line="240" w:lineRule="atLeast"/>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未分配利润</w:t>
                </w:r>
              </w:p>
            </w:tc>
          </w:sdtContent>
        </w:sdt>
        <w:tc>
          <w:tcPr>
            <w:tcW w:w="378" w:type="dxa"/>
            <w:vMerge w:val="restart"/>
            <w:vAlign w:val="center"/>
          </w:tcPr>
          <w:sdt>
            <w:sdtPr>
              <w:rPr>
                <w:sz w:val="15"/>
                <w:szCs w:val="15"/>
              </w:rPr>
              <w:tag w:val="_PLD_de6da1e2128f48e49564e44af75ff7ab"/>
              <w:id w:val="1405879774"/>
            </w:sdtPr>
            <w:sdtEndPr>
              <w:rPr>
                <w:sz w:val="15"/>
                <w:szCs w:val="15"/>
              </w:rPr>
            </w:sdtEndPr>
            <w:sdtContent>
              <w:sdt>
                <w:sdtPr>
                  <w:rPr>
                    <w:sz w:val="15"/>
                    <w:szCs w:val="15"/>
                  </w:rPr>
                  <w:tag w:val="_PLD_ff5e808cf3794086a9aee4c489a9f6eb"/>
                  <w:id w:val="1116257785"/>
                </w:sdtPr>
                <w:sdtEndPr>
                  <w:rPr>
                    <w:sz w:val="15"/>
                    <w:szCs w:val="15"/>
                  </w:rPr>
                </w:sdtEndPr>
                <w:sdtContent>
                  <w:p>
                    <w:pPr>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w:t>
                    </w:r>
                  </w:p>
                </w:sdtContent>
              </w:sdt>
            </w:sdtContent>
          </w:sdt>
        </w:tc>
        <w:tc>
          <w:tcPr>
            <w:tcW w:w="1040" w:type="dxa"/>
            <w:vMerge w:val="restart"/>
            <w:vAlign w:val="center"/>
          </w:tcPr>
          <w:sdt>
            <w:sdtPr>
              <w:rPr>
                <w:sz w:val="15"/>
                <w:szCs w:val="15"/>
              </w:rPr>
              <w:tag w:val="_PLD_e6df9793a438430a8df9730b2cdd8a99"/>
              <w:id w:val="1526907495"/>
            </w:sdtPr>
            <w:sdtEndPr>
              <w:rPr>
                <w:sz w:val="15"/>
                <w:szCs w:val="15"/>
              </w:rPr>
            </w:sdtEndPr>
            <w:sdtContent>
              <w:p>
                <w:pPr>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小计</w:t>
                </w:r>
              </w:p>
            </w:sdtContent>
          </w:sdt>
        </w:tc>
        <w:tc>
          <w:tcPr>
            <w:tcW w:w="1275" w:type="dxa"/>
            <w:vMerge w:val="continue"/>
            <w:vAlign w:val="center"/>
          </w:tcPr>
          <w:p>
            <w:pPr>
              <w:jc w:val="center"/>
              <w:rPr>
                <w:color w:val="000000" w:themeColor="text1"/>
                <w:sz w:val="15"/>
                <w:szCs w:val="15"/>
                <w14:textFill>
                  <w14:solidFill>
                    <w14:schemeClr w14:val="tx1"/>
                  </w14:solidFill>
                </w14:textFill>
              </w:rPr>
            </w:pPr>
          </w:p>
        </w:tc>
        <w:tc>
          <w:tcPr>
            <w:tcW w:w="1394" w:type="dxa"/>
            <w:vMerge w:val="continue"/>
            <w:vAlign w:val="center"/>
          </w:tcPr>
          <w:p>
            <w:pPr>
              <w:jc w:val="center"/>
              <w:rPr>
                <w:color w:val="000000" w:themeColor="text1"/>
                <w:sz w:val="15"/>
                <w:szCs w:val="15"/>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988" w:type="dxa"/>
            <w:vMerge w:val="continue"/>
            <w:vAlign w:val="center"/>
          </w:tcPr>
          <w:p>
            <w:pPr>
              <w:snapToGrid w:val="0"/>
              <w:spacing w:line="240" w:lineRule="atLeast"/>
              <w:ind w:right="-1594" w:rightChars="-759"/>
              <w:rPr>
                <w:color w:val="000000" w:themeColor="text1"/>
                <w:sz w:val="15"/>
                <w:szCs w:val="15"/>
                <w14:textFill>
                  <w14:solidFill>
                    <w14:schemeClr w14:val="tx1"/>
                  </w14:solidFill>
                </w14:textFill>
              </w:rPr>
            </w:pPr>
          </w:p>
        </w:tc>
        <w:tc>
          <w:tcPr>
            <w:tcW w:w="992"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sdt>
          <w:sdtPr>
            <w:rPr>
              <w:sz w:val="15"/>
              <w:szCs w:val="15"/>
            </w:rPr>
            <w:tag w:val="_PLD_052ae87eff474159aaedec0c5ce4bb50"/>
            <w:id w:val="1206219367"/>
          </w:sdtPr>
          <w:sdtEndPr>
            <w:rPr>
              <w:sz w:val="15"/>
              <w:szCs w:val="15"/>
            </w:rPr>
          </w:sdtEndPr>
          <w:sdtContent>
            <w:tc>
              <w:tcPr>
                <w:tcW w:w="283" w:type="dxa"/>
                <w:vAlign w:val="center"/>
              </w:tcPr>
              <w:p>
                <w:pPr>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优先股</w:t>
                </w:r>
              </w:p>
            </w:tc>
          </w:sdtContent>
        </w:sdt>
        <w:sdt>
          <w:sdtPr>
            <w:rPr>
              <w:sz w:val="15"/>
              <w:szCs w:val="15"/>
            </w:rPr>
            <w:tag w:val="_PLD_f40d311f528a48d8a47457e11ad5ccd5"/>
            <w:id w:val="1157117520"/>
          </w:sdtPr>
          <w:sdtEndPr>
            <w:rPr>
              <w:sz w:val="15"/>
              <w:szCs w:val="15"/>
            </w:rPr>
          </w:sdtEndPr>
          <w:sdtContent>
            <w:tc>
              <w:tcPr>
                <w:tcW w:w="284" w:type="dxa"/>
                <w:vAlign w:val="center"/>
              </w:tcPr>
              <w:p>
                <w:pPr>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永续债</w:t>
                </w:r>
              </w:p>
            </w:tc>
          </w:sdtContent>
        </w:sdt>
        <w:sdt>
          <w:sdtPr>
            <w:rPr>
              <w:sz w:val="15"/>
              <w:szCs w:val="15"/>
            </w:rPr>
            <w:tag w:val="_PLD_90f98adf8eaf44078005d57f570c4291"/>
            <w:id w:val="-208651512"/>
          </w:sdtPr>
          <w:sdtEndPr>
            <w:rPr>
              <w:sz w:val="15"/>
              <w:szCs w:val="15"/>
            </w:rPr>
          </w:sdtEndPr>
          <w:sdtContent>
            <w:tc>
              <w:tcPr>
                <w:tcW w:w="335" w:type="dxa"/>
                <w:vAlign w:val="center"/>
              </w:tcPr>
              <w:p>
                <w:pPr>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w:t>
                </w:r>
              </w:p>
            </w:tc>
          </w:sdtContent>
        </w:sdt>
        <w:tc>
          <w:tcPr>
            <w:tcW w:w="1136"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1062"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988"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1062"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945"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567"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1134" w:type="dxa"/>
            <w:vMerge w:val="continue"/>
            <w:vAlign w:val="center"/>
          </w:tcPr>
          <w:p>
            <w:pPr>
              <w:snapToGrid w:val="0"/>
              <w:spacing w:line="240" w:lineRule="atLeast"/>
              <w:jc w:val="center"/>
              <w:rPr>
                <w:color w:val="000000" w:themeColor="text1"/>
                <w:sz w:val="15"/>
                <w:szCs w:val="15"/>
                <w14:textFill>
                  <w14:solidFill>
                    <w14:schemeClr w14:val="tx1"/>
                  </w14:solidFill>
                </w14:textFill>
              </w:rPr>
            </w:pPr>
          </w:p>
        </w:tc>
        <w:tc>
          <w:tcPr>
            <w:tcW w:w="378" w:type="dxa"/>
            <w:vMerge w:val="continue"/>
            <w:vAlign w:val="center"/>
          </w:tcPr>
          <w:p>
            <w:pPr>
              <w:jc w:val="center"/>
              <w:rPr>
                <w:color w:val="000000" w:themeColor="text1"/>
                <w:sz w:val="15"/>
                <w:szCs w:val="15"/>
                <w14:textFill>
                  <w14:solidFill>
                    <w14:schemeClr w14:val="tx1"/>
                  </w14:solidFill>
                </w14:textFill>
              </w:rPr>
            </w:pPr>
          </w:p>
        </w:tc>
        <w:tc>
          <w:tcPr>
            <w:tcW w:w="1040" w:type="dxa"/>
            <w:vMerge w:val="continue"/>
            <w:vAlign w:val="center"/>
          </w:tcPr>
          <w:p>
            <w:pPr>
              <w:jc w:val="center"/>
              <w:rPr>
                <w:color w:val="000000" w:themeColor="text1"/>
                <w:sz w:val="15"/>
                <w:szCs w:val="15"/>
                <w14:textFill>
                  <w14:solidFill>
                    <w14:schemeClr w14:val="tx1"/>
                  </w14:solidFill>
                </w14:textFill>
              </w:rPr>
            </w:pPr>
          </w:p>
        </w:tc>
        <w:tc>
          <w:tcPr>
            <w:tcW w:w="1275" w:type="dxa"/>
            <w:vMerge w:val="continue"/>
            <w:vAlign w:val="center"/>
          </w:tcPr>
          <w:p>
            <w:pPr>
              <w:jc w:val="center"/>
              <w:rPr>
                <w:color w:val="000000" w:themeColor="text1"/>
                <w:sz w:val="15"/>
                <w:szCs w:val="15"/>
                <w14:textFill>
                  <w14:solidFill>
                    <w14:schemeClr w14:val="tx1"/>
                  </w14:solidFill>
                </w14:textFill>
              </w:rPr>
            </w:pPr>
          </w:p>
        </w:tc>
        <w:tc>
          <w:tcPr>
            <w:tcW w:w="1394" w:type="dxa"/>
            <w:vMerge w:val="continue"/>
            <w:tcBorders>
              <w:bottom w:val="nil"/>
            </w:tcBorders>
            <w:vAlign w:val="center"/>
          </w:tcPr>
          <w:p>
            <w:pPr>
              <w:jc w:val="center"/>
              <w:rPr>
                <w:color w:val="000000" w:themeColor="text1"/>
                <w:sz w:val="15"/>
                <w:szCs w:val="15"/>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7e9607e7cfb34d74bf0fce08e0866d34"/>
            <w:id w:val="-195698261"/>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一、上年</w:t>
                </w:r>
                <w:r>
                  <w:rPr>
                    <w:rFonts w:hint="eastAsia"/>
                    <w:color w:val="000000" w:themeColor="text1"/>
                    <w:sz w:val="15"/>
                    <w:szCs w:val="15"/>
                    <w14:textFill>
                      <w14:solidFill>
                        <w14:schemeClr w14:val="tx1"/>
                      </w14:solidFill>
                    </w14:textFill>
                  </w:rPr>
                  <w:t>期</w:t>
                </w:r>
                <w:r>
                  <w:rPr>
                    <w:color w:val="000000" w:themeColor="text1"/>
                    <w:sz w:val="15"/>
                    <w:szCs w:val="15"/>
                    <w14:textFill>
                      <w14:solidFill>
                        <w14:schemeClr w14:val="tx1"/>
                      </w14:solidFill>
                    </w14:textFill>
                  </w:rPr>
                  <w:t>末余额</w:t>
                </w:r>
              </w:p>
            </w:tc>
          </w:sdtContent>
        </w:sdt>
        <w:tc>
          <w:tcPr>
            <w:tcW w:w="992" w:type="dxa"/>
            <w:vAlign w:val="center"/>
          </w:tcPr>
          <w:p>
            <w:pPr>
              <w:jc w:val="right"/>
              <w:rPr>
                <w:sz w:val="15"/>
                <w:szCs w:val="15"/>
              </w:rPr>
            </w:pPr>
            <w:r>
              <w:rPr>
                <w:sz w:val="15"/>
                <w:szCs w:val="15"/>
              </w:rPr>
              <w:t xml:space="preserve"> 333,167,407.00 </w:t>
            </w: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r>
              <w:rPr>
                <w:sz w:val="15"/>
                <w:szCs w:val="15"/>
              </w:rPr>
              <w:t xml:space="preserve"> 960,873,722.51 </w:t>
            </w:r>
          </w:p>
        </w:tc>
        <w:tc>
          <w:tcPr>
            <w:tcW w:w="1062" w:type="dxa"/>
            <w:vAlign w:val="center"/>
          </w:tcPr>
          <w:p>
            <w:pPr>
              <w:jc w:val="right"/>
              <w:rPr>
                <w:sz w:val="15"/>
                <w:szCs w:val="15"/>
              </w:rPr>
            </w:pPr>
            <w:r>
              <w:rPr>
                <w:sz w:val="15"/>
                <w:szCs w:val="15"/>
              </w:rPr>
              <w:t xml:space="preserve"> 30,893,741.28 </w:t>
            </w:r>
          </w:p>
        </w:tc>
        <w:tc>
          <w:tcPr>
            <w:tcW w:w="988" w:type="dxa"/>
            <w:vAlign w:val="center"/>
          </w:tcPr>
          <w:p>
            <w:pPr>
              <w:jc w:val="right"/>
              <w:rPr>
                <w:sz w:val="15"/>
                <w:szCs w:val="15"/>
              </w:rPr>
            </w:pPr>
            <w:r>
              <w:rPr>
                <w:sz w:val="15"/>
                <w:szCs w:val="15"/>
              </w:rPr>
              <w:t xml:space="preserve"> 2,027,597.71 </w:t>
            </w:r>
          </w:p>
        </w:tc>
        <w:tc>
          <w:tcPr>
            <w:tcW w:w="1062" w:type="dxa"/>
            <w:vAlign w:val="center"/>
          </w:tcPr>
          <w:p>
            <w:pPr>
              <w:jc w:val="right"/>
              <w:rPr>
                <w:sz w:val="15"/>
                <w:szCs w:val="15"/>
              </w:rPr>
            </w:pPr>
            <w:r>
              <w:rPr>
                <w:sz w:val="15"/>
                <w:szCs w:val="15"/>
              </w:rPr>
              <w:t xml:space="preserve"> 22,440,561.28 </w:t>
            </w:r>
          </w:p>
        </w:tc>
        <w:tc>
          <w:tcPr>
            <w:tcW w:w="945" w:type="dxa"/>
            <w:vAlign w:val="center"/>
          </w:tcPr>
          <w:p>
            <w:pPr>
              <w:jc w:val="right"/>
              <w:rPr>
                <w:sz w:val="15"/>
                <w:szCs w:val="15"/>
              </w:rPr>
            </w:pPr>
            <w:r>
              <w:rPr>
                <w:sz w:val="15"/>
                <w:szCs w:val="15"/>
              </w:rPr>
              <w:t xml:space="preserve"> 122,195,454.42 </w:t>
            </w:r>
          </w:p>
        </w:tc>
        <w:tc>
          <w:tcPr>
            <w:tcW w:w="567" w:type="dxa"/>
            <w:vAlign w:val="center"/>
          </w:tcPr>
          <w:p>
            <w:pPr>
              <w:jc w:val="right"/>
              <w:rPr>
                <w:sz w:val="15"/>
                <w:szCs w:val="15"/>
              </w:rPr>
            </w:pPr>
          </w:p>
        </w:tc>
        <w:tc>
          <w:tcPr>
            <w:tcW w:w="1134" w:type="dxa"/>
            <w:vAlign w:val="center"/>
          </w:tcPr>
          <w:p>
            <w:pPr>
              <w:jc w:val="right"/>
              <w:rPr>
                <w:sz w:val="15"/>
                <w:szCs w:val="15"/>
              </w:rPr>
            </w:pPr>
            <w:r>
              <w:rPr>
                <w:sz w:val="15"/>
                <w:szCs w:val="15"/>
              </w:rPr>
              <w:t xml:space="preserve"> 1,003,432,341.75 </w:t>
            </w: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 2,413,243,343.39 </w:t>
            </w:r>
          </w:p>
        </w:tc>
        <w:tc>
          <w:tcPr>
            <w:tcW w:w="1275" w:type="dxa"/>
            <w:vAlign w:val="center"/>
          </w:tcPr>
          <w:p>
            <w:pPr>
              <w:jc w:val="right"/>
              <w:rPr>
                <w:sz w:val="15"/>
                <w:szCs w:val="15"/>
              </w:rPr>
            </w:pPr>
            <w:r>
              <w:rPr>
                <w:sz w:val="15"/>
                <w:szCs w:val="15"/>
              </w:rPr>
              <w:t xml:space="preserve"> 139,598,553.64 </w:t>
            </w:r>
          </w:p>
        </w:tc>
        <w:tc>
          <w:tcPr>
            <w:tcW w:w="1394" w:type="dxa"/>
            <w:vAlign w:val="center"/>
          </w:tcPr>
          <w:p>
            <w:pPr>
              <w:jc w:val="right"/>
              <w:rPr>
                <w:sz w:val="15"/>
                <w:szCs w:val="15"/>
              </w:rPr>
            </w:pPr>
            <w:r>
              <w:rPr>
                <w:sz w:val="15"/>
                <w:szCs w:val="15"/>
              </w:rPr>
              <w:t xml:space="preserve"> 2,552,841,897.03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fd33bb0caf614a75b319dc40c7515dcc"/>
            <w:id w:val="-748114260"/>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加：</w:t>
                </w:r>
                <w:r>
                  <w:rPr>
                    <w:color w:val="000000" w:themeColor="text1"/>
                    <w:sz w:val="15"/>
                    <w:szCs w:val="15"/>
                    <w14:textFill>
                      <w14:solidFill>
                        <w14:schemeClr w14:val="tx1"/>
                      </w14:solidFill>
                    </w14:textFill>
                  </w:rPr>
                  <w:t>会计政策变更</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15b4364437fa4ad39040010f7c204056"/>
            <w:id w:val="1303887591"/>
          </w:sdtPr>
          <w:sdtEndPr>
            <w:rPr>
              <w:sz w:val="15"/>
              <w:szCs w:val="15"/>
            </w:rPr>
          </w:sdtEndPr>
          <w:sdtContent>
            <w:tc>
              <w:tcPr>
                <w:tcW w:w="988" w:type="dxa"/>
                <w:vAlign w:val="center"/>
              </w:tcPr>
              <w:p>
                <w:pPr>
                  <w:ind w:firstLine="300" w:firstLineChars="200"/>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前期差错更正</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87118e97730e486dbbcc5e072b67665f"/>
            <w:id w:val="-90781683"/>
          </w:sdtPr>
          <w:sdtEndPr>
            <w:rPr>
              <w:sz w:val="15"/>
              <w:szCs w:val="15"/>
            </w:rPr>
          </w:sdtEndPr>
          <w:sdtContent>
            <w:tc>
              <w:tcPr>
                <w:tcW w:w="988" w:type="dxa"/>
                <w:vAlign w:val="center"/>
              </w:tcPr>
              <w:p>
                <w:pPr>
                  <w:ind w:firstLine="300" w:firstLineChars="200"/>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b579c38070f04b86951daea3037af89c"/>
            <w:id w:val="-1360405"/>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二、本年</w:t>
                </w:r>
                <w:r>
                  <w:rPr>
                    <w:rFonts w:hint="eastAsia"/>
                    <w:color w:val="000000" w:themeColor="text1"/>
                    <w:sz w:val="15"/>
                    <w:szCs w:val="15"/>
                    <w14:textFill>
                      <w14:solidFill>
                        <w14:schemeClr w14:val="tx1"/>
                      </w14:solidFill>
                    </w14:textFill>
                  </w:rPr>
                  <w:t>期</w:t>
                </w:r>
                <w:r>
                  <w:rPr>
                    <w:color w:val="000000" w:themeColor="text1"/>
                    <w:sz w:val="15"/>
                    <w:szCs w:val="15"/>
                    <w14:textFill>
                      <w14:solidFill>
                        <w14:schemeClr w14:val="tx1"/>
                      </w14:solidFill>
                    </w14:textFill>
                  </w:rPr>
                  <w:t>初余额</w:t>
                </w:r>
              </w:p>
            </w:tc>
          </w:sdtContent>
        </w:sdt>
        <w:tc>
          <w:tcPr>
            <w:tcW w:w="992" w:type="dxa"/>
            <w:vAlign w:val="center"/>
          </w:tcPr>
          <w:p>
            <w:pPr>
              <w:jc w:val="right"/>
              <w:rPr>
                <w:sz w:val="15"/>
                <w:szCs w:val="15"/>
              </w:rPr>
            </w:pPr>
            <w:r>
              <w:rPr>
                <w:sz w:val="15"/>
                <w:szCs w:val="15"/>
              </w:rPr>
              <w:t xml:space="preserve"> 333,167,407.00 </w:t>
            </w: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r>
              <w:rPr>
                <w:sz w:val="15"/>
                <w:szCs w:val="15"/>
              </w:rPr>
              <w:t xml:space="preserve"> 960,873,722.51 </w:t>
            </w:r>
          </w:p>
        </w:tc>
        <w:tc>
          <w:tcPr>
            <w:tcW w:w="1062" w:type="dxa"/>
            <w:vAlign w:val="center"/>
          </w:tcPr>
          <w:p>
            <w:pPr>
              <w:jc w:val="right"/>
              <w:rPr>
                <w:sz w:val="15"/>
                <w:szCs w:val="15"/>
              </w:rPr>
            </w:pPr>
            <w:r>
              <w:rPr>
                <w:sz w:val="15"/>
                <w:szCs w:val="15"/>
              </w:rPr>
              <w:t xml:space="preserve"> 30,893,741.28 </w:t>
            </w:r>
          </w:p>
        </w:tc>
        <w:tc>
          <w:tcPr>
            <w:tcW w:w="988" w:type="dxa"/>
            <w:vAlign w:val="center"/>
          </w:tcPr>
          <w:p>
            <w:pPr>
              <w:jc w:val="right"/>
              <w:rPr>
                <w:sz w:val="15"/>
                <w:szCs w:val="15"/>
              </w:rPr>
            </w:pPr>
            <w:r>
              <w:rPr>
                <w:sz w:val="15"/>
                <w:szCs w:val="15"/>
              </w:rPr>
              <w:t xml:space="preserve"> 2,027,597.71 </w:t>
            </w:r>
          </w:p>
        </w:tc>
        <w:tc>
          <w:tcPr>
            <w:tcW w:w="1062" w:type="dxa"/>
            <w:vAlign w:val="center"/>
          </w:tcPr>
          <w:p>
            <w:pPr>
              <w:jc w:val="right"/>
              <w:rPr>
                <w:sz w:val="15"/>
                <w:szCs w:val="15"/>
              </w:rPr>
            </w:pPr>
            <w:r>
              <w:rPr>
                <w:sz w:val="15"/>
                <w:szCs w:val="15"/>
              </w:rPr>
              <w:t xml:space="preserve"> 22,440,561.28 </w:t>
            </w:r>
          </w:p>
        </w:tc>
        <w:tc>
          <w:tcPr>
            <w:tcW w:w="945" w:type="dxa"/>
            <w:vAlign w:val="center"/>
          </w:tcPr>
          <w:p>
            <w:pPr>
              <w:jc w:val="right"/>
              <w:rPr>
                <w:sz w:val="15"/>
                <w:szCs w:val="15"/>
              </w:rPr>
            </w:pPr>
            <w:r>
              <w:rPr>
                <w:sz w:val="15"/>
                <w:szCs w:val="15"/>
              </w:rPr>
              <w:t xml:space="preserve"> 122,195,454.42 </w:t>
            </w:r>
          </w:p>
        </w:tc>
        <w:tc>
          <w:tcPr>
            <w:tcW w:w="567" w:type="dxa"/>
            <w:vAlign w:val="center"/>
          </w:tcPr>
          <w:p>
            <w:pPr>
              <w:jc w:val="right"/>
              <w:rPr>
                <w:sz w:val="15"/>
                <w:szCs w:val="15"/>
              </w:rPr>
            </w:pPr>
          </w:p>
        </w:tc>
        <w:tc>
          <w:tcPr>
            <w:tcW w:w="1134" w:type="dxa"/>
            <w:vAlign w:val="center"/>
          </w:tcPr>
          <w:p>
            <w:pPr>
              <w:jc w:val="right"/>
              <w:rPr>
                <w:sz w:val="15"/>
                <w:szCs w:val="15"/>
              </w:rPr>
            </w:pPr>
            <w:r>
              <w:rPr>
                <w:sz w:val="15"/>
                <w:szCs w:val="15"/>
              </w:rPr>
              <w:t xml:space="preserve"> 1,003,432,341.75 </w:t>
            </w: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 2,413,243,343.39 </w:t>
            </w:r>
          </w:p>
        </w:tc>
        <w:tc>
          <w:tcPr>
            <w:tcW w:w="1275" w:type="dxa"/>
            <w:vAlign w:val="center"/>
          </w:tcPr>
          <w:p>
            <w:pPr>
              <w:jc w:val="right"/>
              <w:rPr>
                <w:sz w:val="15"/>
                <w:szCs w:val="15"/>
              </w:rPr>
            </w:pPr>
            <w:r>
              <w:rPr>
                <w:sz w:val="15"/>
                <w:szCs w:val="15"/>
              </w:rPr>
              <w:t xml:space="preserve"> 139,598,553.64 </w:t>
            </w:r>
          </w:p>
        </w:tc>
        <w:tc>
          <w:tcPr>
            <w:tcW w:w="1394" w:type="dxa"/>
            <w:vAlign w:val="center"/>
          </w:tcPr>
          <w:p>
            <w:pPr>
              <w:jc w:val="right"/>
              <w:rPr>
                <w:sz w:val="15"/>
                <w:szCs w:val="15"/>
              </w:rPr>
            </w:pPr>
            <w:r>
              <w:rPr>
                <w:sz w:val="15"/>
                <w:szCs w:val="15"/>
              </w:rPr>
              <w:t xml:space="preserve"> 2,552,841,897.03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186aec2424a047ee9af21797aa0ee0d8"/>
            <w:id w:val="-1396198374"/>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三、本</w:t>
                </w:r>
                <w:r>
                  <w:rPr>
                    <w:rFonts w:hint="eastAsia"/>
                    <w:color w:val="000000" w:themeColor="text1"/>
                    <w:sz w:val="15"/>
                    <w:szCs w:val="15"/>
                    <w14:textFill>
                      <w14:solidFill>
                        <w14:schemeClr w14:val="tx1"/>
                      </w14:solidFill>
                    </w14:textFill>
                  </w:rPr>
                  <w:t>期</w:t>
                </w:r>
                <w:r>
                  <w:rPr>
                    <w:color w:val="000000" w:themeColor="text1"/>
                    <w:sz w:val="15"/>
                    <w:szCs w:val="15"/>
                    <w14:textFill>
                      <w14:solidFill>
                        <w14:schemeClr w14:val="tx1"/>
                      </w14:solidFill>
                    </w14:textFill>
                  </w:rPr>
                  <w:t>增减变动金额（减少以“</w:t>
                </w:r>
                <w:r>
                  <w:rPr>
                    <w:rFonts w:hint="eastAsia"/>
                    <w:color w:val="000000" w:themeColor="text1"/>
                    <w:sz w:val="15"/>
                    <w:szCs w:val="15"/>
                    <w14:textFill>
                      <w14:solidFill>
                        <w14:schemeClr w14:val="tx1"/>
                      </w14:solidFill>
                    </w14:textFill>
                  </w:rPr>
                  <w:t>-</w:t>
                </w:r>
                <w:r>
                  <w:rPr>
                    <w:color w:val="000000" w:themeColor="text1"/>
                    <w:sz w:val="15"/>
                    <w:szCs w:val="15"/>
                    <w14:textFill>
                      <w14:solidFill>
                        <w14:schemeClr w14:val="tx1"/>
                      </w14:solidFill>
                    </w14:textFill>
                  </w:rPr>
                  <w:t>”号填列）</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r>
              <w:rPr>
                <w:sz w:val="15"/>
                <w:szCs w:val="15"/>
              </w:rPr>
              <w:t xml:space="preserve">23,717,863.05 </w:t>
            </w:r>
          </w:p>
        </w:tc>
        <w:tc>
          <w:tcPr>
            <w:tcW w:w="1062" w:type="dxa"/>
            <w:vAlign w:val="center"/>
          </w:tcPr>
          <w:p>
            <w:pPr>
              <w:jc w:val="right"/>
              <w:rPr>
                <w:sz w:val="15"/>
                <w:szCs w:val="15"/>
              </w:rPr>
            </w:pPr>
            <w:r>
              <w:rPr>
                <w:sz w:val="15"/>
                <w:szCs w:val="15"/>
              </w:rPr>
              <w:t xml:space="preserve">-4,500,800.00 </w:t>
            </w:r>
          </w:p>
        </w:tc>
        <w:tc>
          <w:tcPr>
            <w:tcW w:w="988" w:type="dxa"/>
            <w:vAlign w:val="center"/>
          </w:tcPr>
          <w:p>
            <w:pPr>
              <w:jc w:val="right"/>
              <w:rPr>
                <w:sz w:val="15"/>
                <w:szCs w:val="15"/>
              </w:rPr>
            </w:pPr>
            <w:r>
              <w:rPr>
                <w:sz w:val="15"/>
                <w:szCs w:val="15"/>
              </w:rPr>
              <w:t xml:space="preserve"> 326,117.11 </w:t>
            </w:r>
          </w:p>
        </w:tc>
        <w:tc>
          <w:tcPr>
            <w:tcW w:w="1062" w:type="dxa"/>
            <w:vAlign w:val="center"/>
          </w:tcPr>
          <w:p>
            <w:pPr>
              <w:jc w:val="right"/>
              <w:rPr>
                <w:sz w:val="15"/>
                <w:szCs w:val="15"/>
              </w:rPr>
            </w:pPr>
            <w:r>
              <w:rPr>
                <w:sz w:val="15"/>
                <w:szCs w:val="15"/>
              </w:rPr>
              <w:t xml:space="preserve">1,500,194.50 </w:t>
            </w: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r>
              <w:rPr>
                <w:sz w:val="15"/>
                <w:szCs w:val="15"/>
              </w:rPr>
              <w:t xml:space="preserve"> 38,018,185.83 </w:t>
            </w: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68,063,160.49 </w:t>
            </w:r>
          </w:p>
        </w:tc>
        <w:tc>
          <w:tcPr>
            <w:tcW w:w="1275" w:type="dxa"/>
            <w:vAlign w:val="center"/>
          </w:tcPr>
          <w:p>
            <w:pPr>
              <w:jc w:val="right"/>
              <w:rPr>
                <w:sz w:val="15"/>
                <w:szCs w:val="15"/>
              </w:rPr>
            </w:pPr>
            <w:r>
              <w:rPr>
                <w:sz w:val="15"/>
                <w:szCs w:val="15"/>
              </w:rPr>
              <w:t xml:space="preserve"> -135,469,933.52 </w:t>
            </w:r>
          </w:p>
        </w:tc>
        <w:tc>
          <w:tcPr>
            <w:tcW w:w="1394" w:type="dxa"/>
            <w:vAlign w:val="center"/>
          </w:tcPr>
          <w:p>
            <w:pPr>
              <w:jc w:val="right"/>
              <w:rPr>
                <w:sz w:val="15"/>
                <w:szCs w:val="15"/>
              </w:rPr>
            </w:pPr>
            <w:r>
              <w:rPr>
                <w:sz w:val="15"/>
                <w:szCs w:val="15"/>
              </w:rPr>
              <w:t xml:space="preserve"> -67,406,773.03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17bf1a1d144b41e18dbd63758cccc7b5"/>
            <w:id w:val="-1095786978"/>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（一）综合收益总额</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r>
              <w:rPr>
                <w:sz w:val="15"/>
                <w:szCs w:val="15"/>
              </w:rPr>
              <w:t xml:space="preserve"> 326,117.11 </w:t>
            </w: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r>
              <w:rPr>
                <w:sz w:val="15"/>
                <w:szCs w:val="15"/>
              </w:rPr>
              <w:t xml:space="preserve">54,632,217.78 </w:t>
            </w: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54,958,334.89 </w:t>
            </w:r>
          </w:p>
        </w:tc>
        <w:tc>
          <w:tcPr>
            <w:tcW w:w="1275" w:type="dxa"/>
            <w:vAlign w:val="center"/>
          </w:tcPr>
          <w:p>
            <w:pPr>
              <w:jc w:val="right"/>
              <w:rPr>
                <w:sz w:val="15"/>
                <w:szCs w:val="15"/>
              </w:rPr>
            </w:pPr>
            <w:r>
              <w:rPr>
                <w:sz w:val="15"/>
                <w:szCs w:val="15"/>
              </w:rPr>
              <w:t xml:space="preserve"> 5,115,089.79 </w:t>
            </w:r>
          </w:p>
        </w:tc>
        <w:tc>
          <w:tcPr>
            <w:tcW w:w="1394" w:type="dxa"/>
            <w:vAlign w:val="center"/>
          </w:tcPr>
          <w:p>
            <w:pPr>
              <w:jc w:val="right"/>
              <w:rPr>
                <w:sz w:val="15"/>
                <w:szCs w:val="15"/>
              </w:rPr>
            </w:pPr>
            <w:r>
              <w:rPr>
                <w:sz w:val="15"/>
                <w:szCs w:val="15"/>
              </w:rPr>
              <w:t xml:space="preserve"> 60,073,424.68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d55056423dbf4ac187d64bd43c03aca3"/>
            <w:id w:val="867412092"/>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w:t>
                </w:r>
                <w:r>
                  <w:rPr>
                    <w:rFonts w:hint="eastAsia"/>
                    <w:color w:val="000000" w:themeColor="text1"/>
                    <w:sz w:val="15"/>
                    <w:szCs w:val="15"/>
                    <w14:textFill>
                      <w14:solidFill>
                        <w14:schemeClr w14:val="tx1"/>
                      </w14:solidFill>
                    </w14:textFill>
                  </w:rPr>
                  <w:t>二</w:t>
                </w:r>
                <w:r>
                  <w:rPr>
                    <w:color w:val="000000" w:themeColor="text1"/>
                    <w:sz w:val="15"/>
                    <w:szCs w:val="15"/>
                    <w14:textFill>
                      <w14:solidFill>
                        <w14:schemeClr w14:val="tx1"/>
                      </w14:solidFill>
                    </w14:textFill>
                  </w:rPr>
                  <w:t>）所有者投入和减少资本</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r>
              <w:rPr>
                <w:sz w:val="15"/>
                <w:szCs w:val="15"/>
              </w:rPr>
              <w:t xml:space="preserve">23,717,863.05 </w:t>
            </w:r>
          </w:p>
        </w:tc>
        <w:tc>
          <w:tcPr>
            <w:tcW w:w="1062" w:type="dxa"/>
            <w:vAlign w:val="center"/>
          </w:tcPr>
          <w:p>
            <w:pPr>
              <w:jc w:val="right"/>
              <w:rPr>
                <w:sz w:val="15"/>
                <w:szCs w:val="15"/>
              </w:rPr>
            </w:pPr>
            <w:r>
              <w:rPr>
                <w:sz w:val="15"/>
                <w:szCs w:val="15"/>
              </w:rPr>
              <w:t xml:space="preserve">-4,500,800.00 </w:t>
            </w: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28,218,663.05 </w:t>
            </w:r>
          </w:p>
        </w:tc>
        <w:tc>
          <w:tcPr>
            <w:tcW w:w="1275" w:type="dxa"/>
            <w:vAlign w:val="center"/>
          </w:tcPr>
          <w:p>
            <w:pPr>
              <w:jc w:val="right"/>
              <w:rPr>
                <w:sz w:val="15"/>
                <w:szCs w:val="15"/>
              </w:rPr>
            </w:pPr>
            <w:r>
              <w:rPr>
                <w:sz w:val="15"/>
                <w:szCs w:val="15"/>
              </w:rPr>
              <w:t xml:space="preserve">-140,585,023.31 </w:t>
            </w:r>
          </w:p>
        </w:tc>
        <w:tc>
          <w:tcPr>
            <w:tcW w:w="1394" w:type="dxa"/>
            <w:vAlign w:val="center"/>
          </w:tcPr>
          <w:p>
            <w:pPr>
              <w:jc w:val="right"/>
              <w:rPr>
                <w:sz w:val="15"/>
                <w:szCs w:val="15"/>
              </w:rPr>
            </w:pPr>
            <w:r>
              <w:rPr>
                <w:sz w:val="15"/>
                <w:szCs w:val="15"/>
              </w:rPr>
              <w:t xml:space="preserve"> -112,366,360.26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284541025868477ca26973c13dd9ff9e"/>
            <w:id w:val="-326818899"/>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1．所有者投入的普通股</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13b4ec8d0fe34f9797d68eab8f95768d"/>
            <w:id w:val="-406616397"/>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2．其他权益工具持有者投入资本</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f1f3be9263a748c28f276e78f447b133"/>
            <w:id w:val="-519473155"/>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3</w:t>
                </w:r>
                <w:r>
                  <w:rPr>
                    <w:color w:val="000000" w:themeColor="text1"/>
                    <w:sz w:val="15"/>
                    <w:szCs w:val="15"/>
                    <w14:textFill>
                      <w14:solidFill>
                        <w14:schemeClr w14:val="tx1"/>
                      </w14:solidFill>
                    </w14:textFill>
                  </w:rPr>
                  <w:t>．股份支付计入所有者权益的金额</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r>
              <w:rPr>
                <w:sz w:val="15"/>
                <w:szCs w:val="15"/>
              </w:rPr>
              <w:t xml:space="preserve"> -1,083,654.90 </w:t>
            </w:r>
          </w:p>
        </w:tc>
        <w:tc>
          <w:tcPr>
            <w:tcW w:w="1062" w:type="dxa"/>
            <w:vAlign w:val="center"/>
          </w:tcPr>
          <w:p>
            <w:pPr>
              <w:jc w:val="right"/>
              <w:rPr>
                <w:sz w:val="15"/>
                <w:szCs w:val="15"/>
              </w:rPr>
            </w:pPr>
            <w:r>
              <w:rPr>
                <w:sz w:val="15"/>
                <w:szCs w:val="15"/>
              </w:rPr>
              <w:t xml:space="preserve">-4,500,800.00 </w:t>
            </w: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 3,417,145.10 </w:t>
            </w:r>
          </w:p>
        </w:tc>
        <w:tc>
          <w:tcPr>
            <w:tcW w:w="1275" w:type="dxa"/>
            <w:vAlign w:val="center"/>
          </w:tcPr>
          <w:p>
            <w:pPr>
              <w:jc w:val="right"/>
              <w:rPr>
                <w:sz w:val="15"/>
                <w:szCs w:val="15"/>
              </w:rPr>
            </w:pPr>
          </w:p>
        </w:tc>
        <w:tc>
          <w:tcPr>
            <w:tcW w:w="1394" w:type="dxa"/>
            <w:vAlign w:val="center"/>
          </w:tcPr>
          <w:p>
            <w:pPr>
              <w:jc w:val="right"/>
              <w:rPr>
                <w:sz w:val="15"/>
                <w:szCs w:val="15"/>
              </w:rPr>
            </w:pPr>
            <w:r>
              <w:rPr>
                <w:sz w:val="15"/>
                <w:szCs w:val="15"/>
              </w:rPr>
              <w:t xml:space="preserve"> 3,417,145.10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b361f3a237774bcd8ac416b2b21655eb"/>
            <w:id w:val="2032521154"/>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4</w:t>
                </w:r>
                <w:r>
                  <w:rPr>
                    <w:color w:val="000000" w:themeColor="text1"/>
                    <w:sz w:val="15"/>
                    <w:szCs w:val="15"/>
                    <w14:textFill>
                      <w14:solidFill>
                        <w14:schemeClr w14:val="tx1"/>
                      </w14:solidFill>
                    </w14:textFill>
                  </w:rPr>
                  <w:t>．其他</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r>
              <w:rPr>
                <w:sz w:val="15"/>
                <w:szCs w:val="15"/>
              </w:rPr>
              <w:t xml:space="preserve">24,801,517.95 </w:t>
            </w: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24,801,517.95 </w:t>
            </w:r>
          </w:p>
        </w:tc>
        <w:tc>
          <w:tcPr>
            <w:tcW w:w="1275" w:type="dxa"/>
            <w:vAlign w:val="center"/>
          </w:tcPr>
          <w:p>
            <w:pPr>
              <w:jc w:val="right"/>
              <w:rPr>
                <w:sz w:val="15"/>
                <w:szCs w:val="15"/>
              </w:rPr>
            </w:pPr>
            <w:r>
              <w:rPr>
                <w:sz w:val="15"/>
                <w:szCs w:val="15"/>
              </w:rPr>
              <w:t xml:space="preserve"> -140,585,023.31 </w:t>
            </w:r>
          </w:p>
        </w:tc>
        <w:tc>
          <w:tcPr>
            <w:tcW w:w="1394" w:type="dxa"/>
            <w:vAlign w:val="center"/>
          </w:tcPr>
          <w:p>
            <w:pPr>
              <w:jc w:val="right"/>
              <w:rPr>
                <w:sz w:val="15"/>
                <w:szCs w:val="15"/>
              </w:rPr>
            </w:pPr>
            <w:r>
              <w:rPr>
                <w:sz w:val="15"/>
                <w:szCs w:val="15"/>
              </w:rPr>
              <w:t xml:space="preserve"> -115,783,505.36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a7e75a2d1ed049d9bbdb0ef093ac9478"/>
            <w:id w:val="-1086913910"/>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w:t>
                </w:r>
                <w:r>
                  <w:rPr>
                    <w:rFonts w:hint="eastAsia"/>
                    <w:color w:val="000000" w:themeColor="text1"/>
                    <w:sz w:val="15"/>
                    <w:szCs w:val="15"/>
                    <w14:textFill>
                      <w14:solidFill>
                        <w14:schemeClr w14:val="tx1"/>
                      </w14:solidFill>
                    </w14:textFill>
                  </w:rPr>
                  <w:t>三</w:t>
                </w:r>
                <w:r>
                  <w:rPr>
                    <w:color w:val="000000" w:themeColor="text1"/>
                    <w:sz w:val="15"/>
                    <w:szCs w:val="15"/>
                    <w14:textFill>
                      <w14:solidFill>
                        <w14:schemeClr w14:val="tx1"/>
                      </w14:solidFill>
                    </w14:textFill>
                  </w:rPr>
                  <w:t>）利润分配</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r>
              <w:rPr>
                <w:sz w:val="15"/>
                <w:szCs w:val="15"/>
              </w:rPr>
              <w:t xml:space="preserve"> -16,614,031.95 </w:t>
            </w: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-16,614,031.95 </w:t>
            </w:r>
          </w:p>
        </w:tc>
        <w:tc>
          <w:tcPr>
            <w:tcW w:w="1275" w:type="dxa"/>
            <w:vAlign w:val="center"/>
          </w:tcPr>
          <w:p>
            <w:pPr>
              <w:jc w:val="right"/>
              <w:rPr>
                <w:sz w:val="15"/>
                <w:szCs w:val="15"/>
              </w:rPr>
            </w:pPr>
          </w:p>
        </w:tc>
        <w:tc>
          <w:tcPr>
            <w:tcW w:w="1394" w:type="dxa"/>
            <w:vAlign w:val="center"/>
          </w:tcPr>
          <w:p>
            <w:pPr>
              <w:jc w:val="right"/>
              <w:rPr>
                <w:sz w:val="15"/>
                <w:szCs w:val="15"/>
              </w:rPr>
            </w:pPr>
            <w:r>
              <w:rPr>
                <w:sz w:val="15"/>
                <w:szCs w:val="15"/>
              </w:rPr>
              <w:t xml:space="preserve"> -16,614,031.95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728c39864cdd4a7c93d6a2bae73ac47f"/>
            <w:id w:val="-1536191811"/>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1．提取盈余公积</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6d8c8a0de80b4f6a97fdb16b82b3a6ac"/>
            <w:id w:val="-965651579"/>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2．提取一般风险准备</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a5531db3e1d84f3897cb962fdc73ab3d"/>
            <w:id w:val="1691179738"/>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3．对所有者（或股东）的分配</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r>
              <w:rPr>
                <w:sz w:val="15"/>
                <w:szCs w:val="15"/>
              </w:rPr>
              <w:t xml:space="preserve"> -16,614,031.95 </w:t>
            </w: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-16,614,031.95 </w:t>
            </w:r>
          </w:p>
        </w:tc>
        <w:tc>
          <w:tcPr>
            <w:tcW w:w="1275" w:type="dxa"/>
            <w:vAlign w:val="center"/>
          </w:tcPr>
          <w:p>
            <w:pPr>
              <w:jc w:val="right"/>
              <w:rPr>
                <w:sz w:val="15"/>
                <w:szCs w:val="15"/>
              </w:rPr>
            </w:pPr>
          </w:p>
        </w:tc>
        <w:tc>
          <w:tcPr>
            <w:tcW w:w="1394" w:type="dxa"/>
            <w:vAlign w:val="center"/>
          </w:tcPr>
          <w:p>
            <w:pPr>
              <w:jc w:val="right"/>
              <w:rPr>
                <w:sz w:val="15"/>
                <w:szCs w:val="15"/>
              </w:rPr>
            </w:pPr>
            <w:r>
              <w:rPr>
                <w:sz w:val="15"/>
                <w:szCs w:val="15"/>
              </w:rPr>
              <w:t xml:space="preserve"> -16,614,031.95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f3206f8cddd54371b8a1b220dc836af8"/>
            <w:id w:val="-1588296592"/>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4．其他</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c0c9652bd3724ad8b729d3650a0840d4"/>
            <w:id w:val="456765733"/>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w:t>
                </w:r>
                <w:r>
                  <w:rPr>
                    <w:rFonts w:hint="eastAsia"/>
                    <w:color w:val="000000" w:themeColor="text1"/>
                    <w:sz w:val="15"/>
                    <w:szCs w:val="15"/>
                    <w14:textFill>
                      <w14:solidFill>
                        <w14:schemeClr w14:val="tx1"/>
                      </w14:solidFill>
                    </w14:textFill>
                  </w:rPr>
                  <w:t>四</w:t>
                </w:r>
                <w:r>
                  <w:rPr>
                    <w:color w:val="000000" w:themeColor="text1"/>
                    <w:sz w:val="15"/>
                    <w:szCs w:val="15"/>
                    <w14:textFill>
                      <w14:solidFill>
                        <w14:schemeClr w14:val="tx1"/>
                      </w14:solidFill>
                    </w14:textFill>
                  </w:rPr>
                  <w:t>）所有者权益内部结转</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469a000ac571436189f1cb682bbe4ce7"/>
            <w:id w:val="693495403"/>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1．资本公积转增资本（或股本）</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8874e17dc09c419baab53299f7967f44"/>
            <w:id w:val="-244641460"/>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2．盈余公积转增资本（或股本）</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e3c6e2e078f649258bfa4dadb9266249"/>
            <w:id w:val="-754969568"/>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3．盈余公积弥补亏损</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sdt>
            <w:sdtPr>
              <w:rPr>
                <w:sz w:val="15"/>
                <w:szCs w:val="15"/>
              </w:rPr>
              <w:tag w:val="_PLD_7a03b853b8c74c2fb2e89f59e327b578"/>
              <w:id w:val="1664659281"/>
            </w:sdtPr>
            <w:sdtEndPr>
              <w:rPr>
                <w:sz w:val="15"/>
                <w:szCs w:val="15"/>
              </w:rPr>
            </w:sdtEndPr>
            <w:sdtContent>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4．设定受益计划变动额结转留存收益</w:t>
                </w:r>
              </w:p>
            </w:sdtContent>
          </w:sdt>
        </w:tc>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sdt>
            <w:sdtPr>
              <w:rPr>
                <w:sz w:val="15"/>
                <w:szCs w:val="15"/>
              </w:rPr>
              <w:tag w:val="_PLD_1db95d2c039e4fb6b41eae5a5c0aeb0a"/>
              <w:id w:val="392243254"/>
            </w:sdtPr>
            <w:sdtEndPr>
              <w:rPr>
                <w:sz w:val="15"/>
                <w:szCs w:val="15"/>
              </w:rPr>
            </w:sdtEndPr>
            <w:sdtContent>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5．其他综合收益结转留存收益</w:t>
                </w:r>
              </w:p>
            </w:sdtContent>
          </w:sdt>
        </w:tc>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sdt>
            <w:sdtPr>
              <w:rPr>
                <w:sz w:val="15"/>
                <w:szCs w:val="15"/>
              </w:rPr>
              <w:tag w:val="_PLD_44b366cf670e4514b5f91bc8cef97e27"/>
              <w:id w:val="-430737869"/>
            </w:sdtPr>
            <w:sdtEndPr>
              <w:rPr>
                <w:sz w:val="15"/>
                <w:szCs w:val="15"/>
              </w:rPr>
            </w:sdtEndPr>
            <w:sdtContent>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6．其他</w:t>
                </w:r>
              </w:p>
            </w:sdtContent>
          </w:sdt>
        </w:tc>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4c2ffccd1b8247f8b48874b508665dc1"/>
            <w:id w:val="-841772643"/>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（五）专项储备</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r>
              <w:rPr>
                <w:sz w:val="15"/>
                <w:szCs w:val="15"/>
              </w:rPr>
              <w:t xml:space="preserve">1,500,194.50 </w:t>
            </w: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1,500,194.50 </w:t>
            </w:r>
          </w:p>
        </w:tc>
        <w:tc>
          <w:tcPr>
            <w:tcW w:w="1275" w:type="dxa"/>
            <w:vAlign w:val="center"/>
          </w:tcPr>
          <w:p>
            <w:pPr>
              <w:jc w:val="right"/>
              <w:rPr>
                <w:sz w:val="15"/>
                <w:szCs w:val="15"/>
              </w:rPr>
            </w:pPr>
          </w:p>
        </w:tc>
        <w:tc>
          <w:tcPr>
            <w:tcW w:w="1394" w:type="dxa"/>
            <w:vAlign w:val="center"/>
          </w:tcPr>
          <w:p>
            <w:pPr>
              <w:jc w:val="right"/>
              <w:rPr>
                <w:sz w:val="15"/>
                <w:szCs w:val="15"/>
              </w:rPr>
            </w:pPr>
            <w:r>
              <w:rPr>
                <w:sz w:val="15"/>
                <w:szCs w:val="15"/>
              </w:rPr>
              <w:t xml:space="preserve"> 1,500,194.50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d7da1c1428f3471c9d74c89a582725d7"/>
            <w:id w:val="-1920866752"/>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1．本期提取</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r>
              <w:rPr>
                <w:sz w:val="15"/>
                <w:szCs w:val="15"/>
              </w:rPr>
              <w:t xml:space="preserve"> 6,376,638.16 </w:t>
            </w: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 6,376,638.16 </w:t>
            </w:r>
          </w:p>
        </w:tc>
        <w:tc>
          <w:tcPr>
            <w:tcW w:w="1275" w:type="dxa"/>
            <w:vAlign w:val="center"/>
          </w:tcPr>
          <w:p>
            <w:pPr>
              <w:jc w:val="right"/>
              <w:rPr>
                <w:sz w:val="15"/>
                <w:szCs w:val="15"/>
              </w:rPr>
            </w:pPr>
          </w:p>
        </w:tc>
        <w:tc>
          <w:tcPr>
            <w:tcW w:w="1394" w:type="dxa"/>
            <w:vAlign w:val="center"/>
          </w:tcPr>
          <w:p>
            <w:pPr>
              <w:jc w:val="right"/>
              <w:rPr>
                <w:sz w:val="15"/>
                <w:szCs w:val="15"/>
              </w:rPr>
            </w:pPr>
            <w:r>
              <w:rPr>
                <w:sz w:val="15"/>
                <w:szCs w:val="15"/>
              </w:rPr>
              <w:t xml:space="preserve"> 6,376,638.16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f11a5c1cf32e432cb3dba158baca32fc"/>
            <w:id w:val="-2104941554"/>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2．本期使用</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r>
              <w:rPr>
                <w:sz w:val="15"/>
                <w:szCs w:val="15"/>
              </w:rPr>
              <w:t xml:space="preserve"> -4,876,443.66 </w:t>
            </w: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r>
              <w:rPr>
                <w:sz w:val="15"/>
                <w:szCs w:val="15"/>
              </w:rPr>
              <w:t xml:space="preserve"> -4,876,443.66 </w:t>
            </w:r>
          </w:p>
        </w:tc>
        <w:tc>
          <w:tcPr>
            <w:tcW w:w="1275" w:type="dxa"/>
            <w:vAlign w:val="center"/>
          </w:tcPr>
          <w:p>
            <w:pPr>
              <w:jc w:val="right"/>
              <w:rPr>
                <w:sz w:val="15"/>
                <w:szCs w:val="15"/>
              </w:rPr>
            </w:pPr>
          </w:p>
        </w:tc>
        <w:tc>
          <w:tcPr>
            <w:tcW w:w="1394" w:type="dxa"/>
            <w:vAlign w:val="center"/>
          </w:tcPr>
          <w:p>
            <w:pPr>
              <w:jc w:val="right"/>
              <w:rPr>
                <w:sz w:val="15"/>
                <w:szCs w:val="15"/>
              </w:rPr>
            </w:pPr>
            <w:r>
              <w:rPr>
                <w:sz w:val="15"/>
                <w:szCs w:val="15"/>
              </w:rPr>
              <w:t xml:space="preserve"> -4,876,443.66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749e92980f334c9cae023bb1dba136fc"/>
            <w:id w:val="-2129304383"/>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（六）其他</w:t>
                </w:r>
              </w:p>
            </w:tc>
          </w:sdtContent>
        </w:sdt>
        <w:tc>
          <w:tcPr>
            <w:tcW w:w="992" w:type="dxa"/>
            <w:vAlign w:val="center"/>
          </w:tcPr>
          <w:p>
            <w:pPr>
              <w:jc w:val="right"/>
              <w:rPr>
                <w:sz w:val="15"/>
                <w:szCs w:val="15"/>
              </w:rPr>
            </w:pP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p>
        </w:tc>
        <w:tc>
          <w:tcPr>
            <w:tcW w:w="1062" w:type="dxa"/>
            <w:vAlign w:val="center"/>
          </w:tcPr>
          <w:p>
            <w:pPr>
              <w:jc w:val="right"/>
              <w:rPr>
                <w:sz w:val="15"/>
                <w:szCs w:val="15"/>
              </w:rPr>
            </w:pPr>
          </w:p>
        </w:tc>
        <w:tc>
          <w:tcPr>
            <w:tcW w:w="988" w:type="dxa"/>
            <w:vAlign w:val="center"/>
          </w:tcPr>
          <w:p>
            <w:pPr>
              <w:jc w:val="right"/>
              <w:rPr>
                <w:sz w:val="15"/>
                <w:szCs w:val="15"/>
              </w:rPr>
            </w:pPr>
          </w:p>
        </w:tc>
        <w:tc>
          <w:tcPr>
            <w:tcW w:w="1062" w:type="dxa"/>
            <w:vAlign w:val="center"/>
          </w:tcPr>
          <w:p>
            <w:pPr>
              <w:jc w:val="right"/>
              <w:rPr>
                <w:sz w:val="15"/>
                <w:szCs w:val="15"/>
              </w:rPr>
            </w:pPr>
          </w:p>
        </w:tc>
        <w:tc>
          <w:tcPr>
            <w:tcW w:w="945" w:type="dxa"/>
            <w:vAlign w:val="center"/>
          </w:tcPr>
          <w:p>
            <w:pPr>
              <w:jc w:val="right"/>
              <w:rPr>
                <w:sz w:val="15"/>
                <w:szCs w:val="15"/>
              </w:rPr>
            </w:pPr>
          </w:p>
        </w:tc>
        <w:tc>
          <w:tcPr>
            <w:tcW w:w="567" w:type="dxa"/>
            <w:vAlign w:val="center"/>
          </w:tcPr>
          <w:p>
            <w:pPr>
              <w:jc w:val="right"/>
              <w:rPr>
                <w:sz w:val="15"/>
                <w:szCs w:val="15"/>
              </w:rPr>
            </w:pPr>
          </w:p>
        </w:tc>
        <w:tc>
          <w:tcPr>
            <w:tcW w:w="1134" w:type="dxa"/>
            <w:vAlign w:val="center"/>
          </w:tcPr>
          <w:p>
            <w:pPr>
              <w:jc w:val="right"/>
              <w:rPr>
                <w:sz w:val="15"/>
                <w:szCs w:val="15"/>
              </w:rPr>
            </w:pPr>
          </w:p>
        </w:tc>
        <w:tc>
          <w:tcPr>
            <w:tcW w:w="378" w:type="dxa"/>
            <w:vAlign w:val="center"/>
          </w:tcPr>
          <w:p>
            <w:pPr>
              <w:jc w:val="right"/>
              <w:rPr>
                <w:sz w:val="15"/>
                <w:szCs w:val="15"/>
              </w:rPr>
            </w:pPr>
          </w:p>
        </w:tc>
        <w:tc>
          <w:tcPr>
            <w:tcW w:w="1040" w:type="dxa"/>
            <w:vAlign w:val="center"/>
          </w:tcPr>
          <w:p>
            <w:pPr>
              <w:jc w:val="right"/>
              <w:rPr>
                <w:sz w:val="15"/>
                <w:szCs w:val="15"/>
              </w:rPr>
            </w:pPr>
          </w:p>
        </w:tc>
        <w:tc>
          <w:tcPr>
            <w:tcW w:w="1275" w:type="dxa"/>
            <w:vAlign w:val="center"/>
          </w:tcPr>
          <w:p>
            <w:pPr>
              <w:jc w:val="right"/>
              <w:rPr>
                <w:sz w:val="15"/>
                <w:szCs w:val="15"/>
              </w:rPr>
            </w:pPr>
          </w:p>
        </w:tc>
        <w:tc>
          <w:tcPr>
            <w:tcW w:w="1394" w:type="dxa"/>
            <w:vAlign w:val="center"/>
          </w:tcPr>
          <w:p>
            <w:pPr>
              <w:jc w:val="right"/>
              <w:rPr>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5"/>
              <w:szCs w:val="15"/>
            </w:rPr>
            <w:tag w:val="_PLD_e9c8435b637745858c6ad855ad7bbea0"/>
            <w:id w:val="-2020155120"/>
          </w:sdtPr>
          <w:sdtEndPr>
            <w:rPr>
              <w:sz w:val="15"/>
              <w:szCs w:val="15"/>
            </w:rPr>
          </w:sdtEndPr>
          <w:sdtContent>
            <w:tc>
              <w:tcPr>
                <w:tcW w:w="988"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四、本期期末余额</w:t>
                </w:r>
              </w:p>
            </w:tc>
          </w:sdtContent>
        </w:sdt>
        <w:tc>
          <w:tcPr>
            <w:tcW w:w="992" w:type="dxa"/>
            <w:vAlign w:val="center"/>
          </w:tcPr>
          <w:p>
            <w:pPr>
              <w:jc w:val="right"/>
              <w:rPr>
                <w:sz w:val="15"/>
                <w:szCs w:val="15"/>
              </w:rPr>
            </w:pPr>
            <w:r>
              <w:rPr>
                <w:sz w:val="15"/>
                <w:szCs w:val="15"/>
              </w:rPr>
              <w:t xml:space="preserve">333,167,407.00 </w:t>
            </w:r>
          </w:p>
        </w:tc>
        <w:tc>
          <w:tcPr>
            <w:tcW w:w="283" w:type="dxa"/>
            <w:vAlign w:val="center"/>
          </w:tcPr>
          <w:p>
            <w:pPr>
              <w:jc w:val="right"/>
              <w:rPr>
                <w:sz w:val="15"/>
                <w:szCs w:val="15"/>
              </w:rPr>
            </w:pPr>
          </w:p>
        </w:tc>
        <w:tc>
          <w:tcPr>
            <w:tcW w:w="284" w:type="dxa"/>
            <w:vAlign w:val="center"/>
          </w:tcPr>
          <w:p>
            <w:pPr>
              <w:jc w:val="right"/>
              <w:rPr>
                <w:sz w:val="15"/>
                <w:szCs w:val="15"/>
              </w:rPr>
            </w:pPr>
          </w:p>
        </w:tc>
        <w:tc>
          <w:tcPr>
            <w:tcW w:w="335" w:type="dxa"/>
            <w:vAlign w:val="center"/>
          </w:tcPr>
          <w:p>
            <w:pPr>
              <w:jc w:val="right"/>
              <w:rPr>
                <w:sz w:val="15"/>
                <w:szCs w:val="15"/>
              </w:rPr>
            </w:pPr>
          </w:p>
        </w:tc>
        <w:tc>
          <w:tcPr>
            <w:tcW w:w="1136" w:type="dxa"/>
            <w:vAlign w:val="center"/>
          </w:tcPr>
          <w:p>
            <w:pPr>
              <w:jc w:val="right"/>
              <w:rPr>
                <w:sz w:val="15"/>
                <w:szCs w:val="15"/>
              </w:rPr>
            </w:pPr>
            <w:r>
              <w:rPr>
                <w:sz w:val="15"/>
                <w:szCs w:val="15"/>
              </w:rPr>
              <w:t xml:space="preserve">984,591,585.56 </w:t>
            </w:r>
          </w:p>
        </w:tc>
        <w:tc>
          <w:tcPr>
            <w:tcW w:w="1062" w:type="dxa"/>
            <w:vAlign w:val="center"/>
          </w:tcPr>
          <w:p>
            <w:pPr>
              <w:jc w:val="right"/>
              <w:rPr>
                <w:sz w:val="15"/>
                <w:szCs w:val="15"/>
              </w:rPr>
            </w:pPr>
            <w:r>
              <w:rPr>
                <w:sz w:val="15"/>
                <w:szCs w:val="15"/>
              </w:rPr>
              <w:t xml:space="preserve">26,392,941.28 </w:t>
            </w:r>
          </w:p>
        </w:tc>
        <w:tc>
          <w:tcPr>
            <w:tcW w:w="988" w:type="dxa"/>
            <w:vAlign w:val="center"/>
          </w:tcPr>
          <w:p>
            <w:pPr>
              <w:jc w:val="right"/>
              <w:rPr>
                <w:sz w:val="15"/>
                <w:szCs w:val="15"/>
              </w:rPr>
            </w:pPr>
            <w:r>
              <w:rPr>
                <w:sz w:val="15"/>
                <w:szCs w:val="15"/>
              </w:rPr>
              <w:t xml:space="preserve">2,353,714.82 </w:t>
            </w:r>
          </w:p>
        </w:tc>
        <w:tc>
          <w:tcPr>
            <w:tcW w:w="1062" w:type="dxa"/>
            <w:vAlign w:val="center"/>
          </w:tcPr>
          <w:p>
            <w:pPr>
              <w:jc w:val="right"/>
              <w:rPr>
                <w:sz w:val="15"/>
                <w:szCs w:val="15"/>
              </w:rPr>
            </w:pPr>
            <w:r>
              <w:rPr>
                <w:sz w:val="15"/>
                <w:szCs w:val="15"/>
              </w:rPr>
              <w:t xml:space="preserve">23,940,755.78 </w:t>
            </w:r>
          </w:p>
        </w:tc>
        <w:tc>
          <w:tcPr>
            <w:tcW w:w="945" w:type="dxa"/>
            <w:vAlign w:val="center"/>
          </w:tcPr>
          <w:p>
            <w:pPr>
              <w:jc w:val="right"/>
              <w:rPr>
                <w:sz w:val="15"/>
                <w:szCs w:val="15"/>
              </w:rPr>
            </w:pPr>
            <w:r>
              <w:rPr>
                <w:sz w:val="15"/>
                <w:szCs w:val="15"/>
              </w:rPr>
              <w:t xml:space="preserve">122,195,454.42 </w:t>
            </w:r>
          </w:p>
        </w:tc>
        <w:tc>
          <w:tcPr>
            <w:tcW w:w="567" w:type="dxa"/>
            <w:vAlign w:val="center"/>
          </w:tcPr>
          <w:p>
            <w:pPr>
              <w:jc w:val="right"/>
              <w:rPr>
                <w:sz w:val="15"/>
                <w:szCs w:val="15"/>
              </w:rPr>
            </w:pPr>
            <w:r>
              <w:rPr>
                <w:sz w:val="15"/>
                <w:szCs w:val="15"/>
              </w:rPr>
              <w:t xml:space="preserve">   </w:t>
            </w:r>
          </w:p>
        </w:tc>
        <w:tc>
          <w:tcPr>
            <w:tcW w:w="1134" w:type="dxa"/>
            <w:vAlign w:val="center"/>
          </w:tcPr>
          <w:p>
            <w:pPr>
              <w:jc w:val="right"/>
              <w:rPr>
                <w:sz w:val="15"/>
                <w:szCs w:val="15"/>
              </w:rPr>
            </w:pPr>
            <w:r>
              <w:rPr>
                <w:sz w:val="15"/>
                <w:szCs w:val="15"/>
              </w:rPr>
              <w:t xml:space="preserve">1,041,450,527.58 </w:t>
            </w:r>
          </w:p>
        </w:tc>
        <w:tc>
          <w:tcPr>
            <w:tcW w:w="378" w:type="dxa"/>
            <w:vAlign w:val="center"/>
          </w:tcPr>
          <w:p>
            <w:pPr>
              <w:jc w:val="right"/>
              <w:rPr>
                <w:sz w:val="15"/>
                <w:szCs w:val="15"/>
              </w:rPr>
            </w:pPr>
            <w:r>
              <w:rPr>
                <w:sz w:val="15"/>
                <w:szCs w:val="15"/>
              </w:rPr>
              <w:t xml:space="preserve">  </w:t>
            </w:r>
          </w:p>
        </w:tc>
        <w:tc>
          <w:tcPr>
            <w:tcW w:w="1040" w:type="dxa"/>
            <w:vAlign w:val="center"/>
          </w:tcPr>
          <w:p>
            <w:pPr>
              <w:jc w:val="right"/>
              <w:rPr>
                <w:sz w:val="15"/>
                <w:szCs w:val="15"/>
              </w:rPr>
            </w:pPr>
            <w:r>
              <w:rPr>
                <w:sz w:val="15"/>
                <w:szCs w:val="15"/>
              </w:rPr>
              <w:t xml:space="preserve">2,481,306,503.88 </w:t>
            </w:r>
          </w:p>
        </w:tc>
        <w:tc>
          <w:tcPr>
            <w:tcW w:w="1275" w:type="dxa"/>
            <w:vAlign w:val="center"/>
          </w:tcPr>
          <w:p>
            <w:pPr>
              <w:jc w:val="right"/>
              <w:rPr>
                <w:sz w:val="15"/>
                <w:szCs w:val="15"/>
              </w:rPr>
            </w:pPr>
            <w:r>
              <w:rPr>
                <w:sz w:val="15"/>
                <w:szCs w:val="15"/>
              </w:rPr>
              <w:t xml:space="preserve"> 4,128,620.12 </w:t>
            </w:r>
          </w:p>
        </w:tc>
        <w:tc>
          <w:tcPr>
            <w:tcW w:w="1394" w:type="dxa"/>
            <w:vAlign w:val="center"/>
          </w:tcPr>
          <w:p>
            <w:pPr>
              <w:jc w:val="right"/>
              <w:rPr>
                <w:sz w:val="15"/>
                <w:szCs w:val="15"/>
              </w:rPr>
            </w:pPr>
            <w:r>
              <w:rPr>
                <w:sz w:val="15"/>
                <w:szCs w:val="15"/>
              </w:rPr>
              <w:t xml:space="preserve"> 2,485,435,124.00 </w:t>
            </w:r>
          </w:p>
        </w:tc>
      </w:tr>
      <w:bookmarkEnd w:id="160"/>
    </w:tbl>
    <w:p>
      <w:pPr>
        <w:snapToGrid w:val="0"/>
        <w:spacing w:line="240" w:lineRule="atLeast"/>
        <w:rPr>
          <w:b/>
          <w:bCs w:val="0"/>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076a4a0998a840bab20f0ed83e5bab3d"/>
          <w:id w:val="-1652127445"/>
          <w:placeholder>
            <w:docPart w:val="GBC22222222222222222222222222222"/>
          </w:placeholder>
          <w15: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杨泽民</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5b21002df9e248fa81a6770579ce76cd"/>
          <w:id w:val="-2024775982"/>
          <w:placeholder>
            <w:docPart w:val="GBC22222222222222222222222222222"/>
          </w:placeholder>
          <w15: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杨万华</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6a446d6543174dc48c72d440eefb0b71"/>
          <w:id w:val="12576047"/>
          <w:placeholder>
            <w:docPart w:val="GBC22222222222222222222222222222"/>
          </w:placeholder>
          <w15: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冯波</w:t>
          </w:r>
        </w:sdtContent>
      </w:sdt>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4"/>
        <w:jc w:val="cente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母公司</w:t>
      </w:r>
      <w:r>
        <w:rPr>
          <w:rFonts w:hint="eastAsia" w:ascii="宋体" w:hAnsi="宋体"/>
          <w:color w:val="000000" w:themeColor="text1"/>
          <w14:textFill>
            <w14:solidFill>
              <w14:schemeClr w14:val="tx1"/>
            </w14:solidFill>
          </w14:textFill>
        </w:rPr>
        <w:t>所有者权益变动表</w:t>
      </w:r>
    </w:p>
    <w:p>
      <w:pPr>
        <w:tabs>
          <w:tab w:val="left" w:pos="10080"/>
        </w:tabs>
        <w:snapToGrid w:val="0"/>
        <w:spacing w:line="240" w:lineRule="atLeast"/>
        <w:ind w:right="25" w:rightChars="12"/>
        <w:jc w:val="center"/>
        <w:rPr>
          <w:b/>
          <w:bCs w:val="0"/>
          <w:color w:val="000000" w:themeColor="text1"/>
          <w14:textFill>
            <w14:solidFill>
              <w14:schemeClr w14:val="tx1"/>
            </w14:solidFill>
          </w14:textFill>
        </w:rPr>
      </w:pPr>
      <w:r>
        <w:rPr>
          <w:color w:val="000000" w:themeColor="text1"/>
          <w14:textFill>
            <w14:solidFill>
              <w14:schemeClr w14:val="tx1"/>
            </w14:solidFill>
          </w14:textFill>
        </w:rPr>
        <w:t>2026年</w:t>
      </w:r>
      <w:r>
        <w:rPr>
          <w:rFonts w:hint="eastAsia"/>
          <w:color w:val="000000" w:themeColor="text1"/>
          <w14:textFill>
            <w14:solidFill>
              <w14:schemeClr w14:val="tx1"/>
            </w14:solidFill>
          </w14:textFill>
        </w:rPr>
        <w:t>1—6</w:t>
      </w:r>
      <w:r>
        <w:rPr>
          <w:color w:val="000000" w:themeColor="text1"/>
          <w14:textFill>
            <w14:solidFill>
              <w14:schemeClr w14:val="tx1"/>
            </w14:solidFill>
          </w14:textFill>
        </w:rPr>
        <w:t>月</w:t>
      </w:r>
    </w:p>
    <w:p>
      <w:pPr>
        <w:snapToGrid w:val="0"/>
        <w:spacing w:line="240" w:lineRule="atLeast"/>
        <w:jc w:val="right"/>
        <w:rPr>
          <w:color w:val="000000" w:themeColor="text1"/>
          <w14:textFill>
            <w14:solidFill>
              <w14:schemeClr w14:val="tx1"/>
            </w14:solidFill>
          </w14:textFill>
        </w:rPr>
      </w:pPr>
      <w:r>
        <w:rPr>
          <w:color w:val="000000" w:themeColor="text1"/>
          <w14:textFill>
            <w14:solidFill>
              <w14:schemeClr w14:val="tx1"/>
            </w14:solidFill>
          </w14:textFill>
        </w:rPr>
        <w:t>单位：</w:t>
      </w:r>
      <w:sdt>
        <w:sdtPr>
          <w:rPr>
            <w:color w:val="000000" w:themeColor="text1"/>
            <w14:textFill>
              <w14:solidFill>
                <w14:schemeClr w14:val="tx1"/>
              </w14:solidFill>
            </w14:textFill>
          </w:rPr>
          <w:alias w:val="单位：母公司股东权益调节表"/>
          <w:tag w:val="_GBC_048773409e614c6bb753000b028316a5"/>
          <w:id w:val="-135448561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母公司股东权益调节表"/>
          <w:tag w:val="_GBC_5214b7a188334da286fc3038d017d072"/>
          <w:id w:val="8527972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44"/>
        <w:tblW w:w="139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50"/>
        <w:gridCol w:w="1231"/>
        <w:gridCol w:w="567"/>
        <w:gridCol w:w="709"/>
        <w:gridCol w:w="567"/>
        <w:gridCol w:w="1275"/>
        <w:gridCol w:w="1276"/>
        <w:gridCol w:w="567"/>
        <w:gridCol w:w="1276"/>
        <w:gridCol w:w="1276"/>
        <w:gridCol w:w="1417"/>
        <w:gridCol w:w="13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e16babcb874e4410be91226aac3d24db"/>
            <w:id w:val="-713428967"/>
          </w:sdtPr>
          <w:sdtEndPr>
            <w:rPr>
              <w:sz w:val="16"/>
              <w:szCs w:val="16"/>
            </w:rPr>
          </w:sdtEndPr>
          <w:sdtContent>
            <w:tc>
              <w:tcPr>
                <w:tcW w:w="2450" w:type="dxa"/>
                <w:vMerge w:val="restart"/>
                <w:vAlign w:val="center"/>
              </w:tcPr>
              <w:p>
                <w:pPr>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项目</w:t>
                </w:r>
              </w:p>
            </w:tc>
          </w:sdtContent>
        </w:sdt>
        <w:tc>
          <w:tcPr>
            <w:tcW w:w="11510" w:type="dxa"/>
            <w:gridSpan w:val="11"/>
            <w:vAlign w:val="center"/>
          </w:tcPr>
          <w:p>
            <w:pPr>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 xml:space="preserve"> </w:t>
            </w:r>
            <w:sdt>
              <w:sdtPr>
                <w:rPr>
                  <w:sz w:val="16"/>
                  <w:szCs w:val="16"/>
                </w:rPr>
                <w:tag w:val="_PLD_f6e21c3ce66d4e148eea3bf743a653b8"/>
                <w:id w:val="1794163942"/>
              </w:sdtPr>
              <w:sdtEndPr>
                <w:rPr>
                  <w:sz w:val="16"/>
                  <w:szCs w:val="16"/>
                </w:rPr>
              </w:sdtEndPr>
              <w:sdtContent>
                <w:r>
                  <w:rPr>
                    <w:rFonts w:hint="eastAsia"/>
                    <w:color w:val="000000" w:themeColor="text1"/>
                    <w:sz w:val="16"/>
                    <w:szCs w:val="16"/>
                    <w14:textFill>
                      <w14:solidFill>
                        <w14:schemeClr w14:val="tx1"/>
                      </w14:solidFill>
                    </w14:textFill>
                  </w:rPr>
                  <w:t>2026年半年度</w:t>
                </w:r>
              </w:sdtContent>
            </w:sdt>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2450" w:type="dxa"/>
            <w:vMerge w:val="continue"/>
            <w:vAlign w:val="center"/>
          </w:tcPr>
          <w:p>
            <w:pPr>
              <w:adjustRightInd w:val="0"/>
              <w:snapToGrid w:val="0"/>
              <w:rPr>
                <w:color w:val="000000" w:themeColor="text1"/>
                <w:sz w:val="16"/>
                <w:szCs w:val="16"/>
                <w14:textFill>
                  <w14:solidFill>
                    <w14:schemeClr w14:val="tx1"/>
                  </w14:solidFill>
                </w14:textFill>
              </w:rPr>
            </w:pPr>
          </w:p>
        </w:tc>
        <w:sdt>
          <w:sdtPr>
            <w:rPr>
              <w:sz w:val="16"/>
              <w:szCs w:val="16"/>
            </w:rPr>
            <w:tag w:val="_PLD_0b6e9703ed65458cb162afd47e6cc9f5"/>
            <w:id w:val="234674681"/>
          </w:sdtPr>
          <w:sdtEndPr>
            <w:rPr>
              <w:sz w:val="16"/>
              <w:szCs w:val="16"/>
            </w:rPr>
          </w:sdtEndPr>
          <w:sdtContent>
            <w:tc>
              <w:tcPr>
                <w:tcW w:w="1231" w:type="dxa"/>
                <w:vMerge w:val="restart"/>
                <w:tcBorders>
                  <w:right w:val="single" w:color="auto" w:sz="4" w:space="0"/>
                </w:tcBorders>
                <w:vAlign w:val="center"/>
              </w:tcPr>
              <w:p>
                <w:pPr>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实收资本</w:t>
                </w:r>
                <w:r>
                  <w:rPr>
                    <w:color w:val="000000" w:themeColor="text1"/>
                    <w:sz w:val="16"/>
                    <w:szCs w:val="16"/>
                    <w14:textFill>
                      <w14:solidFill>
                        <w14:schemeClr w14:val="tx1"/>
                      </w14:solidFill>
                    </w14:textFill>
                  </w:rPr>
                  <w:t xml:space="preserve"> (或股本)</w:t>
                </w:r>
              </w:p>
            </w:tc>
          </w:sdtContent>
        </w:sdt>
        <w:sdt>
          <w:sdtPr>
            <w:rPr>
              <w:sz w:val="16"/>
              <w:szCs w:val="16"/>
            </w:rPr>
            <w:tag w:val="_PLD_385a3413585444238bb59d181b958311"/>
            <w:id w:val="-2043506489"/>
          </w:sdtPr>
          <w:sdtEndPr>
            <w:rPr>
              <w:sz w:val="16"/>
              <w:szCs w:val="16"/>
            </w:rPr>
          </w:sdtEndPr>
          <w:sdtContent>
            <w:tc>
              <w:tcPr>
                <w:tcW w:w="1843" w:type="dxa"/>
                <w:gridSpan w:val="3"/>
                <w:tcBorders>
                  <w:left w:val="single" w:color="auto" w:sz="4" w:space="0"/>
                  <w:bottom w:val="single" w:color="auto" w:sz="4" w:space="0"/>
                </w:tcBorders>
                <w:vAlign w:val="center"/>
              </w:tcPr>
              <w:p>
                <w:pPr>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其他权益工具</w:t>
                </w:r>
              </w:p>
            </w:tc>
          </w:sdtContent>
        </w:sdt>
        <w:sdt>
          <w:sdtPr>
            <w:rPr>
              <w:sz w:val="16"/>
              <w:szCs w:val="16"/>
            </w:rPr>
            <w:tag w:val="_PLD_670488de432c4150880353e82f6ebb21"/>
            <w:id w:val="1897621834"/>
          </w:sdtPr>
          <w:sdtEndPr>
            <w:rPr>
              <w:sz w:val="16"/>
              <w:szCs w:val="16"/>
            </w:rPr>
          </w:sdtEndPr>
          <w:sdtContent>
            <w:tc>
              <w:tcPr>
                <w:tcW w:w="1275" w:type="dxa"/>
                <w:vMerge w:val="restart"/>
                <w:vAlign w:val="center"/>
              </w:tcPr>
              <w:p>
                <w:pPr>
                  <w:adjustRightInd w:val="0"/>
                  <w:snapToGrid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资本公积</w:t>
                </w:r>
              </w:p>
            </w:tc>
          </w:sdtContent>
        </w:sdt>
        <w:sdt>
          <w:sdtPr>
            <w:rPr>
              <w:sz w:val="16"/>
              <w:szCs w:val="16"/>
            </w:rPr>
            <w:tag w:val="_PLD_c1c25c4e521b4e8aba5ccfef16a558c5"/>
            <w:id w:val="-1969119791"/>
          </w:sdtPr>
          <w:sdtEndPr>
            <w:rPr>
              <w:sz w:val="16"/>
              <w:szCs w:val="16"/>
            </w:rPr>
          </w:sdtEndPr>
          <w:sdtContent>
            <w:tc>
              <w:tcPr>
                <w:tcW w:w="1276" w:type="dxa"/>
                <w:vMerge w:val="restart"/>
                <w:vAlign w:val="center"/>
              </w:tcPr>
              <w:p>
                <w:pPr>
                  <w:adjustRightInd w:val="0"/>
                  <w:snapToGrid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减：库存股</w:t>
                </w:r>
              </w:p>
            </w:tc>
          </w:sdtContent>
        </w:sdt>
        <w:sdt>
          <w:sdtPr>
            <w:rPr>
              <w:sz w:val="16"/>
              <w:szCs w:val="16"/>
            </w:rPr>
            <w:tag w:val="_PLD_4ef83c170ca54a08ac6fcebc6a487dcd"/>
            <w:id w:val="-1220591730"/>
          </w:sdtPr>
          <w:sdtEndPr>
            <w:rPr>
              <w:sz w:val="16"/>
              <w:szCs w:val="16"/>
            </w:rPr>
          </w:sdtEndPr>
          <w:sdtContent>
            <w:tc>
              <w:tcPr>
                <w:tcW w:w="567" w:type="dxa"/>
                <w:vMerge w:val="restart"/>
                <w:vAlign w:val="center"/>
              </w:tcPr>
              <w:p>
                <w:pPr>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其他综合收益</w:t>
                </w:r>
              </w:p>
            </w:tc>
          </w:sdtContent>
        </w:sdt>
        <w:sdt>
          <w:sdtPr>
            <w:rPr>
              <w:sz w:val="16"/>
              <w:szCs w:val="16"/>
            </w:rPr>
            <w:tag w:val="_PLD_5a42f2a835d44138928915520fc5e902"/>
            <w:id w:val="-2024549151"/>
          </w:sdtPr>
          <w:sdtEndPr>
            <w:rPr>
              <w:sz w:val="16"/>
              <w:szCs w:val="16"/>
            </w:rPr>
          </w:sdtEndPr>
          <w:sdtContent>
            <w:tc>
              <w:tcPr>
                <w:tcW w:w="1276" w:type="dxa"/>
                <w:vMerge w:val="restart"/>
                <w:vAlign w:val="center"/>
              </w:tcPr>
              <w:p>
                <w:pPr>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专项储备</w:t>
                </w:r>
              </w:p>
            </w:tc>
          </w:sdtContent>
        </w:sdt>
        <w:sdt>
          <w:sdtPr>
            <w:rPr>
              <w:sz w:val="16"/>
              <w:szCs w:val="16"/>
            </w:rPr>
            <w:tag w:val="_PLD_dbef0e1514f54b8ab8b43e975d3451b6"/>
            <w:id w:val="762030572"/>
          </w:sdtPr>
          <w:sdtEndPr>
            <w:rPr>
              <w:sz w:val="16"/>
              <w:szCs w:val="16"/>
            </w:rPr>
          </w:sdtEndPr>
          <w:sdtContent>
            <w:tc>
              <w:tcPr>
                <w:tcW w:w="1276" w:type="dxa"/>
                <w:vMerge w:val="restart"/>
                <w:vAlign w:val="center"/>
              </w:tcPr>
              <w:p>
                <w:pPr>
                  <w:adjustRightInd w:val="0"/>
                  <w:snapToGrid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盈余公积</w:t>
                </w:r>
              </w:p>
            </w:tc>
          </w:sdtContent>
        </w:sdt>
        <w:sdt>
          <w:sdtPr>
            <w:rPr>
              <w:sz w:val="16"/>
              <w:szCs w:val="16"/>
            </w:rPr>
            <w:tag w:val="_PLD_63b6c2969ec64e7abb1802f027c1069a"/>
            <w:id w:val="386690430"/>
          </w:sdtPr>
          <w:sdtEndPr>
            <w:rPr>
              <w:sz w:val="16"/>
              <w:szCs w:val="16"/>
            </w:rPr>
          </w:sdtEndPr>
          <w:sdtContent>
            <w:tc>
              <w:tcPr>
                <w:tcW w:w="1417" w:type="dxa"/>
                <w:vMerge w:val="restart"/>
                <w:vAlign w:val="center"/>
              </w:tcPr>
              <w:p>
                <w:pPr>
                  <w:adjustRightInd w:val="0"/>
                  <w:snapToGrid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未分配利润</w:t>
                </w:r>
              </w:p>
            </w:tc>
          </w:sdtContent>
        </w:sdt>
        <w:sdt>
          <w:sdtPr>
            <w:rPr>
              <w:sz w:val="16"/>
              <w:szCs w:val="16"/>
            </w:rPr>
            <w:tag w:val="_PLD_cdd38492b3a84e28b52c6700432babfd"/>
            <w:id w:val="-422265984"/>
          </w:sdtPr>
          <w:sdtEndPr>
            <w:rPr>
              <w:sz w:val="16"/>
              <w:szCs w:val="16"/>
            </w:rPr>
          </w:sdtEndPr>
          <w:sdtContent>
            <w:tc>
              <w:tcPr>
                <w:tcW w:w="1349" w:type="dxa"/>
                <w:vMerge w:val="restart"/>
                <w:vAlign w:val="center"/>
              </w:tcPr>
              <w:p>
                <w:pPr>
                  <w:adjustRightInd w:val="0"/>
                  <w:snapToGrid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所有者权益合计</w:t>
                </w:r>
              </w:p>
            </w:tc>
          </w:sdtContent>
        </w:sdt>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4" w:hRule="atLeast"/>
        </w:trPr>
        <w:tc>
          <w:tcPr>
            <w:tcW w:w="2450" w:type="dxa"/>
            <w:vMerge w:val="continue"/>
            <w:vAlign w:val="center"/>
          </w:tcPr>
          <w:p>
            <w:pPr>
              <w:adjustRightInd w:val="0"/>
              <w:snapToGrid w:val="0"/>
              <w:rPr>
                <w:color w:val="000000" w:themeColor="text1"/>
                <w:sz w:val="16"/>
                <w:szCs w:val="16"/>
                <w14:textFill>
                  <w14:solidFill>
                    <w14:schemeClr w14:val="tx1"/>
                  </w14:solidFill>
                </w14:textFill>
              </w:rPr>
            </w:pPr>
          </w:p>
        </w:tc>
        <w:tc>
          <w:tcPr>
            <w:tcW w:w="1231" w:type="dxa"/>
            <w:vMerge w:val="continue"/>
            <w:tcBorders>
              <w:right w:val="single" w:color="auto" w:sz="4" w:space="0"/>
            </w:tcBorders>
            <w:vAlign w:val="center"/>
          </w:tcPr>
          <w:p>
            <w:pPr>
              <w:adjustRightInd w:val="0"/>
              <w:snapToGrid w:val="0"/>
              <w:jc w:val="center"/>
              <w:rPr>
                <w:color w:val="000000" w:themeColor="text1"/>
                <w:sz w:val="16"/>
                <w:szCs w:val="16"/>
                <w14:textFill>
                  <w14:solidFill>
                    <w14:schemeClr w14:val="tx1"/>
                  </w14:solidFill>
                </w14:textFill>
              </w:rPr>
            </w:pPr>
          </w:p>
        </w:tc>
        <w:sdt>
          <w:sdtPr>
            <w:rPr>
              <w:sz w:val="16"/>
              <w:szCs w:val="16"/>
            </w:rPr>
            <w:tag w:val="_PLD_90c1cf3c29414463ba491093caed23a7"/>
            <w:id w:val="1892764707"/>
          </w:sdtPr>
          <w:sdtEndPr>
            <w:rPr>
              <w:sz w:val="16"/>
              <w:szCs w:val="16"/>
            </w:rPr>
          </w:sdtEndPr>
          <w:sdtContent>
            <w:tc>
              <w:tcPr>
                <w:tcW w:w="567" w:type="dxa"/>
                <w:tcBorders>
                  <w:top w:val="single" w:color="auto" w:sz="4" w:space="0"/>
                  <w:left w:val="single" w:color="auto" w:sz="4" w:space="0"/>
                  <w:right w:val="single" w:color="auto" w:sz="4" w:space="0"/>
                </w:tcBorders>
                <w:vAlign w:val="center"/>
              </w:tcPr>
              <w:p>
                <w:pPr>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优先股</w:t>
                </w:r>
              </w:p>
            </w:tc>
          </w:sdtContent>
        </w:sdt>
        <w:sdt>
          <w:sdtPr>
            <w:rPr>
              <w:sz w:val="16"/>
              <w:szCs w:val="16"/>
            </w:rPr>
            <w:tag w:val="_PLD_7dac20c025664b94b7a2176be4c24d00"/>
            <w:id w:val="991300104"/>
          </w:sdtPr>
          <w:sdtEndPr>
            <w:rPr>
              <w:sz w:val="16"/>
              <w:szCs w:val="16"/>
            </w:rPr>
          </w:sdtEndPr>
          <w:sdtContent>
            <w:tc>
              <w:tcPr>
                <w:tcW w:w="709" w:type="dxa"/>
                <w:tcBorders>
                  <w:top w:val="single" w:color="auto" w:sz="4" w:space="0"/>
                  <w:left w:val="single" w:color="auto" w:sz="4" w:space="0"/>
                  <w:right w:val="single" w:color="auto" w:sz="4" w:space="0"/>
                </w:tcBorders>
                <w:vAlign w:val="center"/>
              </w:tcPr>
              <w:p>
                <w:pPr>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永续债</w:t>
                </w:r>
              </w:p>
            </w:tc>
          </w:sdtContent>
        </w:sdt>
        <w:sdt>
          <w:sdtPr>
            <w:rPr>
              <w:sz w:val="16"/>
              <w:szCs w:val="16"/>
            </w:rPr>
            <w:tag w:val="_PLD_23829f284d5149ee92e64b94083b1ade"/>
            <w:id w:val="254488377"/>
          </w:sdtPr>
          <w:sdtEndPr>
            <w:rPr>
              <w:sz w:val="16"/>
              <w:szCs w:val="16"/>
            </w:rPr>
          </w:sdtEndPr>
          <w:sdtContent>
            <w:tc>
              <w:tcPr>
                <w:tcW w:w="567" w:type="dxa"/>
                <w:tcBorders>
                  <w:top w:val="single" w:color="auto" w:sz="4" w:space="0"/>
                  <w:left w:val="single" w:color="auto" w:sz="4" w:space="0"/>
                </w:tcBorders>
                <w:vAlign w:val="center"/>
              </w:tcPr>
              <w:p>
                <w:pPr>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其他</w:t>
                </w:r>
              </w:p>
            </w:tc>
          </w:sdtContent>
        </w:sdt>
        <w:tc>
          <w:tcPr>
            <w:tcW w:w="1275" w:type="dxa"/>
            <w:vMerge w:val="continue"/>
            <w:vAlign w:val="center"/>
          </w:tcPr>
          <w:p>
            <w:pPr>
              <w:adjustRightInd w:val="0"/>
              <w:snapToGrid w:val="0"/>
              <w:jc w:val="center"/>
              <w:rPr>
                <w:color w:val="000000" w:themeColor="text1"/>
                <w:sz w:val="16"/>
                <w:szCs w:val="16"/>
                <w14:textFill>
                  <w14:solidFill>
                    <w14:schemeClr w14:val="tx1"/>
                  </w14:solidFill>
                </w14:textFill>
              </w:rPr>
            </w:pPr>
          </w:p>
        </w:tc>
        <w:tc>
          <w:tcPr>
            <w:tcW w:w="1276" w:type="dxa"/>
            <w:vMerge w:val="continue"/>
            <w:vAlign w:val="center"/>
          </w:tcPr>
          <w:p>
            <w:pPr>
              <w:adjustRightInd w:val="0"/>
              <w:snapToGrid w:val="0"/>
              <w:jc w:val="center"/>
              <w:rPr>
                <w:color w:val="000000" w:themeColor="text1"/>
                <w:sz w:val="16"/>
                <w:szCs w:val="16"/>
                <w14:textFill>
                  <w14:solidFill>
                    <w14:schemeClr w14:val="tx1"/>
                  </w14:solidFill>
                </w14:textFill>
              </w:rPr>
            </w:pPr>
          </w:p>
        </w:tc>
        <w:tc>
          <w:tcPr>
            <w:tcW w:w="567" w:type="dxa"/>
            <w:vMerge w:val="continue"/>
            <w:vAlign w:val="center"/>
          </w:tcPr>
          <w:p>
            <w:pPr>
              <w:jc w:val="center"/>
              <w:rPr>
                <w:color w:val="000000" w:themeColor="text1"/>
                <w:sz w:val="16"/>
                <w:szCs w:val="16"/>
                <w14:textFill>
                  <w14:solidFill>
                    <w14:schemeClr w14:val="tx1"/>
                  </w14:solidFill>
                </w14:textFill>
              </w:rPr>
            </w:pPr>
          </w:p>
        </w:tc>
        <w:tc>
          <w:tcPr>
            <w:tcW w:w="1276" w:type="dxa"/>
            <w:vMerge w:val="continue"/>
            <w:vAlign w:val="center"/>
          </w:tcPr>
          <w:p>
            <w:pPr>
              <w:adjustRightInd w:val="0"/>
              <w:snapToGrid w:val="0"/>
              <w:jc w:val="center"/>
              <w:rPr>
                <w:color w:val="000000" w:themeColor="text1"/>
                <w:sz w:val="16"/>
                <w:szCs w:val="16"/>
                <w14:textFill>
                  <w14:solidFill>
                    <w14:schemeClr w14:val="tx1"/>
                  </w14:solidFill>
                </w14:textFill>
              </w:rPr>
            </w:pPr>
          </w:p>
        </w:tc>
        <w:tc>
          <w:tcPr>
            <w:tcW w:w="1276" w:type="dxa"/>
            <w:vMerge w:val="continue"/>
            <w:vAlign w:val="center"/>
          </w:tcPr>
          <w:p>
            <w:pPr>
              <w:adjustRightInd w:val="0"/>
              <w:snapToGrid w:val="0"/>
              <w:jc w:val="center"/>
              <w:rPr>
                <w:color w:val="000000" w:themeColor="text1"/>
                <w:sz w:val="16"/>
                <w:szCs w:val="16"/>
                <w14:textFill>
                  <w14:solidFill>
                    <w14:schemeClr w14:val="tx1"/>
                  </w14:solidFill>
                </w14:textFill>
              </w:rPr>
            </w:pPr>
          </w:p>
        </w:tc>
        <w:tc>
          <w:tcPr>
            <w:tcW w:w="1417" w:type="dxa"/>
            <w:vMerge w:val="continue"/>
            <w:vAlign w:val="center"/>
          </w:tcPr>
          <w:p>
            <w:pPr>
              <w:adjustRightInd w:val="0"/>
              <w:snapToGrid w:val="0"/>
              <w:jc w:val="center"/>
              <w:rPr>
                <w:color w:val="000000" w:themeColor="text1"/>
                <w:sz w:val="16"/>
                <w:szCs w:val="16"/>
                <w14:textFill>
                  <w14:solidFill>
                    <w14:schemeClr w14:val="tx1"/>
                  </w14:solidFill>
                </w14:textFill>
              </w:rPr>
            </w:pPr>
          </w:p>
        </w:tc>
        <w:tc>
          <w:tcPr>
            <w:tcW w:w="1349" w:type="dxa"/>
            <w:vMerge w:val="continue"/>
            <w:vAlign w:val="center"/>
          </w:tcPr>
          <w:p>
            <w:pPr>
              <w:adjustRightInd w:val="0"/>
              <w:snapToGrid w:val="0"/>
              <w:jc w:val="center"/>
              <w:rPr>
                <w:color w:val="000000" w:themeColor="text1"/>
                <w:sz w:val="16"/>
                <w:szCs w:val="16"/>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b5131b53bda244fcbd76916797d6b666"/>
            <w:id w:val="-343477736"/>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一、上年</w:t>
                </w:r>
                <w:r>
                  <w:rPr>
                    <w:rFonts w:hint="eastAsia"/>
                    <w:color w:val="000000" w:themeColor="text1"/>
                    <w:sz w:val="16"/>
                    <w:szCs w:val="16"/>
                    <w14:textFill>
                      <w14:solidFill>
                        <w14:schemeClr w14:val="tx1"/>
                      </w14:solidFill>
                    </w14:textFill>
                  </w:rPr>
                  <w:t>期</w:t>
                </w:r>
                <w:r>
                  <w:rPr>
                    <w:color w:val="000000" w:themeColor="text1"/>
                    <w:sz w:val="16"/>
                    <w:szCs w:val="16"/>
                    <w14:textFill>
                      <w14:solidFill>
                        <w14:schemeClr w14:val="tx1"/>
                      </w14:solidFill>
                    </w14:textFill>
                  </w:rPr>
                  <w:t>末余额</w:t>
                </w:r>
              </w:p>
            </w:tc>
          </w:sdtContent>
        </w:sdt>
        <w:tc>
          <w:tcPr>
            <w:tcW w:w="1231" w:type="dxa"/>
            <w:tcBorders>
              <w:right w:val="single" w:color="auto" w:sz="4" w:space="0"/>
            </w:tcBorders>
            <w:vAlign w:val="center"/>
          </w:tcPr>
          <w:p>
            <w:pPr>
              <w:jc w:val="right"/>
              <w:rPr>
                <w:sz w:val="16"/>
                <w:szCs w:val="16"/>
              </w:rPr>
            </w:pPr>
            <w:r>
              <w:rPr>
                <w:sz w:val="16"/>
                <w:szCs w:val="16"/>
              </w:rPr>
              <w:t xml:space="preserve">332,353,407.00 </w:t>
            </w: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1275" w:type="dxa"/>
            <w:tcBorders>
              <w:left w:val="single" w:color="auto" w:sz="4" w:space="0"/>
            </w:tcBorders>
            <w:vAlign w:val="center"/>
          </w:tcPr>
          <w:p>
            <w:pPr>
              <w:jc w:val="right"/>
              <w:rPr>
                <w:sz w:val="16"/>
                <w:szCs w:val="16"/>
              </w:rPr>
            </w:pPr>
            <w:r>
              <w:rPr>
                <w:sz w:val="16"/>
                <w:szCs w:val="16"/>
              </w:rPr>
              <w:t xml:space="preserve">962,663,251.43 </w:t>
            </w:r>
          </w:p>
        </w:tc>
        <w:tc>
          <w:tcPr>
            <w:tcW w:w="1276" w:type="dxa"/>
            <w:vAlign w:val="center"/>
          </w:tcPr>
          <w:p>
            <w:pPr>
              <w:jc w:val="right"/>
              <w:rPr>
                <w:sz w:val="16"/>
                <w:szCs w:val="16"/>
              </w:rPr>
            </w:pPr>
            <w:r>
              <w:rPr>
                <w:sz w:val="16"/>
                <w:szCs w:val="16"/>
              </w:rPr>
              <w:t xml:space="preserve"> 19,807,681.28 </w:t>
            </w:r>
          </w:p>
        </w:tc>
        <w:tc>
          <w:tcPr>
            <w:tcW w:w="567" w:type="dxa"/>
            <w:vAlign w:val="center"/>
          </w:tcPr>
          <w:p>
            <w:pPr>
              <w:jc w:val="right"/>
              <w:rPr>
                <w:sz w:val="16"/>
                <w:szCs w:val="16"/>
              </w:rPr>
            </w:pPr>
            <w:r>
              <w:rPr>
                <w:sz w:val="16"/>
                <w:szCs w:val="16"/>
              </w:rPr>
              <w:t xml:space="preserve">  </w:t>
            </w:r>
          </w:p>
        </w:tc>
        <w:tc>
          <w:tcPr>
            <w:tcW w:w="1276" w:type="dxa"/>
            <w:vAlign w:val="center"/>
          </w:tcPr>
          <w:p>
            <w:pPr>
              <w:jc w:val="right"/>
              <w:rPr>
                <w:sz w:val="16"/>
                <w:szCs w:val="16"/>
              </w:rPr>
            </w:pPr>
            <w:r>
              <w:rPr>
                <w:sz w:val="16"/>
                <w:szCs w:val="16"/>
              </w:rPr>
              <w:t xml:space="preserve"> 20,467,028.68 </w:t>
            </w:r>
          </w:p>
        </w:tc>
        <w:tc>
          <w:tcPr>
            <w:tcW w:w="1276" w:type="dxa"/>
            <w:vAlign w:val="center"/>
          </w:tcPr>
          <w:p>
            <w:pPr>
              <w:jc w:val="right"/>
              <w:rPr>
                <w:sz w:val="16"/>
                <w:szCs w:val="16"/>
              </w:rPr>
            </w:pPr>
            <w:r>
              <w:rPr>
                <w:sz w:val="16"/>
                <w:szCs w:val="16"/>
              </w:rPr>
              <w:t xml:space="preserve">126,346,004.08 </w:t>
            </w:r>
          </w:p>
        </w:tc>
        <w:tc>
          <w:tcPr>
            <w:tcW w:w="1417" w:type="dxa"/>
            <w:vAlign w:val="center"/>
          </w:tcPr>
          <w:p>
            <w:pPr>
              <w:jc w:val="right"/>
              <w:rPr>
                <w:sz w:val="16"/>
                <w:szCs w:val="16"/>
              </w:rPr>
            </w:pPr>
            <w:r>
              <w:rPr>
                <w:sz w:val="16"/>
                <w:szCs w:val="16"/>
              </w:rPr>
              <w:t xml:space="preserve"> 1,010,476,174.22 </w:t>
            </w:r>
          </w:p>
        </w:tc>
        <w:tc>
          <w:tcPr>
            <w:tcW w:w="1349" w:type="dxa"/>
            <w:vAlign w:val="center"/>
          </w:tcPr>
          <w:p>
            <w:pPr>
              <w:jc w:val="right"/>
              <w:rPr>
                <w:sz w:val="16"/>
                <w:szCs w:val="16"/>
              </w:rPr>
            </w:pPr>
            <w:r>
              <w:rPr>
                <w:sz w:val="16"/>
                <w:szCs w:val="16"/>
              </w:rPr>
              <w:t xml:space="preserve">2,432,498,184.13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66de901175bd4e50a35a24f0fca7513d"/>
            <w:id w:val="-258062606"/>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加：会计政策变更</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1275" w:type="dxa"/>
            <w:tcBorders>
              <w:left w:val="single" w:color="auto" w:sz="4" w:space="0"/>
            </w:tcBorders>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3bfc3b7951f4488f95a7180f02c989cf"/>
            <w:id w:val="109018953"/>
          </w:sdtPr>
          <w:sdtEndPr>
            <w:rPr>
              <w:sz w:val="16"/>
              <w:szCs w:val="16"/>
            </w:rPr>
          </w:sdtEndPr>
          <w:sdtContent>
            <w:tc>
              <w:tcPr>
                <w:tcW w:w="2450" w:type="dxa"/>
                <w:vAlign w:val="center"/>
              </w:tcPr>
              <w:p>
                <w:pPr>
                  <w:ind w:firstLine="320" w:firstLineChars="200"/>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前期差错更正</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1275" w:type="dxa"/>
            <w:tcBorders>
              <w:left w:val="single" w:color="auto" w:sz="4" w:space="0"/>
            </w:tcBorders>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dc9b9aaf7e384b1eae7dcabb517c2b1e"/>
            <w:id w:val="-2141260573"/>
          </w:sdtPr>
          <w:sdtEndPr>
            <w:rPr>
              <w:sz w:val="16"/>
              <w:szCs w:val="16"/>
            </w:rPr>
          </w:sdtEndPr>
          <w:sdtContent>
            <w:tc>
              <w:tcPr>
                <w:tcW w:w="2450" w:type="dxa"/>
                <w:vAlign w:val="center"/>
              </w:tcPr>
              <w:p>
                <w:pPr>
                  <w:ind w:firstLine="320" w:firstLineChars="200"/>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其他</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1275" w:type="dxa"/>
            <w:tcBorders>
              <w:left w:val="single" w:color="auto" w:sz="4" w:space="0"/>
            </w:tcBorders>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345919472b384d0eb13471ef5f2f5e92"/>
            <w:id w:val="245314653"/>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二、本年</w:t>
                </w:r>
                <w:r>
                  <w:rPr>
                    <w:rFonts w:hint="eastAsia"/>
                    <w:color w:val="000000" w:themeColor="text1"/>
                    <w:sz w:val="16"/>
                    <w:szCs w:val="16"/>
                    <w14:textFill>
                      <w14:solidFill>
                        <w14:schemeClr w14:val="tx1"/>
                      </w14:solidFill>
                    </w14:textFill>
                  </w:rPr>
                  <w:t>期</w:t>
                </w:r>
                <w:r>
                  <w:rPr>
                    <w:color w:val="000000" w:themeColor="text1"/>
                    <w:sz w:val="16"/>
                    <w:szCs w:val="16"/>
                    <w14:textFill>
                      <w14:solidFill>
                        <w14:schemeClr w14:val="tx1"/>
                      </w14:solidFill>
                    </w14:textFill>
                  </w:rPr>
                  <w:t>初余额</w:t>
                </w:r>
              </w:p>
            </w:tc>
          </w:sdtContent>
        </w:sdt>
        <w:tc>
          <w:tcPr>
            <w:tcW w:w="1231" w:type="dxa"/>
            <w:tcBorders>
              <w:right w:val="single" w:color="auto" w:sz="4" w:space="0"/>
            </w:tcBorders>
            <w:vAlign w:val="center"/>
          </w:tcPr>
          <w:p>
            <w:pPr>
              <w:jc w:val="right"/>
              <w:rPr>
                <w:sz w:val="16"/>
                <w:szCs w:val="16"/>
              </w:rPr>
            </w:pPr>
            <w:r>
              <w:rPr>
                <w:sz w:val="16"/>
                <w:szCs w:val="16"/>
              </w:rPr>
              <w:t xml:space="preserve">332,353,407.00 </w:t>
            </w: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1275" w:type="dxa"/>
            <w:tcBorders>
              <w:left w:val="single" w:color="auto" w:sz="4" w:space="0"/>
            </w:tcBorders>
            <w:vAlign w:val="center"/>
          </w:tcPr>
          <w:p>
            <w:pPr>
              <w:jc w:val="right"/>
              <w:rPr>
                <w:sz w:val="16"/>
                <w:szCs w:val="16"/>
              </w:rPr>
            </w:pPr>
            <w:r>
              <w:rPr>
                <w:sz w:val="16"/>
                <w:szCs w:val="16"/>
              </w:rPr>
              <w:t xml:space="preserve">962,663,251.43 </w:t>
            </w:r>
          </w:p>
        </w:tc>
        <w:tc>
          <w:tcPr>
            <w:tcW w:w="1276" w:type="dxa"/>
            <w:vAlign w:val="center"/>
          </w:tcPr>
          <w:p>
            <w:pPr>
              <w:jc w:val="right"/>
              <w:rPr>
                <w:sz w:val="16"/>
                <w:szCs w:val="16"/>
              </w:rPr>
            </w:pPr>
            <w:r>
              <w:rPr>
                <w:sz w:val="16"/>
                <w:szCs w:val="16"/>
              </w:rPr>
              <w:t xml:space="preserve"> 19,807,681.28 </w:t>
            </w:r>
          </w:p>
        </w:tc>
        <w:tc>
          <w:tcPr>
            <w:tcW w:w="567" w:type="dxa"/>
            <w:vAlign w:val="center"/>
          </w:tcPr>
          <w:p>
            <w:pPr>
              <w:jc w:val="right"/>
              <w:rPr>
                <w:sz w:val="16"/>
                <w:szCs w:val="16"/>
              </w:rPr>
            </w:pPr>
          </w:p>
        </w:tc>
        <w:tc>
          <w:tcPr>
            <w:tcW w:w="1276" w:type="dxa"/>
            <w:vAlign w:val="center"/>
          </w:tcPr>
          <w:p>
            <w:pPr>
              <w:jc w:val="right"/>
              <w:rPr>
                <w:sz w:val="16"/>
                <w:szCs w:val="16"/>
              </w:rPr>
            </w:pPr>
            <w:r>
              <w:rPr>
                <w:sz w:val="16"/>
                <w:szCs w:val="16"/>
              </w:rPr>
              <w:t xml:space="preserve"> 20,467,028.68 </w:t>
            </w:r>
          </w:p>
        </w:tc>
        <w:tc>
          <w:tcPr>
            <w:tcW w:w="1276" w:type="dxa"/>
            <w:vAlign w:val="center"/>
          </w:tcPr>
          <w:p>
            <w:pPr>
              <w:jc w:val="right"/>
              <w:rPr>
                <w:sz w:val="16"/>
                <w:szCs w:val="16"/>
              </w:rPr>
            </w:pPr>
            <w:r>
              <w:rPr>
                <w:sz w:val="16"/>
                <w:szCs w:val="16"/>
              </w:rPr>
              <w:t xml:space="preserve">126,346,004.08 </w:t>
            </w:r>
          </w:p>
        </w:tc>
        <w:tc>
          <w:tcPr>
            <w:tcW w:w="1417" w:type="dxa"/>
            <w:vAlign w:val="center"/>
          </w:tcPr>
          <w:p>
            <w:pPr>
              <w:jc w:val="right"/>
              <w:rPr>
                <w:sz w:val="16"/>
                <w:szCs w:val="16"/>
              </w:rPr>
            </w:pPr>
            <w:r>
              <w:rPr>
                <w:sz w:val="16"/>
                <w:szCs w:val="16"/>
              </w:rPr>
              <w:t xml:space="preserve"> 1,010,476,174.22 </w:t>
            </w:r>
          </w:p>
        </w:tc>
        <w:tc>
          <w:tcPr>
            <w:tcW w:w="1349" w:type="dxa"/>
            <w:vAlign w:val="center"/>
          </w:tcPr>
          <w:p>
            <w:pPr>
              <w:jc w:val="right"/>
              <w:rPr>
                <w:sz w:val="16"/>
                <w:szCs w:val="16"/>
              </w:rPr>
            </w:pPr>
            <w:r>
              <w:rPr>
                <w:sz w:val="16"/>
                <w:szCs w:val="16"/>
              </w:rPr>
              <w:t xml:space="preserve">2,432,498,184.13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4eea4cc259884a6ab5f2fe018aec3d4e"/>
            <w:id w:val="397713604"/>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三、本</w:t>
                </w:r>
                <w:r>
                  <w:rPr>
                    <w:rFonts w:hint="eastAsia"/>
                    <w:color w:val="000000" w:themeColor="text1"/>
                    <w:sz w:val="16"/>
                    <w:szCs w:val="16"/>
                    <w14:textFill>
                      <w14:solidFill>
                        <w14:schemeClr w14:val="tx1"/>
                      </w14:solidFill>
                    </w14:textFill>
                  </w:rPr>
                  <w:t>期</w:t>
                </w:r>
                <w:r>
                  <w:rPr>
                    <w:color w:val="000000" w:themeColor="text1"/>
                    <w:sz w:val="16"/>
                    <w:szCs w:val="16"/>
                    <w14:textFill>
                      <w14:solidFill>
                        <w14:schemeClr w14:val="tx1"/>
                      </w14:solidFill>
                    </w14:textFill>
                  </w:rPr>
                  <w:t>增减变动金额（减少以“</w:t>
                </w:r>
                <w:r>
                  <w:rPr>
                    <w:rFonts w:hint="eastAsia"/>
                    <w:color w:val="000000" w:themeColor="text1"/>
                    <w:sz w:val="16"/>
                    <w:szCs w:val="16"/>
                    <w14:textFill>
                      <w14:solidFill>
                        <w14:schemeClr w14:val="tx1"/>
                      </w14:solidFill>
                    </w14:textFill>
                  </w:rPr>
                  <w:t>-</w:t>
                </w:r>
                <w:r>
                  <w:rPr>
                    <w:color w:val="000000" w:themeColor="text1"/>
                    <w:sz w:val="16"/>
                    <w:szCs w:val="16"/>
                    <w14:textFill>
                      <w14:solidFill>
                        <w14:schemeClr w14:val="tx1"/>
                      </w14:solidFill>
                    </w14:textFill>
                  </w:rPr>
                  <w:t>”号填列）</w:t>
                </w:r>
              </w:p>
            </w:tc>
          </w:sdtContent>
        </w:sdt>
        <w:tc>
          <w:tcPr>
            <w:tcW w:w="1231" w:type="dxa"/>
            <w:tcBorders>
              <w:right w:val="single" w:color="auto" w:sz="4" w:space="0"/>
            </w:tcBorders>
            <w:vAlign w:val="center"/>
          </w:tcPr>
          <w:p>
            <w:pPr>
              <w:jc w:val="right"/>
              <w:rPr>
                <w:sz w:val="16"/>
                <w:szCs w:val="16"/>
              </w:rPr>
            </w:pPr>
            <w:r>
              <w:rPr>
                <w:sz w:val="16"/>
                <w:szCs w:val="16"/>
              </w:rPr>
              <w:t xml:space="preserve"> -2,388,768.00 </w:t>
            </w: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r>
              <w:rPr>
                <w:sz w:val="16"/>
                <w:szCs w:val="16"/>
              </w:rPr>
              <w:t xml:space="preserve"> -17,418,913.28 </w:t>
            </w:r>
          </w:p>
        </w:tc>
        <w:tc>
          <w:tcPr>
            <w:tcW w:w="1276" w:type="dxa"/>
            <w:vAlign w:val="center"/>
          </w:tcPr>
          <w:p>
            <w:pPr>
              <w:jc w:val="right"/>
              <w:rPr>
                <w:sz w:val="16"/>
                <w:szCs w:val="16"/>
              </w:rPr>
            </w:pPr>
            <w:r>
              <w:rPr>
                <w:sz w:val="16"/>
                <w:szCs w:val="16"/>
              </w:rPr>
              <w:t xml:space="preserve"> -19,807,681.28 </w:t>
            </w:r>
          </w:p>
        </w:tc>
        <w:tc>
          <w:tcPr>
            <w:tcW w:w="567" w:type="dxa"/>
            <w:vAlign w:val="center"/>
          </w:tcPr>
          <w:p>
            <w:pPr>
              <w:jc w:val="right"/>
              <w:rPr>
                <w:sz w:val="16"/>
                <w:szCs w:val="16"/>
              </w:rPr>
            </w:pPr>
          </w:p>
        </w:tc>
        <w:tc>
          <w:tcPr>
            <w:tcW w:w="1276" w:type="dxa"/>
            <w:vAlign w:val="center"/>
          </w:tcPr>
          <w:p>
            <w:pPr>
              <w:jc w:val="right"/>
              <w:rPr>
                <w:sz w:val="16"/>
                <w:szCs w:val="16"/>
              </w:rPr>
            </w:pPr>
            <w:r>
              <w:rPr>
                <w:sz w:val="16"/>
                <w:szCs w:val="16"/>
              </w:rPr>
              <w:t xml:space="preserve"> -4,578,919.35 </w:t>
            </w:r>
          </w:p>
        </w:tc>
        <w:tc>
          <w:tcPr>
            <w:tcW w:w="1276" w:type="dxa"/>
            <w:vAlign w:val="center"/>
          </w:tcPr>
          <w:p>
            <w:pPr>
              <w:jc w:val="right"/>
              <w:rPr>
                <w:sz w:val="16"/>
                <w:szCs w:val="16"/>
              </w:rPr>
            </w:pPr>
            <w:r>
              <w:rPr>
                <w:sz w:val="16"/>
                <w:szCs w:val="16"/>
              </w:rPr>
              <w:t xml:space="preserve">   </w:t>
            </w:r>
          </w:p>
        </w:tc>
        <w:tc>
          <w:tcPr>
            <w:tcW w:w="1417" w:type="dxa"/>
            <w:vAlign w:val="center"/>
          </w:tcPr>
          <w:p>
            <w:pPr>
              <w:jc w:val="right"/>
              <w:rPr>
                <w:sz w:val="16"/>
                <w:szCs w:val="16"/>
              </w:rPr>
            </w:pPr>
            <w:r>
              <w:rPr>
                <w:sz w:val="16"/>
                <w:szCs w:val="16"/>
              </w:rPr>
              <w:t xml:space="preserve">  -36,968,284.04  </w:t>
            </w:r>
          </w:p>
        </w:tc>
        <w:tc>
          <w:tcPr>
            <w:tcW w:w="1349" w:type="dxa"/>
            <w:vAlign w:val="center"/>
          </w:tcPr>
          <w:p>
            <w:pPr>
              <w:jc w:val="right"/>
              <w:rPr>
                <w:sz w:val="16"/>
                <w:szCs w:val="16"/>
              </w:rPr>
            </w:pPr>
            <w:r>
              <w:rPr>
                <w:sz w:val="16"/>
                <w:szCs w:val="16"/>
              </w:rPr>
              <w:t xml:space="preserve"> -41,547,203.39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c2eb317db9474ea9b9513a40ba81d9f7"/>
            <w:id w:val="-848945371"/>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（一）综合收益总额</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r>
              <w:rPr>
                <w:sz w:val="16"/>
                <w:szCs w:val="16"/>
              </w:rPr>
              <w:t xml:space="preserve">  -20,470,052.09  </w:t>
            </w:r>
          </w:p>
        </w:tc>
        <w:tc>
          <w:tcPr>
            <w:tcW w:w="1349" w:type="dxa"/>
            <w:vAlign w:val="center"/>
          </w:tcPr>
          <w:p>
            <w:pPr>
              <w:jc w:val="right"/>
              <w:rPr>
                <w:sz w:val="16"/>
                <w:szCs w:val="16"/>
              </w:rPr>
            </w:pPr>
            <w:r>
              <w:rPr>
                <w:sz w:val="16"/>
                <w:szCs w:val="16"/>
              </w:rPr>
              <w:t xml:space="preserve"> -20,470,052.09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2c2c42255e12419d81111ac5d28c5859"/>
            <w:id w:val="258033804"/>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w:t>
                </w:r>
                <w:r>
                  <w:rPr>
                    <w:rFonts w:hint="eastAsia"/>
                    <w:color w:val="000000" w:themeColor="text1"/>
                    <w:sz w:val="16"/>
                    <w:szCs w:val="16"/>
                    <w14:textFill>
                      <w14:solidFill>
                        <w14:schemeClr w14:val="tx1"/>
                      </w14:solidFill>
                    </w14:textFill>
                  </w:rPr>
                  <w:t>二</w:t>
                </w:r>
                <w:r>
                  <w:rPr>
                    <w:color w:val="000000" w:themeColor="text1"/>
                    <w:sz w:val="16"/>
                    <w:szCs w:val="16"/>
                    <w14:textFill>
                      <w14:solidFill>
                        <w14:schemeClr w14:val="tx1"/>
                      </w14:solidFill>
                    </w14:textFill>
                  </w:rPr>
                  <w:t>）所有者投入和减少资本</w:t>
                </w:r>
              </w:p>
            </w:tc>
          </w:sdtContent>
        </w:sdt>
        <w:tc>
          <w:tcPr>
            <w:tcW w:w="1231" w:type="dxa"/>
            <w:tcBorders>
              <w:right w:val="single" w:color="auto" w:sz="4" w:space="0"/>
            </w:tcBorders>
            <w:vAlign w:val="center"/>
          </w:tcPr>
          <w:p>
            <w:pPr>
              <w:jc w:val="right"/>
              <w:rPr>
                <w:sz w:val="16"/>
                <w:szCs w:val="16"/>
              </w:rPr>
            </w:pPr>
            <w:r>
              <w:rPr>
                <w:sz w:val="16"/>
                <w:szCs w:val="16"/>
              </w:rPr>
              <w:t xml:space="preserve"> -2,388,768.00 </w:t>
            </w: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r>
              <w:rPr>
                <w:sz w:val="16"/>
                <w:szCs w:val="16"/>
              </w:rPr>
              <w:t xml:space="preserve"> -17,418,913.28 </w:t>
            </w:r>
          </w:p>
        </w:tc>
        <w:tc>
          <w:tcPr>
            <w:tcW w:w="1276" w:type="dxa"/>
            <w:vAlign w:val="center"/>
          </w:tcPr>
          <w:p>
            <w:pPr>
              <w:jc w:val="right"/>
              <w:rPr>
                <w:sz w:val="16"/>
                <w:szCs w:val="16"/>
              </w:rPr>
            </w:pPr>
            <w:r>
              <w:rPr>
                <w:sz w:val="16"/>
                <w:szCs w:val="16"/>
              </w:rPr>
              <w:t xml:space="preserve"> -19,807,681.28 </w:t>
            </w: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ced9c335ab0c4ec8b683bd42730e309b"/>
            <w:id w:val="1856531204"/>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1．所有者投入的普通股</w:t>
                </w:r>
              </w:p>
            </w:tc>
          </w:sdtContent>
        </w:sdt>
        <w:tc>
          <w:tcPr>
            <w:tcW w:w="1231" w:type="dxa"/>
            <w:tcBorders>
              <w:right w:val="single" w:color="auto" w:sz="4" w:space="0"/>
            </w:tcBorders>
            <w:vAlign w:val="center"/>
          </w:tcPr>
          <w:p>
            <w:pPr>
              <w:jc w:val="right"/>
              <w:rPr>
                <w:sz w:val="16"/>
                <w:szCs w:val="16"/>
              </w:rPr>
            </w:pPr>
            <w:r>
              <w:rPr>
                <w:sz w:val="16"/>
                <w:szCs w:val="16"/>
              </w:rPr>
              <w:t xml:space="preserve"> -2,388,768.00 </w:t>
            </w: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r>
              <w:rPr>
                <w:sz w:val="16"/>
                <w:szCs w:val="16"/>
              </w:rPr>
              <w:t xml:space="preserve"> -2,388,768.00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5db7714c048b45cb8fc2f783898126a2"/>
            <w:id w:val="-727302879"/>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2．其他权益工具持有者投入资本</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r>
              <w:rPr>
                <w:sz w:val="16"/>
                <w:szCs w:val="16"/>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0c8627dcaed14beabce3c3a65384cf01"/>
            <w:id w:val="2008629736"/>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3</w:t>
                </w:r>
                <w:r>
                  <w:rPr>
                    <w:color w:val="000000" w:themeColor="text1"/>
                    <w:sz w:val="16"/>
                    <w:szCs w:val="16"/>
                    <w14:textFill>
                      <w14:solidFill>
                        <w14:schemeClr w14:val="tx1"/>
                      </w14:solidFill>
                    </w14:textFill>
                  </w:rPr>
                  <w:t>．股份支付计入所有者权益的金额</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r>
              <w:rPr>
                <w:sz w:val="16"/>
                <w:szCs w:val="16"/>
              </w:rPr>
              <w:t xml:space="preserve"> -17,418,913.28 </w:t>
            </w:r>
          </w:p>
        </w:tc>
        <w:tc>
          <w:tcPr>
            <w:tcW w:w="1276" w:type="dxa"/>
            <w:vAlign w:val="center"/>
          </w:tcPr>
          <w:p>
            <w:pPr>
              <w:jc w:val="right"/>
              <w:rPr>
                <w:sz w:val="16"/>
                <w:szCs w:val="16"/>
              </w:rPr>
            </w:pPr>
            <w:r>
              <w:rPr>
                <w:sz w:val="16"/>
                <w:szCs w:val="16"/>
              </w:rPr>
              <w:t xml:space="preserve"> -19,807,681.28 </w:t>
            </w: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r>
              <w:rPr>
                <w:sz w:val="16"/>
                <w:szCs w:val="16"/>
              </w:rPr>
              <w:t xml:space="preserve"> 2,388,768.00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4815225e85794febad32622528b72229"/>
            <w:id w:val="-1227292143"/>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4</w:t>
                </w:r>
                <w:r>
                  <w:rPr>
                    <w:color w:val="000000" w:themeColor="text1"/>
                    <w:sz w:val="16"/>
                    <w:szCs w:val="16"/>
                    <w14:textFill>
                      <w14:solidFill>
                        <w14:schemeClr w14:val="tx1"/>
                      </w14:solidFill>
                    </w14:textFill>
                  </w:rPr>
                  <w:t>．其他</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r>
              <w:rPr>
                <w:sz w:val="16"/>
                <w:szCs w:val="16"/>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1277678c10f343d5a55853e3552c21df"/>
            <w:id w:val="-1738317803"/>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w:t>
                </w:r>
                <w:r>
                  <w:rPr>
                    <w:rFonts w:hint="eastAsia"/>
                    <w:color w:val="000000" w:themeColor="text1"/>
                    <w:sz w:val="16"/>
                    <w:szCs w:val="16"/>
                    <w14:textFill>
                      <w14:solidFill>
                        <w14:schemeClr w14:val="tx1"/>
                      </w14:solidFill>
                    </w14:textFill>
                  </w:rPr>
                  <w:t>三</w:t>
                </w:r>
                <w:r>
                  <w:rPr>
                    <w:color w:val="000000" w:themeColor="text1"/>
                    <w:sz w:val="16"/>
                    <w:szCs w:val="16"/>
                    <w14:textFill>
                      <w14:solidFill>
                        <w14:schemeClr w14:val="tx1"/>
                      </w14:solidFill>
                    </w14:textFill>
                  </w:rPr>
                  <w:t>）利润分配</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r>
              <w:rPr>
                <w:sz w:val="16"/>
                <w:szCs w:val="16"/>
              </w:rPr>
              <w:t xml:space="preserve"> -16,498,231.95 </w:t>
            </w:r>
          </w:p>
        </w:tc>
        <w:tc>
          <w:tcPr>
            <w:tcW w:w="1349" w:type="dxa"/>
            <w:vAlign w:val="center"/>
          </w:tcPr>
          <w:p>
            <w:pPr>
              <w:jc w:val="right"/>
              <w:rPr>
                <w:sz w:val="16"/>
                <w:szCs w:val="16"/>
              </w:rPr>
            </w:pPr>
            <w:r>
              <w:rPr>
                <w:sz w:val="16"/>
                <w:szCs w:val="16"/>
              </w:rPr>
              <w:t xml:space="preserve"> -16,498,231.95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6be0f6b7609247d98f239c435a57bdf2"/>
            <w:id w:val="1293637011"/>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1．提取盈余公积</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b4a66855afc2407cbaf93baeafe0ad7f"/>
            <w:id w:val="1025909320"/>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2</w:t>
                </w:r>
                <w:r>
                  <w:rPr>
                    <w:color w:val="000000" w:themeColor="text1"/>
                    <w:sz w:val="16"/>
                    <w:szCs w:val="16"/>
                    <w14:textFill>
                      <w14:solidFill>
                        <w14:schemeClr w14:val="tx1"/>
                      </w14:solidFill>
                    </w14:textFill>
                  </w:rPr>
                  <w:t>．对所有者（或股东）的分配</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r>
              <w:rPr>
                <w:sz w:val="16"/>
                <w:szCs w:val="16"/>
              </w:rPr>
              <w:t xml:space="preserve"> -16,498,231.95 </w:t>
            </w:r>
          </w:p>
        </w:tc>
        <w:tc>
          <w:tcPr>
            <w:tcW w:w="1349" w:type="dxa"/>
            <w:vAlign w:val="center"/>
          </w:tcPr>
          <w:p>
            <w:pPr>
              <w:jc w:val="right"/>
              <w:rPr>
                <w:sz w:val="16"/>
                <w:szCs w:val="16"/>
              </w:rPr>
            </w:pPr>
            <w:r>
              <w:rPr>
                <w:sz w:val="16"/>
                <w:szCs w:val="16"/>
              </w:rPr>
              <w:t xml:space="preserve"> -16,498,231.95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f35184bd1aa14b32a781b0ed9b526ffe"/>
            <w:id w:val="1842967858"/>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3</w:t>
                </w:r>
                <w:r>
                  <w:rPr>
                    <w:color w:val="000000" w:themeColor="text1"/>
                    <w:sz w:val="16"/>
                    <w:szCs w:val="16"/>
                    <w14:textFill>
                      <w14:solidFill>
                        <w14:schemeClr w14:val="tx1"/>
                      </w14:solidFill>
                    </w14:textFill>
                  </w:rPr>
                  <w:t>．其他</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377c539e51b74e8689b49d91a30d6a9f"/>
            <w:id w:val="1448821444"/>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w:t>
                </w:r>
                <w:r>
                  <w:rPr>
                    <w:rFonts w:hint="eastAsia"/>
                    <w:color w:val="000000" w:themeColor="text1"/>
                    <w:sz w:val="16"/>
                    <w:szCs w:val="16"/>
                    <w14:textFill>
                      <w14:solidFill>
                        <w14:schemeClr w14:val="tx1"/>
                      </w14:solidFill>
                    </w14:textFill>
                  </w:rPr>
                  <w:t>四</w:t>
                </w:r>
                <w:r>
                  <w:rPr>
                    <w:color w:val="000000" w:themeColor="text1"/>
                    <w:sz w:val="16"/>
                    <w:szCs w:val="16"/>
                    <w14:textFill>
                      <w14:solidFill>
                        <w14:schemeClr w14:val="tx1"/>
                      </w14:solidFill>
                    </w14:textFill>
                  </w:rPr>
                  <w:t>）所有者权益内部结转</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9d82304ad85542d89ad56bdebdedd7c5"/>
            <w:id w:val="-1338846545"/>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1．资本公积转增资本（或股本）</w:t>
                </w:r>
              </w:p>
            </w:tc>
          </w:sdtContent>
        </w:sdt>
        <w:tc>
          <w:tcPr>
            <w:tcW w:w="1231" w:type="dxa"/>
            <w:tcBorders>
              <w:right w:val="single" w:color="auto" w:sz="4" w:space="0"/>
            </w:tcBorders>
          </w:tcPr>
          <w:p>
            <w:pPr>
              <w:jc w:val="right"/>
              <w:rPr>
                <w:sz w:val="16"/>
                <w:szCs w:val="16"/>
              </w:rPr>
            </w:pPr>
          </w:p>
        </w:tc>
        <w:tc>
          <w:tcPr>
            <w:tcW w:w="567" w:type="dxa"/>
            <w:tcBorders>
              <w:left w:val="single" w:color="auto" w:sz="4" w:space="0"/>
              <w:right w:val="single" w:color="auto" w:sz="4" w:space="0"/>
            </w:tcBorders>
          </w:tcPr>
          <w:p>
            <w:pPr>
              <w:jc w:val="right"/>
              <w:rPr>
                <w:sz w:val="16"/>
                <w:szCs w:val="16"/>
              </w:rPr>
            </w:pPr>
          </w:p>
        </w:tc>
        <w:tc>
          <w:tcPr>
            <w:tcW w:w="709" w:type="dxa"/>
            <w:tcBorders>
              <w:left w:val="single" w:color="auto" w:sz="4" w:space="0"/>
              <w:right w:val="single" w:color="auto" w:sz="4" w:space="0"/>
            </w:tcBorders>
          </w:tcPr>
          <w:p>
            <w:pPr>
              <w:jc w:val="right"/>
              <w:rPr>
                <w:sz w:val="16"/>
                <w:szCs w:val="16"/>
              </w:rPr>
            </w:pPr>
          </w:p>
        </w:tc>
        <w:tc>
          <w:tcPr>
            <w:tcW w:w="567" w:type="dxa"/>
            <w:tcBorders>
              <w:left w:val="single" w:color="auto" w:sz="4" w:space="0"/>
            </w:tcBorders>
          </w:tcPr>
          <w:p>
            <w:pPr>
              <w:jc w:val="right"/>
              <w:rPr>
                <w:sz w:val="16"/>
                <w:szCs w:val="16"/>
              </w:rPr>
            </w:pPr>
          </w:p>
        </w:tc>
        <w:tc>
          <w:tcPr>
            <w:tcW w:w="1275" w:type="dxa"/>
          </w:tcPr>
          <w:p>
            <w:pPr>
              <w:jc w:val="right"/>
              <w:rPr>
                <w:sz w:val="16"/>
                <w:szCs w:val="16"/>
              </w:rPr>
            </w:pPr>
          </w:p>
        </w:tc>
        <w:tc>
          <w:tcPr>
            <w:tcW w:w="1276" w:type="dxa"/>
          </w:tcPr>
          <w:p>
            <w:pPr>
              <w:jc w:val="right"/>
              <w:rPr>
                <w:sz w:val="16"/>
                <w:szCs w:val="16"/>
              </w:rPr>
            </w:pPr>
          </w:p>
        </w:tc>
        <w:tc>
          <w:tcPr>
            <w:tcW w:w="567" w:type="dxa"/>
          </w:tcPr>
          <w:p>
            <w:pPr>
              <w:jc w:val="right"/>
              <w:rPr>
                <w:sz w:val="16"/>
                <w:szCs w:val="16"/>
              </w:rPr>
            </w:pPr>
          </w:p>
        </w:tc>
        <w:tc>
          <w:tcPr>
            <w:tcW w:w="1276" w:type="dxa"/>
          </w:tcPr>
          <w:p>
            <w:pPr>
              <w:jc w:val="right"/>
              <w:rPr>
                <w:sz w:val="16"/>
                <w:szCs w:val="16"/>
              </w:rPr>
            </w:pPr>
          </w:p>
        </w:tc>
        <w:tc>
          <w:tcPr>
            <w:tcW w:w="1276" w:type="dxa"/>
          </w:tcPr>
          <w:p>
            <w:pPr>
              <w:jc w:val="right"/>
              <w:rPr>
                <w:sz w:val="16"/>
                <w:szCs w:val="16"/>
              </w:rPr>
            </w:pPr>
          </w:p>
        </w:tc>
        <w:tc>
          <w:tcPr>
            <w:tcW w:w="1417" w:type="dxa"/>
          </w:tcPr>
          <w:p>
            <w:pPr>
              <w:jc w:val="right"/>
              <w:rPr>
                <w:sz w:val="16"/>
                <w:szCs w:val="16"/>
              </w:rPr>
            </w:pPr>
          </w:p>
        </w:tc>
        <w:tc>
          <w:tcPr>
            <w:tcW w:w="1349" w:type="dxa"/>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ba5c81951f1c4ff0a188b55532ed96a5"/>
            <w:id w:val="-371079967"/>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2．盈余公积转增资本（或股本）</w:t>
                </w:r>
              </w:p>
            </w:tc>
          </w:sdtContent>
        </w:sdt>
        <w:tc>
          <w:tcPr>
            <w:tcW w:w="1231" w:type="dxa"/>
            <w:tcBorders>
              <w:right w:val="single" w:color="auto" w:sz="4" w:space="0"/>
            </w:tcBorders>
          </w:tcPr>
          <w:p>
            <w:pPr>
              <w:jc w:val="right"/>
              <w:rPr>
                <w:sz w:val="16"/>
                <w:szCs w:val="16"/>
              </w:rPr>
            </w:pPr>
          </w:p>
        </w:tc>
        <w:tc>
          <w:tcPr>
            <w:tcW w:w="567" w:type="dxa"/>
            <w:tcBorders>
              <w:left w:val="single" w:color="auto" w:sz="4" w:space="0"/>
              <w:right w:val="single" w:color="auto" w:sz="4" w:space="0"/>
            </w:tcBorders>
          </w:tcPr>
          <w:p>
            <w:pPr>
              <w:jc w:val="right"/>
              <w:rPr>
                <w:sz w:val="16"/>
                <w:szCs w:val="16"/>
              </w:rPr>
            </w:pPr>
          </w:p>
        </w:tc>
        <w:tc>
          <w:tcPr>
            <w:tcW w:w="709" w:type="dxa"/>
            <w:tcBorders>
              <w:left w:val="single" w:color="auto" w:sz="4" w:space="0"/>
              <w:right w:val="single" w:color="auto" w:sz="4" w:space="0"/>
            </w:tcBorders>
          </w:tcPr>
          <w:p>
            <w:pPr>
              <w:jc w:val="right"/>
              <w:rPr>
                <w:sz w:val="16"/>
                <w:szCs w:val="16"/>
              </w:rPr>
            </w:pPr>
          </w:p>
        </w:tc>
        <w:tc>
          <w:tcPr>
            <w:tcW w:w="567" w:type="dxa"/>
            <w:tcBorders>
              <w:left w:val="single" w:color="auto" w:sz="4" w:space="0"/>
            </w:tcBorders>
          </w:tcPr>
          <w:p>
            <w:pPr>
              <w:jc w:val="right"/>
              <w:rPr>
                <w:sz w:val="16"/>
                <w:szCs w:val="16"/>
              </w:rPr>
            </w:pPr>
          </w:p>
        </w:tc>
        <w:tc>
          <w:tcPr>
            <w:tcW w:w="1275" w:type="dxa"/>
          </w:tcPr>
          <w:p>
            <w:pPr>
              <w:jc w:val="right"/>
              <w:rPr>
                <w:sz w:val="16"/>
                <w:szCs w:val="16"/>
              </w:rPr>
            </w:pPr>
          </w:p>
        </w:tc>
        <w:tc>
          <w:tcPr>
            <w:tcW w:w="1276" w:type="dxa"/>
          </w:tcPr>
          <w:p>
            <w:pPr>
              <w:jc w:val="right"/>
              <w:rPr>
                <w:sz w:val="16"/>
                <w:szCs w:val="16"/>
              </w:rPr>
            </w:pPr>
          </w:p>
        </w:tc>
        <w:tc>
          <w:tcPr>
            <w:tcW w:w="567" w:type="dxa"/>
          </w:tcPr>
          <w:p>
            <w:pPr>
              <w:jc w:val="right"/>
              <w:rPr>
                <w:sz w:val="16"/>
                <w:szCs w:val="16"/>
              </w:rPr>
            </w:pPr>
          </w:p>
        </w:tc>
        <w:tc>
          <w:tcPr>
            <w:tcW w:w="1276" w:type="dxa"/>
          </w:tcPr>
          <w:p>
            <w:pPr>
              <w:jc w:val="right"/>
              <w:rPr>
                <w:sz w:val="16"/>
                <w:szCs w:val="16"/>
              </w:rPr>
            </w:pPr>
          </w:p>
        </w:tc>
        <w:tc>
          <w:tcPr>
            <w:tcW w:w="1276" w:type="dxa"/>
          </w:tcPr>
          <w:p>
            <w:pPr>
              <w:jc w:val="right"/>
              <w:rPr>
                <w:sz w:val="16"/>
                <w:szCs w:val="16"/>
              </w:rPr>
            </w:pPr>
          </w:p>
        </w:tc>
        <w:tc>
          <w:tcPr>
            <w:tcW w:w="1417" w:type="dxa"/>
          </w:tcPr>
          <w:p>
            <w:pPr>
              <w:jc w:val="right"/>
              <w:rPr>
                <w:sz w:val="16"/>
                <w:szCs w:val="16"/>
              </w:rPr>
            </w:pPr>
          </w:p>
        </w:tc>
        <w:tc>
          <w:tcPr>
            <w:tcW w:w="1349" w:type="dxa"/>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81b068c4cdf2482a9438450e52e9b3b4"/>
            <w:id w:val="1656723449"/>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3．盈余公积弥补亏损</w:t>
                </w:r>
              </w:p>
            </w:tc>
          </w:sdtContent>
        </w:sdt>
        <w:tc>
          <w:tcPr>
            <w:tcW w:w="1231" w:type="dxa"/>
            <w:tcBorders>
              <w:right w:val="single" w:color="auto" w:sz="4" w:space="0"/>
            </w:tcBorders>
          </w:tcPr>
          <w:p>
            <w:pPr>
              <w:jc w:val="right"/>
              <w:rPr>
                <w:sz w:val="16"/>
                <w:szCs w:val="16"/>
              </w:rPr>
            </w:pPr>
          </w:p>
        </w:tc>
        <w:tc>
          <w:tcPr>
            <w:tcW w:w="567" w:type="dxa"/>
            <w:tcBorders>
              <w:left w:val="single" w:color="auto" w:sz="4" w:space="0"/>
              <w:right w:val="single" w:color="auto" w:sz="4" w:space="0"/>
            </w:tcBorders>
          </w:tcPr>
          <w:p>
            <w:pPr>
              <w:jc w:val="right"/>
              <w:rPr>
                <w:sz w:val="16"/>
                <w:szCs w:val="16"/>
              </w:rPr>
            </w:pPr>
          </w:p>
        </w:tc>
        <w:tc>
          <w:tcPr>
            <w:tcW w:w="709" w:type="dxa"/>
            <w:tcBorders>
              <w:left w:val="single" w:color="auto" w:sz="4" w:space="0"/>
              <w:right w:val="single" w:color="auto" w:sz="4" w:space="0"/>
            </w:tcBorders>
          </w:tcPr>
          <w:p>
            <w:pPr>
              <w:jc w:val="right"/>
              <w:rPr>
                <w:sz w:val="16"/>
                <w:szCs w:val="16"/>
              </w:rPr>
            </w:pPr>
          </w:p>
        </w:tc>
        <w:tc>
          <w:tcPr>
            <w:tcW w:w="567" w:type="dxa"/>
            <w:tcBorders>
              <w:left w:val="single" w:color="auto" w:sz="4" w:space="0"/>
            </w:tcBorders>
          </w:tcPr>
          <w:p>
            <w:pPr>
              <w:jc w:val="right"/>
              <w:rPr>
                <w:sz w:val="16"/>
                <w:szCs w:val="16"/>
              </w:rPr>
            </w:pPr>
          </w:p>
        </w:tc>
        <w:tc>
          <w:tcPr>
            <w:tcW w:w="1275" w:type="dxa"/>
          </w:tcPr>
          <w:p>
            <w:pPr>
              <w:jc w:val="right"/>
              <w:rPr>
                <w:sz w:val="16"/>
                <w:szCs w:val="16"/>
              </w:rPr>
            </w:pPr>
          </w:p>
        </w:tc>
        <w:tc>
          <w:tcPr>
            <w:tcW w:w="1276" w:type="dxa"/>
          </w:tcPr>
          <w:p>
            <w:pPr>
              <w:jc w:val="right"/>
              <w:rPr>
                <w:sz w:val="16"/>
                <w:szCs w:val="16"/>
              </w:rPr>
            </w:pPr>
          </w:p>
        </w:tc>
        <w:tc>
          <w:tcPr>
            <w:tcW w:w="567" w:type="dxa"/>
          </w:tcPr>
          <w:p>
            <w:pPr>
              <w:jc w:val="right"/>
              <w:rPr>
                <w:sz w:val="16"/>
                <w:szCs w:val="16"/>
              </w:rPr>
            </w:pPr>
          </w:p>
        </w:tc>
        <w:tc>
          <w:tcPr>
            <w:tcW w:w="1276" w:type="dxa"/>
          </w:tcPr>
          <w:p>
            <w:pPr>
              <w:jc w:val="right"/>
              <w:rPr>
                <w:sz w:val="16"/>
                <w:szCs w:val="16"/>
              </w:rPr>
            </w:pPr>
          </w:p>
        </w:tc>
        <w:tc>
          <w:tcPr>
            <w:tcW w:w="1276" w:type="dxa"/>
          </w:tcPr>
          <w:p>
            <w:pPr>
              <w:jc w:val="right"/>
              <w:rPr>
                <w:sz w:val="16"/>
                <w:szCs w:val="16"/>
              </w:rPr>
            </w:pPr>
          </w:p>
        </w:tc>
        <w:tc>
          <w:tcPr>
            <w:tcW w:w="1417" w:type="dxa"/>
          </w:tcPr>
          <w:p>
            <w:pPr>
              <w:jc w:val="right"/>
              <w:rPr>
                <w:sz w:val="16"/>
                <w:szCs w:val="16"/>
              </w:rPr>
            </w:pPr>
          </w:p>
        </w:tc>
        <w:tc>
          <w:tcPr>
            <w:tcW w:w="1349" w:type="dxa"/>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50" w:type="dxa"/>
            <w:vAlign w:val="center"/>
          </w:tcPr>
          <w:sdt>
            <w:sdtPr>
              <w:rPr>
                <w:sz w:val="16"/>
                <w:szCs w:val="16"/>
              </w:rPr>
              <w:tag w:val="_PLD_0e7647effaeb42219d706b118465bdec"/>
              <w:id w:val="-1843458403"/>
            </w:sdtPr>
            <w:sdtEndPr>
              <w:rPr>
                <w:sz w:val="16"/>
                <w:szCs w:val="16"/>
              </w:rPr>
            </w:sdtEndPr>
            <w:sdtContent>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4．设定受益计划变动额结转留存收益</w:t>
                </w:r>
              </w:p>
            </w:sdtContent>
          </w:sdt>
        </w:tc>
        <w:tc>
          <w:tcPr>
            <w:tcW w:w="1231" w:type="dxa"/>
            <w:tcBorders>
              <w:right w:val="single" w:color="auto" w:sz="4" w:space="0"/>
            </w:tcBorders>
          </w:tcPr>
          <w:p>
            <w:pPr>
              <w:jc w:val="right"/>
              <w:rPr>
                <w:sz w:val="16"/>
                <w:szCs w:val="16"/>
              </w:rPr>
            </w:pPr>
          </w:p>
        </w:tc>
        <w:tc>
          <w:tcPr>
            <w:tcW w:w="567" w:type="dxa"/>
            <w:tcBorders>
              <w:left w:val="single" w:color="auto" w:sz="4" w:space="0"/>
              <w:right w:val="single" w:color="auto" w:sz="4" w:space="0"/>
            </w:tcBorders>
          </w:tcPr>
          <w:p>
            <w:pPr>
              <w:jc w:val="right"/>
              <w:rPr>
                <w:sz w:val="16"/>
                <w:szCs w:val="16"/>
              </w:rPr>
            </w:pPr>
          </w:p>
        </w:tc>
        <w:tc>
          <w:tcPr>
            <w:tcW w:w="709" w:type="dxa"/>
            <w:tcBorders>
              <w:left w:val="single" w:color="auto" w:sz="4" w:space="0"/>
              <w:right w:val="single" w:color="auto" w:sz="4" w:space="0"/>
            </w:tcBorders>
          </w:tcPr>
          <w:p>
            <w:pPr>
              <w:jc w:val="right"/>
              <w:rPr>
                <w:sz w:val="16"/>
                <w:szCs w:val="16"/>
              </w:rPr>
            </w:pPr>
          </w:p>
        </w:tc>
        <w:tc>
          <w:tcPr>
            <w:tcW w:w="567" w:type="dxa"/>
            <w:tcBorders>
              <w:left w:val="single" w:color="auto" w:sz="4" w:space="0"/>
            </w:tcBorders>
          </w:tcPr>
          <w:p>
            <w:pPr>
              <w:jc w:val="right"/>
              <w:rPr>
                <w:sz w:val="16"/>
                <w:szCs w:val="16"/>
              </w:rPr>
            </w:pPr>
          </w:p>
        </w:tc>
        <w:tc>
          <w:tcPr>
            <w:tcW w:w="1275" w:type="dxa"/>
          </w:tcPr>
          <w:p>
            <w:pPr>
              <w:jc w:val="right"/>
              <w:rPr>
                <w:sz w:val="16"/>
                <w:szCs w:val="16"/>
              </w:rPr>
            </w:pPr>
          </w:p>
        </w:tc>
        <w:tc>
          <w:tcPr>
            <w:tcW w:w="1276" w:type="dxa"/>
          </w:tcPr>
          <w:p>
            <w:pPr>
              <w:jc w:val="right"/>
              <w:rPr>
                <w:sz w:val="16"/>
                <w:szCs w:val="16"/>
              </w:rPr>
            </w:pPr>
          </w:p>
        </w:tc>
        <w:tc>
          <w:tcPr>
            <w:tcW w:w="567" w:type="dxa"/>
          </w:tcPr>
          <w:p>
            <w:pPr>
              <w:jc w:val="right"/>
              <w:rPr>
                <w:sz w:val="16"/>
                <w:szCs w:val="16"/>
              </w:rPr>
            </w:pPr>
          </w:p>
        </w:tc>
        <w:tc>
          <w:tcPr>
            <w:tcW w:w="1276" w:type="dxa"/>
          </w:tcPr>
          <w:p>
            <w:pPr>
              <w:jc w:val="right"/>
              <w:rPr>
                <w:sz w:val="16"/>
                <w:szCs w:val="16"/>
              </w:rPr>
            </w:pPr>
          </w:p>
        </w:tc>
        <w:tc>
          <w:tcPr>
            <w:tcW w:w="1276" w:type="dxa"/>
          </w:tcPr>
          <w:p>
            <w:pPr>
              <w:jc w:val="right"/>
              <w:rPr>
                <w:sz w:val="16"/>
                <w:szCs w:val="16"/>
              </w:rPr>
            </w:pPr>
          </w:p>
        </w:tc>
        <w:tc>
          <w:tcPr>
            <w:tcW w:w="1417" w:type="dxa"/>
          </w:tcPr>
          <w:p>
            <w:pPr>
              <w:jc w:val="right"/>
              <w:rPr>
                <w:sz w:val="16"/>
                <w:szCs w:val="16"/>
              </w:rPr>
            </w:pPr>
          </w:p>
        </w:tc>
        <w:tc>
          <w:tcPr>
            <w:tcW w:w="1349" w:type="dxa"/>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50" w:type="dxa"/>
            <w:vAlign w:val="center"/>
          </w:tcPr>
          <w:sdt>
            <w:sdtPr>
              <w:rPr>
                <w:sz w:val="16"/>
                <w:szCs w:val="16"/>
              </w:rPr>
              <w:tag w:val="_PLD_1c8ba4a0bb224c1d891e628390545199"/>
              <w:id w:val="-562109830"/>
            </w:sdtPr>
            <w:sdtEndPr>
              <w:rPr>
                <w:sz w:val="16"/>
                <w:szCs w:val="16"/>
              </w:rPr>
            </w:sdtEndPr>
            <w:sdtContent>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5．其他综合收益结转留存收益</w:t>
                </w:r>
              </w:p>
            </w:sdtContent>
          </w:sdt>
        </w:tc>
        <w:tc>
          <w:tcPr>
            <w:tcW w:w="1231" w:type="dxa"/>
            <w:tcBorders>
              <w:right w:val="single" w:color="auto" w:sz="4" w:space="0"/>
            </w:tcBorders>
          </w:tcPr>
          <w:p>
            <w:pPr>
              <w:jc w:val="right"/>
              <w:rPr>
                <w:sz w:val="16"/>
                <w:szCs w:val="16"/>
              </w:rPr>
            </w:pPr>
          </w:p>
        </w:tc>
        <w:tc>
          <w:tcPr>
            <w:tcW w:w="567" w:type="dxa"/>
            <w:tcBorders>
              <w:left w:val="single" w:color="auto" w:sz="4" w:space="0"/>
              <w:right w:val="single" w:color="auto" w:sz="4" w:space="0"/>
            </w:tcBorders>
          </w:tcPr>
          <w:p>
            <w:pPr>
              <w:jc w:val="right"/>
              <w:rPr>
                <w:sz w:val="16"/>
                <w:szCs w:val="16"/>
              </w:rPr>
            </w:pPr>
          </w:p>
        </w:tc>
        <w:tc>
          <w:tcPr>
            <w:tcW w:w="709" w:type="dxa"/>
            <w:tcBorders>
              <w:left w:val="single" w:color="auto" w:sz="4" w:space="0"/>
              <w:right w:val="single" w:color="auto" w:sz="4" w:space="0"/>
            </w:tcBorders>
          </w:tcPr>
          <w:p>
            <w:pPr>
              <w:jc w:val="right"/>
              <w:rPr>
                <w:sz w:val="16"/>
                <w:szCs w:val="16"/>
              </w:rPr>
            </w:pPr>
          </w:p>
        </w:tc>
        <w:tc>
          <w:tcPr>
            <w:tcW w:w="567" w:type="dxa"/>
            <w:tcBorders>
              <w:left w:val="single" w:color="auto" w:sz="4" w:space="0"/>
            </w:tcBorders>
          </w:tcPr>
          <w:p>
            <w:pPr>
              <w:jc w:val="right"/>
              <w:rPr>
                <w:sz w:val="16"/>
                <w:szCs w:val="16"/>
              </w:rPr>
            </w:pPr>
          </w:p>
        </w:tc>
        <w:tc>
          <w:tcPr>
            <w:tcW w:w="1275" w:type="dxa"/>
          </w:tcPr>
          <w:p>
            <w:pPr>
              <w:jc w:val="right"/>
              <w:rPr>
                <w:sz w:val="16"/>
                <w:szCs w:val="16"/>
              </w:rPr>
            </w:pPr>
          </w:p>
        </w:tc>
        <w:tc>
          <w:tcPr>
            <w:tcW w:w="1276" w:type="dxa"/>
          </w:tcPr>
          <w:p>
            <w:pPr>
              <w:jc w:val="right"/>
              <w:rPr>
                <w:sz w:val="16"/>
                <w:szCs w:val="16"/>
              </w:rPr>
            </w:pPr>
          </w:p>
        </w:tc>
        <w:tc>
          <w:tcPr>
            <w:tcW w:w="567" w:type="dxa"/>
          </w:tcPr>
          <w:p>
            <w:pPr>
              <w:jc w:val="right"/>
              <w:rPr>
                <w:sz w:val="16"/>
                <w:szCs w:val="16"/>
              </w:rPr>
            </w:pPr>
          </w:p>
        </w:tc>
        <w:tc>
          <w:tcPr>
            <w:tcW w:w="1276" w:type="dxa"/>
          </w:tcPr>
          <w:p>
            <w:pPr>
              <w:jc w:val="right"/>
              <w:rPr>
                <w:sz w:val="16"/>
                <w:szCs w:val="16"/>
              </w:rPr>
            </w:pPr>
          </w:p>
        </w:tc>
        <w:tc>
          <w:tcPr>
            <w:tcW w:w="1276" w:type="dxa"/>
          </w:tcPr>
          <w:p>
            <w:pPr>
              <w:jc w:val="right"/>
              <w:rPr>
                <w:sz w:val="16"/>
                <w:szCs w:val="16"/>
              </w:rPr>
            </w:pPr>
          </w:p>
        </w:tc>
        <w:tc>
          <w:tcPr>
            <w:tcW w:w="1417" w:type="dxa"/>
          </w:tcPr>
          <w:p>
            <w:pPr>
              <w:jc w:val="right"/>
              <w:rPr>
                <w:sz w:val="16"/>
                <w:szCs w:val="16"/>
              </w:rPr>
            </w:pPr>
          </w:p>
        </w:tc>
        <w:tc>
          <w:tcPr>
            <w:tcW w:w="1349" w:type="dxa"/>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tc>
          <w:tcPr>
            <w:tcW w:w="2450" w:type="dxa"/>
            <w:vAlign w:val="center"/>
          </w:tcPr>
          <w:sdt>
            <w:sdtPr>
              <w:rPr>
                <w:sz w:val="16"/>
                <w:szCs w:val="16"/>
              </w:rPr>
              <w:tag w:val="_PLD_69d4adb536bf498a8a9d97dda9d31e75"/>
              <w:id w:val="-1023020373"/>
            </w:sdtPr>
            <w:sdtEndPr>
              <w:rPr>
                <w:sz w:val="16"/>
                <w:szCs w:val="16"/>
              </w:rPr>
            </w:sdtEndPr>
            <w:sdtContent>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6．其他</w:t>
                </w:r>
              </w:p>
            </w:sdtContent>
          </w:sdt>
        </w:tc>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2ae06251c01740e284196240776af550"/>
            <w:id w:val="-73210165"/>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（五）专项储备</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r>
              <w:rPr>
                <w:sz w:val="16"/>
                <w:szCs w:val="16"/>
              </w:rPr>
              <w:t xml:space="preserve"> -4,578,919.35 </w:t>
            </w: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r>
              <w:rPr>
                <w:sz w:val="16"/>
                <w:szCs w:val="16"/>
              </w:rPr>
              <w:t xml:space="preserve"> -4,578,919.35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6c9c274129814a4ea45296335d45791b"/>
            <w:id w:val="1553723729"/>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1．本期提取</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r>
              <w:rPr>
                <w:sz w:val="16"/>
                <w:szCs w:val="16"/>
              </w:rPr>
              <w:t xml:space="preserve"> 5,504,929.73 </w:t>
            </w: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r>
              <w:rPr>
                <w:sz w:val="16"/>
                <w:szCs w:val="16"/>
              </w:rPr>
              <w:t xml:space="preserve"> 5,504,929.73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14398e4dd6ed4c74869a974323e2137e"/>
            <w:id w:val="751235758"/>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2．本期使用</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r>
              <w:rPr>
                <w:sz w:val="16"/>
                <w:szCs w:val="16"/>
              </w:rPr>
              <w:t xml:space="preserve"> -10,083,849.08 </w:t>
            </w: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r>
              <w:rPr>
                <w:sz w:val="16"/>
                <w:szCs w:val="16"/>
              </w:rPr>
              <w:t xml:space="preserve"> -10,083,849.08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224fa1ebe84a4d40b88b89a97997e311"/>
            <w:id w:val="1487748801"/>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（六）其他</w:t>
                </w:r>
              </w:p>
            </w:tc>
          </w:sdtContent>
        </w:sdt>
        <w:tc>
          <w:tcPr>
            <w:tcW w:w="1231" w:type="dxa"/>
            <w:tcBorders>
              <w:right w:val="single" w:color="auto" w:sz="4" w:space="0"/>
            </w:tcBorders>
            <w:vAlign w:val="center"/>
          </w:tcPr>
          <w:p>
            <w:pPr>
              <w:jc w:val="right"/>
              <w:rPr>
                <w:sz w:val="16"/>
                <w:szCs w:val="16"/>
              </w:rPr>
            </w:pP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p>
        </w:tc>
        <w:tc>
          <w:tcPr>
            <w:tcW w:w="1276" w:type="dxa"/>
            <w:vAlign w:val="center"/>
          </w:tcPr>
          <w:p>
            <w:pPr>
              <w:jc w:val="right"/>
              <w:rPr>
                <w:sz w:val="16"/>
                <w:szCs w:val="16"/>
              </w:rPr>
            </w:pPr>
          </w:p>
        </w:tc>
        <w:tc>
          <w:tcPr>
            <w:tcW w:w="1417" w:type="dxa"/>
            <w:vAlign w:val="center"/>
          </w:tcPr>
          <w:p>
            <w:pPr>
              <w:jc w:val="right"/>
              <w:rPr>
                <w:sz w:val="16"/>
                <w:szCs w:val="16"/>
              </w:rPr>
            </w:pPr>
          </w:p>
        </w:tc>
        <w:tc>
          <w:tcPr>
            <w:tcW w:w="1349" w:type="dxa"/>
            <w:vAlign w:val="center"/>
          </w:tcPr>
          <w:p>
            <w:pPr>
              <w:jc w:val="right"/>
              <w:rPr>
                <w:sz w:val="16"/>
                <w:szCs w:val="16"/>
              </w:rPr>
            </w:pPr>
            <w:r>
              <w:rPr>
                <w:sz w:val="16"/>
                <w:szCs w:val="16"/>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trPr>
        <w:sdt>
          <w:sdtPr>
            <w:rPr>
              <w:sz w:val="16"/>
              <w:szCs w:val="16"/>
            </w:rPr>
            <w:tag w:val="_PLD_fe962ef732004aec94edafee7e0bef94"/>
            <w:id w:val="-1008976154"/>
          </w:sdtPr>
          <w:sdtEndPr>
            <w:rPr>
              <w:sz w:val="16"/>
              <w:szCs w:val="16"/>
            </w:rPr>
          </w:sdtEndPr>
          <w:sdtContent>
            <w:tc>
              <w:tcPr>
                <w:tcW w:w="2450" w:type="dxa"/>
                <w:vAlign w:val="center"/>
              </w:tcPr>
              <w:p>
                <w:pP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四、本期期末余额</w:t>
                </w:r>
              </w:p>
            </w:tc>
          </w:sdtContent>
        </w:sdt>
        <w:tc>
          <w:tcPr>
            <w:tcW w:w="1231" w:type="dxa"/>
            <w:tcBorders>
              <w:right w:val="single" w:color="auto" w:sz="4" w:space="0"/>
            </w:tcBorders>
            <w:vAlign w:val="center"/>
          </w:tcPr>
          <w:p>
            <w:pPr>
              <w:jc w:val="right"/>
              <w:rPr>
                <w:sz w:val="16"/>
                <w:szCs w:val="16"/>
              </w:rPr>
            </w:pPr>
            <w:r>
              <w:rPr>
                <w:sz w:val="16"/>
                <w:szCs w:val="16"/>
              </w:rPr>
              <w:t xml:space="preserve">329,964,639.00 </w:t>
            </w:r>
          </w:p>
        </w:tc>
        <w:tc>
          <w:tcPr>
            <w:tcW w:w="567" w:type="dxa"/>
            <w:tcBorders>
              <w:left w:val="single" w:color="auto" w:sz="4" w:space="0"/>
              <w:right w:val="single" w:color="auto" w:sz="4" w:space="0"/>
            </w:tcBorders>
            <w:vAlign w:val="center"/>
          </w:tcPr>
          <w:p>
            <w:pPr>
              <w:jc w:val="right"/>
              <w:rPr>
                <w:sz w:val="16"/>
                <w:szCs w:val="16"/>
              </w:rPr>
            </w:pPr>
          </w:p>
        </w:tc>
        <w:tc>
          <w:tcPr>
            <w:tcW w:w="709" w:type="dxa"/>
            <w:tcBorders>
              <w:left w:val="single" w:color="auto" w:sz="4" w:space="0"/>
              <w:right w:val="single" w:color="auto" w:sz="4" w:space="0"/>
            </w:tcBorders>
            <w:vAlign w:val="center"/>
          </w:tcPr>
          <w:p>
            <w:pPr>
              <w:jc w:val="right"/>
              <w:rPr>
                <w:sz w:val="16"/>
                <w:szCs w:val="16"/>
              </w:rPr>
            </w:pPr>
          </w:p>
        </w:tc>
        <w:tc>
          <w:tcPr>
            <w:tcW w:w="567" w:type="dxa"/>
            <w:tcBorders>
              <w:left w:val="single" w:color="auto" w:sz="4" w:space="0"/>
            </w:tcBorders>
            <w:vAlign w:val="center"/>
          </w:tcPr>
          <w:p>
            <w:pPr>
              <w:jc w:val="right"/>
              <w:rPr>
                <w:sz w:val="16"/>
                <w:szCs w:val="16"/>
              </w:rPr>
            </w:pPr>
          </w:p>
        </w:tc>
        <w:tc>
          <w:tcPr>
            <w:tcW w:w="1275" w:type="dxa"/>
            <w:vAlign w:val="center"/>
          </w:tcPr>
          <w:p>
            <w:pPr>
              <w:jc w:val="right"/>
              <w:rPr>
                <w:sz w:val="16"/>
                <w:szCs w:val="16"/>
              </w:rPr>
            </w:pPr>
            <w:r>
              <w:rPr>
                <w:sz w:val="16"/>
                <w:szCs w:val="16"/>
              </w:rPr>
              <w:t xml:space="preserve">945,244,338.15 </w:t>
            </w:r>
          </w:p>
        </w:tc>
        <w:tc>
          <w:tcPr>
            <w:tcW w:w="1276" w:type="dxa"/>
            <w:vAlign w:val="center"/>
          </w:tcPr>
          <w:p>
            <w:pPr>
              <w:jc w:val="right"/>
              <w:rPr>
                <w:sz w:val="16"/>
                <w:szCs w:val="16"/>
              </w:rPr>
            </w:pPr>
          </w:p>
        </w:tc>
        <w:tc>
          <w:tcPr>
            <w:tcW w:w="567" w:type="dxa"/>
            <w:vAlign w:val="center"/>
          </w:tcPr>
          <w:p>
            <w:pPr>
              <w:jc w:val="right"/>
              <w:rPr>
                <w:sz w:val="16"/>
                <w:szCs w:val="16"/>
              </w:rPr>
            </w:pPr>
          </w:p>
        </w:tc>
        <w:tc>
          <w:tcPr>
            <w:tcW w:w="1276" w:type="dxa"/>
            <w:vAlign w:val="center"/>
          </w:tcPr>
          <w:p>
            <w:pPr>
              <w:jc w:val="right"/>
              <w:rPr>
                <w:sz w:val="16"/>
                <w:szCs w:val="16"/>
              </w:rPr>
            </w:pPr>
            <w:r>
              <w:rPr>
                <w:sz w:val="16"/>
                <w:szCs w:val="16"/>
              </w:rPr>
              <w:t xml:space="preserve"> 15,888,109.33 </w:t>
            </w:r>
          </w:p>
        </w:tc>
        <w:tc>
          <w:tcPr>
            <w:tcW w:w="1276" w:type="dxa"/>
            <w:vAlign w:val="center"/>
          </w:tcPr>
          <w:p>
            <w:pPr>
              <w:jc w:val="right"/>
              <w:rPr>
                <w:sz w:val="16"/>
                <w:szCs w:val="16"/>
              </w:rPr>
            </w:pPr>
            <w:r>
              <w:rPr>
                <w:sz w:val="16"/>
                <w:szCs w:val="16"/>
              </w:rPr>
              <w:t xml:space="preserve">126,346,004.08 </w:t>
            </w:r>
          </w:p>
        </w:tc>
        <w:tc>
          <w:tcPr>
            <w:tcW w:w="1417" w:type="dxa"/>
            <w:vAlign w:val="center"/>
          </w:tcPr>
          <w:p>
            <w:pPr>
              <w:jc w:val="right"/>
              <w:rPr>
                <w:sz w:val="16"/>
                <w:szCs w:val="16"/>
              </w:rPr>
            </w:pPr>
            <w:r>
              <w:rPr>
                <w:sz w:val="16"/>
                <w:szCs w:val="16"/>
              </w:rPr>
              <w:t xml:space="preserve">973,507,890.18  </w:t>
            </w:r>
          </w:p>
        </w:tc>
        <w:tc>
          <w:tcPr>
            <w:tcW w:w="1349" w:type="dxa"/>
            <w:vAlign w:val="center"/>
          </w:tcPr>
          <w:p>
            <w:pPr>
              <w:jc w:val="right"/>
              <w:rPr>
                <w:sz w:val="16"/>
                <w:szCs w:val="16"/>
              </w:rPr>
            </w:pPr>
            <w:r>
              <w:rPr>
                <w:sz w:val="16"/>
                <w:szCs w:val="16"/>
              </w:rPr>
              <w:t>2,390,950,980.74</w:t>
            </w: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p>
    <w:tbl>
      <w:tblPr>
        <w:tblStyle w:val="44"/>
        <w:tblW w:w="1390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02"/>
        <w:gridCol w:w="1276"/>
        <w:gridCol w:w="567"/>
        <w:gridCol w:w="709"/>
        <w:gridCol w:w="567"/>
        <w:gridCol w:w="1275"/>
        <w:gridCol w:w="1276"/>
        <w:gridCol w:w="567"/>
        <w:gridCol w:w="1276"/>
        <w:gridCol w:w="1276"/>
        <w:gridCol w:w="1417"/>
        <w:gridCol w:w="12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2402" w:type="dxa"/>
            <w:vMerge w:val="restart"/>
            <w:vAlign w:val="center"/>
          </w:tcPr>
          <w:sdt>
            <w:sdtPr>
              <w:rPr>
                <w:sz w:val="15"/>
                <w:szCs w:val="15"/>
              </w:rPr>
              <w:tag w:val="_PLD_312727f4b56147c2b646c0fb68a4b58b"/>
              <w:id w:val="1512174323"/>
            </w:sdtPr>
            <w:sdtEndPr>
              <w:rPr>
                <w:sz w:val="15"/>
                <w:szCs w:val="15"/>
              </w:rPr>
            </w:sdtEndPr>
            <w:sdtContent>
              <w:p>
                <w:pPr>
                  <w:adjustRightInd w:val="0"/>
                  <w:snapToGrid w:val="0"/>
                  <w:jc w:val="center"/>
                  <w:rPr>
                    <w:color w:val="000000" w:themeColor="text1"/>
                    <w:sz w:val="15"/>
                    <w:szCs w:val="15"/>
                    <w14:textFill>
                      <w14:solidFill>
                        <w14:schemeClr w14:val="tx1"/>
                      </w14:solidFill>
                    </w14:textFill>
                  </w:rPr>
                </w:pPr>
                <w:bookmarkStart w:id="161" w:name="OLE_LINK48"/>
                <w:r>
                  <w:rPr>
                    <w:rFonts w:hint="eastAsia"/>
                    <w:color w:val="000000" w:themeColor="text1"/>
                    <w:sz w:val="15"/>
                    <w:szCs w:val="15"/>
                    <w14:textFill>
                      <w14:solidFill>
                        <w14:schemeClr w14:val="tx1"/>
                      </w14:solidFill>
                    </w14:textFill>
                  </w:rPr>
                  <w:t>项目</w:t>
                </w:r>
              </w:p>
            </w:sdtContent>
          </w:sdt>
        </w:tc>
        <w:tc>
          <w:tcPr>
            <w:tcW w:w="11502" w:type="dxa"/>
            <w:gridSpan w:val="11"/>
            <w:vAlign w:val="center"/>
          </w:tcPr>
          <w:p>
            <w:pPr>
              <w:adjustRightInd w:val="0"/>
              <w:snapToGrid w:val="0"/>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 xml:space="preserve"> </w:t>
            </w:r>
            <w:sdt>
              <w:sdtPr>
                <w:rPr>
                  <w:sz w:val="15"/>
                  <w:szCs w:val="15"/>
                </w:rPr>
                <w:tag w:val="_PLD_35246b22171846ac8ef46c5dfa1d1663"/>
                <w:id w:val="-989168997"/>
              </w:sdtPr>
              <w:sdtEndPr>
                <w:rPr>
                  <w:sz w:val="15"/>
                  <w:szCs w:val="15"/>
                </w:rPr>
              </w:sdtEndPr>
              <w:sdtContent>
                <w:r>
                  <w:rPr>
                    <w:rFonts w:hint="eastAsia"/>
                    <w:color w:val="000000" w:themeColor="text1"/>
                    <w:sz w:val="15"/>
                    <w:szCs w:val="15"/>
                    <w14:textFill>
                      <w14:solidFill>
                        <w14:schemeClr w14:val="tx1"/>
                      </w14:solidFill>
                    </w14:textFill>
                  </w:rPr>
                  <w:t>2025年半年度</w:t>
                </w:r>
              </w:sdtContent>
            </w:sdt>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15" w:hRule="atLeast"/>
        </w:trPr>
        <w:tc>
          <w:tcPr>
            <w:tcW w:w="2402" w:type="dxa"/>
            <w:vMerge w:val="continue"/>
            <w:vAlign w:val="center"/>
          </w:tcPr>
          <w:p>
            <w:pPr>
              <w:adjustRightInd w:val="0"/>
              <w:snapToGrid w:val="0"/>
              <w:rPr>
                <w:color w:val="000000" w:themeColor="text1"/>
                <w:sz w:val="15"/>
                <w:szCs w:val="15"/>
                <w14:textFill>
                  <w14:solidFill>
                    <w14:schemeClr w14:val="tx1"/>
                  </w14:solidFill>
                </w14:textFill>
              </w:rPr>
            </w:pPr>
          </w:p>
        </w:tc>
        <w:sdt>
          <w:sdtPr>
            <w:rPr>
              <w:sz w:val="15"/>
              <w:szCs w:val="15"/>
            </w:rPr>
            <w:tag w:val="_PLD_5da9900c5a9e46a085487ea972f44796"/>
            <w:id w:val="-472453626"/>
          </w:sdtPr>
          <w:sdtEndPr>
            <w:rPr>
              <w:sz w:val="15"/>
              <w:szCs w:val="15"/>
            </w:rPr>
          </w:sdtEndPr>
          <w:sdtContent>
            <w:tc>
              <w:tcPr>
                <w:tcW w:w="1276" w:type="dxa"/>
                <w:vMerge w:val="restart"/>
                <w:tcBorders>
                  <w:right w:val="single" w:color="auto" w:sz="4" w:space="0"/>
                </w:tcBorders>
                <w:vAlign w:val="center"/>
              </w:tcPr>
              <w:p>
                <w:pPr>
                  <w:adjustRightInd w:val="0"/>
                  <w:snapToGrid w:val="0"/>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实收资本</w:t>
                </w:r>
                <w:r>
                  <w:rPr>
                    <w:color w:val="000000" w:themeColor="text1"/>
                    <w:sz w:val="15"/>
                    <w:szCs w:val="15"/>
                    <w14:textFill>
                      <w14:solidFill>
                        <w14:schemeClr w14:val="tx1"/>
                      </w14:solidFill>
                    </w14:textFill>
                  </w:rPr>
                  <w:t xml:space="preserve"> (或股本)</w:t>
                </w:r>
              </w:p>
            </w:tc>
          </w:sdtContent>
        </w:sdt>
        <w:sdt>
          <w:sdtPr>
            <w:rPr>
              <w:sz w:val="15"/>
              <w:szCs w:val="15"/>
            </w:rPr>
            <w:tag w:val="_PLD_fc0bce3be00144ff950606755a048a76"/>
            <w:id w:val="-1190131968"/>
          </w:sdtPr>
          <w:sdtEndPr>
            <w:rPr>
              <w:sz w:val="15"/>
              <w:szCs w:val="15"/>
            </w:rPr>
          </w:sdtEndPr>
          <w:sdtContent>
            <w:tc>
              <w:tcPr>
                <w:tcW w:w="1843" w:type="dxa"/>
                <w:gridSpan w:val="3"/>
                <w:tcBorders>
                  <w:left w:val="single" w:color="auto" w:sz="4" w:space="0"/>
                  <w:bottom w:val="single" w:color="auto" w:sz="4" w:space="0"/>
                </w:tcBorders>
                <w:vAlign w:val="center"/>
              </w:tcPr>
              <w:p>
                <w:pPr>
                  <w:adjustRightInd w:val="0"/>
                  <w:snapToGrid w:val="0"/>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其他权益工具</w:t>
                </w:r>
              </w:p>
            </w:tc>
          </w:sdtContent>
        </w:sdt>
        <w:sdt>
          <w:sdtPr>
            <w:rPr>
              <w:sz w:val="15"/>
              <w:szCs w:val="15"/>
            </w:rPr>
            <w:tag w:val="_PLD_b31d07f97db344b1b180738b22a76467"/>
            <w:id w:val="-661845407"/>
          </w:sdtPr>
          <w:sdtEndPr>
            <w:rPr>
              <w:sz w:val="15"/>
              <w:szCs w:val="15"/>
            </w:rPr>
          </w:sdtEndPr>
          <w:sdtContent>
            <w:tc>
              <w:tcPr>
                <w:tcW w:w="1275" w:type="dxa"/>
                <w:vMerge w:val="restart"/>
                <w:vAlign w:val="center"/>
              </w:tcPr>
              <w:p>
                <w:pPr>
                  <w:adjustRightInd w:val="0"/>
                  <w:snapToGrid w:val="0"/>
                  <w:jc w:val="cente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资本公积</w:t>
                </w:r>
              </w:p>
            </w:tc>
          </w:sdtContent>
        </w:sdt>
        <w:sdt>
          <w:sdtPr>
            <w:rPr>
              <w:sz w:val="15"/>
              <w:szCs w:val="15"/>
            </w:rPr>
            <w:tag w:val="_PLD_244676dcaf4245bd9119f474a4e885f9"/>
            <w:id w:val="1741760087"/>
          </w:sdtPr>
          <w:sdtEndPr>
            <w:rPr>
              <w:sz w:val="15"/>
              <w:szCs w:val="15"/>
            </w:rPr>
          </w:sdtEndPr>
          <w:sdtContent>
            <w:tc>
              <w:tcPr>
                <w:tcW w:w="1276" w:type="dxa"/>
                <w:vMerge w:val="restart"/>
                <w:vAlign w:val="center"/>
              </w:tcPr>
              <w:p>
                <w:pPr>
                  <w:adjustRightInd w:val="0"/>
                  <w:snapToGrid w:val="0"/>
                  <w:jc w:val="cente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减：库存股</w:t>
                </w:r>
              </w:p>
            </w:tc>
          </w:sdtContent>
        </w:sdt>
        <w:sdt>
          <w:sdtPr>
            <w:rPr>
              <w:sz w:val="15"/>
              <w:szCs w:val="15"/>
            </w:rPr>
            <w:tag w:val="_PLD_01eab1b775574165b2820a19e72d2ad0"/>
            <w:id w:val="369578245"/>
          </w:sdtPr>
          <w:sdtEndPr>
            <w:rPr>
              <w:sz w:val="15"/>
              <w:szCs w:val="15"/>
            </w:rPr>
          </w:sdtEndPr>
          <w:sdtContent>
            <w:tc>
              <w:tcPr>
                <w:tcW w:w="567" w:type="dxa"/>
                <w:vMerge w:val="restart"/>
                <w:vAlign w:val="center"/>
              </w:tcPr>
              <w:p>
                <w:pPr>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其他综合收益</w:t>
                </w:r>
              </w:p>
            </w:tc>
          </w:sdtContent>
        </w:sdt>
        <w:sdt>
          <w:sdtPr>
            <w:rPr>
              <w:sz w:val="15"/>
              <w:szCs w:val="15"/>
            </w:rPr>
            <w:tag w:val="_PLD_13f17e2c8a7a404da876af1bac2ae6d1"/>
            <w:id w:val="2057957381"/>
          </w:sdtPr>
          <w:sdtEndPr>
            <w:rPr>
              <w:sz w:val="15"/>
              <w:szCs w:val="15"/>
            </w:rPr>
          </w:sdtEndPr>
          <w:sdtContent>
            <w:tc>
              <w:tcPr>
                <w:tcW w:w="1276" w:type="dxa"/>
                <w:vMerge w:val="restart"/>
                <w:vAlign w:val="center"/>
              </w:tcPr>
              <w:p>
                <w:pPr>
                  <w:adjustRightInd w:val="0"/>
                  <w:snapToGrid w:val="0"/>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专项储备</w:t>
                </w:r>
              </w:p>
            </w:tc>
          </w:sdtContent>
        </w:sdt>
        <w:sdt>
          <w:sdtPr>
            <w:rPr>
              <w:sz w:val="15"/>
              <w:szCs w:val="15"/>
            </w:rPr>
            <w:tag w:val="_PLD_9578f3812cf04a34965a5bdc9ee82115"/>
            <w:id w:val="1731962098"/>
          </w:sdtPr>
          <w:sdtEndPr>
            <w:rPr>
              <w:sz w:val="15"/>
              <w:szCs w:val="15"/>
            </w:rPr>
          </w:sdtEndPr>
          <w:sdtContent>
            <w:tc>
              <w:tcPr>
                <w:tcW w:w="1276" w:type="dxa"/>
                <w:vMerge w:val="restart"/>
                <w:vAlign w:val="center"/>
              </w:tcPr>
              <w:p>
                <w:pPr>
                  <w:adjustRightInd w:val="0"/>
                  <w:snapToGrid w:val="0"/>
                  <w:jc w:val="cente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盈余公积</w:t>
                </w:r>
              </w:p>
            </w:tc>
          </w:sdtContent>
        </w:sdt>
        <w:sdt>
          <w:sdtPr>
            <w:rPr>
              <w:sz w:val="15"/>
              <w:szCs w:val="15"/>
            </w:rPr>
            <w:tag w:val="_PLD_5d835cd98ccc4304aec553a0b6a56628"/>
            <w:id w:val="934403619"/>
          </w:sdtPr>
          <w:sdtEndPr>
            <w:rPr>
              <w:sz w:val="15"/>
              <w:szCs w:val="15"/>
            </w:rPr>
          </w:sdtEndPr>
          <w:sdtContent>
            <w:tc>
              <w:tcPr>
                <w:tcW w:w="1417" w:type="dxa"/>
                <w:vMerge w:val="restart"/>
                <w:vAlign w:val="center"/>
              </w:tcPr>
              <w:p>
                <w:pPr>
                  <w:adjustRightInd w:val="0"/>
                  <w:snapToGrid w:val="0"/>
                  <w:jc w:val="cente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未分配利润</w:t>
                </w:r>
              </w:p>
            </w:tc>
          </w:sdtContent>
        </w:sdt>
        <w:sdt>
          <w:sdtPr>
            <w:rPr>
              <w:sz w:val="15"/>
              <w:szCs w:val="15"/>
            </w:rPr>
            <w:tag w:val="_PLD_1cbb8af374a54430ad1f29ed83c69cd0"/>
            <w:id w:val="1472480261"/>
          </w:sdtPr>
          <w:sdtEndPr>
            <w:rPr>
              <w:sz w:val="15"/>
              <w:szCs w:val="15"/>
            </w:rPr>
          </w:sdtEndPr>
          <w:sdtContent>
            <w:tc>
              <w:tcPr>
                <w:tcW w:w="1296" w:type="dxa"/>
                <w:vMerge w:val="restart"/>
                <w:vAlign w:val="center"/>
              </w:tcPr>
              <w:p>
                <w:pPr>
                  <w:adjustRightInd w:val="0"/>
                  <w:snapToGrid w:val="0"/>
                  <w:jc w:val="cente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所有者权益合计</w:t>
                </w:r>
              </w:p>
            </w:tc>
          </w:sdtContent>
        </w:sdt>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trPr>
        <w:tc>
          <w:tcPr>
            <w:tcW w:w="2402" w:type="dxa"/>
            <w:vMerge w:val="continue"/>
            <w:vAlign w:val="center"/>
          </w:tcPr>
          <w:p>
            <w:pPr>
              <w:adjustRightInd w:val="0"/>
              <w:snapToGrid w:val="0"/>
              <w:rPr>
                <w:color w:val="000000" w:themeColor="text1"/>
                <w:sz w:val="15"/>
                <w:szCs w:val="15"/>
                <w14:textFill>
                  <w14:solidFill>
                    <w14:schemeClr w14:val="tx1"/>
                  </w14:solidFill>
                </w14:textFill>
              </w:rPr>
            </w:pPr>
          </w:p>
        </w:tc>
        <w:tc>
          <w:tcPr>
            <w:tcW w:w="1276" w:type="dxa"/>
            <w:vMerge w:val="continue"/>
            <w:tcBorders>
              <w:right w:val="single" w:color="auto" w:sz="4" w:space="0"/>
            </w:tcBorders>
            <w:vAlign w:val="center"/>
          </w:tcPr>
          <w:p>
            <w:pPr>
              <w:adjustRightInd w:val="0"/>
              <w:snapToGrid w:val="0"/>
              <w:jc w:val="center"/>
              <w:rPr>
                <w:color w:val="000000" w:themeColor="text1"/>
                <w:sz w:val="15"/>
                <w:szCs w:val="15"/>
                <w14:textFill>
                  <w14:solidFill>
                    <w14:schemeClr w14:val="tx1"/>
                  </w14:solidFill>
                </w14:textFill>
              </w:rPr>
            </w:pPr>
          </w:p>
        </w:tc>
        <w:sdt>
          <w:sdtPr>
            <w:rPr>
              <w:sz w:val="15"/>
              <w:szCs w:val="15"/>
            </w:rPr>
            <w:tag w:val="_PLD_dcc9ba0f815c4a99a7c4c9fe219d232e"/>
            <w:id w:val="-874763672"/>
          </w:sdtPr>
          <w:sdtEndPr>
            <w:rPr>
              <w:sz w:val="15"/>
              <w:szCs w:val="15"/>
            </w:rPr>
          </w:sdtEndPr>
          <w:sdtContent>
            <w:tc>
              <w:tcPr>
                <w:tcW w:w="567" w:type="dxa"/>
                <w:tcBorders>
                  <w:top w:val="single" w:color="auto" w:sz="4" w:space="0"/>
                  <w:left w:val="single" w:color="auto" w:sz="4" w:space="0"/>
                  <w:right w:val="single" w:color="auto" w:sz="4" w:space="0"/>
                </w:tcBorders>
                <w:vAlign w:val="center"/>
              </w:tcPr>
              <w:p>
                <w:pPr>
                  <w:adjustRightInd w:val="0"/>
                  <w:snapToGrid w:val="0"/>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优先股</w:t>
                </w:r>
              </w:p>
            </w:tc>
          </w:sdtContent>
        </w:sdt>
        <w:sdt>
          <w:sdtPr>
            <w:rPr>
              <w:sz w:val="15"/>
              <w:szCs w:val="15"/>
            </w:rPr>
            <w:tag w:val="_PLD_42f56a6e995041a8b03e0979c7b2350c"/>
            <w:id w:val="580951420"/>
          </w:sdtPr>
          <w:sdtEndPr>
            <w:rPr>
              <w:sz w:val="15"/>
              <w:szCs w:val="15"/>
            </w:rPr>
          </w:sdtEndPr>
          <w:sdtContent>
            <w:tc>
              <w:tcPr>
                <w:tcW w:w="709" w:type="dxa"/>
                <w:tcBorders>
                  <w:top w:val="single" w:color="auto" w:sz="4" w:space="0"/>
                  <w:left w:val="single" w:color="auto" w:sz="4" w:space="0"/>
                  <w:right w:val="single" w:color="auto" w:sz="4" w:space="0"/>
                </w:tcBorders>
                <w:vAlign w:val="center"/>
              </w:tcPr>
              <w:p>
                <w:pPr>
                  <w:adjustRightInd w:val="0"/>
                  <w:snapToGrid w:val="0"/>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永续债</w:t>
                </w:r>
              </w:p>
            </w:tc>
          </w:sdtContent>
        </w:sdt>
        <w:sdt>
          <w:sdtPr>
            <w:rPr>
              <w:sz w:val="15"/>
              <w:szCs w:val="15"/>
            </w:rPr>
            <w:tag w:val="_PLD_30aa853463c54004a69a2235554ee8fd"/>
            <w:id w:val="-44456949"/>
          </w:sdtPr>
          <w:sdtEndPr>
            <w:rPr>
              <w:sz w:val="15"/>
              <w:szCs w:val="15"/>
            </w:rPr>
          </w:sdtEndPr>
          <w:sdtContent>
            <w:tc>
              <w:tcPr>
                <w:tcW w:w="567" w:type="dxa"/>
                <w:tcBorders>
                  <w:top w:val="single" w:color="auto" w:sz="4" w:space="0"/>
                  <w:left w:val="single" w:color="auto" w:sz="4" w:space="0"/>
                </w:tcBorders>
                <w:vAlign w:val="center"/>
              </w:tcPr>
              <w:p>
                <w:pPr>
                  <w:adjustRightInd w:val="0"/>
                  <w:snapToGrid w:val="0"/>
                  <w:jc w:val="cente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w:t>
                </w:r>
              </w:p>
            </w:tc>
          </w:sdtContent>
        </w:sdt>
        <w:tc>
          <w:tcPr>
            <w:tcW w:w="1275" w:type="dxa"/>
            <w:vMerge w:val="continue"/>
            <w:vAlign w:val="center"/>
          </w:tcPr>
          <w:p>
            <w:pPr>
              <w:adjustRightInd w:val="0"/>
              <w:snapToGrid w:val="0"/>
              <w:jc w:val="center"/>
              <w:rPr>
                <w:color w:val="000000" w:themeColor="text1"/>
                <w:sz w:val="15"/>
                <w:szCs w:val="15"/>
                <w14:textFill>
                  <w14:solidFill>
                    <w14:schemeClr w14:val="tx1"/>
                  </w14:solidFill>
                </w14:textFill>
              </w:rPr>
            </w:pPr>
          </w:p>
        </w:tc>
        <w:tc>
          <w:tcPr>
            <w:tcW w:w="1276" w:type="dxa"/>
            <w:vMerge w:val="continue"/>
            <w:vAlign w:val="center"/>
          </w:tcPr>
          <w:p>
            <w:pPr>
              <w:adjustRightInd w:val="0"/>
              <w:snapToGrid w:val="0"/>
              <w:jc w:val="center"/>
              <w:rPr>
                <w:color w:val="000000" w:themeColor="text1"/>
                <w:sz w:val="15"/>
                <w:szCs w:val="15"/>
                <w14:textFill>
                  <w14:solidFill>
                    <w14:schemeClr w14:val="tx1"/>
                  </w14:solidFill>
                </w14:textFill>
              </w:rPr>
            </w:pPr>
          </w:p>
        </w:tc>
        <w:tc>
          <w:tcPr>
            <w:tcW w:w="567" w:type="dxa"/>
            <w:vMerge w:val="continue"/>
            <w:vAlign w:val="center"/>
          </w:tcPr>
          <w:p>
            <w:pPr>
              <w:jc w:val="center"/>
              <w:rPr>
                <w:color w:val="000000" w:themeColor="text1"/>
                <w:sz w:val="15"/>
                <w:szCs w:val="15"/>
                <w14:textFill>
                  <w14:solidFill>
                    <w14:schemeClr w14:val="tx1"/>
                  </w14:solidFill>
                </w14:textFill>
              </w:rPr>
            </w:pPr>
          </w:p>
        </w:tc>
        <w:tc>
          <w:tcPr>
            <w:tcW w:w="1276" w:type="dxa"/>
            <w:vMerge w:val="continue"/>
            <w:vAlign w:val="center"/>
          </w:tcPr>
          <w:p>
            <w:pPr>
              <w:adjustRightInd w:val="0"/>
              <w:snapToGrid w:val="0"/>
              <w:jc w:val="center"/>
              <w:rPr>
                <w:color w:val="000000" w:themeColor="text1"/>
                <w:sz w:val="15"/>
                <w:szCs w:val="15"/>
                <w14:textFill>
                  <w14:solidFill>
                    <w14:schemeClr w14:val="tx1"/>
                  </w14:solidFill>
                </w14:textFill>
              </w:rPr>
            </w:pPr>
          </w:p>
        </w:tc>
        <w:tc>
          <w:tcPr>
            <w:tcW w:w="1276" w:type="dxa"/>
            <w:vMerge w:val="continue"/>
            <w:vAlign w:val="center"/>
          </w:tcPr>
          <w:p>
            <w:pPr>
              <w:adjustRightInd w:val="0"/>
              <w:snapToGrid w:val="0"/>
              <w:jc w:val="center"/>
              <w:rPr>
                <w:color w:val="000000" w:themeColor="text1"/>
                <w:sz w:val="15"/>
                <w:szCs w:val="15"/>
                <w14:textFill>
                  <w14:solidFill>
                    <w14:schemeClr w14:val="tx1"/>
                  </w14:solidFill>
                </w14:textFill>
              </w:rPr>
            </w:pPr>
          </w:p>
        </w:tc>
        <w:tc>
          <w:tcPr>
            <w:tcW w:w="1417" w:type="dxa"/>
            <w:vMerge w:val="continue"/>
            <w:vAlign w:val="center"/>
          </w:tcPr>
          <w:p>
            <w:pPr>
              <w:adjustRightInd w:val="0"/>
              <w:snapToGrid w:val="0"/>
              <w:jc w:val="center"/>
              <w:rPr>
                <w:color w:val="000000" w:themeColor="text1"/>
                <w:sz w:val="15"/>
                <w:szCs w:val="15"/>
                <w14:textFill>
                  <w14:solidFill>
                    <w14:schemeClr w14:val="tx1"/>
                  </w14:solidFill>
                </w14:textFill>
              </w:rPr>
            </w:pPr>
          </w:p>
        </w:tc>
        <w:tc>
          <w:tcPr>
            <w:tcW w:w="1296" w:type="dxa"/>
            <w:vMerge w:val="continue"/>
            <w:vAlign w:val="center"/>
          </w:tcPr>
          <w:p>
            <w:pPr>
              <w:adjustRightInd w:val="0"/>
              <w:snapToGrid w:val="0"/>
              <w:jc w:val="center"/>
              <w:rPr>
                <w:color w:val="000000" w:themeColor="text1"/>
                <w:sz w:val="15"/>
                <w:szCs w:val="15"/>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b00b327c7ecc4ad1bfafd8f9c1a6ce86"/>
            <w:id w:val="-1573736284"/>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一、上年</w:t>
                </w:r>
                <w:r>
                  <w:rPr>
                    <w:rFonts w:hint="eastAsia"/>
                    <w:color w:val="000000" w:themeColor="text1"/>
                    <w:sz w:val="15"/>
                    <w:szCs w:val="15"/>
                    <w14:textFill>
                      <w14:solidFill>
                        <w14:schemeClr w14:val="tx1"/>
                      </w14:solidFill>
                    </w14:textFill>
                  </w:rPr>
                  <w:t>期</w:t>
                </w:r>
                <w:r>
                  <w:rPr>
                    <w:color w:val="000000" w:themeColor="text1"/>
                    <w:sz w:val="15"/>
                    <w:szCs w:val="15"/>
                    <w14:textFill>
                      <w14:solidFill>
                        <w14:schemeClr w14:val="tx1"/>
                      </w14:solidFill>
                    </w14:textFill>
                  </w:rPr>
                  <w:t>末余额</w:t>
                </w:r>
              </w:p>
            </w:tc>
          </w:sdtContent>
        </w:sdt>
        <w:tc>
          <w:tcPr>
            <w:tcW w:w="1276" w:type="dxa"/>
            <w:tcBorders>
              <w:right w:val="single" w:color="auto" w:sz="4" w:space="0"/>
            </w:tcBorders>
            <w:vAlign w:val="center"/>
          </w:tcPr>
          <w:p>
            <w:pPr>
              <w:jc w:val="right"/>
              <w:rPr>
                <w:sz w:val="15"/>
                <w:szCs w:val="15"/>
              </w:rPr>
            </w:pPr>
            <w:r>
              <w:rPr>
                <w:sz w:val="15"/>
                <w:szCs w:val="15"/>
              </w:rPr>
              <w:t xml:space="preserve"> 333,167,407.00 </w:t>
            </w: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1275" w:type="dxa"/>
            <w:tcBorders>
              <w:left w:val="single" w:color="auto" w:sz="4" w:space="0"/>
            </w:tcBorders>
            <w:vAlign w:val="center"/>
          </w:tcPr>
          <w:p>
            <w:pPr>
              <w:jc w:val="right"/>
              <w:rPr>
                <w:sz w:val="15"/>
                <w:szCs w:val="15"/>
              </w:rPr>
            </w:pPr>
            <w:r>
              <w:rPr>
                <w:sz w:val="15"/>
                <w:szCs w:val="15"/>
              </w:rPr>
              <w:t xml:space="preserve"> 969,891,813.86 </w:t>
            </w:r>
          </w:p>
        </w:tc>
        <w:tc>
          <w:tcPr>
            <w:tcW w:w="1276" w:type="dxa"/>
            <w:vAlign w:val="center"/>
          </w:tcPr>
          <w:p>
            <w:pPr>
              <w:jc w:val="right"/>
              <w:rPr>
                <w:sz w:val="15"/>
                <w:szCs w:val="15"/>
              </w:rPr>
            </w:pPr>
            <w:r>
              <w:rPr>
                <w:sz w:val="15"/>
                <w:szCs w:val="15"/>
              </w:rPr>
              <w:t xml:space="preserve"> 30,893,741.28 </w:t>
            </w:r>
          </w:p>
        </w:tc>
        <w:tc>
          <w:tcPr>
            <w:tcW w:w="567" w:type="dxa"/>
            <w:vAlign w:val="center"/>
          </w:tcPr>
          <w:p>
            <w:pPr>
              <w:jc w:val="right"/>
              <w:rPr>
                <w:sz w:val="15"/>
                <w:szCs w:val="15"/>
              </w:rPr>
            </w:pPr>
          </w:p>
        </w:tc>
        <w:tc>
          <w:tcPr>
            <w:tcW w:w="1276" w:type="dxa"/>
            <w:vAlign w:val="center"/>
          </w:tcPr>
          <w:p>
            <w:pPr>
              <w:jc w:val="right"/>
              <w:rPr>
                <w:sz w:val="15"/>
                <w:szCs w:val="15"/>
              </w:rPr>
            </w:pPr>
            <w:r>
              <w:rPr>
                <w:sz w:val="15"/>
                <w:szCs w:val="15"/>
              </w:rPr>
              <w:t xml:space="preserve"> 19,302,441.84 </w:t>
            </w:r>
          </w:p>
        </w:tc>
        <w:tc>
          <w:tcPr>
            <w:tcW w:w="1276" w:type="dxa"/>
            <w:vAlign w:val="center"/>
          </w:tcPr>
          <w:p>
            <w:pPr>
              <w:jc w:val="right"/>
              <w:rPr>
                <w:sz w:val="15"/>
                <w:szCs w:val="15"/>
              </w:rPr>
            </w:pPr>
            <w:r>
              <w:rPr>
                <w:sz w:val="15"/>
                <w:szCs w:val="15"/>
              </w:rPr>
              <w:t xml:space="preserve"> 121,494,338.37 </w:t>
            </w:r>
          </w:p>
        </w:tc>
        <w:tc>
          <w:tcPr>
            <w:tcW w:w="1417" w:type="dxa"/>
            <w:vAlign w:val="center"/>
          </w:tcPr>
          <w:p>
            <w:pPr>
              <w:jc w:val="right"/>
              <w:rPr>
                <w:sz w:val="15"/>
                <w:szCs w:val="15"/>
              </w:rPr>
            </w:pPr>
            <w:r>
              <w:rPr>
                <w:sz w:val="15"/>
                <w:szCs w:val="15"/>
              </w:rPr>
              <w:t xml:space="preserve"> 982,926,914.80 </w:t>
            </w:r>
          </w:p>
        </w:tc>
        <w:tc>
          <w:tcPr>
            <w:tcW w:w="1296" w:type="dxa"/>
            <w:vAlign w:val="center"/>
          </w:tcPr>
          <w:p>
            <w:pPr>
              <w:jc w:val="right"/>
              <w:rPr>
                <w:sz w:val="15"/>
                <w:szCs w:val="15"/>
              </w:rPr>
            </w:pPr>
            <w:r>
              <w:rPr>
                <w:sz w:val="15"/>
                <w:szCs w:val="15"/>
              </w:rPr>
              <w:t xml:space="preserve">2,395,889,174.59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87ad1d45ba9b40488fdf5165b8168def"/>
            <w:id w:val="-350114523"/>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加：会计政策变更</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1275" w:type="dxa"/>
            <w:tcBorders>
              <w:left w:val="single" w:color="auto" w:sz="4" w:space="0"/>
            </w:tcBorders>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494f8b7216f946d9a09f6954da6ee226"/>
            <w:id w:val="-969214374"/>
          </w:sdtPr>
          <w:sdtEndPr>
            <w:rPr>
              <w:sz w:val="15"/>
              <w:szCs w:val="15"/>
            </w:rPr>
          </w:sdtEndPr>
          <w:sdtContent>
            <w:tc>
              <w:tcPr>
                <w:tcW w:w="2402" w:type="dxa"/>
                <w:vAlign w:val="center"/>
              </w:tcPr>
              <w:p>
                <w:pPr>
                  <w:ind w:firstLine="300" w:firstLineChars="200"/>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前期差错更正</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1275" w:type="dxa"/>
            <w:tcBorders>
              <w:left w:val="single" w:color="auto" w:sz="4" w:space="0"/>
            </w:tcBorders>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cdd9f72b38894c3eb70b005a61432c29"/>
            <w:id w:val="1522120251"/>
          </w:sdtPr>
          <w:sdtEndPr>
            <w:rPr>
              <w:sz w:val="15"/>
              <w:szCs w:val="15"/>
            </w:rPr>
          </w:sdtEndPr>
          <w:sdtContent>
            <w:tc>
              <w:tcPr>
                <w:tcW w:w="2402" w:type="dxa"/>
                <w:vAlign w:val="center"/>
              </w:tcPr>
              <w:p>
                <w:pPr>
                  <w:ind w:firstLine="300" w:firstLineChars="200"/>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其他</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1275" w:type="dxa"/>
            <w:tcBorders>
              <w:left w:val="single" w:color="auto" w:sz="4" w:space="0"/>
            </w:tcBorders>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8593e1735c664981bacefcb1a0cab245"/>
            <w:id w:val="873354248"/>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二、本年</w:t>
                </w:r>
                <w:r>
                  <w:rPr>
                    <w:rFonts w:hint="eastAsia"/>
                    <w:color w:val="000000" w:themeColor="text1"/>
                    <w:sz w:val="15"/>
                    <w:szCs w:val="15"/>
                    <w14:textFill>
                      <w14:solidFill>
                        <w14:schemeClr w14:val="tx1"/>
                      </w14:solidFill>
                    </w14:textFill>
                  </w:rPr>
                  <w:t>期</w:t>
                </w:r>
                <w:r>
                  <w:rPr>
                    <w:color w:val="000000" w:themeColor="text1"/>
                    <w:sz w:val="15"/>
                    <w:szCs w:val="15"/>
                    <w14:textFill>
                      <w14:solidFill>
                        <w14:schemeClr w14:val="tx1"/>
                      </w14:solidFill>
                    </w14:textFill>
                  </w:rPr>
                  <w:t>初余额</w:t>
                </w:r>
              </w:p>
            </w:tc>
          </w:sdtContent>
        </w:sdt>
        <w:tc>
          <w:tcPr>
            <w:tcW w:w="1276" w:type="dxa"/>
            <w:tcBorders>
              <w:right w:val="single" w:color="auto" w:sz="4" w:space="0"/>
            </w:tcBorders>
            <w:vAlign w:val="center"/>
          </w:tcPr>
          <w:p>
            <w:pPr>
              <w:jc w:val="right"/>
              <w:rPr>
                <w:sz w:val="15"/>
                <w:szCs w:val="15"/>
              </w:rPr>
            </w:pPr>
            <w:r>
              <w:rPr>
                <w:sz w:val="15"/>
                <w:szCs w:val="15"/>
              </w:rPr>
              <w:t xml:space="preserve"> 333,167,407.00 </w:t>
            </w: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1275" w:type="dxa"/>
            <w:tcBorders>
              <w:left w:val="single" w:color="auto" w:sz="4" w:space="0"/>
            </w:tcBorders>
            <w:vAlign w:val="center"/>
          </w:tcPr>
          <w:p>
            <w:pPr>
              <w:jc w:val="right"/>
              <w:rPr>
                <w:sz w:val="15"/>
                <w:szCs w:val="15"/>
              </w:rPr>
            </w:pPr>
            <w:r>
              <w:rPr>
                <w:sz w:val="15"/>
                <w:szCs w:val="15"/>
              </w:rPr>
              <w:t xml:space="preserve"> 969,891,813.86 </w:t>
            </w:r>
          </w:p>
        </w:tc>
        <w:tc>
          <w:tcPr>
            <w:tcW w:w="1276" w:type="dxa"/>
            <w:vAlign w:val="center"/>
          </w:tcPr>
          <w:p>
            <w:pPr>
              <w:jc w:val="right"/>
              <w:rPr>
                <w:sz w:val="15"/>
                <w:szCs w:val="15"/>
              </w:rPr>
            </w:pPr>
            <w:r>
              <w:rPr>
                <w:sz w:val="15"/>
                <w:szCs w:val="15"/>
              </w:rPr>
              <w:t xml:space="preserve"> 30,893,741.28 </w:t>
            </w:r>
          </w:p>
        </w:tc>
        <w:tc>
          <w:tcPr>
            <w:tcW w:w="567" w:type="dxa"/>
            <w:vAlign w:val="center"/>
          </w:tcPr>
          <w:p>
            <w:pPr>
              <w:jc w:val="right"/>
              <w:rPr>
                <w:sz w:val="15"/>
                <w:szCs w:val="15"/>
              </w:rPr>
            </w:pPr>
          </w:p>
        </w:tc>
        <w:tc>
          <w:tcPr>
            <w:tcW w:w="1276" w:type="dxa"/>
            <w:vAlign w:val="center"/>
          </w:tcPr>
          <w:p>
            <w:pPr>
              <w:jc w:val="right"/>
              <w:rPr>
                <w:sz w:val="15"/>
                <w:szCs w:val="15"/>
              </w:rPr>
            </w:pPr>
            <w:r>
              <w:rPr>
                <w:sz w:val="15"/>
                <w:szCs w:val="15"/>
              </w:rPr>
              <w:t xml:space="preserve"> 19,302,441.84 </w:t>
            </w:r>
          </w:p>
        </w:tc>
        <w:tc>
          <w:tcPr>
            <w:tcW w:w="1276" w:type="dxa"/>
            <w:vAlign w:val="center"/>
          </w:tcPr>
          <w:p>
            <w:pPr>
              <w:jc w:val="right"/>
              <w:rPr>
                <w:sz w:val="15"/>
                <w:szCs w:val="15"/>
              </w:rPr>
            </w:pPr>
            <w:r>
              <w:rPr>
                <w:sz w:val="15"/>
                <w:szCs w:val="15"/>
              </w:rPr>
              <w:t xml:space="preserve"> 121,494,338.37 </w:t>
            </w:r>
          </w:p>
        </w:tc>
        <w:tc>
          <w:tcPr>
            <w:tcW w:w="1417" w:type="dxa"/>
            <w:vAlign w:val="center"/>
          </w:tcPr>
          <w:p>
            <w:pPr>
              <w:jc w:val="right"/>
              <w:rPr>
                <w:sz w:val="15"/>
                <w:szCs w:val="15"/>
              </w:rPr>
            </w:pPr>
            <w:r>
              <w:rPr>
                <w:sz w:val="15"/>
                <w:szCs w:val="15"/>
              </w:rPr>
              <w:t xml:space="preserve"> 982,926,914.80 </w:t>
            </w:r>
          </w:p>
        </w:tc>
        <w:tc>
          <w:tcPr>
            <w:tcW w:w="1296" w:type="dxa"/>
            <w:vAlign w:val="center"/>
          </w:tcPr>
          <w:p>
            <w:pPr>
              <w:jc w:val="right"/>
              <w:rPr>
                <w:sz w:val="15"/>
                <w:szCs w:val="15"/>
              </w:rPr>
            </w:pPr>
            <w:r>
              <w:rPr>
                <w:sz w:val="15"/>
                <w:szCs w:val="15"/>
              </w:rPr>
              <w:t xml:space="preserve">2,395,889,174.59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9ce2d31f4fd34371930cec7fd79a4318"/>
            <w:id w:val="-66345308"/>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三、本</w:t>
                </w:r>
                <w:r>
                  <w:rPr>
                    <w:rFonts w:hint="eastAsia"/>
                    <w:color w:val="000000" w:themeColor="text1"/>
                    <w:sz w:val="15"/>
                    <w:szCs w:val="15"/>
                    <w14:textFill>
                      <w14:solidFill>
                        <w14:schemeClr w14:val="tx1"/>
                      </w14:solidFill>
                    </w14:textFill>
                  </w:rPr>
                  <w:t>期</w:t>
                </w:r>
                <w:r>
                  <w:rPr>
                    <w:color w:val="000000" w:themeColor="text1"/>
                    <w:sz w:val="15"/>
                    <w:szCs w:val="15"/>
                    <w14:textFill>
                      <w14:solidFill>
                        <w14:schemeClr w14:val="tx1"/>
                      </w14:solidFill>
                    </w14:textFill>
                  </w:rPr>
                  <w:t>增减变动金额（减少以“</w:t>
                </w:r>
                <w:r>
                  <w:rPr>
                    <w:rFonts w:hint="eastAsia"/>
                    <w:color w:val="000000" w:themeColor="text1"/>
                    <w:sz w:val="15"/>
                    <w:szCs w:val="15"/>
                    <w14:textFill>
                      <w14:solidFill>
                        <w14:schemeClr w14:val="tx1"/>
                      </w14:solidFill>
                    </w14:textFill>
                  </w:rPr>
                  <w:t>-</w:t>
                </w:r>
                <w:r>
                  <w:rPr>
                    <w:color w:val="000000" w:themeColor="text1"/>
                    <w:sz w:val="15"/>
                    <w:szCs w:val="15"/>
                    <w14:textFill>
                      <w14:solidFill>
                        <w14:schemeClr w14:val="tx1"/>
                      </w14:solidFill>
                    </w14:textFill>
                  </w:rPr>
                  <w:t>”号填列）</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r>
              <w:rPr>
                <w:sz w:val="15"/>
                <w:szCs w:val="15"/>
              </w:rPr>
              <w:t xml:space="preserve"> -1,813,927.74 </w:t>
            </w:r>
          </w:p>
        </w:tc>
        <w:tc>
          <w:tcPr>
            <w:tcW w:w="1276" w:type="dxa"/>
            <w:vAlign w:val="center"/>
          </w:tcPr>
          <w:p>
            <w:pPr>
              <w:jc w:val="right"/>
              <w:rPr>
                <w:sz w:val="15"/>
                <w:szCs w:val="15"/>
              </w:rPr>
            </w:pPr>
            <w:r>
              <w:rPr>
                <w:sz w:val="15"/>
                <w:szCs w:val="15"/>
              </w:rPr>
              <w:t xml:space="preserve"> -4,500,800.00 </w:t>
            </w:r>
          </w:p>
        </w:tc>
        <w:tc>
          <w:tcPr>
            <w:tcW w:w="567" w:type="dxa"/>
            <w:vAlign w:val="center"/>
          </w:tcPr>
          <w:p>
            <w:pPr>
              <w:jc w:val="right"/>
              <w:rPr>
                <w:sz w:val="15"/>
                <w:szCs w:val="15"/>
              </w:rPr>
            </w:pPr>
          </w:p>
        </w:tc>
        <w:tc>
          <w:tcPr>
            <w:tcW w:w="1276" w:type="dxa"/>
            <w:vAlign w:val="center"/>
          </w:tcPr>
          <w:p>
            <w:pPr>
              <w:jc w:val="right"/>
              <w:rPr>
                <w:sz w:val="15"/>
                <w:szCs w:val="15"/>
              </w:rPr>
            </w:pPr>
            <w:r>
              <w:rPr>
                <w:sz w:val="15"/>
                <w:szCs w:val="15"/>
              </w:rPr>
              <w:t xml:space="preserve"> 1,003,835.70 </w:t>
            </w:r>
          </w:p>
        </w:tc>
        <w:tc>
          <w:tcPr>
            <w:tcW w:w="1276" w:type="dxa"/>
            <w:vAlign w:val="center"/>
          </w:tcPr>
          <w:p>
            <w:pPr>
              <w:jc w:val="right"/>
              <w:rPr>
                <w:sz w:val="15"/>
                <w:szCs w:val="15"/>
              </w:rPr>
            </w:pPr>
          </w:p>
        </w:tc>
        <w:tc>
          <w:tcPr>
            <w:tcW w:w="1417" w:type="dxa"/>
            <w:vAlign w:val="center"/>
          </w:tcPr>
          <w:p>
            <w:pPr>
              <w:jc w:val="right"/>
              <w:rPr>
                <w:sz w:val="15"/>
                <w:szCs w:val="15"/>
              </w:rPr>
            </w:pPr>
            <w:r>
              <w:rPr>
                <w:sz w:val="15"/>
                <w:szCs w:val="15"/>
              </w:rPr>
              <w:t xml:space="preserve"> 30,362,835.85 </w:t>
            </w:r>
          </w:p>
        </w:tc>
        <w:tc>
          <w:tcPr>
            <w:tcW w:w="1296" w:type="dxa"/>
            <w:vAlign w:val="center"/>
          </w:tcPr>
          <w:p>
            <w:pPr>
              <w:jc w:val="right"/>
              <w:rPr>
                <w:sz w:val="15"/>
                <w:szCs w:val="15"/>
              </w:rPr>
            </w:pPr>
            <w:r>
              <w:rPr>
                <w:sz w:val="15"/>
                <w:szCs w:val="15"/>
              </w:rPr>
              <w:t xml:space="preserve"> 34,053,543.81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8e61c9577cd8495fb0815773685b00bb"/>
            <w:id w:val="1398551830"/>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（一）综合收益总额</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r>
              <w:rPr>
                <w:sz w:val="15"/>
                <w:szCs w:val="15"/>
              </w:rPr>
              <w:t xml:space="preserve"> 46,976,867.80 </w:t>
            </w:r>
          </w:p>
        </w:tc>
        <w:tc>
          <w:tcPr>
            <w:tcW w:w="1296" w:type="dxa"/>
            <w:vAlign w:val="center"/>
          </w:tcPr>
          <w:p>
            <w:pPr>
              <w:jc w:val="right"/>
              <w:rPr>
                <w:sz w:val="15"/>
                <w:szCs w:val="15"/>
              </w:rPr>
            </w:pPr>
            <w:r>
              <w:rPr>
                <w:sz w:val="15"/>
                <w:szCs w:val="15"/>
              </w:rPr>
              <w:t xml:space="preserve"> 46,976,867.80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e11fbdac72bf4f84a5635701204e5724"/>
            <w:id w:val="-497963167"/>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w:t>
                </w:r>
                <w:r>
                  <w:rPr>
                    <w:rFonts w:hint="eastAsia"/>
                    <w:color w:val="000000" w:themeColor="text1"/>
                    <w:sz w:val="15"/>
                    <w:szCs w:val="15"/>
                    <w14:textFill>
                      <w14:solidFill>
                        <w14:schemeClr w14:val="tx1"/>
                      </w14:solidFill>
                    </w14:textFill>
                  </w:rPr>
                  <w:t>二</w:t>
                </w:r>
                <w:r>
                  <w:rPr>
                    <w:color w:val="000000" w:themeColor="text1"/>
                    <w:sz w:val="15"/>
                    <w:szCs w:val="15"/>
                    <w14:textFill>
                      <w14:solidFill>
                        <w14:schemeClr w14:val="tx1"/>
                      </w14:solidFill>
                    </w14:textFill>
                  </w:rPr>
                  <w:t>）所有者投入和减少资本</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r>
              <w:rPr>
                <w:sz w:val="15"/>
                <w:szCs w:val="15"/>
              </w:rPr>
              <w:t xml:space="preserve"> -1,813,927.74 </w:t>
            </w:r>
          </w:p>
        </w:tc>
        <w:tc>
          <w:tcPr>
            <w:tcW w:w="1276" w:type="dxa"/>
            <w:vAlign w:val="center"/>
          </w:tcPr>
          <w:p>
            <w:pPr>
              <w:jc w:val="right"/>
              <w:rPr>
                <w:sz w:val="15"/>
                <w:szCs w:val="15"/>
              </w:rPr>
            </w:pPr>
            <w:r>
              <w:rPr>
                <w:sz w:val="15"/>
                <w:szCs w:val="15"/>
              </w:rPr>
              <w:t xml:space="preserve"> -4,500,800.00 </w:t>
            </w: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r>
              <w:rPr>
                <w:sz w:val="15"/>
                <w:szCs w:val="15"/>
              </w:rPr>
              <w:t xml:space="preserve"> 2,686,872.26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7b195f652f0542a9b8fb6e62990feb42"/>
            <w:id w:val="2123029400"/>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1．所有者投入的普通股</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4873337789fc42b5ae8485de96f3dad3"/>
            <w:id w:val="-1060474201"/>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2．其他权益工具持有者投入资本</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83c73c5580c0412189f697f05780f9af"/>
            <w:id w:val="-1062559020"/>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3</w:t>
                </w:r>
                <w:r>
                  <w:rPr>
                    <w:color w:val="000000" w:themeColor="text1"/>
                    <w:sz w:val="15"/>
                    <w:szCs w:val="15"/>
                    <w14:textFill>
                      <w14:solidFill>
                        <w14:schemeClr w14:val="tx1"/>
                      </w14:solidFill>
                    </w14:textFill>
                  </w:rPr>
                  <w:t>．股份支付计入所有者权益的金额</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r>
              <w:rPr>
                <w:sz w:val="15"/>
                <w:szCs w:val="15"/>
              </w:rPr>
              <w:t xml:space="preserve"> -1,813,927.74 </w:t>
            </w:r>
          </w:p>
        </w:tc>
        <w:tc>
          <w:tcPr>
            <w:tcW w:w="1276" w:type="dxa"/>
            <w:vAlign w:val="center"/>
          </w:tcPr>
          <w:p>
            <w:pPr>
              <w:jc w:val="right"/>
              <w:rPr>
                <w:sz w:val="15"/>
                <w:szCs w:val="15"/>
              </w:rPr>
            </w:pPr>
            <w:r>
              <w:rPr>
                <w:sz w:val="15"/>
                <w:szCs w:val="15"/>
              </w:rPr>
              <w:t xml:space="preserve"> -4,500,800.00 </w:t>
            </w: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r>
              <w:rPr>
                <w:sz w:val="15"/>
                <w:szCs w:val="15"/>
              </w:rPr>
              <w:t xml:space="preserve"> 2,686,872.26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b328cbc349734354ae3aacf675414174"/>
            <w:id w:val="-37589159"/>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4</w:t>
                </w:r>
                <w:r>
                  <w:rPr>
                    <w:color w:val="000000" w:themeColor="text1"/>
                    <w:sz w:val="15"/>
                    <w:szCs w:val="15"/>
                    <w14:textFill>
                      <w14:solidFill>
                        <w14:schemeClr w14:val="tx1"/>
                      </w14:solidFill>
                    </w14:textFill>
                  </w:rPr>
                  <w:t>．其他</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r>
              <w:rPr>
                <w:sz w:val="15"/>
                <w:szCs w:val="15"/>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9773183e97be44a1a360188937e7fe10"/>
            <w:id w:val="-262376295"/>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w:t>
                </w:r>
                <w:r>
                  <w:rPr>
                    <w:rFonts w:hint="eastAsia"/>
                    <w:color w:val="000000" w:themeColor="text1"/>
                    <w:sz w:val="15"/>
                    <w:szCs w:val="15"/>
                    <w14:textFill>
                      <w14:solidFill>
                        <w14:schemeClr w14:val="tx1"/>
                      </w14:solidFill>
                    </w14:textFill>
                  </w:rPr>
                  <w:t>三</w:t>
                </w:r>
                <w:r>
                  <w:rPr>
                    <w:color w:val="000000" w:themeColor="text1"/>
                    <w:sz w:val="15"/>
                    <w:szCs w:val="15"/>
                    <w14:textFill>
                      <w14:solidFill>
                        <w14:schemeClr w14:val="tx1"/>
                      </w14:solidFill>
                    </w14:textFill>
                  </w:rPr>
                  <w:t>）利润分配</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r>
              <w:rPr>
                <w:sz w:val="15"/>
                <w:szCs w:val="15"/>
              </w:rPr>
              <w:t xml:space="preserve"> -16,614,031.95 </w:t>
            </w:r>
          </w:p>
        </w:tc>
        <w:tc>
          <w:tcPr>
            <w:tcW w:w="1296" w:type="dxa"/>
            <w:vAlign w:val="center"/>
          </w:tcPr>
          <w:p>
            <w:pPr>
              <w:jc w:val="right"/>
              <w:rPr>
                <w:sz w:val="15"/>
                <w:szCs w:val="15"/>
              </w:rPr>
            </w:pPr>
            <w:r>
              <w:rPr>
                <w:sz w:val="15"/>
                <w:szCs w:val="15"/>
              </w:rPr>
              <w:t xml:space="preserve"> -16,614,031.95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49d633deae854098a44173514bb3a7b3"/>
            <w:id w:val="1769189635"/>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1．提取盈余公积</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97bd41fffab4497fb1be0b345aef17bd"/>
            <w:id w:val="830644425"/>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2</w:t>
                </w:r>
                <w:r>
                  <w:rPr>
                    <w:color w:val="000000" w:themeColor="text1"/>
                    <w:sz w:val="15"/>
                    <w:szCs w:val="15"/>
                    <w14:textFill>
                      <w14:solidFill>
                        <w14:schemeClr w14:val="tx1"/>
                      </w14:solidFill>
                    </w14:textFill>
                  </w:rPr>
                  <w:t>．对所有者（或股东）的分配</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r>
              <w:rPr>
                <w:sz w:val="15"/>
                <w:szCs w:val="15"/>
              </w:rPr>
              <w:t xml:space="preserve"> -16,614,031.95 </w:t>
            </w:r>
          </w:p>
        </w:tc>
        <w:tc>
          <w:tcPr>
            <w:tcW w:w="1296" w:type="dxa"/>
            <w:vAlign w:val="center"/>
          </w:tcPr>
          <w:p>
            <w:pPr>
              <w:jc w:val="right"/>
              <w:rPr>
                <w:sz w:val="15"/>
                <w:szCs w:val="15"/>
              </w:rPr>
            </w:pPr>
            <w:r>
              <w:rPr>
                <w:sz w:val="15"/>
                <w:szCs w:val="15"/>
              </w:rPr>
              <w:t xml:space="preserve"> -16,614,031.95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a5c6789730e84b389ee95f39091419a8"/>
            <w:id w:val="-1727290096"/>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3</w:t>
                </w:r>
                <w:r>
                  <w:rPr>
                    <w:color w:val="000000" w:themeColor="text1"/>
                    <w:sz w:val="15"/>
                    <w:szCs w:val="15"/>
                    <w14:textFill>
                      <w14:solidFill>
                        <w14:schemeClr w14:val="tx1"/>
                      </w14:solidFill>
                    </w14:textFill>
                  </w:rPr>
                  <w:t>．其他</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9c529a92f12642ed93c3ac5d7c5ef52b"/>
            <w:id w:val="-878779085"/>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w:t>
                </w:r>
                <w:r>
                  <w:rPr>
                    <w:rFonts w:hint="eastAsia"/>
                    <w:color w:val="000000" w:themeColor="text1"/>
                    <w:sz w:val="15"/>
                    <w:szCs w:val="15"/>
                    <w14:textFill>
                      <w14:solidFill>
                        <w14:schemeClr w14:val="tx1"/>
                      </w14:solidFill>
                    </w14:textFill>
                  </w:rPr>
                  <w:t>四</w:t>
                </w:r>
                <w:r>
                  <w:rPr>
                    <w:color w:val="000000" w:themeColor="text1"/>
                    <w:sz w:val="15"/>
                    <w:szCs w:val="15"/>
                    <w14:textFill>
                      <w14:solidFill>
                        <w14:schemeClr w14:val="tx1"/>
                      </w14:solidFill>
                    </w14:textFill>
                  </w:rPr>
                  <w:t>）所有者权益内部结转</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084a56709ef243f89e8f0aead886c10d"/>
            <w:id w:val="869572785"/>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1．资本公积转增资本（或股本）</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22df50d156334ad9a740cc6d62e17f0b"/>
            <w:id w:val="-189986105"/>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2．盈余公积转增资本（或股本）</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4846580862224d1a9e17a9af1fe14d07"/>
            <w:id w:val="-1378848775"/>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3．盈余公积弥补亏损</w:t>
                </w:r>
              </w:p>
            </w:tc>
          </w:sdtContent>
        </w:sdt>
        <w:tc>
          <w:tcPr>
            <w:tcW w:w="1276" w:type="dxa"/>
            <w:tcBorders>
              <w:right w:val="single" w:color="auto" w:sz="4" w:space="0"/>
            </w:tcBorders>
            <w:vAlign w:val="center"/>
          </w:tcPr>
          <w:p>
            <w:pPr>
              <w:jc w:val="right"/>
              <w:rPr>
                <w:sz w:val="15"/>
                <w:szCs w:val="15"/>
              </w:rPr>
            </w:pPr>
          </w:p>
        </w:tc>
        <w:tc>
          <w:tcPr>
            <w:tcW w:w="567" w:type="dxa"/>
            <w:tcBorders>
              <w:left w:val="single" w:color="auto" w:sz="4" w:space="0"/>
              <w:right w:val="single" w:color="auto" w:sz="4" w:space="0"/>
            </w:tcBorders>
            <w:vAlign w:val="center"/>
          </w:tcPr>
          <w:p>
            <w:pPr>
              <w:jc w:val="right"/>
              <w:rPr>
                <w:sz w:val="15"/>
                <w:szCs w:val="15"/>
              </w:rPr>
            </w:pPr>
          </w:p>
        </w:tc>
        <w:tc>
          <w:tcPr>
            <w:tcW w:w="709" w:type="dxa"/>
            <w:tcBorders>
              <w:left w:val="single" w:color="auto" w:sz="4" w:space="0"/>
              <w:right w:val="single" w:color="auto" w:sz="4" w:space="0"/>
            </w:tcBorders>
            <w:vAlign w:val="center"/>
          </w:tcPr>
          <w:p>
            <w:pPr>
              <w:jc w:val="right"/>
              <w:rPr>
                <w:sz w:val="15"/>
                <w:szCs w:val="15"/>
              </w:rPr>
            </w:pPr>
          </w:p>
        </w:tc>
        <w:tc>
          <w:tcPr>
            <w:tcW w:w="567" w:type="dxa"/>
            <w:tcBorders>
              <w:left w:val="single" w:color="auto" w:sz="4" w:space="0"/>
            </w:tcBorders>
            <w:vAlign w:val="center"/>
          </w:tcPr>
          <w:p>
            <w:pPr>
              <w:jc w:val="right"/>
              <w:rPr>
                <w:sz w:val="15"/>
                <w:szCs w:val="15"/>
              </w:rPr>
            </w:pPr>
          </w:p>
        </w:tc>
        <w:tc>
          <w:tcPr>
            <w:tcW w:w="1275" w:type="dxa"/>
            <w:vAlign w:val="center"/>
          </w:tcPr>
          <w:p>
            <w:pPr>
              <w:jc w:val="right"/>
              <w:rPr>
                <w:sz w:val="15"/>
                <w:szCs w:val="15"/>
              </w:rPr>
            </w:pPr>
          </w:p>
        </w:tc>
        <w:tc>
          <w:tcPr>
            <w:tcW w:w="1276" w:type="dxa"/>
            <w:vAlign w:val="center"/>
          </w:tcPr>
          <w:p>
            <w:pPr>
              <w:jc w:val="right"/>
              <w:rPr>
                <w:sz w:val="15"/>
                <w:szCs w:val="15"/>
              </w:rPr>
            </w:pPr>
          </w:p>
        </w:tc>
        <w:tc>
          <w:tcPr>
            <w:tcW w:w="567" w:type="dxa"/>
            <w:vAlign w:val="center"/>
          </w:tcPr>
          <w:p>
            <w:pPr>
              <w:jc w:val="right"/>
              <w:rPr>
                <w:sz w:val="15"/>
                <w:szCs w:val="15"/>
              </w:rPr>
            </w:pPr>
          </w:p>
        </w:tc>
        <w:tc>
          <w:tcPr>
            <w:tcW w:w="1276" w:type="dxa"/>
            <w:vAlign w:val="center"/>
          </w:tcPr>
          <w:p>
            <w:pPr>
              <w:jc w:val="right"/>
              <w:rPr>
                <w:sz w:val="15"/>
                <w:szCs w:val="15"/>
              </w:rPr>
            </w:pPr>
          </w:p>
        </w:tc>
        <w:tc>
          <w:tcPr>
            <w:tcW w:w="1276" w:type="dxa"/>
            <w:vAlign w:val="center"/>
          </w:tcPr>
          <w:p>
            <w:pPr>
              <w:jc w:val="right"/>
              <w:rPr>
                <w:sz w:val="15"/>
                <w:szCs w:val="15"/>
              </w:rPr>
            </w:pPr>
          </w:p>
        </w:tc>
        <w:tc>
          <w:tcPr>
            <w:tcW w:w="1417" w:type="dxa"/>
            <w:vAlign w:val="center"/>
          </w:tcPr>
          <w:p>
            <w:pPr>
              <w:jc w:val="right"/>
              <w:rPr>
                <w:sz w:val="15"/>
                <w:szCs w:val="15"/>
              </w:rPr>
            </w:pPr>
          </w:p>
        </w:tc>
        <w:tc>
          <w:tcPr>
            <w:tcW w:w="1296" w:type="dxa"/>
            <w:vAlign w:val="center"/>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2402" w:type="dxa"/>
            <w:vAlign w:val="center"/>
          </w:tcPr>
          <w:sdt>
            <w:sdtPr>
              <w:rPr>
                <w:sz w:val="15"/>
                <w:szCs w:val="15"/>
              </w:rPr>
              <w:tag w:val="_PLD_a2566358e2dc4d0b9e534ee13a2b1a26"/>
              <w:id w:val="51043852"/>
            </w:sdtPr>
            <w:sdtEndPr>
              <w:rPr>
                <w:sz w:val="15"/>
                <w:szCs w:val="15"/>
              </w:rPr>
            </w:sdtEndPr>
            <w:sdtContent>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4．设定受益计划变动额结转留存收益</w:t>
                </w:r>
              </w:p>
            </w:sdtContent>
          </w:sdt>
        </w:tc>
        <w:tc>
          <w:tcPr>
            <w:tcW w:w="1276" w:type="dxa"/>
            <w:tcBorders>
              <w:right w:val="single" w:color="auto" w:sz="4" w:space="0"/>
            </w:tcBorders>
          </w:tcPr>
          <w:p>
            <w:pPr>
              <w:jc w:val="right"/>
              <w:rPr>
                <w:sz w:val="15"/>
                <w:szCs w:val="15"/>
              </w:rPr>
            </w:pPr>
          </w:p>
        </w:tc>
        <w:tc>
          <w:tcPr>
            <w:tcW w:w="567" w:type="dxa"/>
            <w:tcBorders>
              <w:left w:val="single" w:color="auto" w:sz="4" w:space="0"/>
              <w:right w:val="single" w:color="auto" w:sz="4" w:space="0"/>
            </w:tcBorders>
          </w:tcPr>
          <w:p>
            <w:pPr>
              <w:jc w:val="right"/>
              <w:rPr>
                <w:sz w:val="15"/>
                <w:szCs w:val="15"/>
              </w:rPr>
            </w:pPr>
          </w:p>
        </w:tc>
        <w:tc>
          <w:tcPr>
            <w:tcW w:w="709" w:type="dxa"/>
            <w:tcBorders>
              <w:left w:val="single" w:color="auto" w:sz="4" w:space="0"/>
              <w:right w:val="single" w:color="auto" w:sz="4" w:space="0"/>
            </w:tcBorders>
          </w:tcPr>
          <w:p>
            <w:pPr>
              <w:jc w:val="right"/>
              <w:rPr>
                <w:sz w:val="15"/>
                <w:szCs w:val="15"/>
              </w:rPr>
            </w:pPr>
          </w:p>
        </w:tc>
        <w:tc>
          <w:tcPr>
            <w:tcW w:w="567" w:type="dxa"/>
            <w:tcBorders>
              <w:left w:val="single" w:color="auto" w:sz="4" w:space="0"/>
            </w:tcBorders>
          </w:tcPr>
          <w:p>
            <w:pPr>
              <w:jc w:val="right"/>
              <w:rPr>
                <w:sz w:val="15"/>
                <w:szCs w:val="15"/>
              </w:rPr>
            </w:pPr>
          </w:p>
        </w:tc>
        <w:tc>
          <w:tcPr>
            <w:tcW w:w="1275" w:type="dxa"/>
          </w:tcPr>
          <w:p>
            <w:pPr>
              <w:jc w:val="right"/>
              <w:rPr>
                <w:sz w:val="15"/>
                <w:szCs w:val="15"/>
              </w:rPr>
            </w:pPr>
          </w:p>
        </w:tc>
        <w:tc>
          <w:tcPr>
            <w:tcW w:w="1276" w:type="dxa"/>
          </w:tcPr>
          <w:p>
            <w:pPr>
              <w:jc w:val="right"/>
              <w:rPr>
                <w:sz w:val="15"/>
                <w:szCs w:val="15"/>
              </w:rPr>
            </w:pPr>
          </w:p>
        </w:tc>
        <w:tc>
          <w:tcPr>
            <w:tcW w:w="567" w:type="dxa"/>
          </w:tcPr>
          <w:p>
            <w:pPr>
              <w:jc w:val="right"/>
              <w:rPr>
                <w:sz w:val="15"/>
                <w:szCs w:val="15"/>
              </w:rPr>
            </w:pPr>
          </w:p>
        </w:tc>
        <w:tc>
          <w:tcPr>
            <w:tcW w:w="1276" w:type="dxa"/>
          </w:tcPr>
          <w:p>
            <w:pPr>
              <w:jc w:val="right"/>
              <w:rPr>
                <w:sz w:val="15"/>
                <w:szCs w:val="15"/>
              </w:rPr>
            </w:pPr>
          </w:p>
        </w:tc>
        <w:tc>
          <w:tcPr>
            <w:tcW w:w="1276" w:type="dxa"/>
          </w:tcPr>
          <w:p>
            <w:pPr>
              <w:jc w:val="right"/>
              <w:rPr>
                <w:sz w:val="15"/>
                <w:szCs w:val="15"/>
              </w:rPr>
            </w:pPr>
          </w:p>
        </w:tc>
        <w:tc>
          <w:tcPr>
            <w:tcW w:w="1417" w:type="dxa"/>
          </w:tcPr>
          <w:p>
            <w:pPr>
              <w:jc w:val="right"/>
              <w:rPr>
                <w:sz w:val="15"/>
                <w:szCs w:val="15"/>
              </w:rPr>
            </w:pPr>
          </w:p>
        </w:tc>
        <w:tc>
          <w:tcPr>
            <w:tcW w:w="1296" w:type="dxa"/>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2402" w:type="dxa"/>
            <w:vAlign w:val="center"/>
          </w:tcPr>
          <w:sdt>
            <w:sdtPr>
              <w:rPr>
                <w:sz w:val="15"/>
                <w:szCs w:val="15"/>
              </w:rPr>
              <w:tag w:val="_PLD_659907ea90ce4ac18323403c6e02efd1"/>
              <w:id w:val="-759141697"/>
            </w:sdtPr>
            <w:sdtEndPr>
              <w:rPr>
                <w:sz w:val="15"/>
                <w:szCs w:val="15"/>
              </w:rPr>
            </w:sdtEndPr>
            <w:sdtContent>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5．其他综合收益结转留存收益</w:t>
                </w:r>
              </w:p>
            </w:sdtContent>
          </w:sdt>
        </w:tc>
        <w:tc>
          <w:tcPr>
            <w:tcW w:w="1276" w:type="dxa"/>
            <w:tcBorders>
              <w:right w:val="single" w:color="auto" w:sz="4" w:space="0"/>
            </w:tcBorders>
          </w:tcPr>
          <w:p>
            <w:pPr>
              <w:jc w:val="right"/>
              <w:rPr>
                <w:sz w:val="15"/>
                <w:szCs w:val="15"/>
              </w:rPr>
            </w:pPr>
          </w:p>
        </w:tc>
        <w:tc>
          <w:tcPr>
            <w:tcW w:w="567" w:type="dxa"/>
            <w:tcBorders>
              <w:left w:val="single" w:color="auto" w:sz="4" w:space="0"/>
              <w:right w:val="single" w:color="auto" w:sz="4" w:space="0"/>
            </w:tcBorders>
          </w:tcPr>
          <w:p>
            <w:pPr>
              <w:jc w:val="right"/>
              <w:rPr>
                <w:sz w:val="15"/>
                <w:szCs w:val="15"/>
              </w:rPr>
            </w:pPr>
          </w:p>
        </w:tc>
        <w:tc>
          <w:tcPr>
            <w:tcW w:w="709" w:type="dxa"/>
            <w:tcBorders>
              <w:left w:val="single" w:color="auto" w:sz="4" w:space="0"/>
              <w:right w:val="single" w:color="auto" w:sz="4" w:space="0"/>
            </w:tcBorders>
          </w:tcPr>
          <w:p>
            <w:pPr>
              <w:jc w:val="right"/>
              <w:rPr>
                <w:sz w:val="15"/>
                <w:szCs w:val="15"/>
              </w:rPr>
            </w:pPr>
          </w:p>
        </w:tc>
        <w:tc>
          <w:tcPr>
            <w:tcW w:w="567" w:type="dxa"/>
            <w:tcBorders>
              <w:left w:val="single" w:color="auto" w:sz="4" w:space="0"/>
            </w:tcBorders>
          </w:tcPr>
          <w:p>
            <w:pPr>
              <w:jc w:val="right"/>
              <w:rPr>
                <w:sz w:val="15"/>
                <w:szCs w:val="15"/>
              </w:rPr>
            </w:pPr>
          </w:p>
        </w:tc>
        <w:tc>
          <w:tcPr>
            <w:tcW w:w="1275" w:type="dxa"/>
          </w:tcPr>
          <w:p>
            <w:pPr>
              <w:jc w:val="right"/>
              <w:rPr>
                <w:sz w:val="15"/>
                <w:szCs w:val="15"/>
              </w:rPr>
            </w:pPr>
          </w:p>
        </w:tc>
        <w:tc>
          <w:tcPr>
            <w:tcW w:w="1276" w:type="dxa"/>
          </w:tcPr>
          <w:p>
            <w:pPr>
              <w:jc w:val="right"/>
              <w:rPr>
                <w:sz w:val="15"/>
                <w:szCs w:val="15"/>
              </w:rPr>
            </w:pPr>
          </w:p>
        </w:tc>
        <w:tc>
          <w:tcPr>
            <w:tcW w:w="567" w:type="dxa"/>
          </w:tcPr>
          <w:p>
            <w:pPr>
              <w:jc w:val="right"/>
              <w:rPr>
                <w:sz w:val="15"/>
                <w:szCs w:val="15"/>
              </w:rPr>
            </w:pPr>
          </w:p>
        </w:tc>
        <w:tc>
          <w:tcPr>
            <w:tcW w:w="1276" w:type="dxa"/>
          </w:tcPr>
          <w:p>
            <w:pPr>
              <w:jc w:val="right"/>
              <w:rPr>
                <w:sz w:val="15"/>
                <w:szCs w:val="15"/>
              </w:rPr>
            </w:pPr>
          </w:p>
        </w:tc>
        <w:tc>
          <w:tcPr>
            <w:tcW w:w="1276" w:type="dxa"/>
          </w:tcPr>
          <w:p>
            <w:pPr>
              <w:jc w:val="right"/>
              <w:rPr>
                <w:sz w:val="15"/>
                <w:szCs w:val="15"/>
              </w:rPr>
            </w:pPr>
          </w:p>
        </w:tc>
        <w:tc>
          <w:tcPr>
            <w:tcW w:w="1417" w:type="dxa"/>
          </w:tcPr>
          <w:p>
            <w:pPr>
              <w:jc w:val="right"/>
              <w:rPr>
                <w:sz w:val="15"/>
                <w:szCs w:val="15"/>
              </w:rPr>
            </w:pPr>
          </w:p>
        </w:tc>
        <w:tc>
          <w:tcPr>
            <w:tcW w:w="1296" w:type="dxa"/>
          </w:tcPr>
          <w:p>
            <w:pPr>
              <w:jc w:val="right"/>
              <w:rPr>
                <w:sz w:val="15"/>
                <w:szCs w:val="15"/>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tc>
          <w:tcPr>
            <w:tcW w:w="2402" w:type="dxa"/>
            <w:vAlign w:val="center"/>
          </w:tcPr>
          <w:sdt>
            <w:sdtPr>
              <w:rPr>
                <w:sz w:val="15"/>
                <w:szCs w:val="15"/>
              </w:rPr>
              <w:tag w:val="_PLD_811577c623d04471a27af10d35119258"/>
              <w:id w:val="1809671324"/>
            </w:sdtPr>
            <w:sdtEndPr>
              <w:rPr>
                <w:sz w:val="15"/>
                <w:szCs w:val="15"/>
              </w:rPr>
            </w:sdtEndPr>
            <w:sdtContent>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6．其他</w:t>
                </w:r>
              </w:p>
            </w:sdtContent>
          </w:sdt>
        </w:tc>
        <w:tc>
          <w:tcPr>
            <w:tcW w:w="1276" w:type="dxa"/>
            <w:tcBorders>
              <w:right w:val="single" w:color="auto" w:sz="4" w:space="0"/>
            </w:tcBorders>
          </w:tcPr>
          <w:p>
            <w:pPr>
              <w:jc w:val="right"/>
              <w:rPr>
                <w:sz w:val="15"/>
                <w:szCs w:val="15"/>
              </w:rPr>
            </w:pPr>
          </w:p>
        </w:tc>
        <w:tc>
          <w:tcPr>
            <w:tcW w:w="567" w:type="dxa"/>
            <w:tcBorders>
              <w:left w:val="single" w:color="auto" w:sz="4" w:space="0"/>
              <w:right w:val="single" w:color="auto" w:sz="4" w:space="0"/>
            </w:tcBorders>
          </w:tcPr>
          <w:p>
            <w:pPr>
              <w:jc w:val="right"/>
              <w:rPr>
                <w:sz w:val="15"/>
                <w:szCs w:val="15"/>
              </w:rPr>
            </w:pPr>
          </w:p>
        </w:tc>
        <w:tc>
          <w:tcPr>
            <w:tcW w:w="709" w:type="dxa"/>
            <w:tcBorders>
              <w:left w:val="single" w:color="auto" w:sz="4" w:space="0"/>
              <w:right w:val="single" w:color="auto" w:sz="4" w:space="0"/>
            </w:tcBorders>
          </w:tcPr>
          <w:p>
            <w:pPr>
              <w:jc w:val="right"/>
              <w:rPr>
                <w:sz w:val="15"/>
                <w:szCs w:val="15"/>
              </w:rPr>
            </w:pPr>
          </w:p>
        </w:tc>
        <w:tc>
          <w:tcPr>
            <w:tcW w:w="567" w:type="dxa"/>
            <w:tcBorders>
              <w:left w:val="single" w:color="auto" w:sz="4" w:space="0"/>
            </w:tcBorders>
          </w:tcPr>
          <w:p>
            <w:pPr>
              <w:jc w:val="right"/>
              <w:rPr>
                <w:sz w:val="15"/>
                <w:szCs w:val="15"/>
              </w:rPr>
            </w:pPr>
          </w:p>
        </w:tc>
        <w:tc>
          <w:tcPr>
            <w:tcW w:w="1275" w:type="dxa"/>
          </w:tcPr>
          <w:p>
            <w:pPr>
              <w:jc w:val="right"/>
              <w:rPr>
                <w:sz w:val="15"/>
                <w:szCs w:val="15"/>
              </w:rPr>
            </w:pPr>
          </w:p>
        </w:tc>
        <w:tc>
          <w:tcPr>
            <w:tcW w:w="1276" w:type="dxa"/>
          </w:tcPr>
          <w:p>
            <w:pPr>
              <w:jc w:val="right"/>
              <w:rPr>
                <w:sz w:val="15"/>
                <w:szCs w:val="15"/>
              </w:rPr>
            </w:pPr>
          </w:p>
        </w:tc>
        <w:tc>
          <w:tcPr>
            <w:tcW w:w="567" w:type="dxa"/>
          </w:tcPr>
          <w:p>
            <w:pPr>
              <w:jc w:val="right"/>
              <w:rPr>
                <w:sz w:val="15"/>
                <w:szCs w:val="15"/>
              </w:rPr>
            </w:pPr>
          </w:p>
        </w:tc>
        <w:tc>
          <w:tcPr>
            <w:tcW w:w="1276" w:type="dxa"/>
          </w:tcPr>
          <w:p>
            <w:pPr>
              <w:jc w:val="right"/>
              <w:rPr>
                <w:sz w:val="15"/>
                <w:szCs w:val="15"/>
              </w:rPr>
            </w:pPr>
          </w:p>
        </w:tc>
        <w:tc>
          <w:tcPr>
            <w:tcW w:w="1276" w:type="dxa"/>
          </w:tcPr>
          <w:p>
            <w:pPr>
              <w:jc w:val="right"/>
              <w:rPr>
                <w:sz w:val="15"/>
                <w:szCs w:val="15"/>
              </w:rPr>
            </w:pPr>
          </w:p>
        </w:tc>
        <w:tc>
          <w:tcPr>
            <w:tcW w:w="1417" w:type="dxa"/>
          </w:tcPr>
          <w:p>
            <w:pPr>
              <w:jc w:val="right"/>
              <w:rPr>
                <w:sz w:val="15"/>
                <w:szCs w:val="15"/>
              </w:rPr>
            </w:pPr>
          </w:p>
        </w:tc>
        <w:tc>
          <w:tcPr>
            <w:tcW w:w="1296" w:type="dxa"/>
          </w:tcPr>
          <w:p>
            <w:pPr>
              <w:jc w:val="right"/>
              <w:rPr>
                <w:sz w:val="15"/>
                <w:szCs w:val="15"/>
              </w:rPr>
            </w:pPr>
            <w:r>
              <w:rPr>
                <w:sz w:val="15"/>
                <w:szCs w:val="15"/>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2a0b15de13474fe285b68b48e29b688f"/>
            <w:id w:val="-53937667"/>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（五）专项储备</w:t>
                </w:r>
              </w:p>
            </w:tc>
          </w:sdtContent>
        </w:sdt>
        <w:tc>
          <w:tcPr>
            <w:tcW w:w="1276" w:type="dxa"/>
            <w:tcBorders>
              <w:right w:val="single" w:color="auto" w:sz="4" w:space="0"/>
            </w:tcBorders>
          </w:tcPr>
          <w:p>
            <w:pPr>
              <w:jc w:val="right"/>
              <w:rPr>
                <w:sz w:val="15"/>
                <w:szCs w:val="15"/>
              </w:rPr>
            </w:pPr>
          </w:p>
        </w:tc>
        <w:tc>
          <w:tcPr>
            <w:tcW w:w="567" w:type="dxa"/>
            <w:tcBorders>
              <w:left w:val="single" w:color="auto" w:sz="4" w:space="0"/>
              <w:right w:val="single" w:color="auto" w:sz="4" w:space="0"/>
            </w:tcBorders>
          </w:tcPr>
          <w:p>
            <w:pPr>
              <w:jc w:val="right"/>
              <w:rPr>
                <w:sz w:val="15"/>
                <w:szCs w:val="15"/>
              </w:rPr>
            </w:pPr>
          </w:p>
        </w:tc>
        <w:tc>
          <w:tcPr>
            <w:tcW w:w="709" w:type="dxa"/>
            <w:tcBorders>
              <w:left w:val="single" w:color="auto" w:sz="4" w:space="0"/>
              <w:right w:val="single" w:color="auto" w:sz="4" w:space="0"/>
            </w:tcBorders>
          </w:tcPr>
          <w:p>
            <w:pPr>
              <w:jc w:val="right"/>
              <w:rPr>
                <w:sz w:val="15"/>
                <w:szCs w:val="15"/>
              </w:rPr>
            </w:pPr>
          </w:p>
        </w:tc>
        <w:tc>
          <w:tcPr>
            <w:tcW w:w="567" w:type="dxa"/>
            <w:tcBorders>
              <w:left w:val="single" w:color="auto" w:sz="4" w:space="0"/>
            </w:tcBorders>
          </w:tcPr>
          <w:p>
            <w:pPr>
              <w:jc w:val="right"/>
              <w:rPr>
                <w:sz w:val="15"/>
                <w:szCs w:val="15"/>
              </w:rPr>
            </w:pPr>
          </w:p>
        </w:tc>
        <w:tc>
          <w:tcPr>
            <w:tcW w:w="1275" w:type="dxa"/>
          </w:tcPr>
          <w:p>
            <w:pPr>
              <w:jc w:val="right"/>
              <w:rPr>
                <w:sz w:val="15"/>
                <w:szCs w:val="15"/>
              </w:rPr>
            </w:pPr>
          </w:p>
        </w:tc>
        <w:tc>
          <w:tcPr>
            <w:tcW w:w="1276" w:type="dxa"/>
          </w:tcPr>
          <w:p>
            <w:pPr>
              <w:jc w:val="right"/>
              <w:rPr>
                <w:sz w:val="15"/>
                <w:szCs w:val="15"/>
              </w:rPr>
            </w:pPr>
          </w:p>
        </w:tc>
        <w:tc>
          <w:tcPr>
            <w:tcW w:w="567" w:type="dxa"/>
          </w:tcPr>
          <w:p>
            <w:pPr>
              <w:jc w:val="right"/>
              <w:rPr>
                <w:sz w:val="15"/>
                <w:szCs w:val="15"/>
              </w:rPr>
            </w:pPr>
          </w:p>
        </w:tc>
        <w:tc>
          <w:tcPr>
            <w:tcW w:w="1276" w:type="dxa"/>
          </w:tcPr>
          <w:p>
            <w:pPr>
              <w:jc w:val="right"/>
              <w:rPr>
                <w:sz w:val="15"/>
                <w:szCs w:val="15"/>
              </w:rPr>
            </w:pPr>
            <w:r>
              <w:rPr>
                <w:sz w:val="15"/>
                <w:szCs w:val="15"/>
              </w:rPr>
              <w:t xml:space="preserve"> 1,003,835.70 </w:t>
            </w:r>
          </w:p>
        </w:tc>
        <w:tc>
          <w:tcPr>
            <w:tcW w:w="1276" w:type="dxa"/>
          </w:tcPr>
          <w:p>
            <w:pPr>
              <w:jc w:val="right"/>
              <w:rPr>
                <w:sz w:val="15"/>
                <w:szCs w:val="15"/>
              </w:rPr>
            </w:pPr>
          </w:p>
        </w:tc>
        <w:tc>
          <w:tcPr>
            <w:tcW w:w="1417" w:type="dxa"/>
          </w:tcPr>
          <w:p>
            <w:pPr>
              <w:jc w:val="right"/>
              <w:rPr>
                <w:sz w:val="15"/>
                <w:szCs w:val="15"/>
              </w:rPr>
            </w:pPr>
          </w:p>
        </w:tc>
        <w:tc>
          <w:tcPr>
            <w:tcW w:w="1296" w:type="dxa"/>
          </w:tcPr>
          <w:p>
            <w:pPr>
              <w:jc w:val="right"/>
              <w:rPr>
                <w:sz w:val="15"/>
                <w:szCs w:val="15"/>
              </w:rPr>
            </w:pPr>
            <w:r>
              <w:rPr>
                <w:sz w:val="15"/>
                <w:szCs w:val="15"/>
              </w:rPr>
              <w:t xml:space="preserve"> 1,003,835.70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8be2fdb078fc42cdaebf61e81ed6d67b"/>
            <w:id w:val="-963194668"/>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1．本期提取</w:t>
                </w:r>
              </w:p>
            </w:tc>
          </w:sdtContent>
        </w:sdt>
        <w:tc>
          <w:tcPr>
            <w:tcW w:w="1276" w:type="dxa"/>
            <w:tcBorders>
              <w:right w:val="single" w:color="auto" w:sz="4" w:space="0"/>
            </w:tcBorders>
          </w:tcPr>
          <w:p>
            <w:pPr>
              <w:jc w:val="right"/>
              <w:rPr>
                <w:sz w:val="15"/>
                <w:szCs w:val="15"/>
              </w:rPr>
            </w:pPr>
          </w:p>
        </w:tc>
        <w:tc>
          <w:tcPr>
            <w:tcW w:w="567" w:type="dxa"/>
            <w:tcBorders>
              <w:left w:val="single" w:color="auto" w:sz="4" w:space="0"/>
              <w:right w:val="single" w:color="auto" w:sz="4" w:space="0"/>
            </w:tcBorders>
          </w:tcPr>
          <w:p>
            <w:pPr>
              <w:jc w:val="right"/>
              <w:rPr>
                <w:sz w:val="15"/>
                <w:szCs w:val="15"/>
              </w:rPr>
            </w:pPr>
          </w:p>
        </w:tc>
        <w:tc>
          <w:tcPr>
            <w:tcW w:w="709" w:type="dxa"/>
            <w:tcBorders>
              <w:left w:val="single" w:color="auto" w:sz="4" w:space="0"/>
              <w:right w:val="single" w:color="auto" w:sz="4" w:space="0"/>
            </w:tcBorders>
          </w:tcPr>
          <w:p>
            <w:pPr>
              <w:jc w:val="right"/>
              <w:rPr>
                <w:sz w:val="15"/>
                <w:szCs w:val="15"/>
              </w:rPr>
            </w:pPr>
          </w:p>
        </w:tc>
        <w:tc>
          <w:tcPr>
            <w:tcW w:w="567" w:type="dxa"/>
            <w:tcBorders>
              <w:left w:val="single" w:color="auto" w:sz="4" w:space="0"/>
            </w:tcBorders>
          </w:tcPr>
          <w:p>
            <w:pPr>
              <w:jc w:val="right"/>
              <w:rPr>
                <w:sz w:val="15"/>
                <w:szCs w:val="15"/>
              </w:rPr>
            </w:pPr>
          </w:p>
        </w:tc>
        <w:tc>
          <w:tcPr>
            <w:tcW w:w="1275" w:type="dxa"/>
          </w:tcPr>
          <w:p>
            <w:pPr>
              <w:jc w:val="right"/>
              <w:rPr>
                <w:sz w:val="15"/>
                <w:szCs w:val="15"/>
              </w:rPr>
            </w:pPr>
          </w:p>
        </w:tc>
        <w:tc>
          <w:tcPr>
            <w:tcW w:w="1276" w:type="dxa"/>
          </w:tcPr>
          <w:p>
            <w:pPr>
              <w:jc w:val="right"/>
              <w:rPr>
                <w:sz w:val="15"/>
                <w:szCs w:val="15"/>
              </w:rPr>
            </w:pPr>
          </w:p>
        </w:tc>
        <w:tc>
          <w:tcPr>
            <w:tcW w:w="567" w:type="dxa"/>
          </w:tcPr>
          <w:p>
            <w:pPr>
              <w:jc w:val="right"/>
              <w:rPr>
                <w:sz w:val="15"/>
                <w:szCs w:val="15"/>
              </w:rPr>
            </w:pPr>
          </w:p>
        </w:tc>
        <w:tc>
          <w:tcPr>
            <w:tcW w:w="1276" w:type="dxa"/>
          </w:tcPr>
          <w:p>
            <w:pPr>
              <w:jc w:val="right"/>
              <w:rPr>
                <w:sz w:val="15"/>
                <w:szCs w:val="15"/>
              </w:rPr>
            </w:pPr>
            <w:r>
              <w:rPr>
                <w:sz w:val="15"/>
                <w:szCs w:val="15"/>
              </w:rPr>
              <w:t xml:space="preserve"> 5,409,862.98 </w:t>
            </w:r>
          </w:p>
        </w:tc>
        <w:tc>
          <w:tcPr>
            <w:tcW w:w="1276" w:type="dxa"/>
          </w:tcPr>
          <w:p>
            <w:pPr>
              <w:jc w:val="right"/>
              <w:rPr>
                <w:sz w:val="15"/>
                <w:szCs w:val="15"/>
              </w:rPr>
            </w:pPr>
          </w:p>
        </w:tc>
        <w:tc>
          <w:tcPr>
            <w:tcW w:w="1417" w:type="dxa"/>
          </w:tcPr>
          <w:p>
            <w:pPr>
              <w:jc w:val="right"/>
              <w:rPr>
                <w:sz w:val="15"/>
                <w:szCs w:val="15"/>
              </w:rPr>
            </w:pPr>
          </w:p>
        </w:tc>
        <w:tc>
          <w:tcPr>
            <w:tcW w:w="1296" w:type="dxa"/>
          </w:tcPr>
          <w:p>
            <w:pPr>
              <w:jc w:val="right"/>
              <w:rPr>
                <w:sz w:val="15"/>
                <w:szCs w:val="15"/>
              </w:rPr>
            </w:pPr>
            <w:r>
              <w:rPr>
                <w:sz w:val="15"/>
                <w:szCs w:val="15"/>
              </w:rPr>
              <w:t xml:space="preserve"> 5,409,862.98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12344832238e442d9f64388fa2af60f1"/>
            <w:id w:val="-1086060954"/>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2．本期使用</w:t>
                </w:r>
              </w:p>
            </w:tc>
          </w:sdtContent>
        </w:sdt>
        <w:tc>
          <w:tcPr>
            <w:tcW w:w="1276" w:type="dxa"/>
            <w:tcBorders>
              <w:right w:val="single" w:color="auto" w:sz="4" w:space="0"/>
            </w:tcBorders>
          </w:tcPr>
          <w:p>
            <w:pPr>
              <w:jc w:val="right"/>
              <w:rPr>
                <w:sz w:val="15"/>
                <w:szCs w:val="15"/>
              </w:rPr>
            </w:pPr>
          </w:p>
        </w:tc>
        <w:tc>
          <w:tcPr>
            <w:tcW w:w="567" w:type="dxa"/>
            <w:tcBorders>
              <w:left w:val="single" w:color="auto" w:sz="4" w:space="0"/>
              <w:right w:val="single" w:color="auto" w:sz="4" w:space="0"/>
            </w:tcBorders>
          </w:tcPr>
          <w:p>
            <w:pPr>
              <w:jc w:val="right"/>
              <w:rPr>
                <w:sz w:val="15"/>
                <w:szCs w:val="15"/>
              </w:rPr>
            </w:pPr>
          </w:p>
        </w:tc>
        <w:tc>
          <w:tcPr>
            <w:tcW w:w="709" w:type="dxa"/>
            <w:tcBorders>
              <w:left w:val="single" w:color="auto" w:sz="4" w:space="0"/>
              <w:right w:val="single" w:color="auto" w:sz="4" w:space="0"/>
            </w:tcBorders>
          </w:tcPr>
          <w:p>
            <w:pPr>
              <w:jc w:val="right"/>
              <w:rPr>
                <w:sz w:val="15"/>
                <w:szCs w:val="15"/>
              </w:rPr>
            </w:pPr>
          </w:p>
        </w:tc>
        <w:tc>
          <w:tcPr>
            <w:tcW w:w="567" w:type="dxa"/>
            <w:tcBorders>
              <w:left w:val="single" w:color="auto" w:sz="4" w:space="0"/>
            </w:tcBorders>
          </w:tcPr>
          <w:p>
            <w:pPr>
              <w:jc w:val="right"/>
              <w:rPr>
                <w:sz w:val="15"/>
                <w:szCs w:val="15"/>
              </w:rPr>
            </w:pPr>
          </w:p>
        </w:tc>
        <w:tc>
          <w:tcPr>
            <w:tcW w:w="1275" w:type="dxa"/>
          </w:tcPr>
          <w:p>
            <w:pPr>
              <w:jc w:val="right"/>
              <w:rPr>
                <w:sz w:val="15"/>
                <w:szCs w:val="15"/>
              </w:rPr>
            </w:pPr>
          </w:p>
        </w:tc>
        <w:tc>
          <w:tcPr>
            <w:tcW w:w="1276" w:type="dxa"/>
          </w:tcPr>
          <w:p>
            <w:pPr>
              <w:jc w:val="right"/>
              <w:rPr>
                <w:sz w:val="15"/>
                <w:szCs w:val="15"/>
              </w:rPr>
            </w:pPr>
          </w:p>
        </w:tc>
        <w:tc>
          <w:tcPr>
            <w:tcW w:w="567" w:type="dxa"/>
          </w:tcPr>
          <w:p>
            <w:pPr>
              <w:jc w:val="right"/>
              <w:rPr>
                <w:sz w:val="15"/>
                <w:szCs w:val="15"/>
              </w:rPr>
            </w:pPr>
          </w:p>
        </w:tc>
        <w:tc>
          <w:tcPr>
            <w:tcW w:w="1276" w:type="dxa"/>
          </w:tcPr>
          <w:p>
            <w:pPr>
              <w:jc w:val="right"/>
              <w:rPr>
                <w:sz w:val="15"/>
                <w:szCs w:val="15"/>
              </w:rPr>
            </w:pPr>
            <w:r>
              <w:rPr>
                <w:sz w:val="15"/>
                <w:szCs w:val="15"/>
              </w:rPr>
              <w:t xml:space="preserve"> -4,406,027.28 </w:t>
            </w:r>
          </w:p>
        </w:tc>
        <w:tc>
          <w:tcPr>
            <w:tcW w:w="1276" w:type="dxa"/>
          </w:tcPr>
          <w:p>
            <w:pPr>
              <w:jc w:val="right"/>
              <w:rPr>
                <w:sz w:val="15"/>
                <w:szCs w:val="15"/>
              </w:rPr>
            </w:pPr>
          </w:p>
        </w:tc>
        <w:tc>
          <w:tcPr>
            <w:tcW w:w="1417" w:type="dxa"/>
          </w:tcPr>
          <w:p>
            <w:pPr>
              <w:jc w:val="right"/>
              <w:rPr>
                <w:sz w:val="15"/>
                <w:szCs w:val="15"/>
              </w:rPr>
            </w:pPr>
          </w:p>
        </w:tc>
        <w:tc>
          <w:tcPr>
            <w:tcW w:w="1296" w:type="dxa"/>
          </w:tcPr>
          <w:p>
            <w:pPr>
              <w:jc w:val="right"/>
              <w:rPr>
                <w:sz w:val="15"/>
                <w:szCs w:val="15"/>
              </w:rPr>
            </w:pPr>
            <w:r>
              <w:rPr>
                <w:sz w:val="15"/>
                <w:szCs w:val="15"/>
              </w:rPr>
              <w:t xml:space="preserve"> -4,406,027.28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adc6cb0ad3a14129b7edac5f396c8fd5"/>
            <w:id w:val="-931595626"/>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（六）其他</w:t>
                </w:r>
              </w:p>
            </w:tc>
          </w:sdtContent>
        </w:sdt>
        <w:tc>
          <w:tcPr>
            <w:tcW w:w="1276" w:type="dxa"/>
            <w:tcBorders>
              <w:right w:val="single" w:color="auto" w:sz="4" w:space="0"/>
            </w:tcBorders>
          </w:tcPr>
          <w:p>
            <w:pPr>
              <w:jc w:val="right"/>
              <w:rPr>
                <w:sz w:val="15"/>
                <w:szCs w:val="15"/>
              </w:rPr>
            </w:pPr>
          </w:p>
        </w:tc>
        <w:tc>
          <w:tcPr>
            <w:tcW w:w="567" w:type="dxa"/>
            <w:tcBorders>
              <w:left w:val="single" w:color="auto" w:sz="4" w:space="0"/>
              <w:right w:val="single" w:color="auto" w:sz="4" w:space="0"/>
            </w:tcBorders>
          </w:tcPr>
          <w:p>
            <w:pPr>
              <w:jc w:val="right"/>
              <w:rPr>
                <w:sz w:val="15"/>
                <w:szCs w:val="15"/>
              </w:rPr>
            </w:pPr>
          </w:p>
        </w:tc>
        <w:tc>
          <w:tcPr>
            <w:tcW w:w="709" w:type="dxa"/>
            <w:tcBorders>
              <w:left w:val="single" w:color="auto" w:sz="4" w:space="0"/>
              <w:right w:val="single" w:color="auto" w:sz="4" w:space="0"/>
            </w:tcBorders>
          </w:tcPr>
          <w:p>
            <w:pPr>
              <w:jc w:val="right"/>
              <w:rPr>
                <w:sz w:val="15"/>
                <w:szCs w:val="15"/>
              </w:rPr>
            </w:pPr>
          </w:p>
        </w:tc>
        <w:tc>
          <w:tcPr>
            <w:tcW w:w="567" w:type="dxa"/>
            <w:tcBorders>
              <w:left w:val="single" w:color="auto" w:sz="4" w:space="0"/>
            </w:tcBorders>
          </w:tcPr>
          <w:p>
            <w:pPr>
              <w:jc w:val="right"/>
              <w:rPr>
                <w:sz w:val="15"/>
                <w:szCs w:val="15"/>
              </w:rPr>
            </w:pPr>
          </w:p>
        </w:tc>
        <w:tc>
          <w:tcPr>
            <w:tcW w:w="1275" w:type="dxa"/>
          </w:tcPr>
          <w:p>
            <w:pPr>
              <w:jc w:val="right"/>
              <w:rPr>
                <w:sz w:val="15"/>
                <w:szCs w:val="15"/>
              </w:rPr>
            </w:pPr>
          </w:p>
        </w:tc>
        <w:tc>
          <w:tcPr>
            <w:tcW w:w="1276" w:type="dxa"/>
          </w:tcPr>
          <w:p>
            <w:pPr>
              <w:jc w:val="right"/>
              <w:rPr>
                <w:sz w:val="15"/>
                <w:szCs w:val="15"/>
              </w:rPr>
            </w:pPr>
          </w:p>
        </w:tc>
        <w:tc>
          <w:tcPr>
            <w:tcW w:w="567" w:type="dxa"/>
          </w:tcPr>
          <w:p>
            <w:pPr>
              <w:jc w:val="right"/>
              <w:rPr>
                <w:sz w:val="15"/>
                <w:szCs w:val="15"/>
              </w:rPr>
            </w:pPr>
          </w:p>
        </w:tc>
        <w:tc>
          <w:tcPr>
            <w:tcW w:w="1276" w:type="dxa"/>
          </w:tcPr>
          <w:p>
            <w:pPr>
              <w:jc w:val="right"/>
              <w:rPr>
                <w:sz w:val="15"/>
                <w:szCs w:val="15"/>
              </w:rPr>
            </w:pPr>
          </w:p>
        </w:tc>
        <w:tc>
          <w:tcPr>
            <w:tcW w:w="1276" w:type="dxa"/>
          </w:tcPr>
          <w:p>
            <w:pPr>
              <w:jc w:val="right"/>
              <w:rPr>
                <w:sz w:val="15"/>
                <w:szCs w:val="15"/>
              </w:rPr>
            </w:pPr>
          </w:p>
        </w:tc>
        <w:tc>
          <w:tcPr>
            <w:tcW w:w="1417" w:type="dxa"/>
          </w:tcPr>
          <w:p>
            <w:pPr>
              <w:jc w:val="right"/>
              <w:rPr>
                <w:sz w:val="15"/>
                <w:szCs w:val="15"/>
              </w:rPr>
            </w:pPr>
          </w:p>
        </w:tc>
        <w:tc>
          <w:tcPr>
            <w:tcW w:w="1296" w:type="dxa"/>
          </w:tcPr>
          <w:p>
            <w:pPr>
              <w:jc w:val="right"/>
              <w:rPr>
                <w:sz w:val="15"/>
                <w:szCs w:val="15"/>
              </w:rPr>
            </w:pPr>
            <w:r>
              <w:rPr>
                <w:sz w:val="15"/>
                <w:szCs w:val="15"/>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 w:hRule="atLeast"/>
        </w:trPr>
        <w:sdt>
          <w:sdtPr>
            <w:rPr>
              <w:sz w:val="15"/>
              <w:szCs w:val="15"/>
            </w:rPr>
            <w:tag w:val="_PLD_0009c8b4e5ca4d7083f8b2619f6a4584"/>
            <w:id w:val="-1243790307"/>
          </w:sdtPr>
          <w:sdtEndPr>
            <w:rPr>
              <w:sz w:val="15"/>
              <w:szCs w:val="15"/>
            </w:rPr>
          </w:sdtEndPr>
          <w:sdtContent>
            <w:tc>
              <w:tcPr>
                <w:tcW w:w="2402" w:type="dxa"/>
                <w:vAlign w:val="center"/>
              </w:tcPr>
              <w:p>
                <w:pPr>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四、本期期末余额</w:t>
                </w:r>
              </w:p>
            </w:tc>
          </w:sdtContent>
        </w:sdt>
        <w:tc>
          <w:tcPr>
            <w:tcW w:w="1276" w:type="dxa"/>
            <w:tcBorders>
              <w:right w:val="single" w:color="auto" w:sz="4" w:space="0"/>
            </w:tcBorders>
          </w:tcPr>
          <w:p>
            <w:pPr>
              <w:jc w:val="right"/>
              <w:rPr>
                <w:sz w:val="15"/>
                <w:szCs w:val="15"/>
              </w:rPr>
            </w:pPr>
            <w:r>
              <w:rPr>
                <w:sz w:val="15"/>
                <w:szCs w:val="15"/>
              </w:rPr>
              <w:t xml:space="preserve"> 333,167,407.00 </w:t>
            </w:r>
          </w:p>
        </w:tc>
        <w:tc>
          <w:tcPr>
            <w:tcW w:w="567" w:type="dxa"/>
            <w:tcBorders>
              <w:left w:val="single" w:color="auto" w:sz="4" w:space="0"/>
              <w:right w:val="single" w:color="auto" w:sz="4" w:space="0"/>
            </w:tcBorders>
          </w:tcPr>
          <w:p>
            <w:pPr>
              <w:jc w:val="right"/>
              <w:rPr>
                <w:sz w:val="15"/>
                <w:szCs w:val="15"/>
              </w:rPr>
            </w:pPr>
          </w:p>
        </w:tc>
        <w:tc>
          <w:tcPr>
            <w:tcW w:w="709" w:type="dxa"/>
            <w:tcBorders>
              <w:left w:val="single" w:color="auto" w:sz="4" w:space="0"/>
              <w:right w:val="single" w:color="auto" w:sz="4" w:space="0"/>
            </w:tcBorders>
          </w:tcPr>
          <w:p>
            <w:pPr>
              <w:jc w:val="right"/>
              <w:rPr>
                <w:sz w:val="15"/>
                <w:szCs w:val="15"/>
              </w:rPr>
            </w:pPr>
          </w:p>
        </w:tc>
        <w:tc>
          <w:tcPr>
            <w:tcW w:w="567" w:type="dxa"/>
            <w:tcBorders>
              <w:left w:val="single" w:color="auto" w:sz="4" w:space="0"/>
            </w:tcBorders>
          </w:tcPr>
          <w:p>
            <w:pPr>
              <w:jc w:val="right"/>
              <w:rPr>
                <w:sz w:val="15"/>
                <w:szCs w:val="15"/>
              </w:rPr>
            </w:pPr>
          </w:p>
        </w:tc>
        <w:tc>
          <w:tcPr>
            <w:tcW w:w="1275" w:type="dxa"/>
          </w:tcPr>
          <w:p>
            <w:pPr>
              <w:jc w:val="right"/>
              <w:rPr>
                <w:sz w:val="15"/>
                <w:szCs w:val="15"/>
              </w:rPr>
            </w:pPr>
            <w:r>
              <w:rPr>
                <w:sz w:val="15"/>
                <w:szCs w:val="15"/>
              </w:rPr>
              <w:t xml:space="preserve"> 968,077,886.12 </w:t>
            </w:r>
          </w:p>
        </w:tc>
        <w:tc>
          <w:tcPr>
            <w:tcW w:w="1276" w:type="dxa"/>
          </w:tcPr>
          <w:p>
            <w:pPr>
              <w:jc w:val="right"/>
              <w:rPr>
                <w:sz w:val="15"/>
                <w:szCs w:val="15"/>
              </w:rPr>
            </w:pPr>
            <w:r>
              <w:rPr>
                <w:sz w:val="15"/>
                <w:szCs w:val="15"/>
              </w:rPr>
              <w:t xml:space="preserve"> 26,392,941.28 </w:t>
            </w:r>
          </w:p>
        </w:tc>
        <w:tc>
          <w:tcPr>
            <w:tcW w:w="567" w:type="dxa"/>
          </w:tcPr>
          <w:p>
            <w:pPr>
              <w:jc w:val="right"/>
              <w:rPr>
                <w:sz w:val="15"/>
                <w:szCs w:val="15"/>
              </w:rPr>
            </w:pPr>
            <w:r>
              <w:rPr>
                <w:sz w:val="15"/>
                <w:szCs w:val="15"/>
              </w:rPr>
              <w:t xml:space="preserve">   </w:t>
            </w:r>
          </w:p>
        </w:tc>
        <w:tc>
          <w:tcPr>
            <w:tcW w:w="1276" w:type="dxa"/>
          </w:tcPr>
          <w:p>
            <w:pPr>
              <w:jc w:val="right"/>
              <w:rPr>
                <w:sz w:val="15"/>
                <w:szCs w:val="15"/>
              </w:rPr>
            </w:pPr>
            <w:r>
              <w:rPr>
                <w:sz w:val="15"/>
                <w:szCs w:val="15"/>
              </w:rPr>
              <w:t xml:space="preserve"> 20,306,277.54 </w:t>
            </w:r>
          </w:p>
        </w:tc>
        <w:tc>
          <w:tcPr>
            <w:tcW w:w="1276" w:type="dxa"/>
          </w:tcPr>
          <w:p>
            <w:pPr>
              <w:jc w:val="right"/>
              <w:rPr>
                <w:sz w:val="15"/>
                <w:szCs w:val="15"/>
              </w:rPr>
            </w:pPr>
            <w:r>
              <w:rPr>
                <w:sz w:val="15"/>
                <w:szCs w:val="15"/>
              </w:rPr>
              <w:t xml:space="preserve"> 121,494,338.37 </w:t>
            </w:r>
          </w:p>
        </w:tc>
        <w:tc>
          <w:tcPr>
            <w:tcW w:w="1417" w:type="dxa"/>
          </w:tcPr>
          <w:p>
            <w:pPr>
              <w:jc w:val="right"/>
              <w:rPr>
                <w:sz w:val="15"/>
                <w:szCs w:val="15"/>
              </w:rPr>
            </w:pPr>
            <w:r>
              <w:rPr>
                <w:sz w:val="15"/>
                <w:szCs w:val="15"/>
              </w:rPr>
              <w:t xml:space="preserve"> 1,013,289,750.65 </w:t>
            </w:r>
          </w:p>
        </w:tc>
        <w:tc>
          <w:tcPr>
            <w:tcW w:w="1296" w:type="dxa"/>
          </w:tcPr>
          <w:p>
            <w:pPr>
              <w:jc w:val="right"/>
              <w:rPr>
                <w:sz w:val="15"/>
                <w:szCs w:val="15"/>
              </w:rPr>
            </w:pPr>
            <w:r>
              <w:rPr>
                <w:sz w:val="15"/>
                <w:szCs w:val="15"/>
              </w:rPr>
              <w:t xml:space="preserve">2,429,942,718.40 </w:t>
            </w:r>
          </w:p>
        </w:tc>
      </w:tr>
      <w:bookmarkEnd w:id="161"/>
    </w:tbl>
    <w:p>
      <w:pPr>
        <w:snapToGrid w:val="0"/>
        <w:spacing w:line="240" w:lineRule="atLeast"/>
        <w:rPr>
          <w:b/>
          <w:bCs w:val="0"/>
          <w:color w:val="000000" w:themeColor="text1"/>
          <w14:textFill>
            <w14:solidFill>
              <w14:schemeClr w14:val="tx1"/>
            </w14:solidFill>
          </w14:textFill>
        </w:rPr>
      </w:pPr>
      <w:r>
        <w:rPr>
          <w:color w:val="000000" w:themeColor="text1"/>
          <w14:textFill>
            <w14:solidFill>
              <w14:schemeClr w14:val="tx1"/>
            </w14:solidFill>
          </w14:textFill>
        </w:rPr>
        <w:t>公司负责人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公司负责人"/>
          <w:tag w:val="_GBC_6042a2c12168484781348969a4da3e4c"/>
          <w:id w:val="1720012644"/>
          <w:placeholder>
            <w:docPart w:val="GBC22222222222222222222222222222"/>
          </w:placeholder>
          <w15:dataBinding w:prefixMappings="xmlns:clcid-mr='clcid-mr'" w:xpath="/*/clcid-mr:GongSi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杨泽民</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主管会计工作负责人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主管会计工作负责人姓名"/>
          <w:tag w:val="_GBC_3008dab61aca43f0a6d82ef192943e79"/>
          <w:id w:val="-8684690"/>
          <w:placeholder>
            <w:docPart w:val="GBC22222222222222222222222222222"/>
          </w:placeholder>
          <w15:dataBinding w:prefixMappings="xmlns:clcid-mr='clcid-mr'" w:xpath="/*/clcid-mr:ZhuGuanKuaiJiGongZuo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杨万华</w:t>
          </w:r>
        </w:sdtContent>
      </w:sdt>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                              会计机构负责人</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会计机构负责人姓名"/>
          <w:tag w:val="_GBC_e6c21b270080402ca8dbdc0cab514bde"/>
          <w:id w:val="1943413230"/>
          <w:placeholder>
            <w:docPart w:val="GBC22222222222222222222222222222"/>
          </w:placeholder>
          <w15:dataBinding w:prefixMappings="xmlns:clcid-mr='clcid-mr'" w:xpath="/*/clcid-mr:KuaiJiJiGouFuZeRenXingMing[not(@periodRef)]" w:storeItemID="{89EBAB94-44A0-46A2-B712-30D997D04A6D}"/>
          <w:text/>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冯波</w:t>
          </w:r>
        </w:sdtContent>
      </w:sdt>
    </w:p>
    <w:p>
      <w:pPr>
        <w:rPr>
          <w:color w:val="000000" w:themeColor="text1"/>
          <w14:textFill>
            <w14:solidFill>
              <w14:schemeClr w14:val="tx1"/>
            </w14:solidFill>
          </w14:textFill>
        </w:rPr>
      </w:pPr>
    </w:p>
    <w:bookmarkEnd w:id="158"/>
    <w:p>
      <w:pPr>
        <w:snapToGrid w:val="0"/>
        <w:spacing w:line="240" w:lineRule="atLeast"/>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bookmarkStart w:id="162" w:name="_Hlk10212138"/>
      <w:bookmarkEnd w:id="162"/>
    </w:p>
    <w:p>
      <w:pPr>
        <w:pStyle w:val="3"/>
        <w:numPr>
          <w:ilvl w:val="0"/>
          <w:numId w:val="31"/>
        </w:numPr>
        <w:ind w:left="420" w:hanging="420"/>
        <w:rPr>
          <w:rFonts w:hint="eastAsia" w:ascii="宋体" w:hAnsi="宋体"/>
          <w:color w:val="000000" w:themeColor="text1"/>
          <w14:textFill>
            <w14:solidFill>
              <w14:schemeClr w14:val="tx1"/>
            </w14:solidFill>
          </w14:textFill>
        </w:rPr>
      </w:pPr>
      <w:bookmarkStart w:id="163" w:name="_Hlk168993498"/>
      <w:bookmarkStart w:id="164" w:name="_Hlk168646044"/>
      <w:r>
        <w:rPr>
          <w:rFonts w:hint="eastAsia" w:ascii="宋体" w:hAnsi="宋体"/>
          <w:color w:val="000000" w:themeColor="text1"/>
          <w14:textFill>
            <w14:solidFill>
              <w14:schemeClr w14:val="tx1"/>
            </w14:solidFill>
          </w14:textFill>
        </w:rPr>
        <w:t>公司基本情况</w:t>
      </w:r>
    </w:p>
    <w:p>
      <w:pPr>
        <w:pStyle w:val="4"/>
        <w:numPr>
          <w:ilvl w:val="0"/>
          <w:numId w:val="32"/>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公司概况</w:t>
      </w:r>
    </w:p>
    <w:sdt>
      <w:sdtPr>
        <w:rPr>
          <w:rFonts w:hint="eastAsia"/>
          <w:color w:val="000000" w:themeColor="text1"/>
          <w14:textFill>
            <w14:solidFill>
              <w14:schemeClr w14:val="tx1"/>
            </w14:solidFill>
          </w14:textFill>
        </w:rPr>
        <w:alias w:val="是否适用：公司概况[双击切换]"/>
        <w:tag w:val="_GBC_0cae3ba4a5394806810c0303cd783dd4"/>
        <w:id w:val="-105737938"/>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公司概况"/>
        <w:tag w:val="_GBC_ae08459ad5fd43f3a92abaa61cf00bfd"/>
        <w:id w:val="-283503089"/>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重庆望变电气（集团）股份有限公司（以下简称公司或本公司）成立于1994年8月16日，系由重庆望江变压器厂有限公司整体改制变更设立的股份有限公司，现持有统一社会信用代码为91500115203395479N的营业执照，注册资本</w:t>
          </w:r>
          <w:r>
            <w:rPr>
              <w:color w:val="000000" w:themeColor="text1"/>
              <w14:textFill>
                <w14:solidFill>
                  <w14:schemeClr w14:val="tx1"/>
                </w14:solidFill>
              </w14:textFill>
            </w:rPr>
            <w:t>329,964,639.00</w:t>
          </w:r>
          <w:r>
            <w:rPr>
              <w:rFonts w:hint="eastAsia"/>
              <w:color w:val="000000" w:themeColor="text1"/>
              <w14:textFill>
                <w14:solidFill>
                  <w14:schemeClr w14:val="tx1"/>
                </w14:solidFill>
              </w14:textFill>
            </w:rPr>
            <w:t>元，股份总数</w:t>
          </w:r>
          <w:r>
            <w:rPr>
              <w:color w:val="000000" w:themeColor="text1"/>
              <w14:textFill>
                <w14:solidFill>
                  <w14:schemeClr w14:val="tx1"/>
                </w14:solidFill>
              </w14:textFill>
            </w:rPr>
            <w:t>329,964,639</w:t>
          </w:r>
          <w:r>
            <w:rPr>
              <w:rFonts w:hint="eastAsia"/>
              <w:color w:val="000000" w:themeColor="text1"/>
              <w14:textFill>
                <w14:solidFill>
                  <w14:schemeClr w14:val="tx1"/>
                </w14:solidFill>
              </w14:textFill>
            </w:rPr>
            <w:t>股（每股面值1元）。公司股票已于2022年4月28日在上海证券交易所挂牌交易。</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本公司主要经营活动为输配电及控制设备和取向硅钢的研发、生产和销售，输配电及控制设备属于输配电及控制设备行业，取向硅钢属于钢压延加工行业。</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本财务报表已经公司2026年8月25日第四届董事会第二十二次会议批准对外报出。</w:t>
          </w:r>
        </w:p>
      </w:sdtContent>
    </w:sdt>
    <w:bookmarkEnd w:id="163"/>
    <w:bookmarkEnd w:id="164"/>
    <w:p>
      <w:pPr>
        <w:pStyle w:val="3"/>
        <w:numPr>
          <w:ilvl w:val="0"/>
          <w:numId w:val="31"/>
        </w:numPr>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财务报表的编制基础</w:t>
      </w:r>
    </w:p>
    <w:p>
      <w:pPr>
        <w:pStyle w:val="4"/>
        <w:numPr>
          <w:ilvl w:val="0"/>
          <w:numId w:val="33"/>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编制基础</w:t>
      </w:r>
    </w:p>
    <w:sdt>
      <w:sdtPr>
        <w:rPr>
          <w:rFonts w:hint="eastAsia"/>
          <w:color w:val="000000" w:themeColor="text1"/>
          <w14:textFill>
            <w14:solidFill>
              <w14:schemeClr w14:val="tx1"/>
            </w14:solidFill>
          </w14:textFill>
        </w:rPr>
        <w:alias w:val="财务报表的编制基础"/>
        <w:tag w:val="_GBC_1dc2375ed7ab49628f5badf2d5006405"/>
        <w:id w:val="-2107183729"/>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本公司财务报表以持续经营为编制基础。</w:t>
          </w:r>
        </w:p>
      </w:sdtContent>
    </w:sdt>
    <w:p>
      <w:pPr>
        <w:pStyle w:val="4"/>
        <w:numPr>
          <w:ilvl w:val="0"/>
          <w:numId w:val="33"/>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持续经营</w:t>
      </w:r>
    </w:p>
    <w:sdt>
      <w:sdtPr>
        <w:rPr>
          <w:color w:val="000000" w:themeColor="text1"/>
          <w14:textFill>
            <w14:solidFill>
              <w14:schemeClr w14:val="tx1"/>
            </w14:solidFill>
          </w14:textFill>
        </w:rPr>
        <w:alias w:val="是否适用：持续经营[双击切换]"/>
        <w:tag w:val="_GBC_7a7bd82392314f508ef1adfe80947192"/>
        <w:id w:val="-24811998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持续经营"/>
        <w:tag w:val="_GBC_dc876c24006b428987a041949eb554f3"/>
        <w:id w:val="44326910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本公司不存在导致对报告期末起12个月内的持续经营能力产生重大疑虑的事项或情况。</w:t>
          </w:r>
        </w:p>
      </w:sdtContent>
    </w:sdt>
    <w:p>
      <w:pPr>
        <w:pStyle w:val="3"/>
        <w:numPr>
          <w:ilvl w:val="0"/>
          <w:numId w:val="31"/>
        </w:numPr>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重要会计政策及会计估计</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具体会计政策和会计估计提示：</w:t>
      </w:r>
    </w:p>
    <w:sdt>
      <w:sdtPr>
        <w:rPr>
          <w:color w:val="000000" w:themeColor="text1"/>
          <w14:textFill>
            <w14:solidFill>
              <w14:schemeClr w14:val="tx1"/>
            </w14:solidFill>
          </w14:textFill>
        </w:rPr>
        <w:alias w:val="是否适用：具体会计政策和会计估计提示[双击切换]"/>
        <w:tag w:val="_GBC_77c62823e3884e1fbfb236cea1f9f425"/>
        <w:id w:val="-21844859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具体会计政策和会计估计提示"/>
        <w:tag w:val="_GBC_caddaeaf0d1a454ab0bede37f0db7782"/>
        <w:id w:val="733366136"/>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本公司根据实际生产经营特点针对金融工具减值、存货、固定资产折旧、在建工程、无形资产、收入确认等交易或事项制定了具体会计政策和会计估计。</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遵循企业会计准则的声明</w:t>
      </w:r>
    </w:p>
    <w:sdt>
      <w:sdtPr>
        <w:rPr>
          <w:rFonts w:hint="eastAsia"/>
          <w:color w:val="000000" w:themeColor="text1"/>
          <w14:textFill>
            <w14:solidFill>
              <w14:schemeClr w14:val="tx1"/>
            </w14:solidFill>
          </w14:textFill>
        </w:rPr>
        <w:alias w:val="会计准则和会计制度"/>
        <w:tag w:val="_GBC_a350b889163a4ef3bb500c021e6a6b47"/>
        <w:id w:val="724184129"/>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本公司所编制的财务报表符合企业会计准则的要求，真实、完整地反映了公司的财务状况、经营成果、股东权益变动和现金流量等有关信息。</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会计期间</w:t>
      </w:r>
    </w:p>
    <w:sdt>
      <w:sdtPr>
        <w:rPr>
          <w:rFonts w:hint="eastAsia"/>
          <w:color w:val="000000" w:themeColor="text1"/>
          <w14:textFill>
            <w14:solidFill>
              <w14:schemeClr w14:val="tx1"/>
            </w14:solidFill>
          </w14:textFill>
        </w:rPr>
        <w:alias w:val="会计年度"/>
        <w:tag w:val="_GBC_fc896fba50b143f8a06984831f5d5600"/>
        <w:id w:val="209623859"/>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本公司会计年度自公历1月1日起至12月31日止。</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营业周期</w:t>
      </w:r>
    </w:p>
    <w:sdt>
      <w:sdtPr>
        <w:rPr>
          <w:color w:val="000000" w:themeColor="text1"/>
          <w14:textFill>
            <w14:solidFill>
              <w14:schemeClr w14:val="tx1"/>
            </w14:solidFill>
          </w14:textFill>
        </w:rPr>
        <w:alias w:val="是否适用：营业周期[双击切换]"/>
        <w:tag w:val="_GBC_1668f7f497234cf886206b57711c4c87"/>
        <w:id w:val="137349797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营业周期"/>
        <w:tag w:val="_GBC_e145e43187d9463889884f48e9e0b234"/>
        <w:id w:val="-98238740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公司经营业务的营业周期较短，以12个月作为资产和负债的流动性划分标准。</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记账本位币</w:t>
      </w:r>
    </w:p>
    <w:sdt>
      <w:sdtPr>
        <w:rPr>
          <w:rFonts w:hint="eastAsia"/>
          <w:color w:val="000000" w:themeColor="text1"/>
          <w14:textFill>
            <w14:solidFill>
              <w14:schemeClr w14:val="tx1"/>
            </w14:solidFill>
          </w14:textFill>
        </w:rPr>
        <w:alias w:val="记账本位币"/>
        <w:tag w:val="_GBC_3749a2357eba44e8b968cb41cda75ff1"/>
        <w:id w:val="2145228207"/>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本公司的记账本位币为人民币。</w:t>
          </w:r>
        </w:p>
      </w:sdtContent>
    </w:sdt>
    <w:p>
      <w:pPr>
        <w:pStyle w:val="4"/>
        <w:numPr>
          <w:ilvl w:val="0"/>
          <w:numId w:val="34"/>
        </w:numPr>
        <w:rPr>
          <w:rFonts w:hint="eastAsia" w:ascii="宋体" w:hAnsi="宋体"/>
          <w:color w:val="000000" w:themeColor="text1"/>
          <w14:textFill>
            <w14:solidFill>
              <w14:schemeClr w14:val="tx1"/>
            </w14:solidFill>
          </w14:textFill>
        </w:rPr>
      </w:pPr>
      <w:bookmarkStart w:id="165" w:name="_Hlk169007161"/>
      <w:bookmarkStart w:id="166" w:name="_Hlk167809539"/>
      <w:r>
        <w:rPr>
          <w:rFonts w:ascii="宋体" w:hAnsi="宋体"/>
          <w:color w:val="000000" w:themeColor="text1"/>
          <w14:textFill>
            <w14:solidFill>
              <w14:schemeClr w14:val="tx1"/>
            </w14:solidFill>
          </w14:textFill>
        </w:rPr>
        <w:t>重要性标准确定方法和选择依据</w:t>
      </w:r>
    </w:p>
    <w:sdt>
      <w:sdtPr>
        <w:rPr>
          <w:color w:val="000000" w:themeColor="text1"/>
          <w14:textFill>
            <w14:solidFill>
              <w14:schemeClr w14:val="tx1"/>
            </w14:solidFill>
          </w14:textFill>
        </w:rPr>
        <w:alias w:val="是否适用：重要性标准确定方法和选择依据[双击切换]"/>
        <w:tag w:val="_GBC_1f44a82433fd445aac6090cd207979fd"/>
        <w:id w:val="-109824467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2253"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tc>
          <w:tcPr>
            <w:tcW w:w="2747" w:type="pct"/>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重要性标准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重要的单项计提坏账准备的应收账款</w:t>
            </w:r>
          </w:p>
        </w:tc>
        <w:tc>
          <w:tcPr>
            <w:tcW w:w="2747" w:type="pct"/>
            <w:vAlign w:val="center"/>
          </w:tcPr>
          <w:p>
            <w:pPr>
              <w:pStyle w:val="48"/>
              <w:widowControl w:val="0"/>
              <w:jc w:val="both"/>
            </w:pPr>
            <w:r>
              <w:t>单项金额超过资产总额0.1%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重要的应收账款坏账准备收回或转回</w:t>
            </w:r>
          </w:p>
        </w:tc>
        <w:tc>
          <w:tcPr>
            <w:tcW w:w="2747" w:type="pct"/>
            <w:vAlign w:val="center"/>
          </w:tcPr>
          <w:p>
            <w:pPr>
              <w:pStyle w:val="48"/>
              <w:widowControl w:val="0"/>
              <w:jc w:val="both"/>
            </w:pPr>
            <w:r>
              <w:t>单项金额超过资产总额0.1%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重要的核销应收账款</w:t>
            </w:r>
          </w:p>
        </w:tc>
        <w:tc>
          <w:tcPr>
            <w:tcW w:w="2747" w:type="pct"/>
            <w:vAlign w:val="center"/>
          </w:tcPr>
          <w:p>
            <w:pPr>
              <w:pStyle w:val="48"/>
              <w:widowControl w:val="0"/>
              <w:jc w:val="both"/>
            </w:pPr>
            <w:r>
              <w:t>单项金额超过资产总额0.1%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重要的单项计提坏账准备的其他应收款</w:t>
            </w:r>
          </w:p>
        </w:tc>
        <w:tc>
          <w:tcPr>
            <w:tcW w:w="2747" w:type="pct"/>
            <w:vAlign w:val="center"/>
          </w:tcPr>
          <w:p>
            <w:pPr>
              <w:pStyle w:val="48"/>
              <w:widowControl w:val="0"/>
              <w:jc w:val="both"/>
            </w:pPr>
            <w:r>
              <w:t>单项金额超过资产总额0.1%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重要的核销其他应收款</w:t>
            </w:r>
          </w:p>
        </w:tc>
        <w:tc>
          <w:tcPr>
            <w:tcW w:w="2747" w:type="pct"/>
            <w:vAlign w:val="center"/>
          </w:tcPr>
          <w:p>
            <w:pPr>
              <w:pStyle w:val="48"/>
              <w:widowControl w:val="0"/>
              <w:jc w:val="both"/>
            </w:pPr>
            <w:r>
              <w:t>单项金额超过资产总额0.1%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重要的账龄超过1年的预付款项</w:t>
            </w:r>
          </w:p>
        </w:tc>
        <w:tc>
          <w:tcPr>
            <w:tcW w:w="2747" w:type="pct"/>
            <w:vAlign w:val="center"/>
          </w:tcPr>
          <w:p>
            <w:pPr>
              <w:pStyle w:val="48"/>
              <w:widowControl w:val="0"/>
              <w:jc w:val="both"/>
            </w:pPr>
            <w:r>
              <w:t>单项金额超过资产总额0.3%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重要的在建工程项目</w:t>
            </w:r>
          </w:p>
        </w:tc>
        <w:tc>
          <w:tcPr>
            <w:tcW w:w="2747" w:type="pct"/>
            <w:vAlign w:val="center"/>
          </w:tcPr>
          <w:p>
            <w:pPr>
              <w:pStyle w:val="48"/>
              <w:widowControl w:val="0"/>
              <w:jc w:val="both"/>
            </w:pPr>
            <w:r>
              <w:t>单项工程投资总额超过资产总额0.3%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重要的账龄超过1年的应付账款</w:t>
            </w:r>
          </w:p>
        </w:tc>
        <w:tc>
          <w:tcPr>
            <w:tcW w:w="2747" w:type="pct"/>
            <w:vAlign w:val="center"/>
          </w:tcPr>
          <w:p>
            <w:pPr>
              <w:pStyle w:val="48"/>
              <w:widowControl w:val="0"/>
              <w:jc w:val="both"/>
            </w:pPr>
            <w:r>
              <w:t>单项金额超过资产总额0.3%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重要的账龄超过1年的其他应付款</w:t>
            </w:r>
          </w:p>
        </w:tc>
        <w:tc>
          <w:tcPr>
            <w:tcW w:w="2747" w:type="pct"/>
            <w:vAlign w:val="center"/>
          </w:tcPr>
          <w:p>
            <w:pPr>
              <w:pStyle w:val="48"/>
              <w:widowControl w:val="0"/>
              <w:jc w:val="both"/>
            </w:pPr>
            <w:r>
              <w:t>单项金额超过资产总额0.1%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重要的账龄超过1年的合同负债</w:t>
            </w:r>
          </w:p>
        </w:tc>
        <w:tc>
          <w:tcPr>
            <w:tcW w:w="2747" w:type="pct"/>
            <w:vAlign w:val="center"/>
          </w:tcPr>
          <w:p>
            <w:pPr>
              <w:pStyle w:val="48"/>
              <w:widowControl w:val="0"/>
              <w:jc w:val="both"/>
            </w:pPr>
            <w:r>
              <w:t>单项金额超过资产总额0.1%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重要的预计负债</w:t>
            </w:r>
          </w:p>
        </w:tc>
        <w:tc>
          <w:tcPr>
            <w:tcW w:w="2747" w:type="pct"/>
            <w:vAlign w:val="center"/>
          </w:tcPr>
          <w:p>
            <w:pPr>
              <w:pStyle w:val="48"/>
              <w:widowControl w:val="0"/>
              <w:jc w:val="both"/>
            </w:pPr>
            <w:r>
              <w:t>单项金额超过资产总额0.1%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重要的投资活动现金流量</w:t>
            </w:r>
          </w:p>
        </w:tc>
        <w:tc>
          <w:tcPr>
            <w:tcW w:w="2747" w:type="pct"/>
            <w:vAlign w:val="center"/>
          </w:tcPr>
          <w:p>
            <w:pPr>
              <w:pStyle w:val="48"/>
              <w:widowControl w:val="0"/>
              <w:jc w:val="both"/>
            </w:pPr>
            <w:r>
              <w:t>单项金额超过资产总额1%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重要的筹资活动现金流量</w:t>
            </w:r>
          </w:p>
        </w:tc>
        <w:tc>
          <w:tcPr>
            <w:tcW w:w="2747" w:type="pct"/>
            <w:vAlign w:val="center"/>
          </w:tcPr>
          <w:p>
            <w:pPr>
              <w:pStyle w:val="48"/>
              <w:widowControl w:val="0"/>
              <w:jc w:val="both"/>
            </w:pPr>
            <w:r>
              <w:t>单项金额超过资产总额1%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重要的子公司</w:t>
            </w:r>
          </w:p>
        </w:tc>
        <w:tc>
          <w:tcPr>
            <w:tcW w:w="2747" w:type="pct"/>
            <w:vAlign w:val="center"/>
          </w:tcPr>
          <w:p>
            <w:pPr>
              <w:pStyle w:val="48"/>
              <w:widowControl w:val="0"/>
              <w:jc w:val="both"/>
            </w:pPr>
            <w:r>
              <w:t>子公司利润总额超过集团利润总额的15%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53" w:type="pct"/>
            <w:vAlign w:val="center"/>
          </w:tcPr>
          <w:p>
            <w:pPr>
              <w:pStyle w:val="48"/>
              <w:widowControl w:val="0"/>
              <w:jc w:val="both"/>
            </w:pPr>
            <w:r>
              <w:t>重要的联营企业</w:t>
            </w:r>
          </w:p>
        </w:tc>
        <w:tc>
          <w:tcPr>
            <w:tcW w:w="2747" w:type="pct"/>
            <w:vAlign w:val="center"/>
          </w:tcPr>
          <w:p>
            <w:pPr>
              <w:pStyle w:val="48"/>
              <w:widowControl w:val="0"/>
              <w:jc w:val="both"/>
            </w:pPr>
            <w:r>
              <w:t>单项长期股权投资账面价值超过集团净资产的15%</w:t>
            </w:r>
          </w:p>
        </w:tc>
      </w:tr>
      <w:bookmarkEnd w:id="165"/>
      <w:bookmarkEnd w:id="166"/>
    </w:tbl>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同一控制下和非同一控制下企业合并的会计处理方法</w:t>
      </w:r>
    </w:p>
    <w:sdt>
      <w:sdtPr>
        <w:rPr>
          <w:rFonts w:hint="eastAsia"/>
          <w:color w:val="000000" w:themeColor="text1"/>
          <w14:textFill>
            <w14:solidFill>
              <w14:schemeClr w14:val="tx1"/>
            </w14:solidFill>
          </w14:textFill>
        </w:rPr>
        <w:alias w:val="是否适用：同一控制下和非同一控制下企业合并的会计处理方法[双击切换]"/>
        <w:tag w:val="_GBC_15953b39483a4ce1a5c96869e4a0ae9c"/>
        <w:id w:val="-186290324"/>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同一控制下和非同一控制下企业合并的会计处理方法"/>
        <w:tag w:val="_GBC_ef4b9a8d4ac34f45a0f61a23267bcbb8"/>
        <w:id w:val="-548538279"/>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（1）同一控制下企业合并的会计处理方法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在企业合并中取得的资产和负债，按照合并日被合并方在最终控制方合并财务报表中的账面价值计量。公司按照被合并方所有者权益在最终控制方合并财务报表中的账面价值份额与支付的合并对价账面价值或发行股份面值总额的差额，调整资本公积；资本公积不足冲减的，调整留存收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（2）非同一控制下企业合并的会计处理方法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在购买日对合并成本大于合并中取得的被购买方可辨认净资产公允价值份额的差额，确认为商誉；如果合并成本小于合并中取得的被购买方可辨认净资产公允价值份额，首先对取得的被购买方各项可辨认资产、负债及或有负债的公允价值以及合并成本的计量进行复核，经复核后合并成本仍小于合并中取得的被购买方可辨认净资产公允价值份额的，其差额计入当期损益。</w:t>
          </w:r>
        </w:p>
      </w:sdtContent>
    </w:sdt>
    <w:p>
      <w:pPr>
        <w:pStyle w:val="4"/>
        <w:numPr>
          <w:ilvl w:val="0"/>
          <w:numId w:val="34"/>
        </w:numPr>
        <w:rPr>
          <w:rFonts w:hint="eastAsia" w:ascii="宋体" w:hAnsi="宋体"/>
          <w:color w:val="000000" w:themeColor="text1"/>
          <w14:textFill>
            <w14:solidFill>
              <w14:schemeClr w14:val="tx1"/>
            </w14:solidFill>
          </w14:textFill>
        </w:rPr>
      </w:pPr>
      <w:bookmarkStart w:id="167" w:name="_Hlk169007307"/>
      <w:r>
        <w:rPr>
          <w:rFonts w:ascii="宋体" w:hAnsi="宋体"/>
          <w:color w:val="000000" w:themeColor="text1"/>
          <w14:textFill>
            <w14:solidFill>
              <w14:schemeClr w14:val="tx1"/>
            </w14:solidFill>
          </w14:textFill>
        </w:rPr>
        <w:t>控制的判断标准和合并财务报表的编制方法</w:t>
      </w:r>
    </w:p>
    <w:sdt>
      <w:sdtPr>
        <w:rPr>
          <w:rFonts w:hint="eastAsia"/>
          <w:color w:val="000000" w:themeColor="text1"/>
          <w14:textFill>
            <w14:solidFill>
              <w14:schemeClr w14:val="tx1"/>
            </w14:solidFill>
          </w14:textFill>
        </w:rPr>
        <w:alias w:val="是否适用：合并财务报表的编制方法[双击切换]"/>
        <w:tag w:val="_GBC_dad2e053cc8c4461a681b3e4926c48a6"/>
        <w:id w:val="-876234909"/>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企业合并及合并财务报表的说明"/>
        <w:tag w:val="_GBC_5201beca0c0944939b4a0d8d100d6fcf"/>
        <w:id w:val="-1564485112"/>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（1）控制的判断</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拥有对被投资方的权力，通过参与被投资方的相关活动而享有可变回报，并且有能力运用对被投资方的权力影响其可变回报金额的，认定为控制。</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（2）合并财务报表的编制方法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母公司将其控制的所有子公司纳入合并财务报表的合并范围。合并财务报表以母公司及其子公司的财务报表为基础，根据其他有关资料，由母公司按照《企业会计准则第33号——合并财务报表》编制。</w:t>
          </w:r>
        </w:p>
      </w:sdtContent>
    </w:sdt>
    <w:bookmarkEnd w:id="167"/>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合营安排分类及共同经营会计处理方法</w:t>
      </w:r>
    </w:p>
    <w:sdt>
      <w:sdtPr>
        <w:rPr>
          <w:rFonts w:hint="eastAsia"/>
          <w:color w:val="000000" w:themeColor="text1"/>
          <w14:textFill>
            <w14:solidFill>
              <w14:schemeClr w14:val="tx1"/>
            </w14:solidFill>
          </w14:textFill>
        </w:rPr>
        <w:alias w:val="是否适用：合营安排分类及共同经营会计处理方法[双击切换]"/>
        <w:tag w:val="_GBC_f94c8519453541fe9de852d3064d61d5"/>
        <w:id w:val="-948622196"/>
        <w:placeholder>
          <w:docPart w:val="GBC22222222222222222222222222222"/>
        </w:placeholder>
      </w:sdtPr>
      <w:sdtEndPr>
        <w:rPr>
          <w:rFonts w:hint="eastAsia"/>
          <w:color w:val="000000" w:themeColor="text1"/>
          <w14:textFill>
            <w14:solidFill>
              <w14:schemeClr w14:val="tx1"/>
            </w14:solidFill>
          </w14:textFill>
        </w:rPr>
      </w:sdtEndPr>
      <w:sdtContent>
        <w:p>
          <w:pPr>
            <w:rPr>
              <w:b/>
              <w:bCs w:val="0"/>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现金及现金等价物的确定标准</w:t>
      </w:r>
    </w:p>
    <w:sdt>
      <w:sdtPr>
        <w:rPr>
          <w:rFonts w:hint="eastAsia"/>
          <w:color w:val="000000" w:themeColor="text1"/>
          <w14:textFill>
            <w14:solidFill>
              <w14:schemeClr w14:val="tx1"/>
            </w14:solidFill>
          </w14:textFill>
        </w:rPr>
        <w:alias w:val="现金及现金等价物的确定标准"/>
        <w:tag w:val="_GBC_54f6bc3e44e840bc85cb3872600823b5"/>
        <w:id w:val="949353500"/>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列示于现金流量表中的现金是指库存现金以及可以随时用于支付的存款。现金等价物是指企业持有的期限短、流动性强、易于转换为已知金额现金、价值变动风险很小的投资。</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外币业务和外币报表折算</w:t>
      </w:r>
    </w:p>
    <w:sdt>
      <w:sdtPr>
        <w:rPr>
          <w:rFonts w:hint="eastAsia"/>
          <w:color w:val="000000" w:themeColor="text1"/>
          <w14:textFill>
            <w14:solidFill>
              <w14:schemeClr w14:val="tx1"/>
            </w14:solidFill>
          </w14:textFill>
        </w:rPr>
        <w:alias w:val="是否适用：外币业务和外币报表折算[双击切换]"/>
        <w:tag w:val="_GBC_cd1fc5c05f5e49ed9ea2fffe41d0d113"/>
        <w:id w:val="752706063"/>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外币业务核算方法"/>
        <w:tag w:val="_GBC_1703fe5fc56b42a8972c0906a4ac6d6b"/>
        <w:id w:val="702681519"/>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外币交易在初始确认时，采用交易发生日的即期汇率折算为人民币金额。资产负债表日，外币货币性项目采用资产负债表日即期汇率折算，因汇率不同而产生的汇兑差额，除与购建符合资本化条件资产有关的外币专门借款本金及利息的汇兑差额外，计入当期损益；以历史成本计量的外币非货币性项目仍采用交易发生日的即期汇率折算，不改变其人民币金额；以公允价值计量的外币非货币性项目，采用公允价值确定日的即期汇率折算，差额计入当期损益或其他综合收益。</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金融工具</w:t>
      </w:r>
    </w:p>
    <w:sdt>
      <w:sdtPr>
        <w:rPr>
          <w:rFonts w:hint="eastAsia"/>
          <w:color w:val="000000" w:themeColor="text1"/>
          <w14:textFill>
            <w14:solidFill>
              <w14:schemeClr w14:val="tx1"/>
            </w14:solidFill>
          </w14:textFill>
        </w:rPr>
        <w:alias w:val="是否适用：金融工具_重要会计政策和估计[双击切换]"/>
        <w:tag w:val="_GBC_285bdf73a629411f9c5d05731712b876"/>
        <w:id w:val="-1383320006"/>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金融资产和金融负债的核算方法"/>
        <w:tag w:val="_GBC_b358067bbe2a49bf880c383a5db50d8a"/>
        <w:id w:val="-1796661308"/>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（1）金融资产和金融负债的分类</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金融资产在初始确认时划分为以下三类：1）以摊余成本计量的金融资产；2）以公允价值计量且其变动计入其他综合收益的金融资产；3）以公允价值计量且其变动计入当期损益的金融资产。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金融负债在初始确认时划分为以下四类：1）以公允价值计量且其变动计入当期损益的金融负债；2）金融资产转移不符合终止确认条件或继续涉入被转移金融资产所形成的金融负债；3）不属于上述1）或2）的财务担保合同，以及不属于上述1）并以低于市场利率贷款的贷款承诺；4）以摊余成本计量的金融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（2）金融资产和金融负债的确认依据、计量方法和终止确认条件</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1）金融资产和金融负债的确认依据和初始计量方法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成为金融工具合同的一方时，确认一项金融资产或金融负债。初始确认金融资产或金融负债时，按照公允价值计量；对于以公允价值计量且其变动计入当期损益的金融资产和金融负债，相关交易费用直接计入当期损益；对于其他类别的金融资产或金融负债，相关交易费用计入初始确认金额。但是，公司初始确认的应收账款未包含重大融资成分或公司不考虑未超过一年的合同中的融资成分的，按照《企业会计准则第14号——收入》所定义的交易价格进行初始计量。</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2）金融资产的后续计量方法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①以摊余成本计量的金融资产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采用实际利率法，按照摊余成本进行后续计量。以摊余成本计量且不属于任何套期关系的一部分的金融资产所产生的利得或损失，在终止确认、重分类、按照实际利率法摊销或确认减值时，计入当期损益。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②以公允价值计量且其变动计入其他综合收益的债务工具投资</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采用公允价值进行后续计量。采用实际利率法计算的利息、减值损失或利得及汇兑损益计入当期损益，其他利得或损失计入其他综合收益。终止确认时，将之前计入其他综合收益的累计利得或损失从其他综合收益中转出，计入当期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③以公允价值计量且其变动计入其他综合收益的权益工具投资</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采用公允价值进行后续计量。获得的股利（属于投资成本收回部分的除外）计入当期损益，其他利得或损失计入其他综合收益。终止确认时，将之前计入其他综合收益的累计利得或损失从其他综合收益中转出，计入留存收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④以公允价值计量且其变动计入当期损益的金融资产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采用公允价值进行后续计量，产生的利得或损失（包括利息和股利收入）计入当期损益，除非该金融资产属于套期关系的一部分。</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3）金融负债的后续计量方法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①以公允价值计量且其变动计入当期损益的金融负债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此类金融负债包括交易性金融负债（含属于金融负债的衍生工具）和指定为以公允价值计量且其变动计入当期损益的金融负债。对于此类金融负债以公允价值进行后续计量。因公司自身信用风险变动引起的指定为以公允价值计量且其变动计入当期损益的金融负债的公允价值变动金额计入其他综合收益，除非该处理会造成或扩大损益中的会计错配。此类金融负债产生的其他利得或损失（包括利息费用、除因公司自身信用风险变动引起的公允价值变动）计入当期损益，除非该金融负债属于套期关系的一部分。终止确认时，将之前计入其他综合收益的累计利得或损失从其他综合收益中转出，计入留存收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②金融资产转移不符合终止确认条件或继续涉入被转移金融资产所形成的金融负债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按照《企业会计准则第23号——金融资产转移》相关规定进行计量。</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③不属于上述①或②的财务担保合同，以及不属于上述①并以低于市场利率贷款的贷款承诺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在初始确认后按照下列两项金额之中的较高者进行后续计量：按照金融工具的减值规定确定的损失准备金额；初始确认金额扣除按照《企业会计准则第14号——收入》相关规定所确定的累计摊销额后的余额。</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④以摊余成本计量的金融负债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采用实际利率法以摊余成本计量。以摊余成本计量且不属于任何套期关系的一部分的金融负债所产生的利得或损失，在终止确认、按照实际利率法摊销时计入当期损益。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4）金融资产和金融负债的终止确认</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①当满足下列条件之一时，终止确认金融资产：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收取金融资产现金流量的合同权利已终止；</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金融资产已转移，且该转移满足《企业会计准则第23号——金融资产转移》关于金融资产终止确认的规定。</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②当金融负债（或其一部分）的现时义务已经解除时，相应终止确认该金融负债（或该部分金融负债）。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（3）金融资产转移的确认依据和计量方法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转移了金融资产所有权上几乎所有的风险和报酬的，终止确认该金融资产，并将转移中产生或保留的权利和义务单独确认为资产或负债；保留了金融资产所有权上几乎所有的风险和报酬的，继续确认所转移的金融资产。公司既没有转移也没有保留金融资产所有权上几乎所有的风险和报酬的，分别下列情况处理：1）未保留对该金融资产控制的，终止确认该金融资产，并将转移中产生或保留的权利和义务单独确认为资产或负债；2）保留了对该金融资产控制的，按照继续涉入所转移金融资产的程度确认有关金融资产，并相应确认有关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整体转移满足终止确认条件的，将下列两项金额的差额计入当期损益：1）所转移金融资产在终止确认日的账面价值；2）因转移金融资产而收到的对价，与原直接计入其他综合收益的公允价值变动累计额中对应终止确认部分的金额（涉及转移的金融资产为以公允价值计量且其变动计入其他综合收益的债务工具投资）之和。转移了金融资产的一部分，且该被转移部分整体满足终止确认条件的，将转移前金融资产整体的账面价值，在终止确认部分和继续确认部分之间，按照转移日各自的相对公允价值进行分摊，并将下列两项金额的差额计入当期损益：1）终止确认部分的账面价值；2）终止确认部分的对价，与原直接计入其他综合收益的公允价值变动累计额中对应终止确认部分的金额（涉及转移的金融资产为以公允价值计量且其变动计入其他综合收益的债务工具投资）之和。</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（4）金融资产和金融负债的公允价值确定方法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公司采用在当前情况下适用并且有足够可利用数据和其他信息支持的估值技术确定相关金融资产和金融负债的公允价值。公司将估值技术使用的输入值分以下层级，并依次使用：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1）第一层次输入值是在计量日能够取得的相同资产或负债在活跃市场上未经调整的报价；</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第二层次输入值是除第一层次输入值外相关资产或负债直接或间接可观察的输入值，包括：活跃市场中类似资产或负债的报价；非活跃市场中相同或类似资产或负债的报价；除报价以外的其他可观察输入值，如在正常报价间隔期间可观察的利率和收益率曲线等；市场验证的输入值等；</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3）第三层次输入值是相关资产或负债的不可观察输入值，包括不能直接观察或无法由可观察市场数据验证的利率、股票波动率、企业合并中承担的弃置义务的未来现金流量、使用自身数据作出的财务预测等。</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（5）金融工具减值</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以预期信用损失为基础，对以摊余成本计量的金融资产、以公允价值计量且其变动计入其他综合收益的债务工具投资、合同资产、租赁应收款、分类为以公允价值计量且其变动计入当期损益的金融负债以外的贷款承诺、不属于以公允价值计量且其变动计入当期损益的金融负债或不属于金融资产转移不符合终止确认条件或继续涉入被转移金融资产所形成的金融负债的财务担保合同进行减值处理并确认损失准备。</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预期信用损失，是指以发生违约的风险为权重的金融工具信用损失的加权平均值。信用损失，是指公司按照原实际利率折现的、根据合同应收的所有合同现金流量与预期收取的所有现金流量之间的差额，即全部现金短缺的现值。其中，对于公司购买或源生的已发生信用减值的金融资产，按照该金融资产经信用调整的实际利率折现。</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对于购买或源生的已发生信用减值的金融资产，公司在资产负债表日仅将自初始确认后整个存续期内预期信用损失的累计变动确认为损失准备。</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对于由《企业会计准则第14号——收入》规范的交易形成，且不含重大融资成分或者公司不考虑不超过一年的合同中的融资成分的应收款项及合同资产，公司运用简化计量方法，按照相当于整个存续期内的预期信用损失金额计量损失准备。</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除上述计量方法以外的金融资产，公司在每个资产负债表日评估其信用风险自初始确认后是否已经显著增加。如果信用风险自初始确认后已显著增加，公司按照整个存续期内预期信用损失的金额计量损失准备；如果信用风险自初始确认后未显著增加，公司按照该金融工具未来12个月内预期信用损失的金额计量损失准备。</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公司利用可获得的合理且有依据的信息，包括前瞻性信息，通过比较金融工具在资产负债表日发生违约的风险与在初始确认日发生违约的风险，以确定金融工具的信用风险自初始确认后是否已显著增加。</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于资产负债表日，若公司判断金融工具只具有较低的信用风险，则假定该金融工具的信用风险自初始确认后并未显著增加。</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公司以单项金融工具或金融工具组合为基础评估预期信用风险和计量预期信用损失。当以金融工具组合为基础时，公司以共同风险特征为依据，将金融工具划分为不同组合。</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在每个资产负债表日重新计量预期信用损失，由此形成的损失准备的增加或转回金额，作为减值损失或利得计入当期损益。对于以摊余成本计量的金融资产，损失准备抵减该金融资产在资产负债表中列示的账面价值；对于以公允价值计量且其变动计入其他综合收益的债权投资，公司在其他综合收益中确认其损失准备，不抵减该金融资产的账面价值。</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（6）金融资产和金融负债的抵销</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和金融负债在资产负债表内分别列示，不相互抵销。但同时满足下列条件的，公司以相互抵销后的净额在资产负债表内列示：1）公司具有抵销已确认金额的法定权利，且该种法定权利是当前可执行的；2）公司计划以净额结算，或同时变现该金融资产和清偿该金融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不满足终止确认条件的金融资产转移，公司不对已转移的金融资产和相关负债进行抵销。</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（7）应收款项预期信用损失的确认标准和计提方法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1）按信用风险特征组合计提预期信用损失的应收款项</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9"/>
            <w:gridCol w:w="3055"/>
            <w:gridCol w:w="3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1624" w:type="pct"/>
                <w:vAlign w:val="center"/>
              </w:tcPr>
              <w:p>
                <w:pPr>
                  <w:jc w:val="center"/>
                  <w:rPr>
                    <w:rFonts w:cs="Times New Roman"/>
                    <w:sz w:val="20"/>
                    <w:szCs w:val="20"/>
                  </w:rPr>
                </w:pPr>
                <w:r>
                  <w:rPr>
                    <w:rFonts w:hint="eastAsia" w:cs="Times New Roman"/>
                    <w:sz w:val="20"/>
                    <w:szCs w:val="20"/>
                  </w:rPr>
                  <w:t>组合类别</w:t>
                </w:r>
              </w:p>
            </w:tc>
            <w:tc>
              <w:tcPr>
                <w:tcW w:w="1688" w:type="pct"/>
                <w:vAlign w:val="center"/>
              </w:tcPr>
              <w:p>
                <w:pPr>
                  <w:jc w:val="center"/>
                  <w:rPr>
                    <w:rFonts w:cs="Times New Roman"/>
                    <w:sz w:val="20"/>
                    <w:szCs w:val="20"/>
                  </w:rPr>
                </w:pPr>
                <w:r>
                  <w:rPr>
                    <w:rFonts w:hint="eastAsia" w:cs="Times New Roman"/>
                    <w:sz w:val="20"/>
                    <w:szCs w:val="20"/>
                  </w:rPr>
                  <w:t>确定组合的依据</w:t>
                </w:r>
              </w:p>
            </w:tc>
            <w:tc>
              <w:tcPr>
                <w:tcW w:w="1688" w:type="pct"/>
                <w:vAlign w:val="center"/>
              </w:tcPr>
              <w:p>
                <w:pPr>
                  <w:jc w:val="center"/>
                  <w:rPr>
                    <w:rFonts w:cs="Times New Roman"/>
                    <w:sz w:val="20"/>
                    <w:szCs w:val="20"/>
                  </w:rPr>
                </w:pPr>
                <w:r>
                  <w:rPr>
                    <w:rFonts w:hint="eastAsia" w:cs="Times New Roman"/>
                    <w:sz w:val="20"/>
                    <w:szCs w:val="20"/>
                  </w:rPr>
                  <w:t>计量预期信用损失的方法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24" w:type="pct"/>
                <w:vAlign w:val="center"/>
              </w:tcPr>
              <w:p>
                <w:pPr>
                  <w:jc w:val="both"/>
                  <w:rPr>
                    <w:rFonts w:cs="Times New Roman"/>
                    <w:sz w:val="20"/>
                    <w:szCs w:val="20"/>
                  </w:rPr>
                </w:pPr>
                <w:r>
                  <w:rPr>
                    <w:rFonts w:hint="eastAsia" w:cs="Times New Roman"/>
                    <w:sz w:val="20"/>
                    <w:szCs w:val="20"/>
                  </w:rPr>
                  <w:t>应收银行承兑汇票</w:t>
                </w:r>
              </w:p>
            </w:tc>
            <w:tc>
              <w:tcPr>
                <w:tcW w:w="1688" w:type="pct"/>
                <w:vMerge w:val="restart"/>
                <w:vAlign w:val="center"/>
              </w:tcPr>
              <w:p>
                <w:pPr>
                  <w:jc w:val="both"/>
                  <w:rPr>
                    <w:rFonts w:cs="Times New Roman"/>
                    <w:sz w:val="20"/>
                    <w:szCs w:val="20"/>
                  </w:rPr>
                </w:pPr>
                <w:r>
                  <w:rPr>
                    <w:rFonts w:hint="eastAsia" w:cs="Times New Roman"/>
                    <w:sz w:val="20"/>
                    <w:szCs w:val="20"/>
                  </w:rPr>
                  <w:t>票据类型</w:t>
                </w:r>
              </w:p>
            </w:tc>
            <w:tc>
              <w:tcPr>
                <w:tcW w:w="1688" w:type="pct"/>
                <w:vMerge w:val="restart"/>
                <w:vAlign w:val="center"/>
              </w:tcPr>
              <w:p>
                <w:pPr>
                  <w:jc w:val="both"/>
                  <w:rPr>
                    <w:rFonts w:cs="Times New Roman"/>
                    <w:sz w:val="20"/>
                    <w:szCs w:val="20"/>
                  </w:rPr>
                </w:pPr>
                <w:r>
                  <w:rPr>
                    <w:rFonts w:hint="eastAsia" w:cs="Times New Roman"/>
                    <w:sz w:val="20"/>
                    <w:szCs w:val="20"/>
                  </w:rPr>
                  <w:t>参考历史信用损失经验，结合当前状况以及对未来经济状况的预测，通过违约风险敞口和整个存续期预期信用损失率，计算预期信用损失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24" w:type="pct"/>
                <w:vAlign w:val="center"/>
              </w:tcPr>
              <w:p>
                <w:pPr>
                  <w:jc w:val="both"/>
                  <w:rPr>
                    <w:rFonts w:cs="Times New Roman"/>
                    <w:sz w:val="20"/>
                    <w:szCs w:val="20"/>
                  </w:rPr>
                </w:pPr>
                <w:r>
                  <w:rPr>
                    <w:rFonts w:hint="eastAsia" w:cs="Times New Roman"/>
                    <w:sz w:val="20"/>
                    <w:szCs w:val="20"/>
                  </w:rPr>
                  <w:t>应收商业承兑汇票</w:t>
                </w:r>
              </w:p>
            </w:tc>
            <w:tc>
              <w:tcPr>
                <w:tcW w:w="1688" w:type="pct"/>
                <w:vMerge w:val="continue"/>
                <w:vAlign w:val="center"/>
              </w:tcPr>
              <w:p>
                <w:pPr>
                  <w:jc w:val="both"/>
                  <w:rPr>
                    <w:rFonts w:cs="Times New Roman"/>
                    <w:sz w:val="20"/>
                    <w:szCs w:val="20"/>
                  </w:rPr>
                </w:pPr>
              </w:p>
            </w:tc>
            <w:tc>
              <w:tcPr>
                <w:tcW w:w="1688" w:type="pct"/>
                <w:vMerge w:val="continue"/>
                <w:vAlign w:val="center"/>
              </w:tcPr>
              <w:p>
                <w:pPr>
                  <w:jc w:val="both"/>
                  <w:rPr>
                    <w:rFonts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24" w:type="pct"/>
                <w:vAlign w:val="center"/>
              </w:tcPr>
              <w:p>
                <w:pPr>
                  <w:jc w:val="both"/>
                  <w:rPr>
                    <w:rFonts w:cs="Times New Roman"/>
                    <w:sz w:val="20"/>
                    <w:szCs w:val="20"/>
                  </w:rPr>
                </w:pPr>
                <w:r>
                  <w:rPr>
                    <w:rFonts w:hint="eastAsia" w:cs="Times New Roman"/>
                    <w:sz w:val="20"/>
                    <w:szCs w:val="20"/>
                  </w:rPr>
                  <w:t>应收供应链金融电子债权凭证</w:t>
                </w:r>
              </w:p>
            </w:tc>
            <w:tc>
              <w:tcPr>
                <w:tcW w:w="1688" w:type="pct"/>
                <w:vMerge w:val="continue"/>
                <w:vAlign w:val="center"/>
              </w:tcPr>
              <w:p>
                <w:pPr>
                  <w:jc w:val="both"/>
                  <w:rPr>
                    <w:rFonts w:cs="Times New Roman"/>
                    <w:sz w:val="20"/>
                    <w:szCs w:val="20"/>
                  </w:rPr>
                </w:pPr>
              </w:p>
            </w:tc>
            <w:tc>
              <w:tcPr>
                <w:tcW w:w="1688" w:type="pct"/>
                <w:vMerge w:val="continue"/>
                <w:vAlign w:val="center"/>
              </w:tcPr>
              <w:p>
                <w:pPr>
                  <w:jc w:val="both"/>
                  <w:rPr>
                    <w:rFonts w:cs="Times New Roman"/>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24" w:type="pct"/>
                <w:vAlign w:val="center"/>
              </w:tcPr>
              <w:p>
                <w:pPr>
                  <w:jc w:val="both"/>
                  <w:rPr>
                    <w:rFonts w:cs="Times New Roman"/>
                    <w:sz w:val="20"/>
                    <w:szCs w:val="20"/>
                  </w:rPr>
                </w:pPr>
                <w:r>
                  <w:rPr>
                    <w:rFonts w:hint="eastAsia" w:cs="Times New Roman"/>
                    <w:sz w:val="20"/>
                    <w:szCs w:val="20"/>
                  </w:rPr>
                  <w:t>应收账款—账龄组合</w:t>
                </w:r>
              </w:p>
            </w:tc>
            <w:tc>
              <w:tcPr>
                <w:tcW w:w="1688" w:type="pct"/>
                <w:vAlign w:val="center"/>
              </w:tcPr>
              <w:p>
                <w:pPr>
                  <w:jc w:val="both"/>
                  <w:rPr>
                    <w:rFonts w:cs="Times New Roman"/>
                    <w:sz w:val="20"/>
                    <w:szCs w:val="20"/>
                  </w:rPr>
                </w:pPr>
                <w:r>
                  <w:rPr>
                    <w:rFonts w:hint="eastAsia" w:cs="Times New Roman"/>
                    <w:sz w:val="20"/>
                    <w:szCs w:val="20"/>
                  </w:rPr>
                  <w:t>账龄</w:t>
                </w:r>
              </w:p>
            </w:tc>
            <w:tc>
              <w:tcPr>
                <w:tcW w:w="1688" w:type="pct"/>
                <w:vAlign w:val="center"/>
              </w:tcPr>
              <w:p>
                <w:pPr>
                  <w:jc w:val="both"/>
                  <w:rPr>
                    <w:rFonts w:cs="Times New Roman"/>
                    <w:sz w:val="20"/>
                    <w:szCs w:val="20"/>
                  </w:rPr>
                </w:pPr>
                <w:r>
                  <w:rPr>
                    <w:rFonts w:hint="eastAsia" w:cs="Times New Roman"/>
                    <w:sz w:val="20"/>
                    <w:szCs w:val="20"/>
                  </w:rPr>
                  <w:t>参考历史信用损失经验，结合当前状况以及对未来经济状况的预测，编制应收账款账龄与预期信用损失率对照表，计算预期信用损失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24" w:type="pct"/>
                <w:vAlign w:val="center"/>
              </w:tcPr>
              <w:p>
                <w:pPr>
                  <w:jc w:val="both"/>
                  <w:rPr>
                    <w:rFonts w:cs="Times New Roman"/>
                    <w:sz w:val="20"/>
                    <w:szCs w:val="20"/>
                  </w:rPr>
                </w:pPr>
                <w:r>
                  <w:rPr>
                    <w:rFonts w:hint="eastAsia" w:cs="Times New Roman"/>
                    <w:sz w:val="20"/>
                    <w:szCs w:val="20"/>
                  </w:rPr>
                  <w:t>应收账款—合并范围内关联方组合</w:t>
                </w:r>
              </w:p>
            </w:tc>
            <w:tc>
              <w:tcPr>
                <w:tcW w:w="1688" w:type="pct"/>
                <w:vAlign w:val="center"/>
              </w:tcPr>
              <w:p>
                <w:pPr>
                  <w:jc w:val="both"/>
                  <w:rPr>
                    <w:rFonts w:cs="Times New Roman"/>
                    <w:sz w:val="20"/>
                    <w:szCs w:val="20"/>
                  </w:rPr>
                </w:pPr>
                <w:r>
                  <w:rPr>
                    <w:rFonts w:hint="eastAsia" w:cs="Times New Roman"/>
                    <w:sz w:val="20"/>
                    <w:szCs w:val="20"/>
                  </w:rPr>
                  <w:t>合并范围内关联方</w:t>
                </w:r>
              </w:p>
            </w:tc>
            <w:tc>
              <w:tcPr>
                <w:tcW w:w="1688" w:type="pct"/>
                <w:vAlign w:val="center"/>
              </w:tcPr>
              <w:p>
                <w:pPr>
                  <w:jc w:val="both"/>
                  <w:rPr>
                    <w:rFonts w:cs="Times New Roman"/>
                    <w:sz w:val="20"/>
                    <w:szCs w:val="20"/>
                  </w:rPr>
                </w:pPr>
                <w:r>
                  <w:rPr>
                    <w:rFonts w:hint="eastAsia" w:cs="Times New Roman"/>
                    <w:sz w:val="20"/>
                    <w:szCs w:val="20"/>
                  </w:rPr>
                  <w:t>参考历史信用损失经验，结合当前状况以及对未来经济状况的预测，通过违约风险敞口和整个存续期预期信用损失率，计算预期信用损失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24" w:type="pct"/>
                <w:vAlign w:val="center"/>
              </w:tcPr>
              <w:p>
                <w:pPr>
                  <w:jc w:val="both"/>
                  <w:rPr>
                    <w:rFonts w:cs="Times New Roman"/>
                    <w:sz w:val="20"/>
                    <w:szCs w:val="20"/>
                  </w:rPr>
                </w:pPr>
                <w:r>
                  <w:rPr>
                    <w:rFonts w:hint="eastAsia" w:cs="Times New Roman"/>
                    <w:sz w:val="20"/>
                    <w:szCs w:val="20"/>
                  </w:rPr>
                  <w:t>其他应收款—合并范围内关联方组合</w:t>
                </w:r>
              </w:p>
            </w:tc>
            <w:tc>
              <w:tcPr>
                <w:tcW w:w="1688" w:type="pct"/>
                <w:vAlign w:val="center"/>
              </w:tcPr>
              <w:p>
                <w:pPr>
                  <w:jc w:val="both"/>
                  <w:rPr>
                    <w:rFonts w:cs="Times New Roman"/>
                    <w:sz w:val="20"/>
                    <w:szCs w:val="20"/>
                  </w:rPr>
                </w:pPr>
                <w:r>
                  <w:rPr>
                    <w:rFonts w:hint="eastAsia" w:cs="Times New Roman"/>
                    <w:sz w:val="20"/>
                    <w:szCs w:val="20"/>
                  </w:rPr>
                  <w:t>合并范围内关联方</w:t>
                </w:r>
              </w:p>
            </w:tc>
            <w:tc>
              <w:tcPr>
                <w:tcW w:w="1688" w:type="pct"/>
                <w:vAlign w:val="center"/>
              </w:tcPr>
              <w:p>
                <w:pPr>
                  <w:jc w:val="both"/>
                  <w:rPr>
                    <w:rFonts w:cs="Times New Roman"/>
                    <w:sz w:val="20"/>
                    <w:szCs w:val="20"/>
                  </w:rPr>
                </w:pPr>
                <w:r>
                  <w:rPr>
                    <w:rFonts w:hint="eastAsia" w:cs="Times New Roman"/>
                    <w:sz w:val="20"/>
                    <w:szCs w:val="20"/>
                  </w:rPr>
                  <w:t>参考历史信用损失经验，结合当前状况以及对未来经济状况的预测，通过违约风险敞口和未来12个月内或整个存续期预期信用损失率，计算预期信用损失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24" w:type="pct"/>
                <w:vAlign w:val="center"/>
              </w:tcPr>
              <w:p>
                <w:pPr>
                  <w:jc w:val="both"/>
                  <w:rPr>
                    <w:rFonts w:cs="Times New Roman"/>
                    <w:sz w:val="20"/>
                    <w:szCs w:val="20"/>
                  </w:rPr>
                </w:pPr>
                <w:r>
                  <w:rPr>
                    <w:rFonts w:hint="eastAsia" w:cs="Times New Roman"/>
                    <w:sz w:val="20"/>
                    <w:szCs w:val="20"/>
                  </w:rPr>
                  <w:t>其他应收款—账龄组合</w:t>
                </w:r>
              </w:p>
            </w:tc>
            <w:tc>
              <w:tcPr>
                <w:tcW w:w="1688" w:type="pct"/>
                <w:vAlign w:val="center"/>
              </w:tcPr>
              <w:p>
                <w:pPr>
                  <w:jc w:val="both"/>
                  <w:rPr>
                    <w:rFonts w:cs="Times New Roman"/>
                    <w:sz w:val="20"/>
                    <w:szCs w:val="20"/>
                  </w:rPr>
                </w:pPr>
                <w:r>
                  <w:rPr>
                    <w:rFonts w:hint="eastAsia" w:cs="Times New Roman"/>
                    <w:sz w:val="20"/>
                    <w:szCs w:val="20"/>
                  </w:rPr>
                  <w:t>账龄</w:t>
                </w:r>
              </w:p>
            </w:tc>
            <w:tc>
              <w:tcPr>
                <w:tcW w:w="1688" w:type="pct"/>
                <w:vAlign w:val="center"/>
              </w:tcPr>
              <w:p>
                <w:pPr>
                  <w:jc w:val="both"/>
                  <w:rPr>
                    <w:rFonts w:cs="Times New Roman"/>
                    <w:sz w:val="20"/>
                    <w:szCs w:val="20"/>
                  </w:rPr>
                </w:pPr>
                <w:r>
                  <w:rPr>
                    <w:rFonts w:hint="eastAsia" w:cs="Times New Roman"/>
                    <w:sz w:val="20"/>
                    <w:szCs w:val="20"/>
                  </w:rPr>
                  <w:t>参考历史信用损失经验，结合当前状况以及对未来经济状况的预测，编制其他应收款账龄与预期信用损失率对照表，计算预期信用损失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24" w:type="pct"/>
                <w:vAlign w:val="center"/>
              </w:tcPr>
              <w:p>
                <w:pPr>
                  <w:jc w:val="both"/>
                  <w:rPr>
                    <w:rFonts w:cs="Times New Roman"/>
                    <w:sz w:val="20"/>
                    <w:szCs w:val="20"/>
                  </w:rPr>
                </w:pPr>
                <w:r>
                  <w:rPr>
                    <w:rFonts w:hint="eastAsia"/>
                  </w:rPr>
                  <w:t>长期应收款-分期收款销售商品组合</w:t>
                </w:r>
              </w:p>
            </w:tc>
            <w:tc>
              <w:tcPr>
                <w:tcW w:w="1688" w:type="pct"/>
                <w:vAlign w:val="center"/>
              </w:tcPr>
              <w:p>
                <w:pPr>
                  <w:jc w:val="both"/>
                  <w:rPr>
                    <w:rFonts w:cs="Times New Roman"/>
                    <w:sz w:val="20"/>
                    <w:szCs w:val="20"/>
                  </w:rPr>
                </w:pPr>
                <w:r>
                  <w:rPr>
                    <w:rFonts w:hint="eastAsia"/>
                  </w:rPr>
                  <w:t>分期收款销售商品</w:t>
                </w:r>
              </w:p>
            </w:tc>
            <w:tc>
              <w:tcPr>
                <w:tcW w:w="1688" w:type="pct"/>
              </w:tcPr>
              <w:p>
                <w:pPr>
                  <w:jc w:val="both"/>
                  <w:rPr>
                    <w:rFonts w:cs="Times New Roman"/>
                    <w:sz w:val="20"/>
                    <w:szCs w:val="20"/>
                  </w:rPr>
                </w:pPr>
                <w:r>
                  <w:rPr>
                    <w:rFonts w:hint="eastAsia"/>
                  </w:rPr>
                  <w:t>参考历史信用损失经验，结合当前状况以及对未来经济状况的预测，通过违约风险敞口和整个存续期预期信用损失率，计算预期信用损失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24" w:type="pct"/>
                <w:vAlign w:val="center"/>
              </w:tcPr>
              <w:p>
                <w:pPr>
                  <w:jc w:val="both"/>
                  <w:rPr>
                    <w:rFonts w:cs="Times New Roman"/>
                    <w:sz w:val="20"/>
                    <w:szCs w:val="20"/>
                  </w:rPr>
                </w:pPr>
                <w:r>
                  <w:rPr>
                    <w:rFonts w:hint="eastAsia"/>
                  </w:rPr>
                  <w:t>长期应收款—其他组合</w:t>
                </w:r>
              </w:p>
            </w:tc>
            <w:tc>
              <w:tcPr>
                <w:tcW w:w="1688" w:type="pct"/>
                <w:vAlign w:val="center"/>
              </w:tcPr>
              <w:p>
                <w:pPr>
                  <w:jc w:val="both"/>
                  <w:rPr>
                    <w:rFonts w:cs="Times New Roman"/>
                    <w:sz w:val="20"/>
                    <w:szCs w:val="20"/>
                  </w:rPr>
                </w:pPr>
                <w:r>
                  <w:rPr>
                    <w:rFonts w:hint="eastAsia"/>
                  </w:rPr>
                  <w:t>账龄</w:t>
                </w:r>
              </w:p>
            </w:tc>
            <w:tc>
              <w:tcPr>
                <w:tcW w:w="1688" w:type="pct"/>
              </w:tcPr>
              <w:p>
                <w:pPr>
                  <w:jc w:val="both"/>
                  <w:rPr>
                    <w:rFonts w:cs="Times New Roman"/>
                    <w:sz w:val="20"/>
                    <w:szCs w:val="20"/>
                  </w:rPr>
                </w:pPr>
                <w:r>
                  <w:rPr>
                    <w:rFonts w:hint="eastAsia"/>
                  </w:rPr>
                  <w:t>参考历史信用损失经验，结合当前状况以及对未来经济状况的预测，编制长期应收款账龄与预期信用损失率对照表，计算预期信用损失</w:t>
                </w:r>
              </w:p>
            </w:tc>
          </w:tr>
        </w:tbl>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2）账龄组合的账龄与预期信用损失率对照表</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5"/>
            <w:gridCol w:w="2331"/>
            <w:gridCol w:w="2461"/>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992" w:type="pct"/>
                <w:vAlign w:val="center"/>
              </w:tcPr>
              <w:p>
                <w:pPr>
                  <w:jc w:val="center"/>
                  <w:rPr>
                    <w:rFonts w:cs="Times New Roman"/>
                    <w:sz w:val="20"/>
                    <w:szCs w:val="20"/>
                  </w:rPr>
                </w:pPr>
                <w:r>
                  <w:rPr>
                    <w:rFonts w:hint="eastAsia" w:cs="Times New Roman"/>
                    <w:sz w:val="20"/>
                    <w:szCs w:val="20"/>
                  </w:rPr>
                  <w:t>账龄</w:t>
                </w:r>
              </w:p>
            </w:tc>
            <w:tc>
              <w:tcPr>
                <w:tcW w:w="1288" w:type="pct"/>
                <w:vAlign w:val="center"/>
              </w:tcPr>
              <w:p>
                <w:pPr>
                  <w:jc w:val="center"/>
                  <w:rPr>
                    <w:rFonts w:cs="Times New Roman"/>
                    <w:sz w:val="20"/>
                    <w:szCs w:val="20"/>
                  </w:rPr>
                </w:pPr>
                <w:r>
                  <w:rPr>
                    <w:rFonts w:hint="eastAsia" w:cs="Times New Roman"/>
                    <w:sz w:val="20"/>
                    <w:szCs w:val="20"/>
                  </w:rPr>
                  <w:t>应收账款预期信用损失率（%）</w:t>
                </w:r>
              </w:p>
            </w:tc>
            <w:tc>
              <w:tcPr>
                <w:tcW w:w="1360" w:type="pct"/>
                <w:vAlign w:val="center"/>
              </w:tcPr>
              <w:p>
                <w:pPr>
                  <w:jc w:val="center"/>
                  <w:rPr>
                    <w:rFonts w:cs="Times New Roman"/>
                    <w:sz w:val="20"/>
                    <w:szCs w:val="20"/>
                  </w:rPr>
                </w:pPr>
                <w:r>
                  <w:rPr>
                    <w:rFonts w:hint="eastAsia" w:cs="Times New Roman"/>
                    <w:sz w:val="20"/>
                    <w:szCs w:val="20"/>
                  </w:rPr>
                  <w:t>其他应收款预期信用损失率（%）</w:t>
                </w:r>
              </w:p>
            </w:tc>
            <w:tc>
              <w:tcPr>
                <w:tcW w:w="1360" w:type="pct"/>
              </w:tcPr>
              <w:p>
                <w:pPr>
                  <w:jc w:val="center"/>
                  <w:rPr>
                    <w:rFonts w:cs="Times New Roman"/>
                    <w:sz w:val="20"/>
                    <w:szCs w:val="20"/>
                  </w:rPr>
                </w:pPr>
                <w:r>
                  <w:rPr>
                    <w:rFonts w:hint="eastAsia"/>
                  </w:rPr>
                  <w:t>长期应收款预期信用损失率（%）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2" w:type="pct"/>
                <w:vAlign w:val="center"/>
              </w:tcPr>
              <w:p>
                <w:pPr>
                  <w:jc w:val="both"/>
                  <w:rPr>
                    <w:rFonts w:cs="Times New Roman"/>
                    <w:sz w:val="20"/>
                    <w:szCs w:val="20"/>
                  </w:rPr>
                </w:pPr>
                <w:r>
                  <w:rPr>
                    <w:rFonts w:hint="eastAsia" w:cs="Times New Roman"/>
                    <w:sz w:val="20"/>
                    <w:szCs w:val="20"/>
                  </w:rPr>
                  <w:t>1年以内（含，下同）</w:t>
                </w:r>
              </w:p>
            </w:tc>
            <w:tc>
              <w:tcPr>
                <w:tcW w:w="1288" w:type="pct"/>
                <w:vAlign w:val="center"/>
              </w:tcPr>
              <w:p>
                <w:pPr>
                  <w:jc w:val="center"/>
                  <w:rPr>
                    <w:rFonts w:cs="Times New Roman"/>
                    <w:sz w:val="20"/>
                    <w:szCs w:val="20"/>
                  </w:rPr>
                </w:pPr>
                <w:r>
                  <w:rPr>
                    <w:rFonts w:hint="eastAsia" w:cs="Times New Roman"/>
                    <w:sz w:val="20"/>
                    <w:szCs w:val="20"/>
                  </w:rPr>
                  <w:t>5.00</w:t>
                </w:r>
              </w:p>
            </w:tc>
            <w:tc>
              <w:tcPr>
                <w:tcW w:w="1360" w:type="pct"/>
                <w:vAlign w:val="center"/>
              </w:tcPr>
              <w:p>
                <w:pPr>
                  <w:jc w:val="center"/>
                  <w:rPr>
                    <w:rFonts w:cs="Times New Roman"/>
                    <w:sz w:val="20"/>
                    <w:szCs w:val="20"/>
                  </w:rPr>
                </w:pPr>
                <w:r>
                  <w:rPr>
                    <w:rFonts w:hint="eastAsia" w:cs="Times New Roman"/>
                    <w:sz w:val="20"/>
                    <w:szCs w:val="20"/>
                  </w:rPr>
                  <w:t>5.00</w:t>
                </w:r>
              </w:p>
            </w:tc>
            <w:tc>
              <w:tcPr>
                <w:tcW w:w="1360" w:type="pct"/>
                <w:vAlign w:val="center"/>
              </w:tcPr>
              <w:p>
                <w:pPr>
                  <w:jc w:val="center"/>
                  <w:rPr>
                    <w:rFonts w:cs="Times New Roman"/>
                    <w:sz w:val="20"/>
                    <w:szCs w:val="20"/>
                  </w:rPr>
                </w:pPr>
                <w: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2" w:type="pct"/>
                <w:vAlign w:val="center"/>
              </w:tcPr>
              <w:p>
                <w:pPr>
                  <w:jc w:val="both"/>
                  <w:rPr>
                    <w:rFonts w:cs="Times New Roman"/>
                    <w:sz w:val="20"/>
                    <w:szCs w:val="20"/>
                  </w:rPr>
                </w:pPr>
                <w:r>
                  <w:rPr>
                    <w:rFonts w:hint="eastAsia" w:cs="Times New Roman"/>
                    <w:sz w:val="20"/>
                    <w:szCs w:val="20"/>
                  </w:rPr>
                  <w:t>1-2年</w:t>
                </w:r>
              </w:p>
            </w:tc>
            <w:tc>
              <w:tcPr>
                <w:tcW w:w="1288" w:type="pct"/>
                <w:vAlign w:val="center"/>
              </w:tcPr>
              <w:p>
                <w:pPr>
                  <w:jc w:val="center"/>
                  <w:rPr>
                    <w:rFonts w:cs="Times New Roman"/>
                    <w:sz w:val="20"/>
                    <w:szCs w:val="20"/>
                  </w:rPr>
                </w:pPr>
                <w:r>
                  <w:rPr>
                    <w:rFonts w:hint="eastAsia" w:cs="Times New Roman"/>
                    <w:sz w:val="20"/>
                    <w:szCs w:val="20"/>
                  </w:rPr>
                  <w:t>10.00</w:t>
                </w:r>
              </w:p>
            </w:tc>
            <w:tc>
              <w:tcPr>
                <w:tcW w:w="1360" w:type="pct"/>
                <w:vAlign w:val="center"/>
              </w:tcPr>
              <w:p>
                <w:pPr>
                  <w:jc w:val="center"/>
                  <w:rPr>
                    <w:rFonts w:cs="Times New Roman"/>
                    <w:sz w:val="20"/>
                    <w:szCs w:val="20"/>
                  </w:rPr>
                </w:pPr>
                <w:r>
                  <w:rPr>
                    <w:rFonts w:hint="eastAsia" w:cs="Times New Roman"/>
                    <w:sz w:val="20"/>
                    <w:szCs w:val="20"/>
                  </w:rPr>
                  <w:t>10.00</w:t>
                </w:r>
              </w:p>
            </w:tc>
            <w:tc>
              <w:tcPr>
                <w:tcW w:w="1360" w:type="pct"/>
                <w:vAlign w:val="center"/>
              </w:tcPr>
              <w:p>
                <w:pPr>
                  <w:jc w:val="center"/>
                  <w:rPr>
                    <w:rFonts w:cs="Times New Roman"/>
                    <w:sz w:val="20"/>
                    <w:szCs w:val="20"/>
                  </w:rPr>
                </w:pPr>
                <w: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2" w:type="pct"/>
                <w:vAlign w:val="center"/>
              </w:tcPr>
              <w:p>
                <w:pPr>
                  <w:jc w:val="both"/>
                  <w:rPr>
                    <w:rFonts w:cs="Times New Roman"/>
                    <w:sz w:val="20"/>
                    <w:szCs w:val="20"/>
                  </w:rPr>
                </w:pPr>
                <w:r>
                  <w:rPr>
                    <w:rFonts w:hint="eastAsia" w:cs="Times New Roman"/>
                    <w:sz w:val="20"/>
                    <w:szCs w:val="20"/>
                  </w:rPr>
                  <w:t>2-3年</w:t>
                </w:r>
              </w:p>
            </w:tc>
            <w:tc>
              <w:tcPr>
                <w:tcW w:w="1288" w:type="pct"/>
                <w:vAlign w:val="center"/>
              </w:tcPr>
              <w:p>
                <w:pPr>
                  <w:jc w:val="center"/>
                  <w:rPr>
                    <w:rFonts w:cs="Times New Roman"/>
                    <w:sz w:val="20"/>
                    <w:szCs w:val="20"/>
                  </w:rPr>
                </w:pPr>
                <w:r>
                  <w:rPr>
                    <w:rFonts w:hint="eastAsia" w:cs="Times New Roman"/>
                    <w:sz w:val="20"/>
                    <w:szCs w:val="20"/>
                  </w:rPr>
                  <w:t>20.00</w:t>
                </w:r>
              </w:p>
            </w:tc>
            <w:tc>
              <w:tcPr>
                <w:tcW w:w="1360" w:type="pct"/>
                <w:vAlign w:val="center"/>
              </w:tcPr>
              <w:p>
                <w:pPr>
                  <w:jc w:val="center"/>
                  <w:rPr>
                    <w:rFonts w:cs="Times New Roman"/>
                    <w:sz w:val="20"/>
                    <w:szCs w:val="20"/>
                  </w:rPr>
                </w:pPr>
                <w:r>
                  <w:rPr>
                    <w:rFonts w:hint="eastAsia" w:cs="Times New Roman"/>
                    <w:sz w:val="20"/>
                    <w:szCs w:val="20"/>
                  </w:rPr>
                  <w:t>20.00</w:t>
                </w:r>
              </w:p>
            </w:tc>
            <w:tc>
              <w:tcPr>
                <w:tcW w:w="1360" w:type="pct"/>
                <w:vAlign w:val="center"/>
              </w:tcPr>
              <w:p>
                <w:pPr>
                  <w:jc w:val="center"/>
                  <w:rPr>
                    <w:rFonts w:cs="Times New Roman"/>
                    <w:sz w:val="20"/>
                    <w:szCs w:val="20"/>
                  </w:rPr>
                </w:pPr>
                <w: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2" w:type="pct"/>
                <w:vAlign w:val="center"/>
              </w:tcPr>
              <w:p>
                <w:pPr>
                  <w:jc w:val="both"/>
                  <w:rPr>
                    <w:rFonts w:cs="Times New Roman"/>
                    <w:sz w:val="20"/>
                    <w:szCs w:val="20"/>
                  </w:rPr>
                </w:pPr>
                <w:r>
                  <w:rPr>
                    <w:rFonts w:hint="eastAsia" w:cs="Times New Roman"/>
                    <w:sz w:val="20"/>
                    <w:szCs w:val="20"/>
                  </w:rPr>
                  <w:t>3-4年</w:t>
                </w:r>
              </w:p>
            </w:tc>
            <w:tc>
              <w:tcPr>
                <w:tcW w:w="1288" w:type="pct"/>
                <w:vAlign w:val="center"/>
              </w:tcPr>
              <w:p>
                <w:pPr>
                  <w:jc w:val="center"/>
                  <w:rPr>
                    <w:rFonts w:cs="Times New Roman"/>
                    <w:sz w:val="20"/>
                    <w:szCs w:val="20"/>
                  </w:rPr>
                </w:pPr>
                <w:r>
                  <w:rPr>
                    <w:rFonts w:hint="eastAsia" w:cs="Times New Roman"/>
                    <w:sz w:val="20"/>
                    <w:szCs w:val="20"/>
                  </w:rPr>
                  <w:t>30.00</w:t>
                </w:r>
              </w:p>
            </w:tc>
            <w:tc>
              <w:tcPr>
                <w:tcW w:w="1360" w:type="pct"/>
                <w:vAlign w:val="center"/>
              </w:tcPr>
              <w:p>
                <w:pPr>
                  <w:jc w:val="center"/>
                  <w:rPr>
                    <w:rFonts w:cs="Times New Roman"/>
                    <w:sz w:val="20"/>
                    <w:szCs w:val="20"/>
                  </w:rPr>
                </w:pPr>
                <w:r>
                  <w:rPr>
                    <w:rFonts w:hint="eastAsia" w:cs="Times New Roman"/>
                    <w:sz w:val="20"/>
                    <w:szCs w:val="20"/>
                  </w:rPr>
                  <w:t>30.00</w:t>
                </w:r>
              </w:p>
            </w:tc>
            <w:tc>
              <w:tcPr>
                <w:tcW w:w="1360" w:type="pct"/>
                <w:vAlign w:val="center"/>
              </w:tcPr>
              <w:p>
                <w:pPr>
                  <w:jc w:val="center"/>
                  <w:rPr>
                    <w:rFonts w:cs="Times New Roman"/>
                    <w:sz w:val="20"/>
                    <w:szCs w:val="20"/>
                  </w:rPr>
                </w:pPr>
                <w: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2" w:type="pct"/>
                <w:vAlign w:val="center"/>
              </w:tcPr>
              <w:p>
                <w:pPr>
                  <w:jc w:val="both"/>
                  <w:rPr>
                    <w:rFonts w:cs="Times New Roman"/>
                    <w:sz w:val="20"/>
                    <w:szCs w:val="20"/>
                  </w:rPr>
                </w:pPr>
                <w:r>
                  <w:rPr>
                    <w:rFonts w:hint="eastAsia" w:cs="Times New Roman"/>
                    <w:sz w:val="20"/>
                    <w:szCs w:val="20"/>
                  </w:rPr>
                  <w:t>4-5年</w:t>
                </w:r>
              </w:p>
            </w:tc>
            <w:tc>
              <w:tcPr>
                <w:tcW w:w="1288" w:type="pct"/>
                <w:vAlign w:val="center"/>
              </w:tcPr>
              <w:p>
                <w:pPr>
                  <w:jc w:val="center"/>
                  <w:rPr>
                    <w:rFonts w:cs="Times New Roman"/>
                    <w:sz w:val="20"/>
                    <w:szCs w:val="20"/>
                  </w:rPr>
                </w:pPr>
                <w:r>
                  <w:rPr>
                    <w:rFonts w:hint="eastAsia" w:cs="Times New Roman"/>
                    <w:sz w:val="20"/>
                    <w:szCs w:val="20"/>
                  </w:rPr>
                  <w:t>50.00</w:t>
                </w:r>
              </w:p>
            </w:tc>
            <w:tc>
              <w:tcPr>
                <w:tcW w:w="1360" w:type="pct"/>
                <w:vAlign w:val="center"/>
              </w:tcPr>
              <w:p>
                <w:pPr>
                  <w:jc w:val="center"/>
                  <w:rPr>
                    <w:rFonts w:cs="Times New Roman"/>
                    <w:sz w:val="20"/>
                    <w:szCs w:val="20"/>
                  </w:rPr>
                </w:pPr>
                <w:r>
                  <w:rPr>
                    <w:rFonts w:hint="eastAsia" w:cs="Times New Roman"/>
                    <w:sz w:val="20"/>
                    <w:szCs w:val="20"/>
                  </w:rPr>
                  <w:t>50.00</w:t>
                </w:r>
              </w:p>
            </w:tc>
            <w:tc>
              <w:tcPr>
                <w:tcW w:w="1360" w:type="pct"/>
                <w:vAlign w:val="center"/>
              </w:tcPr>
              <w:p>
                <w:pPr>
                  <w:jc w:val="center"/>
                  <w:rPr>
                    <w:rFonts w:cs="Times New Roman"/>
                    <w:sz w:val="20"/>
                    <w:szCs w:val="20"/>
                  </w:rPr>
                </w:pPr>
                <w: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92" w:type="pct"/>
                <w:vAlign w:val="center"/>
              </w:tcPr>
              <w:p>
                <w:pPr>
                  <w:jc w:val="both"/>
                  <w:rPr>
                    <w:rFonts w:cs="Times New Roman"/>
                    <w:sz w:val="20"/>
                    <w:szCs w:val="20"/>
                  </w:rPr>
                </w:pPr>
                <w:r>
                  <w:rPr>
                    <w:rFonts w:hint="eastAsia" w:cs="Times New Roman"/>
                    <w:sz w:val="20"/>
                    <w:szCs w:val="20"/>
                  </w:rPr>
                  <w:t>5年以上</w:t>
                </w:r>
              </w:p>
            </w:tc>
            <w:tc>
              <w:tcPr>
                <w:tcW w:w="1288" w:type="pct"/>
                <w:vAlign w:val="center"/>
              </w:tcPr>
              <w:p>
                <w:pPr>
                  <w:jc w:val="center"/>
                  <w:rPr>
                    <w:rFonts w:cs="Times New Roman"/>
                    <w:sz w:val="20"/>
                    <w:szCs w:val="20"/>
                  </w:rPr>
                </w:pPr>
                <w:r>
                  <w:rPr>
                    <w:rFonts w:hint="eastAsia" w:cs="Times New Roman"/>
                    <w:sz w:val="20"/>
                    <w:szCs w:val="20"/>
                  </w:rPr>
                  <w:t>100.00</w:t>
                </w:r>
              </w:p>
            </w:tc>
            <w:tc>
              <w:tcPr>
                <w:tcW w:w="1360" w:type="pct"/>
                <w:vAlign w:val="center"/>
              </w:tcPr>
              <w:p>
                <w:pPr>
                  <w:jc w:val="center"/>
                  <w:rPr>
                    <w:rFonts w:cs="Times New Roman"/>
                    <w:sz w:val="20"/>
                    <w:szCs w:val="20"/>
                  </w:rPr>
                </w:pPr>
                <w:r>
                  <w:rPr>
                    <w:rFonts w:hint="eastAsia" w:cs="Times New Roman"/>
                    <w:sz w:val="20"/>
                    <w:szCs w:val="20"/>
                  </w:rPr>
                  <w:t>100.00</w:t>
                </w:r>
              </w:p>
            </w:tc>
            <w:tc>
              <w:tcPr>
                <w:tcW w:w="1360" w:type="pct"/>
                <w:vAlign w:val="center"/>
              </w:tcPr>
              <w:p>
                <w:pPr>
                  <w:jc w:val="center"/>
                  <w:rPr>
                    <w:rFonts w:cs="Times New Roman"/>
                    <w:sz w:val="20"/>
                    <w:szCs w:val="20"/>
                  </w:rPr>
                </w:pPr>
                <w:r>
                  <w:t>100.00</w:t>
                </w:r>
              </w:p>
            </w:tc>
          </w:tr>
        </w:tbl>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应收账款/其他应收款/长期应收款的账龄自初始确认日起算。</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3）按单项计提预期信用损失的应收款项和合同资产的认定标准</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对信用风险与组合信用风险显著不同的应收款项和合同资产，公司按单项计提预期信用损失。</w:t>
          </w:r>
        </w:p>
      </w:sdtContent>
    </w:sdt>
    <w:p>
      <w:pPr>
        <w:pStyle w:val="4"/>
        <w:numPr>
          <w:ilvl w:val="0"/>
          <w:numId w:val="34"/>
        </w:numPr>
        <w:rPr>
          <w:rFonts w:hint="eastAsia" w:ascii="宋体" w:hAnsi="宋体"/>
          <w:color w:val="000000" w:themeColor="text1"/>
          <w14:textFill>
            <w14:solidFill>
              <w14:schemeClr w14:val="tx1"/>
            </w14:solidFill>
          </w14:textFill>
        </w:rPr>
      </w:pPr>
      <w:bookmarkStart w:id="168" w:name="_Hlk533667757"/>
      <w:bookmarkStart w:id="169" w:name="_Hlk167809825"/>
      <w:r>
        <w:rPr>
          <w:rFonts w:ascii="宋体" w:hAnsi="宋体"/>
          <w:color w:val="000000" w:themeColor="text1"/>
          <w14:textFill>
            <w14:solidFill>
              <w14:schemeClr w14:val="tx1"/>
            </w14:solidFill>
          </w14:textFill>
        </w:rPr>
        <w:t>应收票据</w:t>
      </w:r>
    </w:p>
    <w:sdt>
      <w:sdtPr>
        <w:rPr>
          <w:color w:val="000000" w:themeColor="text1"/>
          <w14:textFill>
            <w14:solidFill>
              <w14:schemeClr w14:val="tx1"/>
            </w14:solidFill>
          </w14:textFill>
        </w:rPr>
        <w:alias w:val="是否适用：应收票据_重要会计政策和估计[双击切换]"/>
        <w:tag w:val="_GBC_aefda35d1a7148f0844e33d721703cda"/>
        <w:id w:val="-16063142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68"/>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按照信用风险特征组合计提坏账准备的组合类别及确定依据</w:t>
      </w:r>
    </w:p>
    <w:sdt>
      <w:sdtPr>
        <w:rPr>
          <w:color w:val="000000" w:themeColor="text1"/>
          <w14:textFill>
            <w14:solidFill>
              <w14:schemeClr w14:val="tx1"/>
            </w14:solidFill>
          </w14:textFill>
        </w:rPr>
        <w:alias w:val="是否适用：应收票据按照信用风险特征组合计提坏账准备的组合类别及确定依据[双击切换]"/>
        <w:tag w:val="_GBC_6949617b516947f48c32672b1d486a5b"/>
        <w:id w:val="-3620275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票据按照信用风险特征组合计提坏账准备的组合类别及确定依据"/>
        <w:tag w:val="_GBC_1062e1c58d3c4ef4bca492c1e513cad2"/>
        <w:id w:val="-166307529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基于账龄确认信用风险特征组合的账龄计算方法</w:t>
      </w:r>
    </w:p>
    <w:sdt>
      <w:sdtPr>
        <w:rPr>
          <w:color w:val="000000" w:themeColor="text1"/>
          <w14:textFill>
            <w14:solidFill>
              <w14:schemeClr w14:val="tx1"/>
            </w14:solidFill>
          </w14:textFill>
        </w:rPr>
        <w:alias w:val="是否适用：应收票据基于账龄确认信用风险特征组合的账龄计算方法[双击切换]"/>
        <w:tag w:val="_GBC_65e77abc757c44a39f32a7fae1f5da22"/>
        <w:id w:val="-78195455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票据基于账龄确认信用风险特征组合的账龄计算方法"/>
        <w:tag w:val="_GBC_394187d2c39247acae82ce34a8553271"/>
        <w:id w:val="-21004520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按照单项计提坏账准备的单项计提判断标准</w:t>
      </w:r>
    </w:p>
    <w:sdt>
      <w:sdtPr>
        <w:rPr>
          <w:color w:val="000000" w:themeColor="text1"/>
          <w14:textFill>
            <w14:solidFill>
              <w14:schemeClr w14:val="tx1"/>
            </w14:solidFill>
          </w14:textFill>
        </w:rPr>
        <w:alias w:val="是否适用：应收票据按照单项计提坏账准备的单项计提判断标准[双击切换]"/>
        <w:tag w:val="_GBC_1bf4baad09e74a3fb93e3d4c5a63530e"/>
        <w:id w:val="142684445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票据按照单项计提坏账准备的单项计提判断标准"/>
        <w:tag w:val="_GBC_bda178db73f64a379756cf6dbe566e83"/>
        <w:id w:val="-114172951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pStyle w:val="4"/>
        <w:numPr>
          <w:ilvl w:val="0"/>
          <w:numId w:val="34"/>
        </w:numPr>
        <w:rPr>
          <w:rFonts w:hint="eastAsia" w:ascii="宋体" w:hAnsi="宋体"/>
          <w:color w:val="000000" w:themeColor="text1"/>
          <w14:textFill>
            <w14:solidFill>
              <w14:schemeClr w14:val="tx1"/>
            </w14:solidFill>
          </w14:textFill>
        </w:rPr>
      </w:pPr>
      <w:bookmarkStart w:id="170" w:name="_Hlk152690378"/>
      <w:bookmarkStart w:id="171" w:name="_Hlk533667783"/>
      <w:r>
        <w:rPr>
          <w:rFonts w:ascii="宋体" w:hAnsi="宋体"/>
          <w:color w:val="000000" w:themeColor="text1"/>
          <w14:textFill>
            <w14:solidFill>
              <w14:schemeClr w14:val="tx1"/>
            </w14:solidFill>
          </w14:textFill>
        </w:rPr>
        <w:t>应收账款</w:t>
      </w:r>
    </w:p>
    <w:sdt>
      <w:sdtPr>
        <w:rPr>
          <w:rFonts w:hint="eastAsia"/>
          <w:color w:val="000000" w:themeColor="text1"/>
          <w14:textFill>
            <w14:solidFill>
              <w14:schemeClr w14:val="tx1"/>
            </w14:solidFill>
          </w14:textFill>
        </w:rPr>
        <w:alias w:val="是否适用：应收账款_重要会计政策和估计[双击切换]"/>
        <w:tag w:val="_GBC_9bb0ad4fd90e4860a048c5c1b42cdc17"/>
        <w:id w:val="-1360814862"/>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70"/>
    <w:bookmarkEnd w:id="171"/>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按照信用风险特征组合计提坏账准备的组合类别及确定依据</w:t>
      </w:r>
    </w:p>
    <w:sdt>
      <w:sdtPr>
        <w:rPr>
          <w:color w:val="000000" w:themeColor="text1"/>
          <w14:textFill>
            <w14:solidFill>
              <w14:schemeClr w14:val="tx1"/>
            </w14:solidFill>
          </w14:textFill>
        </w:rPr>
        <w:alias w:val="是否适用：应收账款按照信用风险特征组合计提坏账准备的组合类别及确定依据[双击切换]"/>
        <w:tag w:val="_GBC_e449a3926afc4ff1a9407716d384d444"/>
        <w:id w:val="119326835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账款按照信用风险特征组合计提坏账准备的组合类别及确定依据"/>
        <w:tag w:val="_GBC_16b22a4b7b8c483dac42f07fc6ac4bc2"/>
        <w:id w:val="202227871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基于账龄确认信用风险特征组合的账龄计算方法</w:t>
      </w:r>
    </w:p>
    <w:sdt>
      <w:sdtPr>
        <w:rPr>
          <w:color w:val="000000" w:themeColor="text1"/>
          <w14:textFill>
            <w14:solidFill>
              <w14:schemeClr w14:val="tx1"/>
            </w14:solidFill>
          </w14:textFill>
        </w:rPr>
        <w:alias w:val="是否适用：应收账款基于账龄确认信用风险特征组合的账龄计算方法[双击切换]"/>
        <w:tag w:val="_GBC_a30f82acbfab40128924b158366b4a73"/>
        <w:id w:val="194681362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账款基于账龄确认信用风险特征组合的账龄计算方法"/>
        <w:tag w:val="_GBC_b5bf8a2c04eb4b5b905005b0fbc7b697"/>
        <w:id w:val="-30694285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按照单项计提坏账准备的认定单项计提判断标准</w:t>
      </w:r>
    </w:p>
    <w:sdt>
      <w:sdtPr>
        <w:rPr>
          <w:color w:val="000000" w:themeColor="text1"/>
          <w14:textFill>
            <w14:solidFill>
              <w14:schemeClr w14:val="tx1"/>
            </w14:solidFill>
          </w14:textFill>
        </w:rPr>
        <w:alias w:val="是否适用：应收账款按照单项计提坏账准备的单项计提判断标准[双击切换]"/>
        <w:tag w:val="_GBC_ee9e87b79c8a492885f71b93a5fcd48d"/>
        <w:id w:val="101920319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账款按照单项计提坏账准备的单项计提判断标准"/>
        <w:tag w:val="_GBC_b895356990fa48cc8b1ad33cc5cda698"/>
        <w:id w:val="-42041536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pStyle w:val="4"/>
        <w:numPr>
          <w:ilvl w:val="0"/>
          <w:numId w:val="34"/>
        </w:numPr>
        <w:rPr>
          <w:rFonts w:hint="eastAsia" w:ascii="宋体" w:hAnsi="宋体"/>
          <w:color w:val="000000" w:themeColor="text1"/>
          <w14:textFill>
            <w14:solidFill>
              <w14:schemeClr w14:val="tx1"/>
            </w14:solidFill>
          </w14:textFill>
        </w:rPr>
      </w:pPr>
      <w:bookmarkStart w:id="172" w:name="_Hlk24102310"/>
      <w:bookmarkStart w:id="173" w:name="_Hlk152690443"/>
      <w:r>
        <w:rPr>
          <w:rFonts w:ascii="宋体" w:hAnsi="宋体"/>
          <w:color w:val="000000" w:themeColor="text1"/>
          <w14:textFill>
            <w14:solidFill>
              <w14:schemeClr w14:val="tx1"/>
            </w14:solidFill>
          </w14:textFill>
        </w:rPr>
        <w:t>应收款项融资</w:t>
      </w:r>
    </w:p>
    <w:sdt>
      <w:sdtPr>
        <w:rPr>
          <w:color w:val="000000" w:themeColor="text1"/>
          <w14:textFill>
            <w14:solidFill>
              <w14:schemeClr w14:val="tx1"/>
            </w14:solidFill>
          </w14:textFill>
        </w:rPr>
        <w:alias w:val="是否适用：应收款项融资_重要会计政策和估计[双击切换]"/>
        <w:tag w:val="_GBC_47906a8d31c54a72891112f417e1058d"/>
        <w:id w:val="-198600527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72"/>
    <w:bookmarkEnd w:id="173"/>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按照信用风险特征组合计提坏账准备的组合类别及确定依据</w:t>
      </w:r>
    </w:p>
    <w:sdt>
      <w:sdtPr>
        <w:rPr>
          <w:color w:val="000000" w:themeColor="text1"/>
          <w14:textFill>
            <w14:solidFill>
              <w14:schemeClr w14:val="tx1"/>
            </w14:solidFill>
          </w14:textFill>
        </w:rPr>
        <w:alias w:val="是否适用：应收款项融资按照信用风险特征组合计提坏账准备的组合类别及确定依据[双击切换]"/>
        <w:tag w:val="_GBC_991c72bbcc9e4545985776851a67e9f5"/>
        <w:id w:val="-193920113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款项融资按照信用风险特征组合计提坏账准备的组合类别及确定依据"/>
        <w:tag w:val="_GBC_e001404223de4b32980aa3a5b54f2b74"/>
        <w:id w:val="40905025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基于账龄确认信用风险特征组合的账龄计算方法</w:t>
      </w:r>
    </w:p>
    <w:sdt>
      <w:sdtPr>
        <w:rPr>
          <w:color w:val="000000" w:themeColor="text1"/>
          <w14:textFill>
            <w14:solidFill>
              <w14:schemeClr w14:val="tx1"/>
            </w14:solidFill>
          </w14:textFill>
        </w:rPr>
        <w:alias w:val="是否适用：应收款项融资基于账龄确认信用风险特征组合的账龄计算方法[双击切换]"/>
        <w:tag w:val="_GBC_ed4ac302bc6f4dee85e2b543d38e4b3e"/>
        <w:id w:val="-42003293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款项融资基于账龄确认信用风险特征组合的账龄计算方法"/>
        <w:tag w:val="_GBC_dd9635a615ab425aaaec1feb5c3c6f6b"/>
        <w:id w:val="19350726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按照单项计提坏账准备的单项计提判断标准</w:t>
      </w:r>
    </w:p>
    <w:sdt>
      <w:sdtPr>
        <w:rPr>
          <w:color w:val="000000" w:themeColor="text1"/>
          <w14:textFill>
            <w14:solidFill>
              <w14:schemeClr w14:val="tx1"/>
            </w14:solidFill>
          </w14:textFill>
        </w:rPr>
        <w:alias w:val="是否适用：应收款项融资按照单项计提坏账准备的单项计提判断标准[双击切换]"/>
        <w:tag w:val="_GBC_da1ff8ccd2084f059e028af496d67278"/>
        <w:id w:val="-30322870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应收款项融资按照单项计提坏账准备的单项计提判断标准"/>
        <w:tag w:val="_GBC_6b04e4650f0645ff867d0c4ec58b44d2"/>
        <w:id w:val="-177600562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pStyle w:val="4"/>
        <w:numPr>
          <w:ilvl w:val="0"/>
          <w:numId w:val="34"/>
        </w:numPr>
        <w:rPr>
          <w:rFonts w:hint="eastAsia" w:ascii="宋体" w:hAnsi="宋体"/>
          <w:color w:val="000000" w:themeColor="text1"/>
          <w14:textFill>
            <w14:solidFill>
              <w14:schemeClr w14:val="tx1"/>
            </w14:solidFill>
          </w14:textFill>
        </w:rPr>
      </w:pPr>
      <w:bookmarkStart w:id="174" w:name="_Hlk533667836"/>
      <w:r>
        <w:rPr>
          <w:rFonts w:ascii="宋体" w:hAnsi="宋体"/>
          <w:color w:val="000000" w:themeColor="text1"/>
          <w14:textFill>
            <w14:solidFill>
              <w14:schemeClr w14:val="tx1"/>
            </w14:solidFill>
          </w14:textFill>
        </w:rPr>
        <w:t>其他应收款</w:t>
      </w:r>
    </w:p>
    <w:sdt>
      <w:sdtPr>
        <w:rPr>
          <w:rFonts w:hint="eastAsia"/>
          <w:color w:val="000000" w:themeColor="text1"/>
          <w14:textFill>
            <w14:solidFill>
              <w14:schemeClr w14:val="tx1"/>
            </w14:solidFill>
          </w14:textFill>
        </w:rPr>
        <w:alias w:val="是否适用：其他应收款_重要会计政策和估计[双击切换]"/>
        <w:tag w:val="_GBC_dfe58b09048a4951b32b48ce6a3930aa"/>
        <w:id w:val="1674993630"/>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74"/>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按照信用风险特征组合计提坏账准备的组合类别及确定依据</w:t>
      </w:r>
    </w:p>
    <w:sdt>
      <w:sdtPr>
        <w:rPr>
          <w:color w:val="000000" w:themeColor="text1"/>
          <w14:textFill>
            <w14:solidFill>
              <w14:schemeClr w14:val="tx1"/>
            </w14:solidFill>
          </w14:textFill>
        </w:rPr>
        <w:alias w:val="是否适用：其他应收款按照信用风险特征组合计提坏账准备的组合类别及确定依据[双击切换]"/>
        <w:tag w:val="_GBC_9e16f620387d402e9e85b4fe910b3b32"/>
        <w:id w:val="58689370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其他应收款按照信用风险特征组合计提坏账准备的组合类别及确定依据"/>
        <w:tag w:val="_GBC_09d041e587b1414ca6dcd8a2b8f31b9f"/>
        <w:id w:val="15241900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基于账龄确认信用风险特征组合的账龄计算方法</w:t>
      </w:r>
    </w:p>
    <w:sdt>
      <w:sdtPr>
        <w:rPr>
          <w:color w:val="000000" w:themeColor="text1"/>
          <w14:textFill>
            <w14:solidFill>
              <w14:schemeClr w14:val="tx1"/>
            </w14:solidFill>
          </w14:textFill>
        </w:rPr>
        <w:alias w:val="是否适用：其他应收款基于账龄确认信用风险特征组合的账龄计算方法[双击切换]"/>
        <w:tag w:val="_GBC_9dc6468b16fc492b8e1d15acd1f8b57f"/>
        <w:id w:val="212503813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其他应收款基于账龄确认信用风险特征组合的账龄计算方法"/>
        <w:tag w:val="_GBC_46c06c8585504e508591bc85e38076b2"/>
        <w:id w:val="174213662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按照单项计提坏账准备的单项计提判断标准</w:t>
      </w:r>
    </w:p>
    <w:sdt>
      <w:sdtPr>
        <w:rPr>
          <w:color w:val="000000" w:themeColor="text1"/>
          <w14:textFill>
            <w14:solidFill>
              <w14:schemeClr w14:val="tx1"/>
            </w14:solidFill>
          </w14:textFill>
        </w:rPr>
        <w:alias w:val="是否适用：其他应收款按照单项计提坏账准备的单项计提判断标准[双击切换]"/>
        <w:tag w:val="_GBC_43f3d12bb3b0461b9d295770acd831d1"/>
        <w:id w:val="150400982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其他应收款按照单项计提坏账准备的单项计提判断标准"/>
        <w:tag w:val="_GBC_68249e7c8a0845c297b91eadc4fe5514"/>
        <w:id w:val="160052512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详见“第八节.五、重要会计政策及会计估计.11、金融工具”。</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存货</w:t>
      </w:r>
    </w:p>
    <w:sdt>
      <w:sdtPr>
        <w:rPr>
          <w:rFonts w:hint="eastAsia"/>
          <w:color w:val="000000" w:themeColor="text1"/>
          <w14:textFill>
            <w14:solidFill>
              <w14:schemeClr w14:val="tx1"/>
            </w14:solidFill>
          </w14:textFill>
        </w:rPr>
        <w:alias w:val="是否适用：存货_重要会计政策和估计[双击切换]"/>
        <w:tag w:val="_GBC_517cddca0e1f4d4bb5ef2c4a3d049269"/>
        <w:id w:val="-1471289714"/>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rFonts w:cs="Times New Roman"/>
          <w:b/>
          <w:color w:val="000000" w:themeColor="text1"/>
          <w:kern w:val="2"/>
          <w:szCs w:val="28"/>
          <w14:textFill>
            <w14:solidFill>
              <w14:schemeClr w14:val="tx1"/>
            </w14:solidFill>
          </w14:textFill>
        </w:rPr>
      </w:pPr>
      <w:bookmarkStart w:id="175" w:name="_Hlk152678121"/>
      <w:r>
        <w:rPr>
          <w:rFonts w:cs="Times New Roman"/>
          <w:b/>
          <w:color w:val="000000" w:themeColor="text1"/>
          <w:kern w:val="2"/>
          <w:szCs w:val="28"/>
          <w14:textFill>
            <w14:solidFill>
              <w14:schemeClr w14:val="tx1"/>
            </w14:solidFill>
          </w14:textFill>
        </w:rPr>
        <w:t>存货</w:t>
      </w:r>
      <w:r>
        <w:rPr>
          <w:rFonts w:hint="eastAsia" w:cs="Times New Roman"/>
          <w:b/>
          <w:color w:val="000000" w:themeColor="text1"/>
          <w:kern w:val="2"/>
          <w:szCs w:val="28"/>
          <w14:textFill>
            <w14:solidFill>
              <w14:schemeClr w14:val="tx1"/>
            </w14:solidFill>
          </w14:textFill>
        </w:rPr>
        <w:t>类别、发出计价方法、盘存制度、低值易耗品和包装物的摊销方法</w:t>
      </w:r>
    </w:p>
    <w:bookmarkEnd w:id="175"/>
    <w:sdt>
      <w:sdtPr>
        <w:rPr>
          <w:color w:val="000000" w:themeColor="text1"/>
          <w14:textFill>
            <w14:solidFill>
              <w14:schemeClr w14:val="tx1"/>
            </w14:solidFill>
          </w14:textFill>
        </w:rPr>
        <w:alias w:val="是否适用：存货类别、发出计价方法、盘存制度、低值易耗品和包装物的摊销方法[双击切换]"/>
        <w:tag w:val="_GBC_a0dd59db9daa43019390412c5246a774"/>
        <w:id w:val="114262490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存货类别、发出计价方法、盘存制度、低值易耗品和包装物的摊销方法"/>
        <w:tag w:val="_GBC_4c0ac6dfbfb04e56bc0dd3a35b636c52"/>
        <w:id w:val="-313728766"/>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（1）存货的分类</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存货包括在日常活动中持有以备出售的产成品或商品、处在生产过程中的在产品、在生产过程或提供劳务过程中耗用的材料和物料等。主要包括原材料、委托加工材料、在产品、产成品（库存商品）、发出商品等。</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（2）发出存货的计价方法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发出存货采用月末一次加权平均法。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（3）存货的盘存制度</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存货的盘存制度为永续盘存制。</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（4）低值易耗品和包装物的摊销方法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1）低值易耗品</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按照一次转销法进行摊销。</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2）包装物</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按照一次转销法进行摊销。</w:t>
          </w:r>
        </w:p>
      </w:sdtContent>
    </w:sdt>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存货跌价准备的确认标准和计提方法</w:t>
      </w:r>
    </w:p>
    <w:sdt>
      <w:sdtPr>
        <w:rPr>
          <w:color w:val="000000" w:themeColor="text1"/>
          <w14:textFill>
            <w14:solidFill>
              <w14:schemeClr w14:val="tx1"/>
            </w14:solidFill>
          </w14:textFill>
        </w:rPr>
        <w:alias w:val="是否适用：存货跌价准备的确认标准和计提方法[双击切换]"/>
        <w:tag w:val="_GBC_193ccfcb63424273902a6a08c94807b7"/>
        <w:id w:val="174413629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存货跌价准备的确认标准和计提方法"/>
        <w:tag w:val="_GBC_d61a6b98d0f44b4a8162d7dd318ee8d8"/>
        <w:id w:val="-837536893"/>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资产负债表日，存货采用成本与可变现净值孰低计量，按照成本高于可变现净值的差额计提存货跌价准备。直接用于出售的存货，在正常生产经营过程中以该存货的估计售价减去估计的销售费用和相关税费后的金额确定其可变现净值；需要经过加工的存货，在正常生产经营过程中以所生产的产成品的估计售价减去至完工时估计将要发生的成本、估计的销售费用和相关税费后的金额确定其可变现净值；资产负债表日，同一项存货中一部分有合同价格约定、其他部分不存在合同价格的，分别确定其可变现净值，并与其对应的成本进行比较，分别确定存货跌价准备的计提或转回的金额。</w:t>
          </w:r>
        </w:p>
      </w:sdtContent>
    </w:sdt>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按照组合计提存货跌价准备的组合类别及确定依据</w:t>
      </w:r>
      <w:r>
        <w:rPr>
          <w:rFonts w:hint="eastAsia" w:cs="Times New Roman"/>
          <w:b/>
          <w:color w:val="000000" w:themeColor="text1"/>
          <w:kern w:val="2"/>
          <w:szCs w:val="28"/>
          <w14:textFill>
            <w14:solidFill>
              <w14:schemeClr w14:val="tx1"/>
            </w14:solidFill>
          </w14:textFill>
        </w:rPr>
        <w:t>、</w:t>
      </w:r>
      <w:r>
        <w:rPr>
          <w:rFonts w:hint="eastAsia"/>
          <w:b/>
          <w:color w:val="000000" w:themeColor="text1"/>
          <w14:textFill>
            <w14:solidFill>
              <w14:schemeClr w14:val="tx1"/>
            </w14:solidFill>
          </w14:textFill>
        </w:rPr>
        <w:t>不同类别存货可变现净值的确定依据</w:t>
      </w:r>
    </w:p>
    <w:sdt>
      <w:sdtPr>
        <w:rPr>
          <w:color w:val="000000" w:themeColor="text1"/>
          <w14:textFill>
            <w14:solidFill>
              <w14:schemeClr w14:val="tx1"/>
            </w14:solidFill>
          </w14:textFill>
        </w:rPr>
        <w:alias w:val="是否适用：按照组合计提存货跌价准备的组合类别及确定依据、不同类别存货可变现净值的确定依据[双击切换]"/>
        <w:tag w:val="_GBC_6fb7683a95e64eb590d6d510a9774226"/>
        <w:id w:val="-198530550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rFonts w:cs="Times New Roman"/>
          <w:b/>
          <w:color w:val="000000" w:themeColor="text1"/>
          <w:kern w:val="2"/>
          <w:szCs w:val="28"/>
          <w14:textFill>
            <w14:solidFill>
              <w14:schemeClr w14:val="tx1"/>
            </w14:solidFill>
          </w14:textFill>
        </w:rPr>
      </w:pPr>
      <w:r>
        <w:rPr>
          <w:rFonts w:cs="Times New Roman"/>
          <w:b/>
          <w:color w:val="000000" w:themeColor="text1"/>
          <w:kern w:val="2"/>
          <w:szCs w:val="28"/>
          <w14:textFill>
            <w14:solidFill>
              <w14:schemeClr w14:val="tx1"/>
            </w14:solidFill>
          </w14:textFill>
        </w:rPr>
        <w:t>基于库龄确认存货可变现净值的各库龄组合可变现净值的计算方法和确定依据</w:t>
      </w:r>
    </w:p>
    <w:sdt>
      <w:sdtPr>
        <w:rPr>
          <w:color w:val="000000" w:themeColor="text1"/>
          <w14:textFill>
            <w14:solidFill>
              <w14:schemeClr w14:val="tx1"/>
            </w14:solidFill>
          </w14:textFill>
        </w:rPr>
        <w:alias w:val="是否适用：基于库龄确认存货可变现净值的各库龄组合可变现净值的计算方法和确定依据[双击切换]"/>
        <w:tag w:val="_GBC_16ecfef990ce404c873906cd3cd4dea4"/>
        <w:id w:val="-74903629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34"/>
        </w:numPr>
        <w:rPr>
          <w:rFonts w:hint="eastAsia" w:ascii="宋体" w:hAnsi="宋体"/>
          <w:color w:val="000000" w:themeColor="text1"/>
          <w14:textFill>
            <w14:solidFill>
              <w14:schemeClr w14:val="tx1"/>
            </w14:solidFill>
          </w14:textFill>
        </w:rPr>
      </w:pPr>
      <w:bookmarkStart w:id="176" w:name="_Hlk533667851"/>
      <w:r>
        <w:rPr>
          <w:rFonts w:ascii="宋体" w:hAnsi="宋体"/>
          <w:color w:val="000000" w:themeColor="text1"/>
          <w14:textFill>
            <w14:solidFill>
              <w14:schemeClr w14:val="tx1"/>
            </w14:solidFill>
          </w14:textFill>
        </w:rPr>
        <w:t>合同资产</w:t>
      </w:r>
    </w:p>
    <w:sdt>
      <w:sdtPr>
        <w:rPr>
          <w:rFonts w:hint="eastAsia"/>
          <w:color w:val="000000" w:themeColor="text1"/>
          <w14:textFill>
            <w14:solidFill>
              <w14:schemeClr w14:val="tx1"/>
            </w14:solidFill>
          </w14:textFill>
        </w:rPr>
        <w:alias w:val="是否适用：合同资产_重要会计政策和估计[双击切换]"/>
        <w:tag w:val="_GBC_2975adaf2d6646238ccae8f732c465f0"/>
        <w:id w:val="-960038014"/>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76"/>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持有待售的非流动资产或处置组</w:t>
      </w:r>
    </w:p>
    <w:sdt>
      <w:sdtPr>
        <w:rPr>
          <w:color w:val="000000" w:themeColor="text1"/>
          <w14:textFill>
            <w14:solidFill>
              <w14:schemeClr w14:val="tx1"/>
            </w14:solidFill>
          </w14:textFill>
        </w:rPr>
        <w:alias w:val="是否适用：持有待售的非流动资产或处置组[双击切换]"/>
        <w:tag w:val="_GBC_f1f73a9983444ce2a24c3a748aa6178f"/>
        <w:id w:val="69674611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bookmarkStart w:id="177" w:name="_Hlk533151067"/>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77"/>
    <w:p>
      <w:pPr>
        <w:rPr>
          <w:rFonts w:cs="Times New Roman"/>
          <w:b/>
          <w:color w:val="000000" w:themeColor="text1"/>
          <w:kern w:val="2"/>
          <w14:textFill>
            <w14:solidFill>
              <w14:schemeClr w14:val="tx1"/>
            </w14:solidFill>
          </w14:textFill>
        </w:rPr>
      </w:pPr>
      <w:r>
        <w:rPr>
          <w:rFonts w:hint="eastAsia" w:cs="Times New Roman"/>
          <w:b/>
          <w:color w:val="000000" w:themeColor="text1"/>
          <w:kern w:val="2"/>
          <w14:textFill>
            <w14:solidFill>
              <w14:schemeClr w14:val="tx1"/>
            </w14:solidFill>
          </w14:textFill>
        </w:rPr>
        <w:t>划分为持有待售的非流动资产或处置组的确认标准和会计处理方法</w:t>
      </w:r>
    </w:p>
    <w:sdt>
      <w:sdtPr>
        <w:rPr>
          <w:color w:val="000000" w:themeColor="text1"/>
          <w14:textFill>
            <w14:solidFill>
              <w14:schemeClr w14:val="tx1"/>
            </w14:solidFill>
          </w14:textFill>
        </w:rPr>
        <w:alias w:val="是否适用：划分为持有待售的非流动资产或处置组的确认标准和会计处理方法[双击切换]"/>
        <w:tag w:val="_GBC_6c531b0531914ce08b0f9e9ff03b4e9c"/>
        <w:id w:val="188521714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rFonts w:cs="Times New Roman"/>
          <w:b/>
          <w:color w:val="000000" w:themeColor="text1"/>
          <w:kern w:val="2"/>
          <w14:textFill>
            <w14:solidFill>
              <w14:schemeClr w14:val="tx1"/>
            </w14:solidFill>
          </w14:textFill>
        </w:rPr>
      </w:pPr>
      <w:r>
        <w:rPr>
          <w:rFonts w:cs="Times New Roman"/>
          <w:b/>
          <w:color w:val="000000" w:themeColor="text1"/>
          <w:kern w:val="2"/>
          <w14:textFill>
            <w14:solidFill>
              <w14:schemeClr w14:val="tx1"/>
            </w14:solidFill>
          </w14:textFill>
        </w:rPr>
        <w:t>终止经营的认定标准和列报方法</w:t>
      </w:r>
    </w:p>
    <w:sdt>
      <w:sdtPr>
        <w:rPr>
          <w:color w:val="000000" w:themeColor="text1"/>
          <w14:textFill>
            <w14:solidFill>
              <w14:schemeClr w14:val="tx1"/>
            </w14:solidFill>
          </w14:textFill>
        </w:rPr>
        <w:alias w:val="是否适用：终止经营的认定标准和列报方法[双击切换]"/>
        <w:tag w:val="_GBC_4c502276dc0f4c08a09a2a83a4203533"/>
        <w:id w:val="122665465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69"/>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长期股权投资</w:t>
      </w:r>
    </w:p>
    <w:sdt>
      <w:sdtPr>
        <w:rPr>
          <w:color w:val="000000" w:themeColor="text1"/>
          <w14:textFill>
            <w14:solidFill>
              <w14:schemeClr w14:val="tx1"/>
            </w14:solidFill>
          </w14:textFill>
        </w:rPr>
        <w:alias w:val="是否适用：长期股权投资_重要会计政策和估计[双击切换]"/>
        <w:tag w:val="_GBC_a2b657853ac547afaaad118dec96d0e1"/>
        <w:id w:val="-188886644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长期股权投资的核算方法"/>
        <w:tag w:val="_GBC_3e77074cd50946b1bccdff9bc1c9556f"/>
        <w:id w:val="2139837023"/>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（1）共同控制、重大影响的判断</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按照相关约定对某项安排存在共有的控制，并且该安排的相关活动必须经过共享控制权的参与方一致同意后才能决策，认定为共同控制。对被投资单位的财务和经营政策有参与决策的权力，但并不能够控制或者与其他方一起共同控制这些政策的制定，认定为重大影响。</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（2）投资成本的确定</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同一控制下的企业合并形成的，合并方以支付现金、转让非现金资产、承担债务或发行权益性证券作为合并对价的，在合并日按照取得被合并方所有者权益在最终控制方合并财务报表中的账面价值的份额作为其初始投资成本。长期股权投资初始投资成本与支付的合并对价的账面价值或发行股份的面值总额之间的差额调整资本公积；资本公积不足冲减的，调整留存收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通过多次交易分步实现同一控制下企业合并形成的长期股权投资，判断是否属于“一揽子交易”。属于“一揽子交易”的，把各项交易作为一项取得控制权的交易进行会计处理。不属于“一揽子交易”的，在合并日，根据合并后应享有被合并方净资产在最终控制方合并财务报表中的账面价值的份额确定初始投资成本。合并日长期股权投资的初始投资成本，与达到合并前的长期股权投资账面价值加上合并日进一步取得股份新支付对价的账面价值之和的差额，调整资本公积；资本公积不足冲减的，调整留存收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2）非同一控制下的企业合并形成的，在购买日按照支付的合并对价的公允价值作为其初始投资成本。</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公司通过多次交易分步实现非同一控制下企业合并形成的长期股权投资，区分个别财务报表和合并财务报表进行相关会计处理：</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①在个别财务报表中，按照原持有的股权投资的账面价值加上新增投资成本之和，作为改按成本法核算的初始投资成本。</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在合并财务报表中，判断是否属于“一揽子交易”。属于“一揽子交易”的，把各项交易作为一项取得控制权的交易进行会计处理。不属于“一揽子交易”的，对于购买日之前持有的被购买方的股权，按照该股权在购买日的公允价值进行重新计量，公允价值与其账面价值的差额计入当期投资收益；购买日之前持有的被购买方的股权涉及权益法核算下的其他综合收益等的，与其相关的其他综合收益等转为购买日所属当期收益。但由于被投资方重新计量设定受益计划净负债或净资产变动而产生的其他综合收益除外。</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除企业合并形成以外的：以支付现金取得的，按照实际支付的购买价款作为其初始投资成本；以发行权益性证券取得的，按照发行权益性证券的公允价值作为其初始投资成本；以债务重组方式取得的，按《企业会计准则第12号——债务重组》确定其初始投资成本；以非货币性资产交换取得的，按《企业会计准则第7号——非货币性资产交换》确定其初始投资成本。</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（3）后续计量及损益确认方法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对被投资单位实施控制的长期股权投资采用成本法核算；对联营企业和合营企业的长期股权投资，采用权益法核算。</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（4）通过多次交易分步处置对子公司投资至丧失控制权的处理方法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1）是否属于“一揽子交易”的判断原则</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通过多次交易分步处置对子公司股权投资直至丧失控制权的，公司结合分步交易的各个步骤的交易协议条款、分别取得的处置对价、出售股权的对象、处置方式、处置时点等信息来判断分步交易是否属于“一揽子交易”。各项交易的条款、条件以及经济影响符合以下一种或多种情况，通常表明多次交易事项属于“一揽子交易”：</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①这些交易是同时或者在考虑了彼此影响的情况下订立的；</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②这些交易整体才能达成一项完整的商业结果；</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③一项交易的发生取决于其他至少一项交易的发生；</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④一项交易单独看是不经济的，但是和其他交易一并考虑时是经济的。</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2）不属于“一揽子交易”的会计处理</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①个别财务报表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对处置的股权，其账面价值与实际取得价款之间的差额，计入当期损益。对于剩余股权，对被投资单位仍具有重大影响或者与其他方一起实施共同控制的，转为权益法核算；不能再对被投资单位实施控制、共同控制或重大影响的，按照《企业会计准则第22号——金融工具确认和计量》的相关规定进行核算。</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②合并财务报表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在丧失控制权之前，处置价款与处置长期股权投资相对应享有子公司自购买日或合并日开始持续计算的净资产份额之间的差额，调整资本公积（资本溢价），资本溢价不足冲减的，冲减留存收益。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丧失对原子公司控制权时，对于剩余股权，按照其在丧失控制权日的公允价值进行重新计量。处置股权取得的对价与剩余股权公允价值之和，减去按原持股比例计算应享有原有子公司自购买日或合并日开始持续计算的净资产的份额之间的差额，计入丧失控制权当期的投资收益，同时冲减商誉。与原有子公司股权投资相关的其他综合收益等，应当在丧失控制权时转为当期投资收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3）属于“一揽子交易”的会计处理</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①个别财务报表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将各项交易作为一项处置子公司并丧失控制权的交易进行会计处理。但是，在丧失控制权之前每一次处置价款与处置投资对应的长期股权投资账面价值之间的差额，在个别财务报表中确认为其他综合收益，在丧失控制权时一并转入丧失控制权当期的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②合并财务报表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投资性房地产</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不</w:t>
      </w:r>
      <w:sdt>
        <w:sdtPr>
          <w:tag w:val="_PLD_2184b7576e914eab9a60f92a290f95d2"/>
          <w:id w:val="1680311762"/>
          <w:placeholder>
            <w:docPart w:val="GBC22222222222222222222222222222"/>
          </w:placeholder>
        </w:sdtPr>
        <w:sdtContent>
          <w:r>
            <w:rPr>
              <w:rFonts w:hint="eastAsia"/>
              <w:color w:val="000000" w:themeColor="text1"/>
              <w14:textFill>
                <w14:solidFill>
                  <w14:schemeClr w14:val="tx1"/>
                </w14:solidFill>
              </w14:textFill>
            </w:rPr>
            <w:t>适</w:t>
          </w:r>
        </w:sdtContent>
      </w:sdt>
      <w:r>
        <w:rPr>
          <w:rFonts w:hint="eastAsia"/>
          <w:color w:val="000000" w:themeColor="text1"/>
          <w14:textFill>
            <w14:solidFill>
              <w14:schemeClr w14:val="tx1"/>
            </w14:solidFill>
          </w14:textFill>
        </w:rPr>
        <w:t>用</w:t>
      </w:r>
    </w:p>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固定资产</w:t>
      </w:r>
    </w:p>
    <w:p>
      <w:pPr>
        <w:pStyle w:val="5"/>
        <w:numPr>
          <w:ilvl w:val="0"/>
          <w:numId w:val="35"/>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确认条件</w:t>
      </w:r>
    </w:p>
    <w:sdt>
      <w:sdtPr>
        <w:rPr>
          <w:color w:val="000000" w:themeColor="text1"/>
          <w14:textFill>
            <w14:solidFill>
              <w14:schemeClr w14:val="tx1"/>
            </w14:solidFill>
          </w14:textFill>
        </w:rPr>
        <w:alias w:val="是否适用：固定资产确认条件[双击切换]"/>
        <w:tag w:val="_GBC_45cce032cd1f43bfad18a80dd94e9cc4"/>
        <w:id w:val="85962891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bCs w:val="0"/>
          <w:color w:val="000000" w:themeColor="text1"/>
          <w14:textFill>
            <w14:solidFill>
              <w14:schemeClr w14:val="tx1"/>
            </w14:solidFill>
          </w14:textFill>
        </w:rPr>
        <w:alias w:val="固定资产确认条件"/>
        <w:tag w:val="_GBC_3044d53470b143fa9477fa34b85d4ec5"/>
        <w:id w:val="2074538922"/>
        <w:placeholder>
          <w:docPart w:val="GBC22222222222222222222222222222"/>
        </w:placeholder>
      </w:sdtPr>
      <w:sdtEndPr>
        <w:rPr>
          <w:b/>
          <w:bCs w:val="0"/>
          <w:color w:val="000000" w:themeColor="text1"/>
          <w14:textFill>
            <w14:solidFill>
              <w14:schemeClr w14:val="tx1"/>
            </w14:solidFill>
          </w14:textFill>
        </w:rPr>
      </w:sdtEndPr>
      <w:sdtContent>
        <w:p>
          <w:pPr>
            <w:spacing w:line="360" w:lineRule="exact"/>
            <w:ind w:firstLine="420" w:firstLineChars="200"/>
            <w:rPr>
              <w:b/>
              <w:bCs w:val="0"/>
              <w:color w:val="000000" w:themeColor="text1"/>
              <w14:textFill>
                <w14:solidFill>
                  <w14:schemeClr w14:val="tx1"/>
                </w14:solidFill>
              </w14:textFill>
            </w:rPr>
          </w:pPr>
          <w:r>
            <w:rPr>
              <w:bCs w:val="0"/>
              <w:color w:val="000000" w:themeColor="text1"/>
              <w14:textFill>
                <w14:solidFill>
                  <w14:schemeClr w14:val="tx1"/>
                </w14:solidFill>
              </w14:textFill>
            </w:rPr>
            <w:t>固定资产是指为生产商品、提供劳务、出租或经营管理而持有的，使用年限超过一个会计年度的有形资产。固定资产在同时满足经济利益很可能流入、成本能够可靠计量时予以确认。</w:t>
          </w:r>
        </w:p>
      </w:sdtContent>
    </w:sdt>
    <w:p>
      <w:pPr>
        <w:pStyle w:val="5"/>
        <w:numPr>
          <w:ilvl w:val="0"/>
          <w:numId w:val="35"/>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折旧方法</w:t>
      </w:r>
    </w:p>
    <w:sdt>
      <w:sdtPr>
        <w:rPr>
          <w:color w:val="000000" w:themeColor="text1"/>
          <w14:textFill>
            <w14:solidFill>
              <w14:schemeClr w14:val="tx1"/>
            </w14:solidFill>
          </w14:textFill>
        </w:rPr>
        <w:alias w:val="是否适用：固定资产折旧方法[双击切换]"/>
        <w:tag w:val="_GBC_c221ef38ff6a4242aab725946697311c"/>
        <w:id w:val="96485691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8"/>
        <w:gridCol w:w="1832"/>
        <w:gridCol w:w="1833"/>
        <w:gridCol w:w="1833"/>
        <w:gridCol w:w="1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sdt>
          <w:sdtPr>
            <w:tag w:val="_PLD_d39db65ac15c4d7583d7fe75cb893517"/>
            <w:id w:val="-1572113211"/>
          </w:sdtPr>
          <w:sdtContent>
            <w:tc>
              <w:tcPr>
                <w:tcW w:w="949"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1b5147121b9948e5a115c7a4d6c95995"/>
            <w:id w:val="158117443"/>
          </w:sdtPr>
          <w:sdtContent>
            <w:tc>
              <w:tcPr>
                <w:tcW w:w="101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折旧方法</w:t>
                </w:r>
              </w:p>
            </w:tc>
          </w:sdtContent>
        </w:sdt>
        <w:sdt>
          <w:sdtPr>
            <w:tag w:val="_PLD_65441224aa3f4fd3be4ca0650b16b1aa"/>
            <w:id w:val="-1255589411"/>
          </w:sdtPr>
          <w:sdtContent>
            <w:tc>
              <w:tcPr>
                <w:tcW w:w="101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折旧年限（年）</w:t>
                </w:r>
              </w:p>
            </w:tc>
          </w:sdtContent>
        </w:sdt>
        <w:sdt>
          <w:sdtPr>
            <w:tag w:val="_PLD_1c82a37539a842289bf80f2937f33bee"/>
            <w:id w:val="512194146"/>
          </w:sdtPr>
          <w:sdtContent>
            <w:tc>
              <w:tcPr>
                <w:tcW w:w="101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残值率</w:t>
                </w:r>
              </w:p>
            </w:tc>
          </w:sdtContent>
        </w:sdt>
        <w:sdt>
          <w:sdtPr>
            <w:tag w:val="_PLD_a67e8338c181496fa22b9944b63ec82c"/>
            <w:id w:val="-700397318"/>
          </w:sdtPr>
          <w:sdtContent>
            <w:tc>
              <w:tcPr>
                <w:tcW w:w="101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年折旧率</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 w:type="pct"/>
            <w:vAlign w:val="center"/>
          </w:tcPr>
          <w:p>
            <w:pPr>
              <w:jc w:val="center"/>
            </w:pPr>
            <w:r>
              <w:t>房屋及建筑物</w:t>
            </w:r>
          </w:p>
        </w:tc>
        <w:tc>
          <w:tcPr>
            <w:tcW w:w="1012" w:type="pct"/>
            <w:vAlign w:val="center"/>
          </w:tcPr>
          <w:p>
            <w:pPr>
              <w:jc w:val="center"/>
            </w:pPr>
            <w:r>
              <w:t>年限平均法</w:t>
            </w:r>
          </w:p>
        </w:tc>
        <w:tc>
          <w:tcPr>
            <w:tcW w:w="1013" w:type="pct"/>
            <w:vAlign w:val="center"/>
          </w:tcPr>
          <w:p>
            <w:pPr>
              <w:jc w:val="center"/>
            </w:pPr>
            <w:r>
              <w:t>10-20</w:t>
            </w:r>
          </w:p>
        </w:tc>
        <w:tc>
          <w:tcPr>
            <w:tcW w:w="1013" w:type="pct"/>
            <w:vAlign w:val="center"/>
          </w:tcPr>
          <w:p>
            <w:pPr>
              <w:jc w:val="center"/>
            </w:pPr>
            <w:r>
              <w:t>5.00</w:t>
            </w:r>
          </w:p>
        </w:tc>
        <w:tc>
          <w:tcPr>
            <w:tcW w:w="1013" w:type="pct"/>
            <w:vAlign w:val="center"/>
          </w:tcPr>
          <w:p>
            <w:pPr>
              <w:jc w:val="center"/>
            </w:pPr>
            <w:r>
              <w:t>4.95-9.50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 w:type="pct"/>
            <w:vAlign w:val="center"/>
          </w:tcPr>
          <w:p>
            <w:pPr>
              <w:jc w:val="center"/>
            </w:pPr>
            <w:r>
              <w:t>机器设备</w:t>
            </w:r>
          </w:p>
        </w:tc>
        <w:tc>
          <w:tcPr>
            <w:tcW w:w="1012" w:type="pct"/>
            <w:vAlign w:val="center"/>
          </w:tcPr>
          <w:p>
            <w:pPr>
              <w:jc w:val="center"/>
            </w:pPr>
            <w:r>
              <w:t>年限平均法</w:t>
            </w:r>
          </w:p>
        </w:tc>
        <w:tc>
          <w:tcPr>
            <w:tcW w:w="1013" w:type="pct"/>
            <w:vAlign w:val="center"/>
          </w:tcPr>
          <w:p>
            <w:pPr>
              <w:jc w:val="center"/>
            </w:pPr>
            <w:r>
              <w:t>5-10</w:t>
            </w:r>
          </w:p>
        </w:tc>
        <w:tc>
          <w:tcPr>
            <w:tcW w:w="1013" w:type="pct"/>
            <w:vAlign w:val="center"/>
          </w:tcPr>
          <w:p>
            <w:pPr>
              <w:jc w:val="center"/>
            </w:pPr>
            <w:r>
              <w:t>5.00</w:t>
            </w:r>
          </w:p>
        </w:tc>
        <w:tc>
          <w:tcPr>
            <w:tcW w:w="1013" w:type="pct"/>
            <w:vAlign w:val="center"/>
          </w:tcPr>
          <w:p>
            <w:pPr>
              <w:jc w:val="center"/>
            </w:pPr>
            <w:r>
              <w:t>9.50-19.00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 w:type="pct"/>
            <w:vAlign w:val="center"/>
          </w:tcPr>
          <w:p>
            <w:pPr>
              <w:jc w:val="center"/>
            </w:pPr>
            <w:r>
              <w:t>电子设备及办公设备</w:t>
            </w:r>
          </w:p>
        </w:tc>
        <w:tc>
          <w:tcPr>
            <w:tcW w:w="1012" w:type="pct"/>
            <w:vAlign w:val="center"/>
          </w:tcPr>
          <w:p>
            <w:pPr>
              <w:jc w:val="center"/>
            </w:pPr>
            <w:r>
              <w:t>年限平均法</w:t>
            </w:r>
          </w:p>
        </w:tc>
        <w:tc>
          <w:tcPr>
            <w:tcW w:w="1013" w:type="pct"/>
            <w:vAlign w:val="center"/>
          </w:tcPr>
          <w:p>
            <w:pPr>
              <w:jc w:val="center"/>
            </w:pPr>
            <w:r>
              <w:t>3-10</w:t>
            </w:r>
          </w:p>
        </w:tc>
        <w:tc>
          <w:tcPr>
            <w:tcW w:w="1013" w:type="pct"/>
            <w:vAlign w:val="center"/>
          </w:tcPr>
          <w:p>
            <w:pPr>
              <w:jc w:val="center"/>
            </w:pPr>
            <w:r>
              <w:t>5.00</w:t>
            </w:r>
          </w:p>
        </w:tc>
        <w:tc>
          <w:tcPr>
            <w:tcW w:w="1013" w:type="pct"/>
            <w:vAlign w:val="center"/>
          </w:tcPr>
          <w:p>
            <w:pPr>
              <w:jc w:val="center"/>
            </w:pPr>
            <w:r>
              <w:t>9.50-31.67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49" w:type="pct"/>
            <w:vAlign w:val="center"/>
          </w:tcPr>
          <w:p>
            <w:pPr>
              <w:jc w:val="center"/>
            </w:pPr>
            <w:r>
              <w:t>运输工具</w:t>
            </w:r>
          </w:p>
        </w:tc>
        <w:tc>
          <w:tcPr>
            <w:tcW w:w="1012" w:type="pct"/>
            <w:vAlign w:val="center"/>
          </w:tcPr>
          <w:p>
            <w:pPr>
              <w:jc w:val="center"/>
            </w:pPr>
            <w:r>
              <w:t>年限平均法</w:t>
            </w:r>
          </w:p>
        </w:tc>
        <w:tc>
          <w:tcPr>
            <w:tcW w:w="1013" w:type="pct"/>
            <w:vAlign w:val="center"/>
          </w:tcPr>
          <w:p>
            <w:pPr>
              <w:jc w:val="center"/>
            </w:pPr>
            <w:r>
              <w:t>4-10</w:t>
            </w:r>
          </w:p>
        </w:tc>
        <w:tc>
          <w:tcPr>
            <w:tcW w:w="1013" w:type="pct"/>
            <w:vAlign w:val="center"/>
          </w:tcPr>
          <w:p>
            <w:pPr>
              <w:jc w:val="center"/>
            </w:pPr>
            <w:r>
              <w:t>5.00</w:t>
            </w:r>
          </w:p>
        </w:tc>
        <w:tc>
          <w:tcPr>
            <w:tcW w:w="1013" w:type="pct"/>
            <w:vAlign w:val="center"/>
          </w:tcPr>
          <w:p>
            <w:pPr>
              <w:jc w:val="center"/>
            </w:pPr>
            <w:r>
              <w:t>9.50-23.75</w:t>
            </w:r>
          </w:p>
        </w:tc>
      </w:tr>
    </w:tbl>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在建工程</w:t>
      </w:r>
    </w:p>
    <w:p>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在建工程_重要会计政策和估计[双击切换]"/>
          <w:tag w:val="_GBC_d9803b41f65e4a7fbebb412a259d9bf9"/>
          <w:id w:val="1954741820"/>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sdt>
      <w:sdtPr>
        <w:rPr>
          <w:rFonts w:hint="eastAsia"/>
          <w:color w:val="000000" w:themeColor="text1"/>
          <w14:textFill>
            <w14:solidFill>
              <w14:schemeClr w14:val="tx1"/>
            </w14:solidFill>
          </w14:textFill>
        </w:rPr>
        <w:alias w:val="在建工程核算方法"/>
        <w:tag w:val="_GBC_ed79f983df814c58add61776fe84c76e"/>
        <w:id w:val="-1338834764"/>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（1）在建工程同时满足经济利益很可能流入、成本能够可靠计量则予以确认。在建工程按建造该项资产达到预定可使用状态前所发生的实际成本计量。</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在建工程达到预定可使用状态时，按工程实际成本转入固定资产。已达到预定可使用状态但尚未办理竣工决算的，先按估计价值转入固定资产，待办理竣工决算后再按实际成本调整原暂估价值，但不再调整原已计提的折旧。</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0"/>
            <w:gridCol w:w="4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20" w:type="pct"/>
                <w:vAlign w:val="center"/>
              </w:tcPr>
              <w:p>
                <w:pPr>
                  <w:jc w:val="center"/>
                  <w:rPr>
                    <w:rFonts w:cs="Times New Roman"/>
                    <w:bCs w:val="0"/>
                    <w:sz w:val="20"/>
                    <w:szCs w:val="20"/>
                  </w:rPr>
                </w:pPr>
                <w:r>
                  <w:rPr>
                    <w:rFonts w:cs="Times New Roman"/>
                    <w:bCs w:val="0"/>
                    <w:sz w:val="20"/>
                    <w:szCs w:val="20"/>
                  </w:rPr>
                  <w:t>类别</w:t>
                </w:r>
              </w:p>
            </w:tc>
            <w:tc>
              <w:tcPr>
                <w:tcW w:w="2580" w:type="pct"/>
                <w:vAlign w:val="center"/>
              </w:tcPr>
              <w:p>
                <w:pPr>
                  <w:jc w:val="center"/>
                  <w:rPr>
                    <w:rFonts w:cs="Times New Roman"/>
                    <w:bCs w:val="0"/>
                    <w:sz w:val="20"/>
                    <w:szCs w:val="20"/>
                  </w:rPr>
                </w:pPr>
                <w:r>
                  <w:rPr>
                    <w:rFonts w:hint="eastAsia" w:cs="Times New Roman"/>
                    <w:bCs w:val="0"/>
                    <w:sz w:val="20"/>
                    <w:szCs w:val="20"/>
                  </w:rPr>
                  <w:t>在建工程结转为固定资产的标准和时点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20" w:type="pct"/>
                <w:vAlign w:val="center"/>
              </w:tcPr>
              <w:p>
                <w:pPr>
                  <w:jc w:val="both"/>
                  <w:rPr>
                    <w:rFonts w:cs="Times New Roman"/>
                    <w:bCs w:val="0"/>
                    <w:sz w:val="20"/>
                    <w:szCs w:val="20"/>
                  </w:rPr>
                </w:pPr>
                <w:r>
                  <w:rPr>
                    <w:rFonts w:hint="eastAsia" w:cs="Times New Roman"/>
                    <w:bCs w:val="0"/>
                    <w:sz w:val="20"/>
                    <w:szCs w:val="20"/>
                  </w:rPr>
                  <w:t>房屋及建筑物</w:t>
                </w:r>
              </w:p>
            </w:tc>
            <w:tc>
              <w:tcPr>
                <w:tcW w:w="2580" w:type="pct"/>
                <w:vAlign w:val="center"/>
              </w:tcPr>
              <w:p>
                <w:pPr>
                  <w:jc w:val="both"/>
                  <w:rPr>
                    <w:rFonts w:cs="Times New Roman"/>
                    <w:bCs w:val="0"/>
                    <w:sz w:val="20"/>
                    <w:szCs w:val="20"/>
                  </w:rPr>
                </w:pPr>
                <w:r>
                  <w:rPr>
                    <w:rFonts w:hint="eastAsia" w:cs="Times New Roman"/>
                    <w:bCs w:val="0"/>
                    <w:sz w:val="20"/>
                    <w:szCs w:val="20"/>
                  </w:rPr>
                  <w:t>主体建设工程及配套工程已实质完工、达到预定设计要求并经验收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20" w:type="pct"/>
                <w:vAlign w:val="center"/>
              </w:tcPr>
              <w:p>
                <w:pPr>
                  <w:jc w:val="both"/>
                  <w:rPr>
                    <w:rFonts w:cs="Times New Roman"/>
                    <w:bCs w:val="0"/>
                    <w:sz w:val="20"/>
                    <w:szCs w:val="20"/>
                  </w:rPr>
                </w:pPr>
                <w:r>
                  <w:rPr>
                    <w:rFonts w:hint="eastAsia" w:cs="Times New Roman"/>
                    <w:bCs w:val="0"/>
                    <w:sz w:val="20"/>
                    <w:szCs w:val="20"/>
                  </w:rPr>
                  <w:t>机器设备</w:t>
                </w:r>
              </w:p>
            </w:tc>
            <w:tc>
              <w:tcPr>
                <w:tcW w:w="2580" w:type="pct"/>
                <w:vAlign w:val="center"/>
              </w:tcPr>
              <w:p>
                <w:pPr>
                  <w:jc w:val="both"/>
                  <w:rPr>
                    <w:rFonts w:cs="Times New Roman"/>
                    <w:bCs w:val="0"/>
                    <w:sz w:val="20"/>
                    <w:szCs w:val="20"/>
                  </w:rPr>
                </w:pPr>
                <w:r>
                  <w:rPr>
                    <w:rFonts w:hint="eastAsia" w:cs="Times New Roman"/>
                    <w:bCs w:val="0"/>
                    <w:sz w:val="20"/>
                    <w:szCs w:val="20"/>
                  </w:rPr>
                  <w:t>安装调试后达到设计要求或合同规定的标准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420" w:type="pct"/>
                <w:vAlign w:val="center"/>
              </w:tcPr>
              <w:p>
                <w:pPr>
                  <w:jc w:val="both"/>
                  <w:rPr>
                    <w:rFonts w:cs="Times New Roman"/>
                    <w:bCs w:val="0"/>
                    <w:sz w:val="20"/>
                    <w:szCs w:val="20"/>
                  </w:rPr>
                </w:pPr>
                <w:r>
                  <w:rPr>
                    <w:rFonts w:hint="eastAsia" w:cs="Times New Roman"/>
                    <w:bCs w:val="0"/>
                    <w:sz w:val="20"/>
                    <w:szCs w:val="20"/>
                  </w:rPr>
                  <w:t>电子设备及办公设备</w:t>
                </w:r>
              </w:p>
            </w:tc>
            <w:tc>
              <w:tcPr>
                <w:tcW w:w="2580" w:type="pct"/>
                <w:vAlign w:val="center"/>
              </w:tcPr>
              <w:p>
                <w:pPr>
                  <w:jc w:val="both"/>
                  <w:rPr>
                    <w:rFonts w:cs="Times New Roman"/>
                    <w:bCs w:val="0"/>
                    <w:sz w:val="20"/>
                    <w:szCs w:val="20"/>
                  </w:rPr>
                </w:pPr>
                <w:r>
                  <w:rPr>
                    <w:rFonts w:hint="eastAsia" w:cs="Times New Roman"/>
                    <w:bCs w:val="0"/>
                    <w:sz w:val="20"/>
                    <w:szCs w:val="20"/>
                  </w:rPr>
                  <w:t>安装调试后达到设计要求或合同规定的标准</w:t>
                </w:r>
              </w:p>
            </w:tc>
          </w:tr>
        </w:tbl>
        <w:p>
          <w:pPr>
            <w:rPr>
              <w:color w:val="000000" w:themeColor="text1"/>
              <w14:textFill>
                <w14:solidFill>
                  <w14:schemeClr w14:val="tx1"/>
                </w14:solidFill>
              </w14:textFill>
            </w:rPr>
          </w:pP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借款费用</w:t>
      </w:r>
    </w:p>
    <w:sdt>
      <w:sdtPr>
        <w:rPr>
          <w:rFonts w:hint="eastAsia"/>
          <w:color w:val="000000" w:themeColor="text1"/>
          <w14:textFill>
            <w14:solidFill>
              <w14:schemeClr w14:val="tx1"/>
            </w14:solidFill>
          </w14:textFill>
        </w:rPr>
        <w:alias w:val="是否适用：借款费用_重要会计政策和估计[双击切换]"/>
        <w:tag w:val="_GBC_3f3db73e5cb247009b3840143b5e6627"/>
        <w:id w:val="946503384"/>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借款费用的会计处理方法"/>
        <w:tag w:val="_GBC_2101c32d32c64f39a8b8fcd2b72dbb0a"/>
        <w:id w:val="-2027633385"/>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（1）借款费用资本化的确认原则</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公司发生的借款费用，可直接归属于符合资本化条件的资产的购建或者生产的，予以资本化，计入相关资产成本；其他借款费用，在发生时确认为费用，计入当期损益。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（2）借款费用资本化期间</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1）当借款费用同时满足下列条件时，开始资本化：资产支出已经发生；借款费用已经发生；为使资产达到预定可使用或可销售状态所必要的购建或者生产活动已经开始。</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2）若符合资本化条件的资产在购建或者生产过程中发生非正常中断，并且中断时间连续超过3个月，暂停借款费用的资本化；中断期间发生的借款费用确认为当期费用，直至资产的购建或者生产活动重新开始。</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3）当所购建或者生产符合资本化条件的资产达到预定可使用或可销售状态时，借款费用停止资本化。</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（3）借款费用资本化率以及资本化金额</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为购建或者生产符合资本化条件的资产而借入专门借款的，以专门借款当期实际发生的利息费用（包括按照实际利率法确定的折价或溢价的摊销），减去将尚未动用的借款资金存入银行取得的利息收入或进行暂时性投资取得的投资收益后的金额，确定应予资本化的利息金额；为购建或者生产符合资本化条件的资产占用了一般借款的，根据累计资产支出超过专门借款的资产支出加权平均数乘以占用一般借款的资本化率，计算确定一般借款应予资本化的利息金额。</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生物资产</w:t>
      </w:r>
    </w:p>
    <w:sdt>
      <w:sdtPr>
        <w:rPr>
          <w:rFonts w:hint="eastAsia"/>
          <w:color w:val="000000" w:themeColor="text1"/>
          <w14:textFill>
            <w14:solidFill>
              <w14:schemeClr w14:val="tx1"/>
            </w14:solidFill>
          </w14:textFill>
        </w:rPr>
        <w:alias w:val="是否适用：生物资产_重要会计政策和估计[双击切换]"/>
        <w:tag w:val="_GBC_3c525bb9dd0340978b83e74317a40315"/>
        <w:id w:val="1915363339"/>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油气资产</w:t>
      </w:r>
    </w:p>
    <w:sdt>
      <w:sdtPr>
        <w:rPr>
          <w:rFonts w:hint="eastAsia"/>
          <w:color w:val="000000" w:themeColor="text1"/>
          <w14:textFill>
            <w14:solidFill>
              <w14:schemeClr w14:val="tx1"/>
            </w14:solidFill>
          </w14:textFill>
        </w:rPr>
        <w:alias w:val="是否适用：油气资产_重要会计政策和估计[双击切换]"/>
        <w:tag w:val="_GBC_60d99a70431c4b868b6e953077cbfe88"/>
        <w:id w:val="-1999646822"/>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34"/>
        </w:numPr>
        <w:rPr>
          <w:rFonts w:hint="eastAsia" w:ascii="宋体" w:hAnsi="宋体"/>
          <w:color w:val="000000" w:themeColor="text1"/>
          <w14:textFill>
            <w14:solidFill>
              <w14:schemeClr w14:val="tx1"/>
            </w14:solidFill>
          </w14:textFill>
        </w:rPr>
      </w:pPr>
      <w:bookmarkStart w:id="178" w:name="_Hlk169007443"/>
      <w:r>
        <w:rPr>
          <w:rFonts w:ascii="宋体" w:hAnsi="宋体"/>
          <w:color w:val="000000" w:themeColor="text1"/>
          <w14:textFill>
            <w14:solidFill>
              <w14:schemeClr w14:val="tx1"/>
            </w14:solidFill>
          </w14:textFill>
        </w:rPr>
        <w:t>无形资产</w:t>
      </w:r>
    </w:p>
    <w:p>
      <w:pPr>
        <w:pStyle w:val="5"/>
        <w:numPr>
          <w:ilvl w:val="3"/>
          <w:numId w:val="36"/>
        </w:numPr>
        <w:tabs>
          <w:tab w:val="left" w:pos="448"/>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使用寿命及其确定依据、估计情况、摊销方法</w:t>
      </w:r>
      <w:r>
        <w:rPr>
          <w:rFonts w:hint="eastAsia"/>
          <w:color w:val="000000" w:themeColor="text1"/>
          <w14:textFill>
            <w14:solidFill>
              <w14:schemeClr w14:val="tx1"/>
            </w14:solidFill>
          </w14:textFill>
        </w:rPr>
        <w:t>或复核程序</w:t>
      </w:r>
    </w:p>
    <w:sdt>
      <w:sdtPr>
        <w:rPr>
          <w:rFonts w:hint="eastAsia"/>
          <w:color w:val="000000" w:themeColor="text1"/>
          <w14:textFill>
            <w14:solidFill>
              <w14:schemeClr w14:val="tx1"/>
            </w14:solidFill>
          </w14:textFill>
        </w:rPr>
        <w:alias w:val="是否适用：无形资产计价方法、使用寿命、减值测试[双击切换]"/>
        <w:tag w:val="_GBC_a82698fb1ffd4e75b46a9c35938b4cf4"/>
        <w:id w:val="-1493167120"/>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无形资产计价方法、使用寿命、减值测试"/>
        <w:tag w:val="_GBC_a9e64b18f452482eb6674ec605618dcc"/>
        <w:id w:val="661504188"/>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无形资产包括土地使用权、软件、专利权及非专利技术等，按成本进行初始计量。</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使用寿命有限的无形资产，在使用寿命内按照与该项无形资产有关的经济利益的预期实现方式系统合理地摊销，无法可靠确定预期实现方式的，采用直线法摊销。具体如下：</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0"/>
            <w:gridCol w:w="4798"/>
            <w:gridCol w:w="2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22" w:type="pct"/>
                <w:vAlign w:val="center"/>
              </w:tcPr>
              <w:p>
                <w:pPr>
                  <w:jc w:val="center"/>
                  <w:rPr>
                    <w:rFonts w:hint="eastAsia" w:ascii="宋体" w:hAnsi="宋体" w:cs="Times New Roman"/>
                    <w:bCs w:val="0"/>
                    <w:sz w:val="20"/>
                    <w:szCs w:val="20"/>
                  </w:rPr>
                </w:pPr>
                <w:r>
                  <w:rPr>
                    <w:rFonts w:hint="eastAsia" w:ascii="宋体" w:hAnsi="宋体" w:cs="Times New Roman"/>
                    <w:bCs w:val="0"/>
                    <w:sz w:val="20"/>
                    <w:szCs w:val="20"/>
                  </w:rPr>
                  <w:t>项目</w:t>
                </w:r>
              </w:p>
            </w:tc>
            <w:tc>
              <w:tcPr>
                <w:tcW w:w="2651" w:type="pct"/>
                <w:vAlign w:val="center"/>
              </w:tcPr>
              <w:p>
                <w:pPr>
                  <w:jc w:val="center"/>
                  <w:rPr>
                    <w:rFonts w:hint="eastAsia" w:ascii="宋体" w:hAnsi="宋体" w:cs="Times New Roman"/>
                    <w:bCs w:val="0"/>
                    <w:sz w:val="20"/>
                    <w:szCs w:val="20"/>
                  </w:rPr>
                </w:pPr>
                <w:r>
                  <w:rPr>
                    <w:rFonts w:hint="eastAsia" w:ascii="宋体" w:hAnsi="宋体" w:cs="Times New Roman"/>
                    <w:bCs w:val="0"/>
                    <w:sz w:val="20"/>
                    <w:szCs w:val="20"/>
                  </w:rPr>
                  <w:t>使用寿命及其确定依据</w:t>
                </w:r>
              </w:p>
            </w:tc>
            <w:tc>
              <w:tcPr>
                <w:tcW w:w="1227" w:type="pct"/>
                <w:vAlign w:val="center"/>
              </w:tcPr>
              <w:p>
                <w:pPr>
                  <w:jc w:val="center"/>
                  <w:rPr>
                    <w:rFonts w:hint="eastAsia" w:ascii="宋体" w:hAnsi="宋体" w:cs="Times New Roman"/>
                    <w:bCs w:val="0"/>
                    <w:sz w:val="20"/>
                    <w:szCs w:val="20"/>
                  </w:rPr>
                </w:pPr>
                <w:r>
                  <w:rPr>
                    <w:rFonts w:hint="eastAsia" w:ascii="宋体" w:hAnsi="宋体" w:cs="Times New Roman"/>
                    <w:bCs w:val="0"/>
                    <w:sz w:val="20"/>
                    <w:szCs w:val="20"/>
                  </w:rPr>
                  <w:t>摊销方法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22" w:type="pct"/>
                <w:vAlign w:val="center"/>
              </w:tcPr>
              <w:p>
                <w:pPr>
                  <w:jc w:val="both"/>
                  <w:rPr>
                    <w:rFonts w:hint="eastAsia" w:ascii="宋体" w:hAnsi="宋体" w:cs="Times New Roman"/>
                    <w:bCs w:val="0"/>
                    <w:sz w:val="20"/>
                    <w:szCs w:val="20"/>
                  </w:rPr>
                </w:pPr>
                <w:r>
                  <w:rPr>
                    <w:rFonts w:hint="eastAsia" w:ascii="宋体" w:hAnsi="宋体" w:cs="Times New Roman"/>
                    <w:bCs w:val="0"/>
                    <w:sz w:val="20"/>
                    <w:szCs w:val="20"/>
                  </w:rPr>
                  <w:t>土地使用权</w:t>
                </w:r>
              </w:p>
            </w:tc>
            <w:tc>
              <w:tcPr>
                <w:tcW w:w="2651" w:type="pct"/>
                <w:vAlign w:val="center"/>
              </w:tcPr>
              <w:p>
                <w:pPr>
                  <w:jc w:val="both"/>
                  <w:rPr>
                    <w:rFonts w:hint="eastAsia" w:ascii="宋体" w:hAnsi="宋体" w:cs="Times New Roman"/>
                    <w:bCs w:val="0"/>
                    <w:sz w:val="20"/>
                    <w:szCs w:val="20"/>
                  </w:rPr>
                </w:pPr>
                <w:r>
                  <w:rPr>
                    <w:rFonts w:hint="eastAsia" w:ascii="宋体" w:hAnsi="宋体" w:cs="Times New Roman"/>
                    <w:bCs w:val="0"/>
                    <w:sz w:val="20"/>
                    <w:szCs w:val="20"/>
                  </w:rPr>
                  <w:t>按产权登记期限确定使用寿命为50年</w:t>
                </w:r>
              </w:p>
            </w:tc>
            <w:tc>
              <w:tcPr>
                <w:tcW w:w="1227" w:type="pct"/>
                <w:vAlign w:val="center"/>
              </w:tcPr>
              <w:p>
                <w:pPr>
                  <w:jc w:val="center"/>
                  <w:rPr>
                    <w:rFonts w:hint="eastAsia" w:ascii="宋体" w:hAnsi="宋体" w:cs="Times New Roman"/>
                    <w:bCs w:val="0"/>
                    <w:sz w:val="20"/>
                    <w:szCs w:val="20"/>
                  </w:rPr>
                </w:pPr>
                <w:r>
                  <w:rPr>
                    <w:rFonts w:hint="eastAsia" w:ascii="宋体" w:hAnsi="宋体" w:cs="Times New Roman"/>
                    <w:bCs w:val="0"/>
                    <w:sz w:val="20"/>
                    <w:szCs w:val="20"/>
                  </w:rPr>
                  <w:t>直线法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22" w:type="pct"/>
                <w:vAlign w:val="center"/>
              </w:tcPr>
              <w:p>
                <w:pPr>
                  <w:jc w:val="both"/>
                  <w:rPr>
                    <w:rFonts w:hint="eastAsia" w:ascii="宋体" w:hAnsi="宋体" w:cs="Times New Roman"/>
                    <w:bCs w:val="0"/>
                    <w:sz w:val="20"/>
                    <w:szCs w:val="20"/>
                  </w:rPr>
                </w:pPr>
                <w:r>
                  <w:rPr>
                    <w:rFonts w:hint="eastAsia" w:ascii="宋体" w:hAnsi="宋体" w:cs="Times New Roman"/>
                    <w:bCs w:val="0"/>
                    <w:sz w:val="20"/>
                    <w:szCs w:val="20"/>
                  </w:rPr>
                  <w:t>软件</w:t>
                </w:r>
              </w:p>
            </w:tc>
            <w:tc>
              <w:tcPr>
                <w:tcW w:w="2651" w:type="pct"/>
                <w:vAlign w:val="center"/>
              </w:tcPr>
              <w:p>
                <w:pPr>
                  <w:jc w:val="both"/>
                  <w:rPr>
                    <w:rFonts w:hint="eastAsia" w:ascii="宋体" w:hAnsi="宋体" w:cs="Times New Roman"/>
                    <w:bCs w:val="0"/>
                    <w:sz w:val="20"/>
                    <w:szCs w:val="20"/>
                  </w:rPr>
                </w:pPr>
                <w:r>
                  <w:rPr>
                    <w:rFonts w:hint="eastAsia" w:ascii="宋体" w:hAnsi="宋体" w:cs="Times New Roman"/>
                    <w:bCs w:val="0"/>
                    <w:sz w:val="20"/>
                    <w:szCs w:val="20"/>
                  </w:rPr>
                  <w:t>按预期受益期限确定使用寿命为3-10年</w:t>
                </w:r>
              </w:p>
            </w:tc>
            <w:tc>
              <w:tcPr>
                <w:tcW w:w="1227" w:type="pct"/>
                <w:vAlign w:val="center"/>
              </w:tcPr>
              <w:p>
                <w:pPr>
                  <w:jc w:val="center"/>
                  <w:rPr>
                    <w:rFonts w:hint="eastAsia" w:ascii="宋体" w:hAnsi="宋体" w:cs="Times New Roman"/>
                    <w:bCs w:val="0"/>
                    <w:sz w:val="20"/>
                    <w:szCs w:val="20"/>
                  </w:rPr>
                </w:pPr>
                <w:r>
                  <w:rPr>
                    <w:rFonts w:hint="eastAsia" w:ascii="宋体" w:hAnsi="宋体" w:cs="Times New Roman"/>
                    <w:bCs w:val="0"/>
                    <w:sz w:val="20"/>
                    <w:szCs w:val="20"/>
                  </w:rPr>
                  <w:t>直线法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22" w:type="pct"/>
                <w:vAlign w:val="center"/>
              </w:tcPr>
              <w:p>
                <w:pPr>
                  <w:jc w:val="both"/>
                  <w:rPr>
                    <w:rFonts w:hint="eastAsia" w:ascii="宋体" w:hAnsi="宋体" w:cs="Times New Roman"/>
                    <w:bCs w:val="0"/>
                    <w:sz w:val="20"/>
                    <w:szCs w:val="20"/>
                  </w:rPr>
                </w:pPr>
                <w:r>
                  <w:rPr>
                    <w:rFonts w:hint="eastAsia" w:ascii="宋体" w:hAnsi="宋体" w:cs="Times New Roman"/>
                    <w:bCs w:val="0"/>
                    <w:sz w:val="20"/>
                    <w:szCs w:val="20"/>
                  </w:rPr>
                  <w:t>专利权</w:t>
                </w:r>
              </w:p>
            </w:tc>
            <w:tc>
              <w:tcPr>
                <w:tcW w:w="2651" w:type="pct"/>
                <w:vAlign w:val="center"/>
              </w:tcPr>
              <w:p>
                <w:pPr>
                  <w:jc w:val="both"/>
                  <w:rPr>
                    <w:rFonts w:hint="eastAsia" w:ascii="宋体" w:hAnsi="宋体" w:cs="Times New Roman"/>
                    <w:bCs w:val="0"/>
                    <w:sz w:val="20"/>
                    <w:szCs w:val="20"/>
                  </w:rPr>
                </w:pPr>
                <w:r>
                  <w:rPr>
                    <w:rFonts w:hint="eastAsia" w:ascii="宋体" w:hAnsi="宋体" w:cs="Times New Roman"/>
                    <w:bCs w:val="0"/>
                    <w:sz w:val="20"/>
                    <w:szCs w:val="20"/>
                  </w:rPr>
                  <w:t>按预期受益期限确定使用寿命为3-10年</w:t>
                </w:r>
              </w:p>
            </w:tc>
            <w:tc>
              <w:tcPr>
                <w:tcW w:w="1227" w:type="pct"/>
                <w:vAlign w:val="center"/>
              </w:tcPr>
              <w:p>
                <w:pPr>
                  <w:jc w:val="center"/>
                  <w:rPr>
                    <w:rFonts w:hint="eastAsia" w:ascii="宋体" w:hAnsi="宋体" w:cs="Times New Roman"/>
                    <w:bCs w:val="0"/>
                    <w:sz w:val="20"/>
                    <w:szCs w:val="20"/>
                  </w:rPr>
                </w:pPr>
                <w:r>
                  <w:rPr>
                    <w:rFonts w:hint="eastAsia" w:ascii="宋体" w:hAnsi="宋体" w:cs="Times New Roman"/>
                    <w:bCs w:val="0"/>
                    <w:sz w:val="20"/>
                    <w:szCs w:val="20"/>
                  </w:rPr>
                  <w:t>直线法</w:t>
                </w:r>
              </w:p>
            </w:tc>
          </w:tr>
        </w:tbl>
        <w:p>
          <w:pPr>
            <w:rPr>
              <w:color w:val="000000" w:themeColor="text1"/>
              <w14:textFill>
                <w14:solidFill>
                  <w14:schemeClr w14:val="tx1"/>
                </w14:solidFill>
              </w14:textFill>
            </w:rPr>
          </w:pPr>
        </w:p>
      </w:sdtContent>
    </w:sdt>
    <w:p>
      <w:pPr>
        <w:pStyle w:val="5"/>
        <w:numPr>
          <w:ilvl w:val="3"/>
          <w:numId w:val="36"/>
        </w:numPr>
        <w:tabs>
          <w:tab w:val="left" w:pos="448"/>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研发支出的归集范围及相关会计处理方法</w:t>
      </w:r>
    </w:p>
    <w:sdt>
      <w:sdtPr>
        <w:rPr>
          <w:rFonts w:hint="eastAsia"/>
          <w:color w:val="000000" w:themeColor="text1"/>
          <w14:textFill>
            <w14:solidFill>
              <w14:schemeClr w14:val="tx1"/>
            </w14:solidFill>
          </w14:textFill>
        </w:rPr>
        <w:alias w:val="是否适用：无形资产内部研究开发支出会计政策[双击切换]"/>
        <w:tag w:val="_GBC_c3cef4c9f19749b8a53b7f49d3b7bac3"/>
        <w:id w:val="1460768294"/>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无形资产内部研究、开发支出会计政策"/>
        <w:tag w:val="_GBC_af7b1338d88344dfb8cd34ed66bfe672"/>
        <w:id w:val="-1421871551"/>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1）职工薪酬</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职工薪酬包括公司研发人员的工资薪金、基本养老保险费、基本医疗保险费、失业保险费、工伤保险费、生育保险费和住房公积金。</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研发人员同时服务于多个研究开发项目的，人工费用的确认依据公司管理部门提供的各研究开发项目研发人员的工时记录，在不同研究开发项目间按比例分配。</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直接从事研发活动的人员同时从事非研发活动的，公司根据研发人员在不同岗位的工时记录，将其实际发生的人员人工费用，按实际工时占比等合理方法在研发费用和生产经营费用间分配。</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2）直接投入费用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直接投入费用是指公司为实施研究开发活动而实际发生的相关支出。包括：直接消耗的材料、燃料和动力费用；用于产品试制的模具、样机购置费、试制产品的检验费；用于研究开发活动的仪器、设备的运行维护、调整、检验、检测、维修等费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3）折旧费用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折旧费用是指用于研究开发活动的仪器、设备和在用建筑物的折旧费。</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用于研发活动的仪器、设备及在用建筑物，同时又用于非研发活动的，对该类仪器、设备、在用建筑物使用情况做必要记录，并将其实际发生的折旧费，采用合理方法在研发费用和生产经营费用间分配。</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4）委托外部研究开发费用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委托外部研究开发费用是指公司委托其他机构或个人进行研究开发活动所发生的费用。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5）其他费用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其他费用是指上述费用之外与研究开发活动直接相关的其他费用，包括技术专家咨询费、知识产权的申请费、注册费、会议费、差旅费、通讯费等。</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内部研究开发项目研究阶段的支出，于发生时计入当期损益。内部研究开发项目开发阶段的支出，同时满足下列条件的，确认为无形资产：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1）完成该无形资产以使其能够使用或出售在技术上具有可行性；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2）具有完成该无形资产并使用或出售的意图；</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3）无形资产产生经济利益的方式，包括能够证明运用该无形资产生产的产品存在市场或无形资产自身存在市场，无形资产将在内部使用的，能证明其有用性；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4）有足够的技术、财务资源和其他资源支持，以完成该无形资产的开发，并有能力使用或出售该无形资产；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5）归属于该无形资产开发阶段的支出能够可靠地计量。</w:t>
          </w:r>
        </w:p>
      </w:sdtContent>
    </w:sdt>
    <w:bookmarkEnd w:id="178"/>
    <w:p>
      <w:pPr>
        <w:pStyle w:val="4"/>
        <w:numPr>
          <w:ilvl w:val="0"/>
          <w:numId w:val="34"/>
        </w:numPr>
        <w:rPr>
          <w:rFonts w:hint="eastAsia" w:ascii="宋体" w:hAnsi="宋体"/>
          <w:color w:val="000000" w:themeColor="text1"/>
          <w14:textFill>
            <w14:solidFill>
              <w14:schemeClr w14:val="tx1"/>
            </w14:solidFill>
          </w14:textFill>
        </w:rPr>
      </w:pPr>
      <w:bookmarkStart w:id="179" w:name="_Hlk44405424"/>
      <w:r>
        <w:rPr>
          <w:rFonts w:ascii="宋体" w:hAnsi="宋体"/>
          <w:color w:val="000000" w:themeColor="text1"/>
          <w14:textFill>
            <w14:solidFill>
              <w14:schemeClr w14:val="tx1"/>
            </w14:solidFill>
          </w14:textFill>
        </w:rPr>
        <w:t>长期资产减值</w:t>
      </w:r>
    </w:p>
    <w:sdt>
      <w:sdtPr>
        <w:rPr>
          <w:rFonts w:hint="eastAsia"/>
          <w:color w:val="000000" w:themeColor="text1"/>
          <w14:textFill>
            <w14:solidFill>
              <w14:schemeClr w14:val="tx1"/>
            </w14:solidFill>
          </w14:textFill>
        </w:rPr>
        <w:alias w:val="是否适用：长期资产减值_重要会计政策和估计[双击切换]"/>
        <w:tag w:val="_GBC_d0feb744f96144ffa5335cd194c6cdf9"/>
        <w:id w:val="-1845152016"/>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非金融长期资产减值测试方法及会计处理方法"/>
        <w:tag w:val="_GBC_e8cb396d7101453b9e9cd1bc11b8633e"/>
        <w:id w:val="-134408382"/>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对长期股权投资、固定资产、在建工程、使用权资产、使用寿命有限的无形资产等长期资产，在资产负债表日有迹象表明发生减值的，估计其可收回金额。对因企业合并所形成的商誉和使用寿命不确定的无形资产，无论是否存在减值迹象，每年都进行减值测试。商誉结合与其相关的资产组或者资产组组合进行减值测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若上述长期资产的可收回金额低于其账面价值的，按其差额确认资产减值准备并计入当期损益。</w:t>
          </w:r>
        </w:p>
      </w:sdtContent>
    </w:sdt>
    <w:bookmarkEnd w:id="179"/>
    <w:p>
      <w:pPr>
        <w:pStyle w:val="4"/>
        <w:numPr>
          <w:ilvl w:val="0"/>
          <w:numId w:val="34"/>
        </w:numPr>
        <w:rPr>
          <w:rFonts w:hint="eastAsia" w:ascii="宋体" w:hAnsi="宋体"/>
          <w:color w:val="000000" w:themeColor="text1"/>
          <w14:textFill>
            <w14:solidFill>
              <w14:schemeClr w14:val="tx1"/>
            </w14:solidFill>
          </w14:textFill>
        </w:rPr>
      </w:pPr>
      <w:bookmarkStart w:id="180" w:name="_Hlk44405475"/>
      <w:r>
        <w:rPr>
          <w:rFonts w:ascii="宋体" w:hAnsi="宋体"/>
          <w:color w:val="000000" w:themeColor="text1"/>
          <w14:textFill>
            <w14:solidFill>
              <w14:schemeClr w14:val="tx1"/>
            </w14:solidFill>
          </w14:textFill>
        </w:rPr>
        <w:t>长期待摊费用</w:t>
      </w:r>
    </w:p>
    <w:sdt>
      <w:sdtPr>
        <w:rPr>
          <w:rFonts w:hint="eastAsia"/>
          <w:color w:val="000000" w:themeColor="text1"/>
          <w14:textFill>
            <w14:solidFill>
              <w14:schemeClr w14:val="tx1"/>
            </w14:solidFill>
          </w14:textFill>
        </w:rPr>
        <w:alias w:val="是否适用：长期待摊费用_重要会计政策和估计[双击切换]"/>
        <w:tag w:val="_GBC_75739ccc62204f0490525060b33e330f"/>
        <w:id w:val="2093434966"/>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开办费、长期待摊费用摊销方法"/>
        <w:tag w:val="_GBC_e4e695ce4aea4c878acb6f8ad7190139"/>
        <w:id w:val="1387221521"/>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rFonts w:cs="Times New Roman"/>
              <w:color w:val="000000" w:themeColor="text1"/>
              <w:kern w:val="2"/>
              <w14:textFill>
                <w14:solidFill>
                  <w14:schemeClr w14:val="tx1"/>
                </w14:solidFill>
              </w14:textFill>
            </w:rPr>
          </w:pPr>
          <w:r>
            <w:rPr>
              <w:color w:val="000000" w:themeColor="text1"/>
              <w14:textFill>
                <w14:solidFill>
                  <w14:schemeClr w14:val="tx1"/>
                </w14:solidFill>
              </w14:textFill>
            </w:rPr>
            <w:t>长期待摊费用核算已经支出，摊销期限在1年以上（不含1年）的各项费用。长期待摊费用按实际发生额入账，在受益期或规定的期限内分期平均摊销。如果长期待摊的费用项目不能使以后会计期间受益则将尚未摊销的该项目的摊余价值全部转入当期损益。</w:t>
          </w:r>
        </w:p>
      </w:sdtContent>
    </w:sdt>
    <w:bookmarkEnd w:id="180"/>
    <w:p>
      <w:pPr>
        <w:pStyle w:val="4"/>
        <w:numPr>
          <w:ilvl w:val="0"/>
          <w:numId w:val="34"/>
        </w:numPr>
        <w:rPr>
          <w:rFonts w:hint="eastAsia" w:ascii="宋体" w:hAnsi="宋体"/>
          <w:color w:val="000000" w:themeColor="text1"/>
          <w14:textFill>
            <w14:solidFill>
              <w14:schemeClr w14:val="tx1"/>
            </w14:solidFill>
          </w14:textFill>
        </w:rPr>
      </w:pPr>
      <w:bookmarkStart w:id="181" w:name="_Hlk10465482"/>
      <w:r>
        <w:rPr>
          <w:rFonts w:ascii="宋体" w:hAnsi="宋体"/>
          <w:color w:val="000000" w:themeColor="text1"/>
          <w14:textFill>
            <w14:solidFill>
              <w14:schemeClr w14:val="tx1"/>
            </w14:solidFill>
          </w14:textFill>
        </w:rPr>
        <w:t>合同负债</w:t>
      </w:r>
    </w:p>
    <w:sdt>
      <w:sdtPr>
        <w:rPr>
          <w:color w:val="000000" w:themeColor="text1"/>
          <w14:textFill>
            <w14:solidFill>
              <w14:schemeClr w14:val="tx1"/>
            </w14:solidFill>
          </w14:textFill>
        </w:rPr>
        <w:alias w:val="是否适用：合同负债的确定方法、摊销方法和减值测试方法[双击切换]"/>
        <w:tag w:val="_GBC_f210968f2ea04a338a3253827b172c25"/>
        <w:id w:val="-166152509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sdt>
        <w:sdtPr>
          <w:rPr>
            <w:color w:val="000000" w:themeColor="text1"/>
            <w14:textFill>
              <w14:solidFill>
                <w14:schemeClr w14:val="tx1"/>
              </w14:solidFill>
            </w14:textFill>
          </w:rPr>
          <w:alias w:val="合同负债的确定方法、摊销方法和减值测试方法"/>
          <w:tag w:val="_GBC_adbfb902bae348178906cb42c1932267"/>
          <w:id w:val="-951163006"/>
          <w:placeholder>
            <w:docPart w:val="GBC22222222222222222222222222222"/>
          </w:placeholder>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公司将已收或应收客户对价而应向客户转让商品的义务作为合同负债列示。</w:t>
          </w:r>
        </w:sdtContent>
      </w:sdt>
    </w:p>
    <w:bookmarkEnd w:id="181"/>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职工薪酬</w:t>
      </w:r>
    </w:p>
    <w:p>
      <w:pPr>
        <w:pStyle w:val="5"/>
        <w:numPr>
          <w:ilvl w:val="0"/>
          <w:numId w:val="37"/>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短期薪酬的会计处理方法</w:t>
      </w:r>
    </w:p>
    <w:sdt>
      <w:sdtPr>
        <w:rPr>
          <w:color w:val="000000" w:themeColor="text1"/>
          <w14:textFill>
            <w14:solidFill>
              <w14:schemeClr w14:val="tx1"/>
            </w14:solidFill>
          </w14:textFill>
        </w:rPr>
        <w:alias w:val="是否适用：短期薪酬的会计处理方法[双击切换]"/>
        <w:tag w:val="_GBC_eefed2a465e349b6a35598930bd9541d"/>
        <w:id w:val="76865852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短期薪酬的会计处理方法"/>
        <w:tag w:val="_GBC_8fdf44b194ac45fb945d36b9896df796"/>
        <w:id w:val="268976462"/>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在职工为公司提供服务的会计期间，将实际发生的短期薪酬确认为负债，并计入当期损益或相关资产成本。</w:t>
          </w:r>
        </w:p>
      </w:sdtContent>
    </w:sdt>
    <w:p>
      <w:pPr>
        <w:pStyle w:val="5"/>
        <w:numPr>
          <w:ilvl w:val="0"/>
          <w:numId w:val="37"/>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离职后福利的会计处理方法</w:t>
      </w:r>
    </w:p>
    <w:sdt>
      <w:sdtPr>
        <w:rPr>
          <w:rFonts w:hint="eastAsia"/>
          <w:color w:val="000000" w:themeColor="text1"/>
          <w14:textFill>
            <w14:solidFill>
              <w14:schemeClr w14:val="tx1"/>
            </w14:solidFill>
          </w14:textFill>
        </w:rPr>
        <w:alias w:val="是否适用：离职后福利的会计处理方法[双击切换]"/>
        <w:tag w:val="_GBC_35bbae299fda438d9e595058bbecbcdc"/>
        <w:id w:val="-1509595479"/>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离职后福利的会计处理方法"/>
        <w:tag w:val="_GBC_3b0bafa6ef784ba99c829e2f60cf828e"/>
        <w:id w:val="-1157303474"/>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离职后福利分为设定提存计划和设定受益计划。</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1）在职工为公司提供服务的会计期间，根据设定提存计划计算的应缴存金额确认为负债，并计入当期损益或相关资产成本。</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2）对设定受益计划的会计处理通常包括下列步骤：</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①根据预期累计福利单位法，采用无偏且相互一致的精算假设对有关人口统计变量和财务变量等作出估计，计量设定受益计划所产生的义务，并确定相关义务的所属期间。同时，对设定受益计划所产生的义务予以折现，以确定设定受益计划义务的现值和当期服务成本；</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设定受益计划存在资产的，将设定受益计划义务现值减去设定受益计划资产公允价值所形成的赤字或盈余确认为一项设定受益计划净负债或净资产。设定受益计划存在盈余的，以设定受益计划的盈余和资产上限两项的孰低者计量设定受益计划净资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③期末，将设定受益计划产生的职工薪酬成本确认为服务成本、设定受益计划净负债或净资产的利息净额以及重新计量设定受益计划净负债或净资产所产生的变动等三部分，其中服务成本和设定受益计划净负债或净资产的利息净额计入当期损益或相关资产成本，重新计量设定受益计划净负债或净资产所产生的变动计入其他综合收益，并且在后续会计期间不允许转回至损益，但可以在权益范围内转移这些在其他综合收益确认的金额。</w:t>
          </w:r>
        </w:p>
      </w:sdtContent>
    </w:sdt>
    <w:p>
      <w:pPr>
        <w:pStyle w:val="5"/>
        <w:numPr>
          <w:ilvl w:val="0"/>
          <w:numId w:val="37"/>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辞退福利的会计处理方法</w:t>
      </w:r>
    </w:p>
    <w:sdt>
      <w:sdtPr>
        <w:rPr>
          <w:rFonts w:hint="eastAsia"/>
          <w:color w:val="000000" w:themeColor="text1"/>
          <w14:textFill>
            <w14:solidFill>
              <w14:schemeClr w14:val="tx1"/>
            </w14:solidFill>
          </w14:textFill>
        </w:rPr>
        <w:alias w:val="是否适用：辞退福利的会计处理方法[双击切换]"/>
        <w:tag w:val="_GBC_b6be1c30b6144d54b0e20b3cb9d3a691"/>
        <w:id w:val="1648475646"/>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辞退福利的会计处理方法"/>
        <w:tag w:val="_GBC_a93705fb60b24bceb25c88a68ed87432"/>
        <w:id w:val="603770539"/>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向职工提供的辞退福利，在下列两者孰早日确认辞退福利产生的职工薪酬负债，并计入当期损益：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1）公司不能单方面撤回因解除劳动关系计划或裁减建议所提供的辞退福利时；</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2）公司确认与涉及支付辞退福利的重组相关的成本或费用时。</w:t>
          </w:r>
        </w:p>
      </w:sdtContent>
    </w:sdt>
    <w:p>
      <w:pPr>
        <w:pStyle w:val="5"/>
        <w:numPr>
          <w:ilvl w:val="0"/>
          <w:numId w:val="37"/>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其他长期职工福利的会计处理方法</w:t>
      </w:r>
    </w:p>
    <w:sdt>
      <w:sdtPr>
        <w:rPr>
          <w:rFonts w:hint="eastAsia"/>
          <w:color w:val="000000" w:themeColor="text1"/>
          <w14:textFill>
            <w14:solidFill>
              <w14:schemeClr w14:val="tx1"/>
            </w14:solidFill>
          </w14:textFill>
        </w:rPr>
        <w:alias w:val="是否适用：其他长期职工福利的会计处理方法[双击切换]"/>
        <w:tag w:val="_GBC_6650f3bc6a474b318e05b9d60314cb7f"/>
        <w:id w:val="-813406882"/>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其他长期职工福利的会计处理方法"/>
        <w:tag w:val="_GBC_0e549e9400284de7b64ddf6ecc255dea"/>
        <w:id w:val="439417817"/>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rFonts w:cs="Times New Roman"/>
              <w:color w:val="000000" w:themeColor="text1"/>
              <w14:textFill>
                <w14:solidFill>
                  <w14:schemeClr w14:val="tx1"/>
                </w14:solidFill>
              </w14:textFill>
            </w:rPr>
          </w:pPr>
          <w:r>
            <w:rPr>
              <w:color w:val="000000" w:themeColor="text1"/>
              <w14:textFill>
                <w14:solidFill>
                  <w14:schemeClr w14:val="tx1"/>
                </w14:solidFill>
              </w14:textFill>
            </w:rPr>
            <w:t>向职工提供的其他长期福利，符合设定提存计划条件的，按照设定提存计划的有关规定进行会计处理；除此之外的其他长期福利，按照设定受益计划的有关规定进行会计处理，为简化相关会计处理，将其产生的职工薪酬成本确认为服务成本、其他长期职工福利净负债或净资产的利息净额以及重新计量其他长期职工福利净负债或净资产所产生的变动等组成项目的总净额计入当期损益或相关资产成本。</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预计负债</w:t>
      </w:r>
    </w:p>
    <w:sdt>
      <w:sdtPr>
        <w:rPr>
          <w:rFonts w:hint="eastAsia"/>
          <w:color w:val="000000" w:themeColor="text1"/>
          <w14:textFill>
            <w14:solidFill>
              <w14:schemeClr w14:val="tx1"/>
            </w14:solidFill>
          </w14:textFill>
        </w:rPr>
        <w:alias w:val="是否适用：预计负债_重要会计政策和估计[双击切换]"/>
        <w:tag w:val="_GBC_60f7f598e5d5458986c0f06775dc38fd"/>
        <w:id w:val="439887068"/>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预计负债的核算方法"/>
        <w:tag w:val="_GBC_d6934772e41e485d9e00e349486f9d7e"/>
        <w:id w:val="1333183512"/>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因对外提供担保、诉讼事项、产品质量保证、亏损合同等或有事项形成的义务成为公司承担的现时义务，履行该义务很可能导致经济利益流出公司，且该义务的金额能够可靠的计量时，公司将该项义务确认为预计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（2）公司按照履行相关现时义务所需支出的最佳估计数对预计负债进行初始计量，并在资产负债表日对预计负债的账面价值进行复核。</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股份支付</w:t>
      </w:r>
    </w:p>
    <w:sdt>
      <w:sdtPr>
        <w:rPr>
          <w:rFonts w:hint="eastAsia"/>
          <w:color w:val="000000" w:themeColor="text1"/>
          <w14:textFill>
            <w14:solidFill>
              <w14:schemeClr w14:val="tx1"/>
            </w14:solidFill>
          </w14:textFill>
        </w:rPr>
        <w:alias w:val="是否适用：股份支付_重要会计政策和估计[双击切换]"/>
        <w:tag w:val="_GBC_cfe00a6b35f24950855f2412f34bcf7a"/>
        <w:id w:val="733676289"/>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股份支付的核算方法"/>
        <w:tag w:val="_GBC_99e197c555ed4cf8aa00bbd5da2fe98b"/>
        <w:id w:val="-1824645688"/>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（1）股份支付的种类</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包括以权益结算的股份支付和以现金结算的股份支付。</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（2）实施、修改、终止股份支付计划的相关会计处理</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1）以权益结算的股份支付</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授予后立即可行权的换取职工服务的以权益结算的股份支付，在授予日按照权益工具的公允价值计入相关成本或费用，相应调整资本公积。完成等待期内的服务或达到规定业绩条件才可行权的换取职工服务的以权益结算的股份支付，在等待期内的每个资产负债表日，以对可行权权益工具数量的最佳估计为基础，按权益工具授予日的公允价值，将当期取得的服务计入相关成本或费用，相应调整资本公积。</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换取其他方服务的权益结算的股份支付，如果其他方服务的公允价值能够可靠计量的，按照其他方服务在取得日的公允价值计量；如果其他方服务的公允价值不能可靠计量，但权益工具的公允价值能够可靠计量的，按照权益工具在服务取得日的公允价值计量，计入相关成本或费用，相应增加所有者权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2）以现金结算的股份支付</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授予后立即可行权的换取职工服务的以现金结算的股份支付，在授予日按公司承担负债的公允价值计入相关成本或费用，相应增加负债。完成等待期内的服务或达到规定业绩条件才可行权的换取职工服务的以现金结算的股份支付，在等待期内的每个资产负债表日，以对可行权情况的最佳估计为基础，按公司承担负债的公允价值，将当期取得的服务计入相关成本或费用和相应的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3）修改、终止股份支付计划</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如果修改增加了所授予的权益工具的公允价值，公司按照权益工具公允价值的增加相应地确认取得服务的增加；如果修改增加了所授予的权益工具的数量，公司将增加的权益工具的公允价值相应地确认为取得服务的增加；如果公司按照有利于职工的方式修改可行权条件，公司在处理可行权条件时，考虑修改后的可行权条件。</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如果修改减少了授予的权益工具的公允价值，公司继续以权益工具在授予日的公允价值为基础，确认取得服务的金额，而不考虑权益工具公允价值的减少；如果修改减少了授予的权益工具的数量，公司将减少部分作为已授予的权益工具的取消来进行处理；如果以不利于职工的方式修改了可行权条件，在处理可行权条件时，不考虑修改后的可行权条件。</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如果公司在等待期内取消了所授予的权益工具或结算了所授予的权益工具（因未满足可行权条件而被取消的除外），则将取消或结算作为加速可行权处理，立即确认原本在剩余等待期内确认的金额。</w:t>
          </w:r>
        </w:p>
      </w:sdtContent>
    </w:sdt>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优先股、永续债等其他金融工具</w:t>
      </w:r>
    </w:p>
    <w:sdt>
      <w:sdtPr>
        <w:rPr>
          <w:rFonts w:hint="eastAsia"/>
          <w:color w:val="000000" w:themeColor="text1"/>
          <w14:textFill>
            <w14:solidFill>
              <w14:schemeClr w14:val="tx1"/>
            </w14:solidFill>
          </w14:textFill>
        </w:rPr>
        <w:alias w:val="是否适用：优先股、永续债等其他金融工具[双击切换]"/>
        <w:tag w:val="_GBC_34eb80e2168144958293aa1351780303"/>
        <w:id w:val="-525246344"/>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34"/>
        </w:numPr>
        <w:rPr>
          <w:rFonts w:hint="eastAsia" w:ascii="宋体" w:hAnsi="宋体"/>
          <w:color w:val="000000" w:themeColor="text1"/>
          <w14:textFill>
            <w14:solidFill>
              <w14:schemeClr w14:val="tx1"/>
            </w14:solidFill>
          </w14:textFill>
        </w:rPr>
      </w:pPr>
      <w:bookmarkStart w:id="182" w:name="_Hlk10465559"/>
      <w:r>
        <w:rPr>
          <w:rFonts w:ascii="宋体" w:hAnsi="宋体"/>
          <w:color w:val="000000" w:themeColor="text1"/>
          <w14:textFill>
            <w14:solidFill>
              <w14:schemeClr w14:val="tx1"/>
            </w14:solidFill>
          </w14:textFill>
        </w:rPr>
        <w:t>收入</w:t>
      </w:r>
    </w:p>
    <w:p>
      <w:pPr>
        <w:pStyle w:val="5"/>
        <w:numPr>
          <w:ilvl w:val="3"/>
          <w:numId w:val="38"/>
        </w:numPr>
        <w:ind w:left="426" w:hanging="426"/>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按照业务类型披露收入确认和计量所采用的会计政策</w:t>
      </w:r>
    </w:p>
    <w:sdt>
      <w:sdtPr>
        <w:rPr>
          <w:color w:val="000000" w:themeColor="text1"/>
          <w14:textFill>
            <w14:solidFill>
              <w14:schemeClr w14:val="tx1"/>
            </w14:solidFill>
          </w14:textFill>
        </w:rPr>
        <w:alias w:val="是否适用：收入确认和计量所采用的会计政策[双击切换]"/>
        <w:tag w:val="_GBC_b6eb71cc057645f3b05fb68d8273c681"/>
        <w:id w:val="91366946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收入确认和计量所采用的会计政策"/>
        <w:tag w:val="_GBC_c9c2b3029c08405387c460d2d7eacc7d"/>
        <w:id w:val="-1200008304"/>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本公司的收入主要来源于：销售输配电及控制设备，销售取向硅钢。</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1）收入确认原则</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于合同开始日，公司对合同进行评估，识别合同所包含的各单项履约义务，并确定各单项履约义务是在某一时段内履行，还是在某一时点履行。</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满足下列条件之一时，属于在某一时段内履行履约义务，否则，属于在某一时点履行履约义务：</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① 客户在公司履约的同时即取得并消耗公司履约所带来的经济利益；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 客户能够控制公司履约过程中在建商品；</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③ 公司履约过程中所产出的商品具有不可替代用途，且公司在整个合同期间内有权就累计至今已完成的履约部分收取款项。</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对于在某一时段内履行的履约义务，公司在该段时间内按照履约进度确认收入。履约进度不能合理确定时，已经发生的成本预计能够得到补偿的，按照已经发生的成本金额确认收入，直到履约进度能够合理确定为止。</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对于在某一时点履行的履约义务，在客户取得相关商品或服务控制权时点确认收入。在判断客户是否已取得商品控制权时，公司考虑下列迹象：</w:t>
          </w:r>
        </w:p>
        <w:p>
          <w:pPr>
            <w:spacing w:line="360" w:lineRule="exact"/>
            <w:ind w:firstLine="420" w:firstLineChars="200"/>
            <w:rPr>
              <w:color w:val="000000" w:themeColor="text1"/>
              <w14:textFill>
                <w14:solidFill>
                  <w14:schemeClr w14:val="tx1"/>
                </w14:solidFill>
              </w14:textFill>
            </w:rPr>
          </w:pPr>
          <w:bookmarkStart w:id="183" w:name="OLE_LINK30"/>
          <w:r>
            <w:rPr>
              <w:rFonts w:hint="eastAsia"/>
              <w:color w:val="000000" w:themeColor="text1"/>
              <w14:textFill>
                <w14:solidFill>
                  <w14:schemeClr w14:val="tx1"/>
                </w14:solidFill>
              </w14:textFill>
            </w:rPr>
            <w:t xml:space="preserve">① </w:t>
          </w:r>
          <w:bookmarkEnd w:id="183"/>
          <w:r>
            <w:rPr>
              <w:rFonts w:hint="eastAsia"/>
              <w:color w:val="000000" w:themeColor="text1"/>
              <w14:textFill>
                <w14:solidFill>
                  <w14:schemeClr w14:val="tx1"/>
                </w14:solidFill>
              </w14:textFill>
            </w:rPr>
            <w:t>公司就该商品享有现时收款权利，即客户就该商品负有现时付款义务；</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公司已将该商品的法定所有权转移给客户，即客户已拥有该商品的法定所有权；</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③ 公司已将该商品实物转移给客户，即客户已实物占有该商品；</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④ 公司已将该商品所有权上的主要风险和报酬转移给客户，即客户已取得该商品所有权上的主要风险和报酬；</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⑤ 客户已接受该商品；</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⑥ 其他表明客户已取得商品控制权的迹象。</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2）收入计量原则</w:t>
          </w:r>
        </w:p>
        <w:p>
          <w:pPr>
            <w:spacing w:line="360" w:lineRule="exact"/>
            <w:ind w:firstLine="420" w:firstLineChars="200"/>
            <w:rPr>
              <w:color w:val="000000" w:themeColor="text1"/>
              <w14:textFill>
                <w14:solidFill>
                  <w14:schemeClr w14:val="tx1"/>
                </w14:solidFill>
              </w14:textFill>
            </w:rPr>
          </w:pPr>
          <w:bookmarkStart w:id="184" w:name="OLE_LINK31"/>
          <w:r>
            <w:rPr>
              <w:rFonts w:hint="eastAsia"/>
              <w:color w:val="000000" w:themeColor="text1"/>
              <w14:textFill>
                <w14:solidFill>
                  <w14:schemeClr w14:val="tx1"/>
                </w14:solidFill>
              </w14:textFill>
            </w:rPr>
            <w:t xml:space="preserve">① </w:t>
          </w:r>
          <w:bookmarkEnd w:id="184"/>
          <w:r>
            <w:rPr>
              <w:rFonts w:hint="eastAsia"/>
              <w:color w:val="000000" w:themeColor="text1"/>
              <w14:textFill>
                <w14:solidFill>
                  <w14:schemeClr w14:val="tx1"/>
                </w14:solidFill>
              </w14:textFill>
            </w:rPr>
            <w:t>公司按照分摊至各单项履约义务的交易价格计量收入。交易价格是公司因向客户转让商品或服务而预期有权收取的对价金额，不包括代第三方收取的款项以及预期将退还给客户的款项。</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 合同中存在可变对价的，公司按照期望值或最可能发生金额确定可变对价的最佳估计数，但包含可变对价的交易价格，不超过在相关不确定性消除时累计已确认收入极可能不会发生重大转回的金额。</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③ 合同中存在重大融资成分的，公司按照假定客户在取得商品或服务控制权时即以现金支付的应付金额确定交易价格。该交易价格与合同对价之间的差额，在合同期间内采用实际利率法摊销。</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④ 合同中包含两项或多项履约义务的，公司于合同开始日，按照各单项履约义务所承诺商品的单独售价的相对比例，将交易价格分摊至各单项履约义务。</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3）收入确认的具体方法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本公司主要销售输配电及控制设备和取向硅钢，属于在某一时点履约合同，产品销售收入具体确认方法如下：</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① 境内商品销售收入</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公司根据合同约定或订单要求将产品交付给购货方，并获得购货方验收确认后，已将商品的控制权转移给购货方时确认收入。</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② 境外商品销售收入</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公司在将货物交付承运方并完成报关出口时，按照出口报关单出口日期作为控制权转移的时点，确认销售收入。</w:t>
          </w:r>
        </w:p>
      </w:sdtContent>
    </w:sdt>
    <w:bookmarkEnd w:id="182"/>
    <w:p>
      <w:pPr>
        <w:pStyle w:val="5"/>
        <w:numPr>
          <w:ilvl w:val="3"/>
          <w:numId w:val="38"/>
        </w:numPr>
        <w:ind w:left="426" w:hanging="426"/>
        <w:rPr>
          <w:rFonts w:hint="eastAsia" w:ascii="宋体" w:hAnsi="宋体"/>
          <w:color w:val="000000" w:themeColor="text1"/>
          <w:szCs w:val="21"/>
          <w14:textFill>
            <w14:solidFill>
              <w14:schemeClr w14:val="tx1"/>
            </w14:solidFill>
          </w14:textFill>
        </w:rPr>
      </w:pPr>
      <w:bookmarkStart w:id="185" w:name="_Hlk10465594"/>
      <w:r>
        <w:rPr>
          <w:rFonts w:hint="eastAsia" w:ascii="宋体" w:hAnsi="宋体"/>
          <w:color w:val="000000" w:themeColor="text1"/>
          <w:szCs w:val="21"/>
          <w14:textFill>
            <w14:solidFill>
              <w14:schemeClr w14:val="tx1"/>
            </w14:solidFill>
          </w14:textFill>
        </w:rPr>
        <w:t>同类业务采用不同经营模式涉及不同收入确认方式及计量方法</w:t>
      </w:r>
    </w:p>
    <w:sdt>
      <w:sdtPr>
        <w:rPr>
          <w:color w:val="000000" w:themeColor="text1"/>
          <w14:textFill>
            <w14:solidFill>
              <w14:schemeClr w14:val="tx1"/>
            </w14:solidFill>
          </w14:textFill>
        </w:rPr>
        <w:alias w:val="是否适用：同类业务采用不同经营模式导致收入确认会计政策存在差异的情况[双击切换]"/>
        <w:tag w:val="_GBC_f4f4337356c44180a833322bec4248a8"/>
        <w:id w:val="40611488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85"/>
    <w:p>
      <w:pPr>
        <w:pStyle w:val="4"/>
        <w:numPr>
          <w:ilvl w:val="0"/>
          <w:numId w:val="34"/>
        </w:numPr>
        <w:rPr>
          <w:rFonts w:hint="eastAsia" w:ascii="宋体" w:hAnsi="宋体"/>
          <w:color w:val="000000" w:themeColor="text1"/>
          <w14:textFill>
            <w14:solidFill>
              <w14:schemeClr w14:val="tx1"/>
            </w14:solidFill>
          </w14:textFill>
        </w:rPr>
      </w:pPr>
      <w:bookmarkStart w:id="186" w:name="_Hlk10465679"/>
      <w:r>
        <w:rPr>
          <w:rFonts w:ascii="宋体" w:hAnsi="宋体"/>
          <w:color w:val="000000" w:themeColor="text1"/>
          <w14:textFill>
            <w14:solidFill>
              <w14:schemeClr w14:val="tx1"/>
            </w14:solidFill>
          </w14:textFill>
        </w:rPr>
        <w:t>合同成本</w:t>
      </w:r>
    </w:p>
    <w:sdt>
      <w:sdtPr>
        <w:rPr>
          <w:color w:val="000000" w:themeColor="text1"/>
          <w14:textFill>
            <w14:solidFill>
              <w14:schemeClr w14:val="tx1"/>
            </w14:solidFill>
          </w14:textFill>
        </w:rPr>
        <w:alias w:val="是否适用：合同成本_重要会计政策和估计[双击切换]"/>
        <w:tag w:val="_GBC_d7752b20e4914f04bf87bad019929fe8"/>
        <w:id w:val="57308512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86"/>
    <w:p>
      <w:pPr>
        <w:pStyle w:val="4"/>
        <w:numPr>
          <w:ilvl w:val="0"/>
          <w:numId w:val="34"/>
        </w:numPr>
        <w:rPr>
          <w:rFonts w:hint="eastAsia" w:ascii="宋体" w:hAnsi="宋体"/>
          <w:color w:val="000000" w:themeColor="text1"/>
          <w14:textFill>
            <w14:solidFill>
              <w14:schemeClr w14:val="tx1"/>
            </w14:solidFill>
          </w14:textFill>
        </w:rPr>
      </w:pPr>
      <w:bookmarkStart w:id="187" w:name="_Hlk10465775"/>
      <w:r>
        <w:rPr>
          <w:rFonts w:ascii="宋体" w:hAnsi="宋体"/>
          <w:color w:val="000000" w:themeColor="text1"/>
          <w14:textFill>
            <w14:solidFill>
              <w14:schemeClr w14:val="tx1"/>
            </w14:solidFill>
          </w14:textFill>
        </w:rPr>
        <w:t>政府补助</w:t>
      </w:r>
    </w:p>
    <w:sdt>
      <w:sdtPr>
        <w:rPr>
          <w:color w:val="000000" w:themeColor="text1"/>
          <w14:textFill>
            <w14:solidFill>
              <w14:schemeClr w14:val="tx1"/>
            </w14:solidFill>
          </w14:textFill>
        </w:rPr>
        <w:alias w:val="是否适用：政府补助_重要会计政策和估计[双击切换]"/>
        <w:tag w:val="_GBC_09d5ec3540ea4d9a8e10c93326c490a0"/>
        <w:id w:val="99838679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政府补助_重要会计政策和估计"/>
        <w:tag w:val="_GBC_f313a7b8b81b4ed0845a3af1ac57e5e8"/>
        <w:id w:val="-1863120540"/>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（1）政府补助在同时满足下列条件时予以确认：</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1）公司能够满足政府补助所附的条件；</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2）公司能够收到政府补助。</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政府补助为货币性资产的，按照收到或应收的金额计量。政府补助为非货币性资产的，按照公允价值计量；公允价值不能可靠取得的，按照名义金额计量。</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（2）与资产相关的政府补助判断依据及会计处理方法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政府文件规定用于购建或以其他方式形成长期资产的政府补助划分为与资产相关的政府补助。政府文件不明确的，以取得该补助必须具备的基本条件为基础进行判断，以购建或其他方式形成长期资产为基本条件的作为与资产相关的政府补助。与资产相关的政府补助，冲减相关资产的账面价值或确认为递延收益。与资产相关的政府补助确认为递延收益的，在相关资产使用寿命内按照合理、系统的方法分期计入损益。按照名义金额计量的政府补助，直接计入当期损益。相关资产在使用寿命结束前被出售、转让、报废或发生毁损的，将尚未分配的相关递延收益余额转入资产处置当期的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（3）与收益相关的政府补助判断依据及会计处理方法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除与资产相关的政府补助之外的政府补助划分为与收益相关的政府补助。对于同时包含与资产相关部分和与收益相关部分的政府补助，难以区分与资产相关或与收益相关的，整体归类为与收益相关的政府补助。与收益相关的政府补助，用于补偿以后期间的相关成本费用或损失的，确认为递延收益，在确认相关成本费用或损失的期间，计入当期损益或冲减相关成本；用于补偿已发生的相关成本费用或损失的，直接计入当期损益或冲减相关成本。</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（4）与公司日常经营活动相关的政府补助，按照经济业务实质，计入其他收益或冲减相关成本费用。与公司日常活动无关的政府补助，计入营业外收支。</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（5）政策性优惠贷款贴息的会计处理方法</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1）财政将贴息资金拨付给贷款银行，由贷款银行以政策性优惠利率向公司提供贷款的，以实际收到的借款金额作为借款的入账价值，按照借款本金和该政策性优惠利率计算相关借款费用。</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2）财政将贴息资金直接拨付给公司的，将对应的贴息冲减相关借款费用。</w:t>
          </w:r>
        </w:p>
      </w:sdtContent>
    </w:sdt>
    <w:bookmarkEnd w:id="187"/>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递延所得税资产/递延所得税负债</w:t>
      </w:r>
    </w:p>
    <w:sdt>
      <w:sdtPr>
        <w:rPr>
          <w:rFonts w:hint="eastAsia"/>
          <w:color w:val="000000" w:themeColor="text1"/>
          <w14:textFill>
            <w14:solidFill>
              <w14:schemeClr w14:val="tx1"/>
            </w14:solidFill>
          </w14:textFill>
        </w:rPr>
        <w:alias w:val="是否适用：所得税的会计处理方法[双击切换]"/>
        <w:tag w:val="_GBC_3e4bb828d17944599248216201e65683"/>
        <w:id w:val="-2005817714"/>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所得税的会计处理方法"/>
        <w:tag w:val="_GBC_545dd84ed2b9458fa5e2b87aa1e1cc1c"/>
        <w:id w:val="6038601"/>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根据资产、负债的账面价值与其计税基础之间的差额（未作为资产和负债确认的项目按照税法规定可以确定其计税基础的，该计税基础与其账面数之间的差额），按照预期收回该资产或清偿该负债期间的适用税率计算确认递延所得税资产或递延所得税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确认递延所得税资产以很可能取得用来抵扣可抵扣暂时性差异的应纳税所得额为限。资产负债表日，有确凿证据表明未来期间很可能获得足够的应纳税所得额用来抵扣可抵扣暂时性差异的，确认以前会计期间未确认的递延所得税资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资产负债表日，对递延所得税资产的账面价值进行复核，如果未来期间很可能无法获得足够的应纳税所得额用以抵扣递延所得税资产的利益，则减记递延所得税资产的账面价值。在很可能获得足够的应纳税所得额时，转回减记的金额。</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（4）公司当期所得税和递延所得税作为所得税费用或收益计入当期损益，但不包括下列情况产生的所得税：企业合并；直接在所有者权益中确认的交易或者事项。</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（5）同时满足下列条件时，公司将递延所得税资产及递延所得税负债以抵销后的净额列示：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1）拥有以净额结算当期所得税资产及当期所得税负债的法定权利；</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递延所得税资产和递延所得税负债是与同一税收征管部门对同一纳税主体征收的所得税相关或者对不同的纳税主体相关，但在未来每一具有重要性的递延所得税资产和递延所得税负债转回的期间内，涉及的纳税主体意图以净额结算当期所得税资产及当期所得税负债或是同时取得资产、清偿债务。</w:t>
          </w:r>
        </w:p>
      </w:sdtContent>
    </w:sdt>
    <w:p>
      <w:pPr>
        <w:pStyle w:val="4"/>
        <w:numPr>
          <w:ilvl w:val="0"/>
          <w:numId w:val="34"/>
        </w:numPr>
        <w:rPr>
          <w:rFonts w:hint="eastAsia" w:ascii="宋体" w:hAnsi="宋体"/>
          <w:color w:val="000000" w:themeColor="text1"/>
          <w14:textFill>
            <w14:solidFill>
              <w14:schemeClr w14:val="tx1"/>
            </w14:solidFill>
          </w14:textFill>
        </w:rPr>
      </w:pPr>
      <w:bookmarkStart w:id="188" w:name="_Hlk169007779"/>
      <w:bookmarkStart w:id="189" w:name="_Hlk167884177"/>
      <w:r>
        <w:rPr>
          <w:rFonts w:ascii="宋体" w:hAnsi="宋体"/>
          <w:color w:val="000000" w:themeColor="text1"/>
          <w14:textFill>
            <w14:solidFill>
              <w14:schemeClr w14:val="tx1"/>
            </w14:solidFill>
          </w14:textFill>
        </w:rPr>
        <w:t>租赁</w:t>
      </w:r>
    </w:p>
    <w:sdt>
      <w:sdtPr>
        <w:rPr>
          <w:color w:val="000000" w:themeColor="text1"/>
          <w14:textFill>
            <w14:solidFill>
              <w14:schemeClr w14:val="tx1"/>
            </w14:solidFill>
          </w14:textFill>
        </w:rPr>
        <w:alias w:val="是否适用：租赁_重要会计政策和估计[双击切换]"/>
        <w:tag w:val="_GBC_7f954ee357264e2c946d2c530d8787c5"/>
        <w:id w:val="146670890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rFonts w:ascii="Calibri" w:hAnsi="Calibri" w:cs="Times New Roman"/>
          <w:b/>
          <w:color w:val="000000" w:themeColor="text1"/>
          <w:kern w:val="2"/>
          <w:szCs w:val="32"/>
          <w14:textFill>
            <w14:solidFill>
              <w14:schemeClr w14:val="tx1"/>
            </w14:solidFill>
          </w14:textFill>
        </w:rPr>
      </w:pPr>
      <w:r>
        <w:rPr>
          <w:rFonts w:ascii="Calibri" w:hAnsi="Calibri" w:cs="Times New Roman"/>
          <w:b/>
          <w:color w:val="000000" w:themeColor="text1"/>
          <w:kern w:val="2"/>
          <w:szCs w:val="32"/>
          <w14:textFill>
            <w14:solidFill>
              <w14:schemeClr w14:val="tx1"/>
            </w14:solidFill>
          </w14:textFill>
        </w:rPr>
        <w:t>作为承租方对短期租赁和低价值资产租赁进行简化处理的判断依据和会计处理方法</w:t>
      </w:r>
    </w:p>
    <w:sdt>
      <w:sdtPr>
        <w:rPr>
          <w:color w:val="000000" w:themeColor="text1"/>
          <w14:textFill>
            <w14:solidFill>
              <w14:schemeClr w14:val="tx1"/>
            </w14:solidFill>
          </w14:textFill>
        </w:rPr>
        <w:alias w:val="是否适用：作为承租方对短期租赁和低价值资产租赁进行简化处理的判断依据和会计处理方法[双击切换]"/>
        <w:tag w:val="_GBC_7bcaad3acb7c40ecbe59ad19b127555f"/>
        <w:id w:val="44759062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作为承租方对短期租赁和低价值资产租赁进行简化处理的判断依据和会计处理方法"/>
        <w:tag w:val="_GBC_83c59a0eb4ac4ef2afb783bc5dd4efb6"/>
        <w:id w:val="-1682963178"/>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在租赁期开始日，公司将租赁期不超过12个月，且不包含购买选择权的租赁认定为短期租赁；将单项租赁资产为全新资产时价值较低的租赁认定为低价值资产租赁。公司转租或预期转租租赁资产的，原租赁不认定为低价值资产租赁。</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对于所有短期租赁和低价值资产租赁，公司在租赁期内各个期间按照直线法将租赁付款额计入相关资产成本或当期损益。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除上述采用简化处理的短期租赁和低价值资产租赁外，在租赁期开始日，公司对租赁确认使用权资产和租赁负债。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（1）使用权资产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使用权资产按照成本进行初始计量，该成本包括：1）租赁负债的初始计量金额；2）在租赁期开始日或之前支付的租赁付款额，存在租赁激励的，扣除已享受的租赁激励相关金额；3）承租人发生的初始直接费用；4）承租人为拆卸及移除租赁资产、复原租赁资产所在场地或将租赁资产恢复至租赁条款约定状态预计将发生的成本。</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按照直线法对使用权资产计提折旧。能够合理确定租赁期届满时取得租赁资产所有权的，公司在租赁资产剩余使用寿命内计提折旧。无法合理确定租赁期届满时能够取得租赁资产所有权的，公司在租赁期与租赁资产剩余使用寿命两者孰短的期间内计提折旧。</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（2）租赁负债</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在租赁期开始日，公司将尚未支付的租赁付款额的现值确认为租赁负债。计算租赁付款额现值时采用租赁内含利率作为折现率，无法确定租赁内含利率的，采用公司增量借款利率作为折现率。租赁付款额与其现值之间的差额作为未确认融资费用，在租赁期各个期间内按照确认租赁付款额现值的折现率确认利息费用，并计入当期损益。未纳入租赁负债计量的可变租赁付款额于实际发生时计入当期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租赁期开始日后，当实质固定付款额发生变动、担保余值预计的应付金额发生变化、用于确定租赁付款额的指数或比率发生变动、购买选择权、续租选择权或终止选择权的评估结果或实际行权情况发生变化时，公司按照变动后的租赁付款额的现值重新计量租赁负债，并相应调整使用权资产的账面价值，如使用权资产账面价值已调减至零，但租赁负债仍需进一步调减的，将剩余金额计入当期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（3）售后回租</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公司按照《企业会计准则第14号——收入》的规定，评估确定售后租回交易中的资产转让是否属于销售。</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售后租回交易中的资产转让属于销售的，公司按原资产账面价值中与租回获得的使用权有关的部分，计量售后租回所形成的使用权资产，并仅就转让至出租人的权利确认相关利得或损失。</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售后租回交易中的资产转让不属于销售的，公司继续确认被转让资产，同时确认一项与转让收入等额的金融负债，并按照《企业会计准则第22号——金融工具确认和计量》对该金融负债进行会计处理。</w:t>
          </w:r>
        </w:p>
      </w:sdtContent>
    </w:sdt>
    <w:p>
      <w:pPr>
        <w:rPr>
          <w:rFonts w:ascii="Calibri" w:hAnsi="Calibri" w:cs="Times New Roman"/>
          <w:b/>
          <w:color w:val="000000" w:themeColor="text1"/>
          <w:kern w:val="2"/>
          <w:szCs w:val="32"/>
          <w14:textFill>
            <w14:solidFill>
              <w14:schemeClr w14:val="tx1"/>
            </w14:solidFill>
          </w14:textFill>
        </w:rPr>
      </w:pPr>
      <w:r>
        <w:rPr>
          <w:rFonts w:ascii="Calibri" w:hAnsi="Calibri" w:cs="Times New Roman"/>
          <w:b/>
          <w:color w:val="000000" w:themeColor="text1"/>
          <w:kern w:val="2"/>
          <w:szCs w:val="32"/>
          <w14:textFill>
            <w14:solidFill>
              <w14:schemeClr w14:val="tx1"/>
            </w14:solidFill>
          </w14:textFill>
        </w:rPr>
        <w:t>作为出租方的租赁分类标准和会计处理方法</w:t>
      </w:r>
    </w:p>
    <w:sdt>
      <w:sdtPr>
        <w:rPr>
          <w:color w:val="000000" w:themeColor="text1"/>
          <w14:textFill>
            <w14:solidFill>
              <w14:schemeClr w14:val="tx1"/>
            </w14:solidFill>
          </w14:textFill>
        </w:rPr>
        <w:alias w:val="是否适用：作为出租方的租赁分类标准和会计处理方法[双击切换]"/>
        <w:tag w:val="_GBC_5f67d3c5f08047cab6976824f73e97e9"/>
        <w:id w:val="156437007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作为出租方的租赁分类标准和会计处理方法"/>
        <w:tag w:val="_GBC_32ac25e0a5c442ef8da612bad391098d"/>
        <w:id w:val="368421962"/>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在租赁开始日，公司将实质上转移了与租赁资产所有权有关的几乎全部风险和报酬的租赁划分为融资租赁，除此之外的均为经营租赁。</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（1）经营租赁</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在租赁期内各个期间按照直线法将租赁收款额确认为租金收入，发生的初始直接费用予以资本化并按照与租金收入确认相同的基础进行分摊，分期计入当期损益。公司取得的与经营租赁有关的未计入租赁收款额的可变租赁付款额在实际发生时计入当期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（2）融资租赁</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在租赁期开始日，公司按照租赁投资净额（未担保余值和租赁期开始日尚未收到的租赁收款额按照租赁内含利率折现的现值之和）确认应收融资租赁款，并终止确认融资租赁资产。在租赁期的各个期间，公司按照租赁内含利率计算并确认利息收入。</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公司取得的未纳入租赁投资净额计量的可变租赁付款额在实际发生时计入当期损益。</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（3）售后回租</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公司按照《企业会计准则第14号——收入》的规定，评估确定售后租回交易中的资产转让是否属于销售。</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售后租回交易中的资产转让属于销售的，公司根据其他适用的企业会计准则对资产购买进行会计处理，并根据《企业会计准则第21号——租赁》对资产出租进行会计处理。</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售后租回交易中的资产转让不属于销售的，公司不确认被转让资产，但确认一项与转让收入等额的金融资产，并按照《企业会计准则第22号——金融工具确认和计量》对该金融资产进行会计处理。</w:t>
          </w:r>
        </w:p>
      </w:sdtContent>
    </w:sdt>
    <w:bookmarkEnd w:id="188"/>
    <w:bookmarkEnd w:id="189"/>
    <w:p>
      <w:pPr>
        <w:pStyle w:val="4"/>
        <w:numPr>
          <w:ilvl w:val="0"/>
          <w:numId w:val="34"/>
        </w:numPr>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其他重要的会计政策和会计估计</w:t>
      </w:r>
    </w:p>
    <w:sdt>
      <w:sdtPr>
        <w:rPr>
          <w:color w:val="000000" w:themeColor="text1"/>
          <w14:textFill>
            <w14:solidFill>
              <w14:schemeClr w14:val="tx1"/>
            </w14:solidFill>
          </w14:textFill>
        </w:rPr>
        <w:alias w:val="是否适用：其他重要的会计政策和会计估计[双击切换]"/>
        <w:tag w:val="_GBC_b4281f4538de4623a036697d3903e1f8"/>
        <w:id w:val="-28620960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其他主要会计政策会计估计和会计报表的编制方法"/>
        <w:tag w:val="_GBC_5cf318d9d3d148c4af010cce77bc955d"/>
        <w:id w:val="-1771544200"/>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（1）安全生产费</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公司按照财政部、应急部发布的《企业安全生产费用提取和使用管理办法》（财资〔2022〕136号）的规定提取的安全生产费，计入相关产品的成本或当期损益，同时记入“专项储备”科目。使用提取的安全生产费时，属于费用性支出的，直接冲减专项储备。形成固定资产的，通过“在建工程”科目归集所发生的支出，待安全项目完工达到预定可使用状态时确认为固定资产；同时，按照形成固定资产的成本冲减专项储备，并确认相同金额的累计折旧，该固定资产在以后期间不再计提折旧。</w:t>
          </w:r>
        </w:p>
      </w:sdtContent>
    </w:sdt>
    <w:p>
      <w:pPr>
        <w:pStyle w:val="4"/>
        <w:numPr>
          <w:ilvl w:val="0"/>
          <w:numId w:val="34"/>
        </w:numPr>
        <w:rPr>
          <w:rFonts w:hint="eastAsia" w:ascii="宋体" w:hAnsi="宋体"/>
          <w:color w:val="000000" w:themeColor="text1"/>
          <w14:textFill>
            <w14:solidFill>
              <w14:schemeClr w14:val="tx1"/>
            </w14:solidFill>
          </w14:textFill>
        </w:rPr>
      </w:pPr>
      <w:bookmarkStart w:id="190" w:name="OLE_LINK3"/>
      <w:r>
        <w:rPr>
          <w:rFonts w:ascii="宋体" w:hAnsi="宋体"/>
          <w:color w:val="000000" w:themeColor="text1"/>
          <w14:textFill>
            <w14:solidFill>
              <w14:schemeClr w14:val="tx1"/>
            </w14:solidFill>
          </w14:textFill>
        </w:rPr>
        <w:t>重要会计政策和会计估计的变更</w:t>
      </w:r>
      <w:bookmarkEnd w:id="190"/>
    </w:p>
    <w:p>
      <w:pPr>
        <w:pStyle w:val="5"/>
        <w:numPr>
          <w:ilvl w:val="3"/>
          <w:numId w:val="39"/>
        </w:numPr>
        <w:ind w:left="426" w:hanging="426"/>
        <w:rPr>
          <w:rFonts w:hint="eastAsia" w:ascii="宋体" w:hAnsi="宋体"/>
          <w:color w:val="000000" w:themeColor="text1"/>
          <w14:textFill>
            <w14:solidFill>
              <w14:schemeClr w14:val="tx1"/>
            </w14:solidFill>
          </w14:textFill>
        </w:rPr>
      </w:pPr>
      <w:bookmarkStart w:id="191" w:name="_Hlk169007887"/>
      <w:r>
        <w:rPr>
          <w:rFonts w:hint="eastAsia" w:ascii="宋体" w:hAnsi="宋体"/>
          <w:color w:val="000000" w:themeColor="text1"/>
          <w14:textFill>
            <w14:solidFill>
              <w14:schemeClr w14:val="tx1"/>
            </w14:solidFill>
          </w14:textFill>
        </w:rPr>
        <w:t>重要</w:t>
      </w:r>
      <w:r>
        <w:rPr>
          <w:rFonts w:ascii="宋体" w:hAnsi="宋体"/>
          <w:color w:val="000000" w:themeColor="text1"/>
          <w14:textFill>
            <w14:solidFill>
              <w14:schemeClr w14:val="tx1"/>
            </w14:solidFill>
          </w14:textFill>
        </w:rPr>
        <w:t>会计政策变更</w:t>
      </w:r>
    </w:p>
    <w:sdt>
      <w:sdtPr>
        <w:rPr>
          <w:color w:val="000000" w:themeColor="text1"/>
          <w14:textFill>
            <w14:solidFill>
              <w14:schemeClr w14:val="tx1"/>
            </w14:solidFill>
          </w14:textFill>
        </w:rPr>
        <w:alias w:val="是否适用：重要会计政策变更[双击切换]"/>
        <w:tag w:val="_GBC_f1ebc580f60c4d30a80747190ffbec4f"/>
        <w:id w:val="-2092299792"/>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pPr>
      <w:bookmarkStart w:id="192" w:name="_Hlk167884350"/>
      <w:bookmarkEnd w:id="192"/>
      <w:r>
        <w:rPr>
          <w:rFonts w:hint="eastAsia"/>
        </w:rPr>
        <w:t>单位：</w:t>
      </w:r>
      <w:sdt>
        <w:sdtPr>
          <w:rPr>
            <w:rFonts w:hint="eastAsia"/>
          </w:rPr>
          <w:alias w:val="单位：重要会计政策变更"/>
          <w:tag w:val="_GBC_87f2ee25667746cf960482241087ef4b"/>
          <w:id w:val="-2010130438"/>
          <w:placeholder>
            <w:docPart w:val="4F86A124BE8B49A1A41135F8D90CDB50"/>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重要会计政策变更"/>
          <w:tag w:val="_GBC_657b63d0c0384b46ac60959096cf5ae6"/>
          <w:id w:val="-351181774"/>
          <w:placeholder>
            <w:docPart w:val="4F86A124BE8B49A1A41135F8D90CDB50"/>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rFonts w:hint="eastAsia"/>
          </w:rPr>
        </w:sdtEndPr>
        <w:sdtContent>
          <w:r>
            <w:rPr>
              <w:rFonts w:hint="eastAsia"/>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0"/>
        <w:gridCol w:w="2327"/>
        <w:gridCol w:w="1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0" w:type="pct"/>
            <w:vAlign w:val="center"/>
          </w:tcPr>
          <w:p>
            <w:pPr>
              <w:jc w:val="center"/>
            </w:pPr>
            <w:sdt>
              <w:sdtPr>
                <w:tag w:val="_PLD_1aeb4286459c4c67a1f433a7bde2534f"/>
                <w:id w:val="740842056"/>
              </w:sdtPr>
              <w:sdtContent>
                <w:r>
                  <w:rPr>
                    <w:rFonts w:hint="eastAsia"/>
                  </w:rPr>
                  <w:t>会计政策变更的内容和原因</w:t>
                </w:r>
              </w:sdtContent>
            </w:sdt>
          </w:p>
        </w:tc>
        <w:tc>
          <w:tcPr>
            <w:tcW w:w="1286" w:type="pct"/>
            <w:vAlign w:val="center"/>
          </w:tcPr>
          <w:sdt>
            <w:sdtPr>
              <w:tag w:val="_PLD_90f8335918044bef817e845339de0b11"/>
              <w:id w:val="-1042435319"/>
            </w:sdtPr>
            <w:sdtContent>
              <w:p>
                <w:pPr>
                  <w:jc w:val="center"/>
                </w:pPr>
                <w:r>
                  <w:rPr>
                    <w:rFonts w:hint="eastAsia"/>
                  </w:rPr>
                  <w:t>受重要影响的报表项目名称</w:t>
                </w:r>
              </w:p>
            </w:sdtContent>
          </w:sdt>
        </w:tc>
        <w:sdt>
          <w:sdtPr>
            <w:tag w:val="_PLD_4d28b010ddfb4673ad66b2b634c2c8c9"/>
            <w:id w:val="-1179578254"/>
          </w:sdtPr>
          <w:sdtContent>
            <w:tc>
              <w:tcPr>
                <w:tcW w:w="664" w:type="pct"/>
                <w:tcBorders>
                  <w:bottom w:val="single" w:color="auto" w:sz="4" w:space="0"/>
                </w:tcBorders>
                <w:vAlign w:val="center"/>
              </w:tcPr>
              <w:p>
                <w:pPr>
                  <w:jc w:val="center"/>
                </w:pPr>
                <w:r>
                  <w:t>影响金额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0" w:type="pct"/>
            <w:vAlign w:val="center"/>
          </w:tcPr>
          <w:p>
            <w:pPr>
              <w:jc w:val="both"/>
            </w:pPr>
            <w:r>
              <w:rPr>
                <w:rFonts w:hint="eastAsia"/>
              </w:rPr>
              <w:t>财政部干2025年12月5日印发了《企业会计准则解释第19号》(财会(2025)32号)，进一步明确了非同一控制下企业合并中补偿性资产的会计处理、处置原通过同一控制下企业合并取得子公司时相关资本公积的会计处理、采用电子支付系统结算的金融负债的终止确认、关于金融资产合同现金流量特征的评估及相关披露、关于指定为以公允价值计量且其变动计入其他综合收益的权益工具的披露等内容，本公司于2026年1月1日起遵照执行。</w:t>
            </w:r>
          </w:p>
        </w:tc>
        <w:tc>
          <w:tcPr>
            <w:tcW w:w="1286" w:type="pct"/>
            <w:vAlign w:val="center"/>
          </w:tcPr>
          <w:p>
            <w:pPr>
              <w:jc w:val="both"/>
            </w:pPr>
            <w:r>
              <w:rPr>
                <w:rFonts w:hint="eastAsia"/>
              </w:rPr>
              <w:t>执行该规定对本公司无影响</w:t>
            </w:r>
          </w:p>
        </w:tc>
        <w:tc>
          <w:tcPr>
            <w:tcW w:w="664" w:type="pct"/>
            <w:tcBorders>
              <w:bottom w:val="single" w:color="auto" w:sz="4" w:space="0"/>
            </w:tcBorders>
            <w:vAlign w:val="center"/>
          </w:tcPr>
          <w:p>
            <w:pPr>
              <w:jc w:val="center"/>
            </w:pPr>
            <w:r>
              <w:rPr>
                <w:rFonts w:hint="eastAsi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50" w:type="pct"/>
            <w:vAlign w:val="center"/>
          </w:tcPr>
          <w:p>
            <w:pPr>
              <w:pStyle w:val="48"/>
              <w:jc w:val="both"/>
            </w:pPr>
            <w:r>
              <w:t>2026年6月4日，财政部发布了《企业会计准则解释第20号》（财会〔2026〕7号），对“关于金融资产合同现金流量特征的评估”、“关于货币缺乏可兑换性时的会计处理及相关披露”的内容进行进一步规范及明确，自公布之日起施行。本公司于2026年1月1日起执行该规定。</w:t>
            </w:r>
          </w:p>
        </w:tc>
        <w:tc>
          <w:tcPr>
            <w:tcW w:w="1286" w:type="pct"/>
            <w:vAlign w:val="center"/>
          </w:tcPr>
          <w:p>
            <w:pPr>
              <w:pStyle w:val="48"/>
            </w:pPr>
            <w:r>
              <w:t>执行该规定对本公司无影响</w:t>
            </w:r>
          </w:p>
        </w:tc>
        <w:tc>
          <w:tcPr>
            <w:tcW w:w="664" w:type="pct"/>
            <w:vAlign w:val="center"/>
          </w:tcPr>
          <w:p>
            <w:pPr>
              <w:wordWrap w:val="0"/>
              <w:jc w:val="center"/>
            </w:pPr>
            <w:r>
              <w:rPr>
                <w:rFonts w:hint="eastAsia"/>
              </w:rPr>
              <w:t>无</w:t>
            </w:r>
          </w:p>
        </w:tc>
      </w:tr>
    </w:tbl>
    <w:p>
      <w:pPr>
        <w:pStyle w:val="48"/>
      </w:pPr>
      <w:r>
        <w:rPr>
          <w:rFonts w:hint="eastAsia"/>
        </w:rPr>
        <w:t>其他说明</w:t>
      </w:r>
    </w:p>
    <w:sdt>
      <w:sdtPr>
        <w:alias w:val="会计政策的变更的其他说明"/>
        <w:tag w:val="_GBC_64f80d81a13545bbbdddf651788d26d6"/>
        <w:id w:val="1027601746"/>
        <w:placeholder>
          <w:docPart w:val="4F86A124BE8B49A1A41135F8D90CDB50"/>
        </w:placeholder>
      </w:sdtPr>
      <w:sdtContent>
        <w:p>
          <w:pPr>
            <w:rPr>
              <w:rFonts w:cs="Times New Roman"/>
              <w:kern w:val="2"/>
            </w:rPr>
          </w:pPr>
          <w:r>
            <w:rPr>
              <w:rFonts w:hint="eastAsia"/>
            </w:rPr>
            <w:t>无</w:t>
          </w:r>
        </w:p>
      </w:sdtContent>
    </w:sdt>
    <w:p>
      <w:pPr>
        <w:pStyle w:val="5"/>
        <w:numPr>
          <w:ilvl w:val="3"/>
          <w:numId w:val="39"/>
        </w:numPr>
        <w:ind w:left="426" w:hanging="426"/>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重要会计估计变更</w:t>
      </w:r>
    </w:p>
    <w:sdt>
      <w:sdtPr>
        <w:rPr>
          <w:color w:val="000000" w:themeColor="text1"/>
          <w14:textFill>
            <w14:solidFill>
              <w14:schemeClr w14:val="tx1"/>
            </w14:solidFill>
          </w14:textFill>
        </w:rPr>
        <w:alias w:val="是否适用：重要会计估计变更[双击切换]"/>
        <w:tag w:val="_GBC_902f08bd36774074945386d2d1f9b67d"/>
        <w:id w:val="-1117987095"/>
        <w:placeholder>
          <w:docPart w:val="GBC22222222222222222222222222222"/>
        </w:placeholder>
      </w:sdtPr>
      <w:sdtEndPr>
        <w:rPr>
          <w:color w:val="000000" w:themeColor="text1"/>
          <w14:textFill>
            <w14:solidFill>
              <w14:schemeClr w14:val="tx1"/>
            </w14:solidFill>
          </w14:textFill>
        </w:rPr>
      </w:sdtEndPr>
      <w:sdtContent>
        <w:p>
          <w:pPr>
            <w:rPr>
              <w:rFonts w:cs="Times New Roman"/>
              <w:color w:val="000000" w:themeColor="text1"/>
              <w:kern w:val="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91"/>
    <w:p>
      <w:pPr>
        <w:pStyle w:val="5"/>
        <w:numPr>
          <w:ilvl w:val="3"/>
          <w:numId w:val="39"/>
        </w:numPr>
        <w:ind w:left="426" w:hanging="426"/>
        <w:rPr>
          <w:rFonts w:hint="eastAsia" w:ascii="宋体" w:hAnsi="宋体"/>
          <w:color w:val="000000" w:themeColor="text1"/>
          <w14:textFill>
            <w14:solidFill>
              <w14:schemeClr w14:val="tx1"/>
            </w14:solidFill>
          </w14:textFill>
        </w:rPr>
      </w:pPr>
      <w:bookmarkStart w:id="193" w:name="_Hlk10465969"/>
      <w:bookmarkEnd w:id="193"/>
      <w:bookmarkStart w:id="194" w:name="_Hlk167884427"/>
      <w:bookmarkEnd w:id="194"/>
      <w:bookmarkStart w:id="195" w:name="_Hlk24100246"/>
      <w:bookmarkStart w:id="196" w:name="_Hlk137050657"/>
      <w:r>
        <w:rPr>
          <w:rFonts w:hint="eastAsia" w:ascii="宋体" w:hAnsi="宋体"/>
          <w:color w:val="000000" w:themeColor="text1"/>
          <w14:textFill>
            <w14:solidFill>
              <w14:schemeClr w14:val="tx1"/>
            </w14:solidFill>
          </w14:textFill>
        </w:rPr>
        <w:t>2026年起首次执行新会计准则或准则解释等涉及调整首次执行当年年初的财务报表</w:t>
      </w:r>
    </w:p>
    <w:sdt>
      <w:sdtPr>
        <w:rPr>
          <w:rFonts w:hint="eastAsia"/>
          <w:color w:val="000000" w:themeColor="text1"/>
          <w14:textFill>
            <w14:solidFill>
              <w14:schemeClr w14:val="tx1"/>
            </w14:solidFill>
          </w14:textFill>
        </w:rPr>
        <w:alias w:val="是否适用：首次执行新金融工具准则或新收入准则调整首次执行当年年初财务报表相关项目情况[双击切换]"/>
        <w:tag w:val="_GBC_8608c1ec447d48978e05546e78cb2ffc"/>
        <w:id w:val="-399450850"/>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195"/>
    <w:bookmarkEnd w:id="196"/>
    <w:p>
      <w:pPr>
        <w:pStyle w:val="4"/>
        <w:numPr>
          <w:ilvl w:val="0"/>
          <w:numId w:val="34"/>
        </w:numPr>
        <w:rPr>
          <w:rFonts w:hint="eastAsia" w:ascii="宋体" w:hAnsi="宋体"/>
          <w:color w:val="000000" w:themeColor="text1"/>
          <w14:textFill>
            <w14:solidFill>
              <w14:schemeClr w14:val="tx1"/>
            </w14:solidFill>
          </w14:textFill>
        </w:rPr>
      </w:pPr>
      <w:bookmarkStart w:id="197" w:name="_Hlk24100423"/>
      <w:bookmarkEnd w:id="197"/>
      <w:bookmarkStart w:id="198" w:name="_Hlk137051084"/>
      <w:bookmarkEnd w:id="198"/>
      <w:bookmarkStart w:id="199" w:name="_Hlk10466067"/>
      <w:bookmarkEnd w:id="199"/>
      <w:r>
        <w:rPr>
          <w:rFonts w:ascii="宋体" w:hAnsi="宋体"/>
          <w:color w:val="000000" w:themeColor="text1"/>
          <w14:textFill>
            <w14:solidFill>
              <w14:schemeClr w14:val="tx1"/>
            </w14:solidFill>
          </w14:textFill>
        </w:rPr>
        <w:t>其他</w:t>
      </w:r>
    </w:p>
    <w:sdt>
      <w:sdtPr>
        <w:rPr>
          <w:rFonts w:hint="eastAsia"/>
          <w:color w:val="000000" w:themeColor="text1"/>
          <w14:textFill>
            <w14:solidFill>
              <w14:schemeClr w14:val="tx1"/>
            </w14:solidFill>
          </w14:textFill>
        </w:rPr>
        <w:alias w:val="是否适用：公司主要会计政策、会计估计和前期差错的其他说明[双击切换]"/>
        <w:tag w:val="_GBC_6deb29735f384e0d9a2b017d4265a493"/>
        <w:id w:val="1047103531"/>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
        <w:numPr>
          <w:ilvl w:val="0"/>
          <w:numId w:val="31"/>
        </w:numPr>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税项</w:t>
      </w:r>
    </w:p>
    <w:p>
      <w:pPr>
        <w:pStyle w:val="4"/>
        <w:numPr>
          <w:ilvl w:val="0"/>
          <w:numId w:val="40"/>
        </w:numPr>
        <w:tabs>
          <w:tab w:val="left" w:pos="546"/>
        </w:tabs>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主要税种及税率</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主要税种及税率情况</w:t>
      </w:r>
    </w:p>
    <w:sdt>
      <w:sdtPr>
        <w:rPr>
          <w:color w:val="000000" w:themeColor="text1"/>
          <w14:textFill>
            <w14:solidFill>
              <w14:schemeClr w14:val="tx1"/>
            </w14:solidFill>
          </w14:textFill>
        </w:rPr>
        <w:alias w:val="是否适用：主要税种及税率情况 [双击切换]"/>
        <w:tag w:val="_GBC_fd47fa4fd9aa499c8903795268a25582"/>
        <w:id w:val="63268051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9"/>
        <w:gridCol w:w="4508"/>
        <w:gridCol w:w="2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e7d49d0412b143bf84fec865b918065a"/>
            <w:id w:val="-663854214"/>
          </w:sdtPr>
          <w:sdtContent>
            <w:tc>
              <w:tcPr>
                <w:tcW w:w="961"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税种</w:t>
                </w:r>
              </w:p>
            </w:tc>
          </w:sdtContent>
        </w:sdt>
        <w:sdt>
          <w:sdtPr>
            <w:tag w:val="_PLD_e42202809983483baa812ed26e1b27a2"/>
            <w:id w:val="-1892954115"/>
          </w:sdtPr>
          <w:sdtContent>
            <w:tc>
              <w:tcPr>
                <w:tcW w:w="2491"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计税依据</w:t>
                </w:r>
              </w:p>
            </w:tc>
          </w:sdtContent>
        </w:sdt>
        <w:sdt>
          <w:sdtPr>
            <w:tag w:val="_PLD_0cebc7a4c62844c6b35146cd64cd4277"/>
            <w:id w:val="-1747652288"/>
          </w:sdtPr>
          <w:sdtContent>
            <w:tc>
              <w:tcPr>
                <w:tcW w:w="1548"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税率</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pct"/>
            <w:vAlign w:val="center"/>
          </w:tcPr>
          <w:p>
            <w:pPr>
              <w:jc w:val="both"/>
              <w:rPr>
                <w:color w:val="000000" w:themeColor="text1"/>
                <w14:textFill>
                  <w14:solidFill>
                    <w14:schemeClr w14:val="tx1"/>
                  </w14:solidFill>
                </w14:textFill>
              </w:rPr>
            </w:pPr>
            <w:r>
              <w:rPr>
                <w:rFonts w:hint="eastAsia"/>
              </w:rPr>
              <w:t>增值税</w:t>
            </w:r>
          </w:p>
        </w:tc>
        <w:tc>
          <w:tcPr>
            <w:tcW w:w="2491" w:type="pct"/>
          </w:tcPr>
          <w:p>
            <w:pPr>
              <w:pStyle w:val="48"/>
            </w:pPr>
            <w:r>
              <w:rPr>
                <w:rFonts w:hint="eastAsia"/>
              </w:rPr>
              <w:t>以按税法规定计算的销售货物和应税劳务收入为基础计算销项税额，扣除当期允许抵扣的进项税额后，差额部分为应交增值税。</w:t>
            </w:r>
          </w:p>
        </w:tc>
        <w:tc>
          <w:tcPr>
            <w:tcW w:w="1548" w:type="pct"/>
            <w:vAlign w:val="center"/>
          </w:tcPr>
          <w:p>
            <w:pPr>
              <w:jc w:val="center"/>
            </w:pPr>
            <w:r>
              <w:rPr>
                <w:rFonts w:hint="eastAsia"/>
              </w:rPr>
              <w:t>13%、9%、6%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pct"/>
            <w:vAlign w:val="center"/>
          </w:tcPr>
          <w:p>
            <w:pPr>
              <w:jc w:val="both"/>
              <w:rPr>
                <w:color w:val="000000" w:themeColor="text1"/>
                <w14:textFill>
                  <w14:solidFill>
                    <w14:schemeClr w14:val="tx1"/>
                  </w14:solidFill>
                </w14:textFill>
              </w:rPr>
            </w:pPr>
            <w:r>
              <w:rPr>
                <w:rFonts w:hint="eastAsia"/>
              </w:rPr>
              <w:t>城市维护建设税</w:t>
            </w:r>
          </w:p>
        </w:tc>
        <w:tc>
          <w:tcPr>
            <w:tcW w:w="2491" w:type="pct"/>
          </w:tcPr>
          <w:p>
            <w:pPr>
              <w:pStyle w:val="48"/>
            </w:pPr>
            <w:r>
              <w:rPr>
                <w:rFonts w:hint="eastAsia"/>
              </w:rPr>
              <w:t>实际缴纳的流转税税额</w:t>
            </w:r>
          </w:p>
        </w:tc>
        <w:tc>
          <w:tcPr>
            <w:tcW w:w="1548" w:type="pct"/>
            <w:vAlign w:val="center"/>
          </w:tcPr>
          <w:p>
            <w:pPr>
              <w:jc w:val="center"/>
            </w:pPr>
            <w:r>
              <w:rPr>
                <w:rFonts w:hint="eastAsia"/>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pct"/>
            <w:vAlign w:val="center"/>
          </w:tcPr>
          <w:p>
            <w:pPr>
              <w:jc w:val="both"/>
              <w:rPr>
                <w:color w:val="000000" w:themeColor="text1"/>
                <w14:textFill>
                  <w14:solidFill>
                    <w14:schemeClr w14:val="tx1"/>
                  </w14:solidFill>
                </w14:textFill>
              </w:rPr>
            </w:pPr>
            <w:r>
              <w:rPr>
                <w:rFonts w:hint="eastAsia"/>
              </w:rPr>
              <w:t>教育费附加</w:t>
            </w:r>
          </w:p>
        </w:tc>
        <w:tc>
          <w:tcPr>
            <w:tcW w:w="2491" w:type="pct"/>
          </w:tcPr>
          <w:p>
            <w:pPr>
              <w:pStyle w:val="48"/>
            </w:pPr>
            <w:r>
              <w:rPr>
                <w:rFonts w:hint="eastAsia"/>
              </w:rPr>
              <w:t>实际缴纳的流转税税额</w:t>
            </w:r>
          </w:p>
        </w:tc>
        <w:tc>
          <w:tcPr>
            <w:tcW w:w="1548" w:type="pct"/>
            <w:vAlign w:val="center"/>
          </w:tcPr>
          <w:p>
            <w:pPr>
              <w:jc w:val="center"/>
            </w:pPr>
            <w:r>
              <w:rPr>
                <w:rFonts w:hint="eastAsi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pct"/>
            <w:vAlign w:val="center"/>
          </w:tcPr>
          <w:p>
            <w:pPr>
              <w:jc w:val="both"/>
              <w:rPr>
                <w:color w:val="000000" w:themeColor="text1"/>
                <w14:textFill>
                  <w14:solidFill>
                    <w14:schemeClr w14:val="tx1"/>
                  </w14:solidFill>
                </w14:textFill>
              </w:rPr>
            </w:pPr>
            <w:r>
              <w:rPr>
                <w:rFonts w:hint="eastAsia"/>
              </w:rPr>
              <w:t>地方教育附加</w:t>
            </w:r>
          </w:p>
        </w:tc>
        <w:tc>
          <w:tcPr>
            <w:tcW w:w="2491" w:type="pct"/>
          </w:tcPr>
          <w:p>
            <w:pPr>
              <w:pStyle w:val="48"/>
            </w:pPr>
            <w:r>
              <w:rPr>
                <w:rFonts w:hint="eastAsia"/>
              </w:rPr>
              <w:t>实际缴纳的流转税税额</w:t>
            </w:r>
          </w:p>
        </w:tc>
        <w:tc>
          <w:tcPr>
            <w:tcW w:w="1548" w:type="pct"/>
            <w:vAlign w:val="center"/>
          </w:tcPr>
          <w:p>
            <w:pPr>
              <w:jc w:val="center"/>
            </w:pPr>
            <w:r>
              <w:rPr>
                <w:rFonts w:hint="eastAsi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pct"/>
            <w:vAlign w:val="center"/>
          </w:tcPr>
          <w:p>
            <w:pPr>
              <w:jc w:val="both"/>
              <w:rPr>
                <w:color w:val="000000" w:themeColor="text1"/>
                <w14:textFill>
                  <w14:solidFill>
                    <w14:schemeClr w14:val="tx1"/>
                  </w14:solidFill>
                </w14:textFill>
              </w:rPr>
            </w:pPr>
            <w:r>
              <w:rPr>
                <w:rFonts w:hint="eastAsia"/>
              </w:rPr>
              <w:t>企业所得税</w:t>
            </w:r>
          </w:p>
        </w:tc>
        <w:tc>
          <w:tcPr>
            <w:tcW w:w="2491" w:type="pct"/>
          </w:tcPr>
          <w:p>
            <w:pPr>
              <w:pStyle w:val="48"/>
            </w:pPr>
            <w:r>
              <w:rPr>
                <w:rFonts w:hint="eastAsia"/>
              </w:rPr>
              <w:t>应纳税所得额</w:t>
            </w:r>
          </w:p>
        </w:tc>
        <w:tc>
          <w:tcPr>
            <w:tcW w:w="1548" w:type="pct"/>
            <w:vAlign w:val="center"/>
          </w:tcPr>
          <w:p>
            <w:pPr>
              <w:jc w:val="center"/>
            </w:pPr>
            <w:r>
              <w:rPr>
                <w:rFonts w:hint="eastAsia"/>
              </w:rPr>
              <w:t>8.25%、15%、20%、25%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1" w:type="pct"/>
            <w:vAlign w:val="center"/>
          </w:tcPr>
          <w:p>
            <w:pPr>
              <w:jc w:val="both"/>
            </w:pPr>
            <w:r>
              <w:rPr>
                <w:rFonts w:hint="eastAsia"/>
              </w:rPr>
              <w:t>房产税</w:t>
            </w:r>
          </w:p>
        </w:tc>
        <w:tc>
          <w:tcPr>
            <w:tcW w:w="2491" w:type="pct"/>
          </w:tcPr>
          <w:p>
            <w:pPr>
              <w:pStyle w:val="48"/>
            </w:pPr>
            <w:r>
              <w:rPr>
                <w:rFonts w:hint="eastAsia"/>
              </w:rPr>
              <w:t>从价计征的，按房产原值一次减除30%后余值的1.2%计缴；从租计征的，按租金收入的12%计缴。</w:t>
            </w:r>
          </w:p>
        </w:tc>
        <w:tc>
          <w:tcPr>
            <w:tcW w:w="1548" w:type="pct"/>
            <w:vAlign w:val="center"/>
          </w:tcPr>
          <w:p>
            <w:pPr>
              <w:jc w:val="center"/>
            </w:pPr>
            <w:r>
              <w:rPr>
                <w:rFonts w:hint="eastAsia"/>
              </w:rPr>
              <w:t>1.2%、12%</w:t>
            </w: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存在不同企业所得税税率纳税主体的，披露情况说明</w:t>
      </w:r>
    </w:p>
    <w:sdt>
      <w:sdtPr>
        <w:rPr>
          <w:color w:val="000000" w:themeColor="text1"/>
          <w14:textFill>
            <w14:solidFill>
              <w14:schemeClr w14:val="tx1"/>
            </w14:solidFill>
          </w14:textFill>
        </w:rPr>
        <w:alias w:val="是否适用：存在不同企业所得税税率纳税主体的，披露情况说明[双击切换]"/>
        <w:tag w:val="_GBC_848dc0d1182048ccb5485f3b0d7d1d70"/>
        <w:id w:val="-172019994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602"/>
        <w:gridCol w:w="4447"/>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sdt>
          <w:sdtPr>
            <w:tag w:val="_PLD_440a50b0d3fa4b22b061006e717665d8"/>
            <w:id w:val="-31662464"/>
          </w:sdtPr>
          <w:sdtContent>
            <w:tc>
              <w:tcPr>
                <w:tcW w:w="2543"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纳税主体名称</w:t>
                </w:r>
              </w:p>
            </w:tc>
          </w:sdtContent>
        </w:sdt>
        <w:sdt>
          <w:sdtPr>
            <w:tag w:val="_PLD_5c2541995bc04204a53104c1e5a4c9da"/>
            <w:id w:val="1372810563"/>
          </w:sdtPr>
          <w:sdtContent>
            <w:tc>
              <w:tcPr>
                <w:tcW w:w="2457"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所得税税率（%）</w:t>
                </w:r>
              </w:p>
            </w:tc>
          </w:sdtContent>
        </w:sdt>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重庆望变电气（集团）股份有限公司</w:t>
            </w:r>
          </w:p>
        </w:tc>
        <w:tc>
          <w:tcPr>
            <w:tcW w:w="2457" w:type="pct"/>
            <w:tcBorders>
              <w:top w:val="single" w:color="auto" w:sz="4" w:space="0"/>
              <w:left w:val="single" w:color="auto" w:sz="4" w:space="0"/>
              <w:bottom w:val="single" w:color="auto" w:sz="4" w:space="0"/>
            </w:tcBorders>
          </w:tcPr>
          <w:p>
            <w:pPr>
              <w:jc w:val="right"/>
            </w:pPr>
            <w:r>
              <w:rPr>
                <w:rFonts w:hint="eastAsia"/>
              </w:rPr>
              <w:t>15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云南变压器电气股份有限公司</w:t>
            </w:r>
          </w:p>
        </w:tc>
        <w:tc>
          <w:tcPr>
            <w:tcW w:w="2457" w:type="pct"/>
            <w:tcBorders>
              <w:top w:val="single" w:color="auto" w:sz="4" w:space="0"/>
              <w:left w:val="single" w:color="auto" w:sz="4" w:space="0"/>
              <w:bottom w:val="single" w:color="auto" w:sz="4" w:space="0"/>
            </w:tcBorders>
          </w:tcPr>
          <w:p>
            <w:pPr>
              <w:jc w:val="right"/>
            </w:pPr>
            <w:r>
              <w:rPr>
                <w:rFonts w:hint="eastAsia"/>
              </w:rPr>
              <w:t>15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重庆望来电智能装备科技有限公司</w:t>
            </w:r>
          </w:p>
        </w:tc>
        <w:tc>
          <w:tcPr>
            <w:tcW w:w="2457" w:type="pct"/>
            <w:tcBorders>
              <w:top w:val="single" w:color="auto" w:sz="4" w:space="0"/>
              <w:left w:val="single" w:color="auto" w:sz="4" w:space="0"/>
              <w:bottom w:val="single" w:color="auto" w:sz="4" w:space="0"/>
            </w:tcBorders>
          </w:tcPr>
          <w:p>
            <w:pPr>
              <w:jc w:val="right"/>
            </w:pPr>
            <w:r>
              <w:rPr>
                <w:rFonts w:hint="eastAsia"/>
              </w:rPr>
              <w:t xml:space="preserve"> 15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t>黔南望江变压器有限公司</w:t>
            </w:r>
          </w:p>
        </w:tc>
        <w:tc>
          <w:tcPr>
            <w:tcW w:w="2457" w:type="pct"/>
            <w:tcBorders>
              <w:top w:val="single" w:color="auto" w:sz="4" w:space="0"/>
              <w:left w:val="single" w:color="auto" w:sz="4" w:space="0"/>
              <w:bottom w:val="single" w:color="auto" w:sz="4" w:space="0"/>
            </w:tcBorders>
          </w:tcPr>
          <w:p>
            <w:pPr>
              <w:jc w:val="right"/>
            </w:pPr>
            <w:r>
              <w:t>15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t>重庆惠泽电器有限公司</w:t>
            </w:r>
          </w:p>
        </w:tc>
        <w:tc>
          <w:tcPr>
            <w:tcW w:w="2457" w:type="pct"/>
            <w:tcBorders>
              <w:top w:val="single" w:color="auto" w:sz="4" w:space="0"/>
              <w:left w:val="single" w:color="auto" w:sz="4" w:space="0"/>
              <w:bottom w:val="single" w:color="auto" w:sz="4" w:space="0"/>
            </w:tcBorders>
          </w:tcPr>
          <w:p>
            <w:pPr>
              <w:jc w:val="right"/>
            </w:pPr>
            <w:r>
              <w:t>25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沈阳望泽电气有限公司</w:t>
            </w:r>
          </w:p>
        </w:tc>
        <w:tc>
          <w:tcPr>
            <w:tcW w:w="2457" w:type="pct"/>
            <w:tcBorders>
              <w:top w:val="single" w:color="auto" w:sz="4" w:space="0"/>
              <w:left w:val="single" w:color="auto" w:sz="4" w:space="0"/>
              <w:bottom w:val="single" w:color="auto" w:sz="4" w:space="0"/>
            </w:tcBorders>
          </w:tcPr>
          <w:p>
            <w:pPr>
              <w:jc w:val="right"/>
            </w:pPr>
            <w:r>
              <w:rPr>
                <w:rFonts w:hint="eastAsia"/>
              </w:rPr>
              <w:t xml:space="preserve"> 20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上海渝申望变新能源科技有限公司</w:t>
            </w:r>
          </w:p>
        </w:tc>
        <w:tc>
          <w:tcPr>
            <w:tcW w:w="2457" w:type="pct"/>
            <w:tcBorders>
              <w:top w:val="single" w:color="auto" w:sz="4" w:space="0"/>
              <w:left w:val="single" w:color="auto" w:sz="4" w:space="0"/>
              <w:bottom w:val="single" w:color="auto" w:sz="4" w:space="0"/>
            </w:tcBorders>
          </w:tcPr>
          <w:p>
            <w:pPr>
              <w:jc w:val="right"/>
            </w:pPr>
            <w:r>
              <w:rPr>
                <w:rFonts w:hint="eastAsia"/>
              </w:rPr>
              <w:t xml:space="preserve"> 20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望来充（重庆）科技有限责任公司</w:t>
            </w:r>
          </w:p>
        </w:tc>
        <w:tc>
          <w:tcPr>
            <w:tcW w:w="2457" w:type="pct"/>
            <w:tcBorders>
              <w:top w:val="single" w:color="auto" w:sz="4" w:space="0"/>
              <w:left w:val="single" w:color="auto" w:sz="4" w:space="0"/>
              <w:bottom w:val="single" w:color="auto" w:sz="4" w:space="0"/>
            </w:tcBorders>
          </w:tcPr>
          <w:p>
            <w:pPr>
              <w:jc w:val="right"/>
            </w:pPr>
            <w:r>
              <w:rPr>
                <w:rFonts w:hint="eastAsia"/>
              </w:rPr>
              <w:t xml:space="preserve"> 20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望来充（云南）科技有限公司</w:t>
            </w:r>
          </w:p>
        </w:tc>
        <w:tc>
          <w:tcPr>
            <w:tcW w:w="2457" w:type="pct"/>
            <w:tcBorders>
              <w:top w:val="single" w:color="auto" w:sz="4" w:space="0"/>
              <w:left w:val="single" w:color="auto" w:sz="4" w:space="0"/>
              <w:bottom w:val="single" w:color="auto" w:sz="4" w:space="0"/>
            </w:tcBorders>
          </w:tcPr>
          <w:p>
            <w:pPr>
              <w:jc w:val="right"/>
            </w:pPr>
            <w:r>
              <w:rPr>
                <w:rFonts w:hint="eastAsia"/>
              </w:rPr>
              <w:t xml:space="preserve"> 20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重庆长寿望来充新能源有限公司</w:t>
            </w:r>
          </w:p>
        </w:tc>
        <w:tc>
          <w:tcPr>
            <w:tcW w:w="2457" w:type="pct"/>
            <w:tcBorders>
              <w:top w:val="single" w:color="auto" w:sz="4" w:space="0"/>
              <w:left w:val="single" w:color="auto" w:sz="4" w:space="0"/>
              <w:bottom w:val="single" w:color="auto" w:sz="4" w:space="0"/>
            </w:tcBorders>
          </w:tcPr>
          <w:p>
            <w:pPr>
              <w:jc w:val="right"/>
            </w:pPr>
            <w:r>
              <w:rPr>
                <w:rFonts w:hint="eastAsia"/>
              </w:rPr>
              <w:t xml:space="preserve"> 20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重庆望来充渝合新能源有限公司</w:t>
            </w:r>
          </w:p>
        </w:tc>
        <w:tc>
          <w:tcPr>
            <w:tcW w:w="2457" w:type="pct"/>
            <w:tcBorders>
              <w:top w:val="single" w:color="auto" w:sz="4" w:space="0"/>
              <w:left w:val="single" w:color="auto" w:sz="4" w:space="0"/>
              <w:bottom w:val="single" w:color="auto" w:sz="4" w:space="0"/>
            </w:tcBorders>
          </w:tcPr>
          <w:p>
            <w:pPr>
              <w:jc w:val="right"/>
            </w:pPr>
            <w:r>
              <w:rPr>
                <w:rFonts w:hint="eastAsia"/>
              </w:rPr>
              <w:t xml:space="preserve"> 20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准格尔旗望来充新能源科技有限公司</w:t>
            </w:r>
          </w:p>
        </w:tc>
        <w:tc>
          <w:tcPr>
            <w:tcW w:w="2457" w:type="pct"/>
            <w:tcBorders>
              <w:top w:val="single" w:color="auto" w:sz="4" w:space="0"/>
              <w:left w:val="single" w:color="auto" w:sz="4" w:space="0"/>
              <w:bottom w:val="single" w:color="auto" w:sz="4" w:space="0"/>
            </w:tcBorders>
          </w:tcPr>
          <w:p>
            <w:pPr>
              <w:jc w:val="right"/>
            </w:pPr>
            <w:r>
              <w:rPr>
                <w:rFonts w:hint="eastAsia"/>
              </w:rPr>
              <w:t xml:space="preserve"> 20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望来充（陕西）科技有限责任公司</w:t>
            </w:r>
          </w:p>
        </w:tc>
        <w:tc>
          <w:tcPr>
            <w:tcW w:w="2457" w:type="pct"/>
            <w:tcBorders>
              <w:top w:val="single" w:color="auto" w:sz="4" w:space="0"/>
              <w:left w:val="single" w:color="auto" w:sz="4" w:space="0"/>
              <w:bottom w:val="single" w:color="auto" w:sz="4" w:space="0"/>
            </w:tcBorders>
          </w:tcPr>
          <w:p>
            <w:pPr>
              <w:jc w:val="right"/>
            </w:pPr>
            <w:r>
              <w:rPr>
                <w:rFonts w:hint="eastAsia"/>
              </w:rPr>
              <w:t xml:space="preserve"> 20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云南望来充金池科技有限公司</w:t>
            </w:r>
          </w:p>
        </w:tc>
        <w:tc>
          <w:tcPr>
            <w:tcW w:w="2457" w:type="pct"/>
            <w:tcBorders>
              <w:top w:val="single" w:color="auto" w:sz="4" w:space="0"/>
              <w:left w:val="single" w:color="auto" w:sz="4" w:space="0"/>
              <w:bottom w:val="single" w:color="auto" w:sz="4" w:space="0"/>
            </w:tcBorders>
          </w:tcPr>
          <w:p>
            <w:pPr>
              <w:jc w:val="right"/>
            </w:pPr>
            <w:r>
              <w:rPr>
                <w:rFonts w:hint="eastAsia"/>
              </w:rPr>
              <w:t xml:space="preserve"> 20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望来充（河南）新能源有限公司</w:t>
            </w:r>
          </w:p>
        </w:tc>
        <w:tc>
          <w:tcPr>
            <w:tcW w:w="2457" w:type="pct"/>
            <w:tcBorders>
              <w:top w:val="single" w:color="auto" w:sz="4" w:space="0"/>
              <w:left w:val="single" w:color="auto" w:sz="4" w:space="0"/>
              <w:bottom w:val="single" w:color="auto" w:sz="4" w:space="0"/>
            </w:tcBorders>
          </w:tcPr>
          <w:p>
            <w:pPr>
              <w:jc w:val="right"/>
            </w:pPr>
            <w:r>
              <w:rPr>
                <w:rFonts w:hint="eastAsia"/>
              </w:rPr>
              <w:t xml:space="preserve"> 25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t>深圳南海电气科技有限公司</w:t>
            </w:r>
          </w:p>
        </w:tc>
        <w:tc>
          <w:tcPr>
            <w:tcW w:w="2457" w:type="pct"/>
            <w:tcBorders>
              <w:top w:val="single" w:color="auto" w:sz="4" w:space="0"/>
              <w:left w:val="single" w:color="auto" w:sz="4" w:space="0"/>
              <w:bottom w:val="single" w:color="auto" w:sz="4" w:space="0"/>
            </w:tcBorders>
          </w:tcPr>
          <w:p>
            <w:pPr>
              <w:jc w:val="right"/>
            </w:pPr>
            <w:r>
              <w:t>20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c>
          <w:tcPr>
            <w:tcW w:w="2543" w:type="pct"/>
            <w:tcBorders>
              <w:top w:val="single" w:color="auto" w:sz="4" w:space="0"/>
              <w:bottom w:val="single" w:color="auto" w:sz="4" w:space="0"/>
              <w:right w:val="single" w:color="auto" w:sz="4" w:space="0"/>
            </w:tcBorders>
          </w:tcPr>
          <w:p>
            <w:pPr>
              <w:pStyle w:val="48"/>
            </w:pPr>
            <w:r>
              <w:rPr>
                <w:rFonts w:hint="eastAsia"/>
              </w:rPr>
              <w:t>香港望变国际有限公司[注]</w:t>
            </w:r>
          </w:p>
        </w:tc>
        <w:tc>
          <w:tcPr>
            <w:tcW w:w="2457" w:type="pct"/>
            <w:tcBorders>
              <w:top w:val="single" w:color="auto" w:sz="4" w:space="0"/>
              <w:left w:val="single" w:color="auto" w:sz="4" w:space="0"/>
              <w:bottom w:val="single" w:color="auto" w:sz="4" w:space="0"/>
            </w:tcBorders>
          </w:tcPr>
          <w:p>
            <w:pPr>
              <w:jc w:val="right"/>
            </w:pPr>
            <w:r>
              <w:rPr>
                <w:rFonts w:hint="eastAsia"/>
              </w:rPr>
              <w:t xml:space="preserve"> 8.25 </w:t>
            </w:r>
          </w:p>
        </w:tc>
      </w:tr>
    </w:tbl>
    <w:p>
      <w:pPr>
        <w:rPr>
          <w:color w:val="000000" w:themeColor="text1"/>
          <w14:textFill>
            <w14:solidFill>
              <w14:schemeClr w14:val="tx1"/>
            </w14:solidFill>
          </w14:textFill>
        </w:rPr>
      </w:pPr>
      <w:r>
        <w:rPr>
          <w:color w:val="000000" w:themeColor="text1"/>
          <w14:textFill>
            <w14:solidFill>
              <w14:schemeClr w14:val="tx1"/>
            </w14:solidFill>
          </w14:textFill>
        </w:rPr>
        <w:t>注：香港望变国际有限公司注册地为香港，根据香港2018年4月开始施行的利得税两级制，企业首个200万港币利得税税率为8.25%，超过部分税率为16.50%</w:t>
      </w:r>
    </w:p>
    <w:p>
      <w:pPr>
        <w:pStyle w:val="4"/>
        <w:numPr>
          <w:ilvl w:val="0"/>
          <w:numId w:val="40"/>
        </w:numPr>
        <w:tabs>
          <w:tab w:val="left" w:pos="546"/>
        </w:tabs>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税收优惠</w:t>
      </w:r>
    </w:p>
    <w:sdt>
      <w:sdtPr>
        <w:rPr>
          <w:rFonts w:hint="eastAsia"/>
          <w:color w:val="000000" w:themeColor="text1"/>
          <w14:textFill>
            <w14:solidFill>
              <w14:schemeClr w14:val="tx1"/>
            </w14:solidFill>
          </w14:textFill>
        </w:rPr>
        <w:alias w:val="是否适用：税收优惠[双击切换]"/>
        <w:tag w:val="_GBC_f8eb23e7a2e74e448e4eb46519d87bd6"/>
        <w:id w:val="892551460"/>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优惠税赋及批文"/>
        <w:tag w:val="_GBC_3bbdacdaa3ba421fb8a81b9bda047bb4"/>
        <w:id w:val="1526906604"/>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（1）根据《财政部 国家税务总局 国家发展改革委 关于延续西部大开发企业所得税政策的公告》（2020年第23号），自2021年1月1日至2030年12月31日，设立在西部地区的鼓励类产业企业可享受减按15%的税率缴纳企业所得税。重庆望变电气（集团）股份有限公司、黔南望江变压器有限公司、云南变压器电气股份有限公司、重庆望来电智能装备科技有限公司2025年度享受西部大开发所得税优惠政策，所得税税率为15%。</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（2）根据《财政部 税务总局关于进一步支持小微企业和个体工商户发展有关税费政策的公告》（财政部 税务总局公告2023年第12号），对小型微利企业减按25%计算应纳税所得额，按20%的税率缴纳企业所得税政策，延续执行至2027年12月31日。子公司上海渝申望变新能源科技有限公司、沈阳望泽电气有限公司、望来充（重庆）科技有限责任公司、望来充（云南）科技有限公司、重庆长寿望来充新能源有限公司、重庆望来充渝合新能源有限公司、准格尔旗望来充新能源科技有限公司、望来充（陕西）科技有限责任公司、云南望来充金池科技有限公司、深圳南海电气科技有限公司可享受小微企业所得税优惠，按20%的税率计缴企业所得税。</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（3）根据《财政部 税务总局关于进一步完善税前加计扣除政策的公告》（2021年第13号）规定，自2021年1月1日起，公司开展研发活动中实际发生的研发费用，未形成无形资产计入当期损益的，在按规定据实扣除的基础上，再按照实际发生额的100%在税前加计扣除；形成无形资产的，自2021年1月1日起，按照无形资产成本的200%在税前摊销。</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（4）根据《财政部 税务总局关于设备、器具扣除有关企业所得税政策的公告》（财政部 税务总局公告2023年第37号），企业在2024年1月1日至2027年12月31日期间新购进的设备、器具，单位价值不超过500万元的，允许一次性计入当期成本费用在计算应纳税所得额时扣除。</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（5）根据《财政部 税务总局关于先进制造企业增值税加计抵减政策的公告》（公告2023年第43号）规定，自2023年1月1日至2027年12月31日，允许先进制造企业按照当期可抵扣进项税额加计5%抵减应纳增值税税额。上述先进制造企业是指高新技术企业中的制造业一般纳税人，高新技术企业是指按照《科技部、财政部、国家税务总局关于修订印发〈高新技术企业认定管理办法〉的通知》（国科发火〔2016〕32号）规定认定的高新技术企业。先进制造业企业具体名单，由各省、自治区、直辖市、计划单列市工业和信息化部门会同同级科技、财政、税务部门确定。根据相关规定，重庆望变电气（集团）股份有限公司、云南变压器电气股份有限公司按照当期可抵扣进项税额加计5%抵减应纳增值税税额。</w:t>
          </w:r>
        </w:p>
      </w:sdtContent>
    </w:sdt>
    <w:p>
      <w:pPr>
        <w:pStyle w:val="4"/>
        <w:numPr>
          <w:ilvl w:val="0"/>
          <w:numId w:val="40"/>
        </w:numPr>
        <w:tabs>
          <w:tab w:val="left" w:pos="546"/>
        </w:tabs>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其他</w:t>
      </w:r>
    </w:p>
    <w:sdt>
      <w:sdtPr>
        <w:rPr>
          <w:rFonts w:hint="eastAsia"/>
          <w:color w:val="000000" w:themeColor="text1"/>
          <w14:textFill>
            <w14:solidFill>
              <w14:schemeClr w14:val="tx1"/>
            </w14:solidFill>
          </w14:textFill>
        </w:rPr>
        <w:alias w:val="是否适用：税项说明[双击切换]"/>
        <w:tag w:val="_GBC_566ef0a7141a4b2ca002ad8d0663c462"/>
        <w:id w:val="-605431184"/>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
        <w:numPr>
          <w:ilvl w:val="0"/>
          <w:numId w:val="31"/>
        </w:numPr>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合并财务报表项目注释</w:t>
      </w:r>
    </w:p>
    <w:p>
      <w:pPr>
        <w:pStyle w:val="4"/>
        <w:numPr>
          <w:ilvl w:val="0"/>
          <w:numId w:val="41"/>
        </w:numPr>
        <w:rPr>
          <w:color w:val="000000" w:themeColor="text1"/>
          <w:szCs w:val="21"/>
          <w14:textFill>
            <w14:solidFill>
              <w14:schemeClr w14:val="tx1"/>
            </w14:solidFill>
          </w14:textFill>
        </w:rPr>
      </w:pPr>
      <w:bookmarkStart w:id="200" w:name="_Hlk167884561"/>
      <w:r>
        <w:rPr>
          <w:color w:val="000000" w:themeColor="text1"/>
          <w:szCs w:val="21"/>
          <w14:textFill>
            <w14:solidFill>
              <w14:schemeClr w14:val="tx1"/>
            </w14:solidFill>
          </w14:textFill>
        </w:rPr>
        <w:t>货币资金</w:t>
      </w:r>
    </w:p>
    <w:sdt>
      <w:sdtPr>
        <w:rPr>
          <w:rFonts w:hint="eastAsia"/>
          <w:color w:val="000000" w:themeColor="text1"/>
          <w14:textFill>
            <w14:solidFill>
              <w14:schemeClr w14:val="tx1"/>
            </w14:solidFill>
          </w14:textFill>
        </w:rPr>
        <w:alias w:val="是否适用：货币资金[双击切换]"/>
        <w:tag w:val="_GBC_5f3519836df54c60a57659bf8a9d755e"/>
        <w:id w:val="1522673680"/>
        <w:placeholder>
          <w:docPart w:val="GBC22222222222222222222222222222"/>
        </w:placeholder>
      </w:sdtPr>
      <w:sdtEndPr>
        <w:rPr>
          <w:rFonts w:hint="eastAsia"/>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货币资金"/>
          <w:tag w:val="_GBC_fbefd7cb6bcc4b278e8eafe562f64817"/>
          <w:id w:val="130157719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货币资金"/>
          <w:tag w:val="_GBC_c76577cdfdc64a9abb84903fd74497a4"/>
          <w:id w:val="28323408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276"/>
        <w:gridCol w:w="3379"/>
        <w:gridCol w:w="3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c298b96ff42b4ec08ce0bc2e7ff09d9d"/>
            <w:id w:val="-1195460951"/>
          </w:sdtPr>
          <w:sdtContent>
            <w:tc>
              <w:tcPr>
                <w:tcW w:w="1256"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10d387a5f404c958f8ba18c816ca023"/>
            <w:id w:val="-989164999"/>
          </w:sdtPr>
          <w:sdtContent>
            <w:tc>
              <w:tcPr>
                <w:tcW w:w="1865"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04102c94e9134fa683ae3d0eac53465c"/>
            <w:id w:val="306141707"/>
          </w:sdtPr>
          <w:sdtContent>
            <w:tc>
              <w:tcPr>
                <w:tcW w:w="1879"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库存现金</w:t>
            </w:r>
          </w:p>
        </w:tc>
        <w:tc>
          <w:tcPr>
            <w:tcW w:w="1865" w:type="pct"/>
          </w:tcPr>
          <w:p>
            <w:pPr>
              <w:autoSpaceDE w:val="0"/>
              <w:autoSpaceDN w:val="0"/>
              <w:adjustRightInd w:val="0"/>
              <w:snapToGrid w:val="0"/>
              <w:spacing w:line="240" w:lineRule="atLeast"/>
              <w:jc w:val="right"/>
            </w:pPr>
            <w:r>
              <w:t xml:space="preserve"> 900.00 </w:t>
            </w:r>
          </w:p>
        </w:tc>
        <w:tc>
          <w:tcPr>
            <w:tcW w:w="1879" w:type="pct"/>
          </w:tcPr>
          <w:p>
            <w:pPr>
              <w:autoSpaceDE w:val="0"/>
              <w:autoSpaceDN w:val="0"/>
              <w:adjustRightInd w:val="0"/>
              <w:snapToGrid w:val="0"/>
              <w:spacing w:line="240" w:lineRule="atLeast"/>
              <w:jc w:val="right"/>
            </w:pPr>
            <w:r>
              <w:t xml:space="preserve"> 57,564.84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银行存款</w:t>
            </w:r>
          </w:p>
        </w:tc>
        <w:tc>
          <w:tcPr>
            <w:tcW w:w="1865" w:type="pct"/>
          </w:tcPr>
          <w:p>
            <w:pPr>
              <w:autoSpaceDE w:val="0"/>
              <w:autoSpaceDN w:val="0"/>
              <w:adjustRightInd w:val="0"/>
              <w:snapToGrid w:val="0"/>
              <w:spacing w:line="240" w:lineRule="atLeast"/>
              <w:jc w:val="right"/>
            </w:pPr>
            <w:r>
              <w:t xml:space="preserve"> 890,405,841.42 </w:t>
            </w:r>
          </w:p>
        </w:tc>
        <w:tc>
          <w:tcPr>
            <w:tcW w:w="1879" w:type="pct"/>
          </w:tcPr>
          <w:p>
            <w:pPr>
              <w:autoSpaceDE w:val="0"/>
              <w:autoSpaceDN w:val="0"/>
              <w:adjustRightInd w:val="0"/>
              <w:snapToGrid w:val="0"/>
              <w:spacing w:line="240" w:lineRule="atLeast"/>
              <w:jc w:val="right"/>
            </w:pPr>
            <w:r>
              <w:t xml:space="preserve"> 1,209,291,962.48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其他货币资金</w:t>
            </w:r>
          </w:p>
        </w:tc>
        <w:tc>
          <w:tcPr>
            <w:tcW w:w="1865" w:type="pct"/>
          </w:tcPr>
          <w:p>
            <w:pPr>
              <w:autoSpaceDE w:val="0"/>
              <w:autoSpaceDN w:val="0"/>
              <w:adjustRightInd w:val="0"/>
              <w:snapToGrid w:val="0"/>
              <w:spacing w:line="240" w:lineRule="atLeast"/>
              <w:jc w:val="right"/>
            </w:pPr>
            <w:r>
              <w:t xml:space="preserve"> 142,587,303.61 </w:t>
            </w:r>
          </w:p>
        </w:tc>
        <w:tc>
          <w:tcPr>
            <w:tcW w:w="1879" w:type="pct"/>
          </w:tcPr>
          <w:p>
            <w:pPr>
              <w:autoSpaceDE w:val="0"/>
              <w:autoSpaceDN w:val="0"/>
              <w:adjustRightInd w:val="0"/>
              <w:snapToGrid w:val="0"/>
              <w:spacing w:line="240" w:lineRule="atLeast"/>
              <w:jc w:val="right"/>
            </w:pPr>
            <w:r>
              <w:t xml:space="preserve"> 175,855,143.95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256" w:type="pct"/>
            <w:vAlign w:val="center"/>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865" w:type="pct"/>
          </w:tcPr>
          <w:p>
            <w:pPr>
              <w:autoSpaceDE w:val="0"/>
              <w:autoSpaceDN w:val="0"/>
              <w:adjustRightInd w:val="0"/>
              <w:snapToGrid w:val="0"/>
              <w:spacing w:line="240" w:lineRule="atLeast"/>
              <w:jc w:val="right"/>
            </w:pPr>
            <w:r>
              <w:t xml:space="preserve"> 1,032,994,045.03 </w:t>
            </w:r>
          </w:p>
        </w:tc>
        <w:tc>
          <w:tcPr>
            <w:tcW w:w="1879" w:type="pct"/>
          </w:tcPr>
          <w:p>
            <w:pPr>
              <w:autoSpaceDE w:val="0"/>
              <w:autoSpaceDN w:val="0"/>
              <w:adjustRightInd w:val="0"/>
              <w:snapToGrid w:val="0"/>
              <w:spacing w:line="240" w:lineRule="atLeast"/>
              <w:jc w:val="right"/>
            </w:pPr>
            <w:r>
              <w:t xml:space="preserve"> 1,385,204,671.27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p>
      <w:pPr>
        <w:rPr>
          <w:color w:val="000000" w:themeColor="text1"/>
          <w14:textFill>
            <w14:solidFill>
              <w14:schemeClr w14:val="tx1"/>
            </w14:solidFill>
          </w14:textFill>
        </w:rPr>
      </w:pPr>
      <w:sdt>
        <w:sdtPr>
          <w:rPr>
            <w:color w:val="000000" w:themeColor="text1"/>
            <w14:textFill>
              <w14:solidFill>
                <w14:schemeClr w14:val="tx1"/>
              </w14:solidFill>
            </w14:textFill>
          </w:rPr>
          <w:alias w:val="货币资金的说明"/>
          <w:tag w:val="_GBC_2938fcf8616141aca7cb2bc277476b5d"/>
          <w:id w:val="-1176412645"/>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bookmarkEnd w:id="200"/>
    <w:p>
      <w:pPr>
        <w:pStyle w:val="4"/>
        <w:numPr>
          <w:ilvl w:val="0"/>
          <w:numId w:val="41"/>
        </w:numPr>
        <w:rPr>
          <w:color w:val="000000" w:themeColor="text1"/>
          <w:szCs w:val="21"/>
          <w14:textFill>
            <w14:solidFill>
              <w14:schemeClr w14:val="tx1"/>
            </w14:solidFill>
          </w14:textFill>
        </w:rPr>
      </w:pPr>
      <w:bookmarkStart w:id="201" w:name="_Hlk167884670"/>
      <w:r>
        <w:rPr>
          <w:color w:val="000000" w:themeColor="text1"/>
          <w:szCs w:val="21"/>
          <w14:textFill>
            <w14:solidFill>
              <w14:schemeClr w14:val="tx1"/>
            </w14:solidFill>
          </w14:textFill>
        </w:rPr>
        <w:t>交易性金融资产</w:t>
      </w:r>
    </w:p>
    <w:sdt>
      <w:sdtPr>
        <w:rPr>
          <w:color w:val="000000" w:themeColor="text1"/>
          <w14:textFill>
            <w14:solidFill>
              <w14:schemeClr w14:val="tx1"/>
            </w14:solidFill>
          </w14:textFill>
        </w:rPr>
        <w:alias w:val="是否适用：交易性金融资产[双击切换]"/>
        <w:tag w:val="_GBC_814e9c37d6a143e79b3faaee7ef0a917"/>
        <w:id w:val="-168042480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01"/>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衍生金融资产</w:t>
      </w:r>
    </w:p>
    <w:sdt>
      <w:sdtPr>
        <w:rPr>
          <w:color w:val="000000" w:themeColor="text1"/>
          <w14:textFill>
            <w14:solidFill>
              <w14:schemeClr w14:val="tx1"/>
            </w14:solidFill>
          </w14:textFill>
        </w:rPr>
        <w:alias w:val="是否适用：衍生金融资产[双击切换]"/>
        <w:tag w:val="_GBC_7f1559f8ac9a442b81c5479563d9e8bb"/>
        <w:id w:val="13076500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应收票据</w:t>
      </w:r>
    </w:p>
    <w:p>
      <w:pPr>
        <w:pStyle w:val="5"/>
        <w:numPr>
          <w:ilvl w:val="3"/>
          <w:numId w:val="42"/>
        </w:numPr>
        <w:ind w:left="425" w:hanging="425"/>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应收票据分类列示</w:t>
      </w:r>
    </w:p>
    <w:sdt>
      <w:sdtPr>
        <w:rPr>
          <w:color w:val="000000" w:themeColor="text1"/>
          <w14:textFill>
            <w14:solidFill>
              <w14:schemeClr w14:val="tx1"/>
            </w14:solidFill>
          </w14:textFill>
        </w:rPr>
        <w:alias w:val="是否适用：应收票据分类列示[双击切换]"/>
        <w:tag w:val="_GBC_3c32a2809ab3476a93b88a8155fb0be8"/>
        <w:id w:val="-50174517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收票据分类"/>
          <w:tag w:val="_GBC_21d6ba5a9ccb41d7aee707ba343741db"/>
          <w:id w:val="-161249894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收票据分类"/>
          <w:tag w:val="_GBC_08bc82a26735413f8516c3d080579822"/>
          <w:id w:val="-4574157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63" w:type="pct"/>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4644"/>
        <w:gridCol w:w="4930"/>
        <w:gridCol w:w="45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tag w:val="_PLD_a48e9b652e5b48b08b05dc5f5dba5744"/>
            <w:id w:val="625285086"/>
          </w:sdtPr>
          <w:sdtContent>
            <w:tc>
              <w:tcPr>
                <w:tcW w:w="1646"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c6664062fcf84681af8b24fee4722ae5"/>
            <w:id w:val="-401909992"/>
          </w:sdtPr>
          <w:sdtContent>
            <w:tc>
              <w:tcPr>
                <w:tcW w:w="1747"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7d93c99ec70e48ac985c37b2b3046178"/>
            <w:id w:val="-2136480210"/>
          </w:sdtPr>
          <w:sdtContent>
            <w:tc>
              <w:tcPr>
                <w:tcW w:w="1607"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46"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银行承兑票据</w:t>
            </w:r>
          </w:p>
        </w:tc>
        <w:tc>
          <w:tcPr>
            <w:tcW w:w="1747" w:type="pct"/>
          </w:tcPr>
          <w:p>
            <w:pPr>
              <w:ind w:right="13"/>
              <w:jc w:val="right"/>
            </w:pPr>
            <w:r>
              <w:t xml:space="preserve"> 197,848,925.48 </w:t>
            </w:r>
          </w:p>
        </w:tc>
        <w:tc>
          <w:tcPr>
            <w:tcW w:w="1607" w:type="pct"/>
          </w:tcPr>
          <w:p>
            <w:pPr>
              <w:ind w:right="13"/>
              <w:jc w:val="right"/>
            </w:pPr>
            <w:r>
              <w:t xml:space="preserve"> 255,572,691.49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46"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商业承兑票据</w:t>
            </w:r>
          </w:p>
        </w:tc>
        <w:tc>
          <w:tcPr>
            <w:tcW w:w="1747" w:type="pct"/>
          </w:tcPr>
          <w:p>
            <w:pPr>
              <w:ind w:right="13"/>
              <w:jc w:val="right"/>
            </w:pPr>
            <w:r>
              <w:t xml:space="preserve"> 51,984,179.40 </w:t>
            </w:r>
          </w:p>
        </w:tc>
        <w:tc>
          <w:tcPr>
            <w:tcW w:w="1607" w:type="pct"/>
          </w:tcPr>
          <w:p>
            <w:pPr>
              <w:ind w:right="13"/>
              <w:jc w:val="right"/>
            </w:pPr>
            <w:r>
              <w:t xml:space="preserve"> 31,120,036.54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46"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747" w:type="pct"/>
          </w:tcPr>
          <w:p>
            <w:pPr>
              <w:jc w:val="right"/>
            </w:pPr>
            <w:r>
              <w:t xml:space="preserve"> 249,833,104.88 </w:t>
            </w:r>
          </w:p>
        </w:tc>
        <w:tc>
          <w:tcPr>
            <w:tcW w:w="1607" w:type="pct"/>
          </w:tcPr>
          <w:p>
            <w:pPr>
              <w:autoSpaceDE w:val="0"/>
              <w:autoSpaceDN w:val="0"/>
              <w:adjustRightInd w:val="0"/>
              <w:jc w:val="right"/>
            </w:pPr>
            <w:r>
              <w:t xml:space="preserve"> 286,692,728.03 </w:t>
            </w:r>
          </w:p>
        </w:tc>
      </w:tr>
    </w:tbl>
    <w:p>
      <w:pPr>
        <w:pStyle w:val="5"/>
        <w:numPr>
          <w:ilvl w:val="3"/>
          <w:numId w:val="42"/>
        </w:numPr>
        <w:ind w:left="425" w:hanging="425"/>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期末公司已质押的应收票据</w:t>
      </w:r>
    </w:p>
    <w:sdt>
      <w:sdtPr>
        <w:rPr>
          <w:color w:val="000000" w:themeColor="text1"/>
          <w14:textFill>
            <w14:solidFill>
              <w14:schemeClr w14:val="tx1"/>
            </w14:solidFill>
          </w14:textFill>
        </w:rPr>
        <w:alias w:val="是否适用：期末公司已质押的应收票据[双击切换]"/>
        <w:tag w:val="_GBC_3440ef2908e64e51a440106bfa389257"/>
        <w:id w:val="-87075660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3"/>
          <w:numId w:val="42"/>
        </w:numPr>
        <w:ind w:left="425" w:hanging="425"/>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期末公司已背书或贴现且在资产负债表日尚未到期的应收票据</w:t>
      </w:r>
    </w:p>
    <w:sdt>
      <w:sdtPr>
        <w:rPr>
          <w:color w:val="000000" w:themeColor="text1"/>
          <w14:textFill>
            <w14:solidFill>
              <w14:schemeClr w14:val="tx1"/>
            </w14:solidFill>
          </w14:textFill>
        </w:rPr>
        <w:alias w:val="是否适用：期末公司已背书或贴现且在资产负债表日尚未到期的应收票据[双击切换]"/>
        <w:tag w:val="_GBC_d04f4c30d18f498d986ce6c934ec761c"/>
        <w:id w:val="156536855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期末公司已背书或贴现且在资产负债表日尚未到期的应收票据"/>
          <w:tag w:val="_GBC_1a006471fd2344fca1e27a6484895b0f"/>
          <w:id w:val="47264736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期末公司已背书或贴现且在资产负债表日尚未到期的应收票据"/>
          <w:tag w:val="_GBC_394a26f35e05433d88a516241a51f5ba"/>
          <w:id w:val="106962483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0"/>
        <w:gridCol w:w="4748"/>
        <w:gridCol w:w="4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f8eb653a3a24ed29cc795bb9a08fb8e"/>
            <w:id w:val="1265343855"/>
          </w:sdtPr>
          <w:sdtContent>
            <w:tc>
              <w:tcPr>
                <w:tcW w:w="159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96af9fcfe145402ea8d401a1f6c0d081"/>
            <w:id w:val="161829327"/>
          </w:sdtPr>
          <w:sdtContent>
            <w:tc>
              <w:tcPr>
                <w:tcW w:w="168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期末终止确认金额</w:t>
                </w:r>
              </w:p>
            </w:tc>
          </w:sdtContent>
        </w:sdt>
        <w:sdt>
          <w:sdtPr>
            <w:tag w:val="_PLD_2efea7e570304a7e9fb54f87b3247807"/>
            <w:id w:val="-934822493"/>
          </w:sdtPr>
          <w:sdtContent>
            <w:tc>
              <w:tcPr>
                <w:tcW w:w="172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期末未终止确认金额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银行承兑票据</w:t>
            </w:r>
          </w:p>
        </w:tc>
        <w:tc>
          <w:tcPr>
            <w:tcW w:w="1685" w:type="pct"/>
          </w:tcPr>
          <w:p>
            <w:pPr>
              <w:jc w:val="right"/>
            </w:pPr>
          </w:p>
        </w:tc>
        <w:tc>
          <w:tcPr>
            <w:tcW w:w="1725" w:type="pct"/>
          </w:tcPr>
          <w:p>
            <w:pPr>
              <w:jc w:val="right"/>
            </w:pPr>
            <w:r>
              <w:t xml:space="preserve"> 194,365,615.42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商业承兑票据</w:t>
            </w:r>
          </w:p>
        </w:tc>
        <w:tc>
          <w:tcPr>
            <w:tcW w:w="1685" w:type="pct"/>
          </w:tcPr>
          <w:p>
            <w:pPr>
              <w:jc w:val="right"/>
            </w:pPr>
          </w:p>
        </w:tc>
        <w:tc>
          <w:tcPr>
            <w:tcW w:w="1725" w:type="pct"/>
          </w:tcPr>
          <w:p>
            <w:pPr>
              <w:jc w:val="right"/>
            </w:pPr>
            <w:r>
              <w:t xml:space="preserve"> 44,339,430.59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85" w:type="pct"/>
          </w:tcPr>
          <w:p>
            <w:pPr>
              <w:jc w:val="right"/>
            </w:pPr>
          </w:p>
        </w:tc>
        <w:tc>
          <w:tcPr>
            <w:tcW w:w="1725" w:type="pct"/>
          </w:tcPr>
          <w:p>
            <w:pPr>
              <w:jc w:val="right"/>
            </w:pPr>
            <w:r>
              <w:t xml:space="preserve"> </w:t>
            </w:r>
            <w:bookmarkStart w:id="202" w:name="OLE_LINK13"/>
            <w:r>
              <w:t>238,705,046.01</w:t>
            </w:r>
            <w:bookmarkEnd w:id="202"/>
            <w:r>
              <w:t xml:space="preserve"> </w:t>
            </w:r>
          </w:p>
        </w:tc>
      </w:tr>
    </w:tbl>
    <w:p>
      <w:pPr>
        <w:pStyle w:val="5"/>
        <w:numPr>
          <w:ilvl w:val="3"/>
          <w:numId w:val="42"/>
        </w:numPr>
        <w:ind w:left="425" w:hanging="425"/>
        <w:rPr>
          <w:rFonts w:hint="eastAsia" w:ascii="宋体" w:hAnsi="宋体"/>
          <w:color w:val="000000" w:themeColor="text1"/>
          <w14:textFill>
            <w14:solidFill>
              <w14:schemeClr w14:val="tx1"/>
            </w14:solidFill>
          </w14:textFill>
        </w:rPr>
      </w:pPr>
      <w:bookmarkStart w:id="203" w:name="_Hlk10466572"/>
      <w:r>
        <w:rPr>
          <w:rFonts w:hint="eastAsia" w:ascii="宋体" w:hAnsi="宋体"/>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应收票据按坏账计提方法分类披露[双击切换]"/>
        <w:tag w:val="_GBC_064ae6cf552d47d6abf4ad2b5c55d254"/>
        <w:id w:val="1788926000"/>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autoSpaceDE w:val="0"/>
        <w:autoSpaceDN w:val="0"/>
        <w:adjustRightInd w:val="0"/>
        <w:ind w:left="425" w:right="105"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应收票据按坏账计提方法分类披露"/>
          <w:tag w:val="_GBC_1ddd4d416c8341618d49da8050568b3a"/>
          <w:id w:val="27276318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应收票据按坏账计提方法分类披露"/>
          <w:tag w:val="_GBC_ee21347c53de4655b7421f9707c0f27c"/>
          <w:id w:val="82871653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954"/>
        <w:gridCol w:w="1382"/>
        <w:gridCol w:w="948"/>
        <w:gridCol w:w="1276"/>
        <w:gridCol w:w="975"/>
        <w:gridCol w:w="1382"/>
        <w:gridCol w:w="1382"/>
        <w:gridCol w:w="975"/>
        <w:gridCol w:w="1276"/>
        <w:gridCol w:w="1002"/>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59" w:hRule="atLeast"/>
        </w:trPr>
        <w:sdt>
          <w:sdtPr>
            <w:tag w:val="_PLD_b41ab991b5cb44b284803f0e13680cca"/>
            <w:id w:val="-997660216"/>
          </w:sdtPr>
          <w:sdtContent>
            <w:tc>
              <w:tcPr>
                <w:tcW w:w="701"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bookmarkStart w:id="204" w:name="_Hlk533511527"/>
                <w:r>
                  <w:rPr>
                    <w:rFonts w:hint="eastAsia"/>
                    <w:color w:val="000000" w:themeColor="text1"/>
                    <w14:textFill>
                      <w14:solidFill>
                        <w14:schemeClr w14:val="tx1"/>
                      </w14:solidFill>
                    </w14:textFill>
                  </w:rPr>
                  <w:t>类别</w:t>
                </w:r>
              </w:p>
            </w:tc>
          </w:sdtContent>
        </w:sdt>
        <w:sdt>
          <w:sdtPr>
            <w:tag w:val="_PLD_4250aa21af14465089e9a64950228223"/>
            <w:id w:val="68629246"/>
          </w:sdtPr>
          <w:sdtContent>
            <w:tc>
              <w:tcPr>
                <w:tcW w:w="2140" w:type="pct"/>
                <w:gridSpan w:val="5"/>
                <w:tcBorders>
                  <w:top w:val="single" w:color="auto" w:sz="4" w:space="0"/>
                  <w:left w:val="single" w:color="auto" w:sz="4" w:space="0"/>
                  <w:right w:val="single" w:color="auto" w:sz="4" w:space="0"/>
                </w:tcBorders>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efdd4dc84ac74beda0c7ce9ee8ac707c"/>
            <w:id w:val="-1944372944"/>
          </w:sdtPr>
          <w:sdtContent>
            <w:tc>
              <w:tcPr>
                <w:tcW w:w="2159" w:type="pct"/>
                <w:gridSpan w:val="5"/>
                <w:tcBorders>
                  <w:top w:val="single" w:color="auto" w:sz="4" w:space="0"/>
                  <w:left w:val="single" w:color="auto" w:sz="4" w:space="0"/>
                  <w:right w:val="single" w:color="auto" w:sz="4" w:space="0"/>
                </w:tcBorders>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27" w:hRule="atLeast"/>
        </w:trPr>
        <w:tc>
          <w:tcPr>
            <w:tcW w:w="701" w:type="pct"/>
            <w:vMerge w:val="continue"/>
            <w:tcBorders>
              <w:left w:val="single" w:color="auto" w:sz="4" w:space="0"/>
              <w:right w:val="single" w:color="auto" w:sz="4" w:space="0"/>
            </w:tcBorders>
            <w:vAlign w:val="center"/>
          </w:tcPr>
          <w:p>
            <w:pPr>
              <w:rPr>
                <w:color w:val="000000" w:themeColor="text1"/>
                <w14:textFill>
                  <w14:solidFill>
                    <w14:schemeClr w14:val="tx1"/>
                  </w14:solidFill>
                </w14:textFill>
              </w:rPr>
            </w:pPr>
          </w:p>
        </w:tc>
        <w:sdt>
          <w:sdtPr>
            <w:tag w:val="_PLD_4d31e977a3b64420aab06ccefa58a768"/>
            <w:id w:val="856924905"/>
          </w:sdtPr>
          <w:sdtContent>
            <w:tc>
              <w:tcPr>
                <w:tcW w:w="836"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ce16034971f3433baf795de55c0fcc02"/>
            <w:id w:val="798724889"/>
          </w:sdtPr>
          <w:sdtContent>
            <w:tc>
              <w:tcPr>
                <w:tcW w:w="808"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13676246dce14cd09ca054f6ed8baa70"/>
            <w:id w:val="2094429882"/>
          </w:sdtPr>
          <w:sdtContent>
            <w:tc>
              <w:tcPr>
                <w:tcW w:w="496"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3f5cbfe2ccd14f7a9fa6413579511d78"/>
            <w:id w:val="476269431"/>
          </w:sdtPr>
          <w:sdtContent>
            <w:tc>
              <w:tcPr>
                <w:tcW w:w="846" w:type="pct"/>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063250a22f93425b948b3ffb834d8c5a"/>
            <w:id w:val="1764340148"/>
          </w:sdtPr>
          <w:sdtContent>
            <w:tc>
              <w:tcPr>
                <w:tcW w:w="817" w:type="pct"/>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9932dde99a63463ab11a246a2b6129c8"/>
            <w:id w:val="-1283271792"/>
          </w:sdtPr>
          <w:sdtContent>
            <w:tc>
              <w:tcPr>
                <w:tcW w:w="496"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375" w:hRule="atLeast"/>
        </w:trPr>
        <w:tc>
          <w:tcPr>
            <w:tcW w:w="701" w:type="pct"/>
            <w:vMerge w:val="continue"/>
            <w:tcBorders>
              <w:left w:val="single" w:color="auto" w:sz="4" w:space="0"/>
              <w:bottom w:val="single" w:color="auto" w:sz="4" w:space="0"/>
              <w:right w:val="single" w:color="auto" w:sz="4" w:space="0"/>
            </w:tcBorders>
            <w:vAlign w:val="center"/>
          </w:tcPr>
          <w:p>
            <w:pPr>
              <w:rPr>
                <w:color w:val="000000" w:themeColor="text1"/>
                <w14:textFill>
                  <w14:solidFill>
                    <w14:schemeClr w14:val="tx1"/>
                  </w14:solidFill>
                </w14:textFill>
              </w:rPr>
            </w:pPr>
          </w:p>
        </w:tc>
        <w:sdt>
          <w:sdtPr>
            <w:tag w:val="_PLD_c0290ae623e744d38ca9b437c3a7f380"/>
            <w:id w:val="-1373915776"/>
          </w:sdtPr>
          <w:sdtContent>
            <w:tc>
              <w:tcPr>
                <w:tcW w:w="496"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193b3b07b4e0498485bc12534ae975ec"/>
            <w:id w:val="1702665245"/>
          </w:sdtPr>
          <w:sdtContent>
            <w:tc>
              <w:tcPr>
                <w:tcW w:w="340"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1f47ced2bea143d39f38cb11c0113cf4"/>
            <w:id w:val="-1736387227"/>
          </w:sdtPr>
          <w:sdtContent>
            <w:tc>
              <w:tcPr>
                <w:tcW w:w="458"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a23086fe0481444ab724c5dec4a5f19d"/>
            <w:id w:val="-197850933"/>
          </w:sdtPr>
          <w:sdtContent>
            <w:tc>
              <w:tcPr>
                <w:tcW w:w="350"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496" w:type="pct"/>
            <w:vMerge w:val="continue"/>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sdt>
          <w:sdtPr>
            <w:tag w:val="_PLD_0ebe7a6ebddd49acb12d2e49fbaeb5ef"/>
            <w:id w:val="-1707025050"/>
          </w:sdtPr>
          <w:sdtContent>
            <w:tc>
              <w:tcPr>
                <w:tcW w:w="496"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f3083b688a88491aaa0236072ce160b8"/>
            <w:id w:val="-23408612"/>
          </w:sdtPr>
          <w:sdtContent>
            <w:tc>
              <w:tcPr>
                <w:tcW w:w="350"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1cdb2a199b6d43678bae639c01b9d9cb"/>
            <w:id w:val="463317843"/>
          </w:sdtPr>
          <w:sdtContent>
            <w:tc>
              <w:tcPr>
                <w:tcW w:w="458"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ad76cc2b302a460a8cbeb5e98be19160"/>
            <w:id w:val="-185755870"/>
          </w:sdtPr>
          <w:sdtContent>
            <w:tc>
              <w:tcPr>
                <w:tcW w:w="359"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496"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01"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tc>
        <w:tc>
          <w:tcPr>
            <w:tcW w:w="496" w:type="pct"/>
            <w:tcBorders>
              <w:top w:val="single" w:color="auto" w:sz="4" w:space="0"/>
              <w:left w:val="single" w:color="auto" w:sz="4" w:space="0"/>
              <w:bottom w:val="single" w:color="auto" w:sz="4" w:space="0"/>
              <w:right w:val="single" w:color="auto" w:sz="4" w:space="0"/>
            </w:tcBorders>
          </w:tcPr>
          <w:p>
            <w:pPr>
              <w:jc w:val="right"/>
            </w:pPr>
          </w:p>
        </w:tc>
        <w:tc>
          <w:tcPr>
            <w:tcW w:w="340" w:type="pct"/>
            <w:tcBorders>
              <w:top w:val="single" w:color="auto" w:sz="4" w:space="0"/>
              <w:left w:val="single" w:color="auto" w:sz="4" w:space="0"/>
              <w:bottom w:val="single" w:color="auto" w:sz="4" w:space="0"/>
              <w:right w:val="single" w:color="auto" w:sz="4" w:space="0"/>
            </w:tcBorders>
          </w:tcPr>
          <w:p>
            <w:pPr>
              <w:jc w:val="right"/>
            </w:pPr>
          </w:p>
        </w:tc>
        <w:tc>
          <w:tcPr>
            <w:tcW w:w="458" w:type="pct"/>
            <w:tcBorders>
              <w:top w:val="single" w:color="auto" w:sz="4" w:space="0"/>
              <w:left w:val="single" w:color="auto" w:sz="4" w:space="0"/>
              <w:bottom w:val="single" w:color="auto" w:sz="4" w:space="0"/>
              <w:right w:val="single" w:color="auto" w:sz="4" w:space="0"/>
            </w:tcBorders>
          </w:tcPr>
          <w:p>
            <w:pPr>
              <w:jc w:val="right"/>
            </w:pPr>
          </w:p>
        </w:tc>
        <w:tc>
          <w:tcPr>
            <w:tcW w:w="350" w:type="pct"/>
            <w:tcBorders>
              <w:top w:val="single" w:color="auto" w:sz="4" w:space="0"/>
              <w:left w:val="single" w:color="auto" w:sz="4" w:space="0"/>
              <w:bottom w:val="single" w:color="auto" w:sz="4" w:space="0"/>
              <w:right w:val="single" w:color="auto" w:sz="4" w:space="0"/>
            </w:tcBorders>
          </w:tcPr>
          <w:p>
            <w:pPr>
              <w:jc w:val="right"/>
            </w:pPr>
          </w:p>
        </w:tc>
        <w:tc>
          <w:tcPr>
            <w:tcW w:w="496" w:type="pct"/>
            <w:tcBorders>
              <w:top w:val="single" w:color="auto" w:sz="4" w:space="0"/>
              <w:left w:val="single" w:color="auto" w:sz="4" w:space="0"/>
              <w:bottom w:val="single" w:color="auto" w:sz="4" w:space="0"/>
              <w:right w:val="single" w:color="auto" w:sz="4" w:space="0"/>
            </w:tcBorders>
          </w:tcPr>
          <w:p>
            <w:pPr>
              <w:jc w:val="right"/>
            </w:pPr>
          </w:p>
        </w:tc>
        <w:tc>
          <w:tcPr>
            <w:tcW w:w="496" w:type="pct"/>
            <w:tcBorders>
              <w:top w:val="single" w:color="auto" w:sz="4" w:space="0"/>
              <w:left w:val="single" w:color="auto" w:sz="4" w:space="0"/>
              <w:bottom w:val="single" w:color="auto" w:sz="4" w:space="0"/>
              <w:right w:val="single" w:color="auto" w:sz="4" w:space="0"/>
            </w:tcBorders>
          </w:tcPr>
          <w:p>
            <w:pPr>
              <w:jc w:val="right"/>
            </w:pPr>
          </w:p>
        </w:tc>
        <w:tc>
          <w:tcPr>
            <w:tcW w:w="350" w:type="pct"/>
            <w:tcBorders>
              <w:top w:val="single" w:color="auto" w:sz="4" w:space="0"/>
              <w:left w:val="single" w:color="auto" w:sz="4" w:space="0"/>
              <w:bottom w:val="single" w:color="auto" w:sz="4" w:space="0"/>
              <w:right w:val="single" w:color="auto" w:sz="4" w:space="0"/>
            </w:tcBorders>
          </w:tcPr>
          <w:p>
            <w:pPr>
              <w:jc w:val="right"/>
            </w:pPr>
          </w:p>
        </w:tc>
        <w:tc>
          <w:tcPr>
            <w:tcW w:w="458" w:type="pct"/>
            <w:tcBorders>
              <w:top w:val="single" w:color="auto" w:sz="4" w:space="0"/>
              <w:left w:val="single" w:color="auto" w:sz="4" w:space="0"/>
              <w:bottom w:val="single" w:color="auto" w:sz="4" w:space="0"/>
              <w:right w:val="single" w:color="auto" w:sz="4" w:space="0"/>
            </w:tcBorders>
          </w:tcPr>
          <w:p>
            <w:pPr>
              <w:jc w:val="right"/>
            </w:pPr>
          </w:p>
        </w:tc>
        <w:tc>
          <w:tcPr>
            <w:tcW w:w="359" w:type="pct"/>
            <w:tcBorders>
              <w:top w:val="single" w:color="auto" w:sz="4" w:space="0"/>
              <w:left w:val="single" w:color="auto" w:sz="4" w:space="0"/>
              <w:bottom w:val="single" w:color="auto" w:sz="4" w:space="0"/>
              <w:right w:val="single" w:color="auto" w:sz="4" w:space="0"/>
            </w:tcBorders>
          </w:tcPr>
          <w:p>
            <w:pPr>
              <w:jc w:val="right"/>
            </w:pPr>
          </w:p>
        </w:tc>
        <w:tc>
          <w:tcPr>
            <w:tcW w:w="496"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2a6d1b30f65e462ebca8043195ba30aa"/>
            <w:id w:val="1092752116"/>
          </w:sdtPr>
          <w:sdtContent>
            <w:tc>
              <w:tcPr>
                <w:tcW w:w="5000" w:type="pct"/>
                <w:gridSpan w:val="11"/>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01"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263,174,160.49 </w:t>
            </w:r>
          </w:p>
        </w:tc>
        <w:tc>
          <w:tcPr>
            <w:tcW w:w="340" w:type="pct"/>
            <w:tcBorders>
              <w:top w:val="single" w:color="auto" w:sz="4" w:space="0"/>
              <w:left w:val="single" w:color="auto" w:sz="4" w:space="0"/>
              <w:bottom w:val="single" w:color="auto" w:sz="4" w:space="0"/>
              <w:right w:val="single" w:color="auto" w:sz="4" w:space="0"/>
            </w:tcBorders>
            <w:vAlign w:val="center"/>
          </w:tcPr>
          <w:p>
            <w:pPr>
              <w:jc w:val="right"/>
            </w:pPr>
            <w:r>
              <w:t xml:space="preserve"> 100.00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13,341,055.61 </w:t>
            </w:r>
          </w:p>
        </w:tc>
        <w:tc>
          <w:tcPr>
            <w:tcW w:w="350" w:type="pct"/>
            <w:tcBorders>
              <w:top w:val="single" w:color="auto" w:sz="4" w:space="0"/>
              <w:left w:val="single" w:color="auto" w:sz="4" w:space="0"/>
              <w:bottom w:val="single" w:color="auto" w:sz="4" w:space="0"/>
              <w:right w:val="single" w:color="auto" w:sz="4" w:space="0"/>
            </w:tcBorders>
            <w:vAlign w:val="center"/>
          </w:tcPr>
          <w:p>
            <w:pPr>
              <w:jc w:val="right"/>
            </w:pPr>
            <w:r>
              <w:t xml:space="preserve"> 5.07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249,833,104.88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302,619,669.28 </w:t>
            </w:r>
          </w:p>
        </w:tc>
        <w:tc>
          <w:tcPr>
            <w:tcW w:w="350" w:type="pct"/>
            <w:tcBorders>
              <w:top w:val="single" w:color="auto" w:sz="4" w:space="0"/>
              <w:left w:val="single" w:color="auto" w:sz="4" w:space="0"/>
              <w:bottom w:val="single" w:color="auto" w:sz="4" w:space="0"/>
              <w:right w:val="single" w:color="auto" w:sz="4" w:space="0"/>
            </w:tcBorders>
            <w:vAlign w:val="center"/>
          </w:tcPr>
          <w:p>
            <w:pPr>
              <w:jc w:val="right"/>
            </w:pPr>
            <w:r>
              <w:t xml:space="preserve"> 100.00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15,926,941.25 </w:t>
            </w:r>
          </w:p>
        </w:tc>
        <w:tc>
          <w:tcPr>
            <w:tcW w:w="359" w:type="pct"/>
            <w:tcBorders>
              <w:top w:val="single" w:color="auto" w:sz="4" w:space="0"/>
              <w:left w:val="single" w:color="auto" w:sz="4" w:space="0"/>
              <w:bottom w:val="single" w:color="auto" w:sz="4" w:space="0"/>
              <w:right w:val="single" w:color="auto" w:sz="4" w:space="0"/>
            </w:tcBorders>
            <w:vAlign w:val="center"/>
          </w:tcPr>
          <w:p>
            <w:pPr>
              <w:jc w:val="right"/>
            </w:pPr>
            <w:r>
              <w:t xml:space="preserve"> 5.26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286,692,728.03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6921e0fe3b3b446d887af92fc2bcab4d"/>
            <w:id w:val="1653869963"/>
          </w:sdtPr>
          <w:sdtContent>
            <w:tc>
              <w:tcPr>
                <w:tcW w:w="5000" w:type="pct"/>
                <w:gridSpan w:val="11"/>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color w:val="000000" w:themeColor="text1"/>
              <w14:textFill>
                <w14:solidFill>
                  <w14:schemeClr w14:val="tx1"/>
                </w14:solidFill>
              </w14:textFill>
            </w:rPr>
            <w:alias w:val="按组合计提坏账准备的应收票据明细-类别"/>
            <w:tag w:val="_GBC_6d9e7457cc694a73a262b35683b9ab0e"/>
            <w:id w:val="-932429641"/>
          </w:sdtPr>
          <w:sdtEndPr>
            <w:rPr>
              <w:color w:val="000000" w:themeColor="text1"/>
              <w14:textFill>
                <w14:solidFill>
                  <w14:schemeClr w14:val="tx1"/>
                </w14:solidFill>
              </w14:textFill>
            </w:rPr>
          </w:sdtEndPr>
          <w:sdtContent>
            <w:tc>
              <w:tcPr>
                <w:tcW w:w="701"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color w:val="000000" w:themeColor="text1"/>
                    <w14:textFill>
                      <w14:solidFill>
                        <w14:schemeClr w14:val="tx1"/>
                      </w14:solidFill>
                    </w14:textFill>
                  </w:rPr>
                  <w:t>账龄组合-银行承兑汇票</w:t>
                </w:r>
              </w:p>
            </w:tc>
          </w:sdtContent>
        </w:sdt>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208,263,458.40 </w:t>
            </w:r>
          </w:p>
        </w:tc>
        <w:tc>
          <w:tcPr>
            <w:tcW w:w="340" w:type="pct"/>
            <w:tcBorders>
              <w:top w:val="single" w:color="auto" w:sz="4" w:space="0"/>
              <w:left w:val="single" w:color="auto" w:sz="4" w:space="0"/>
              <w:bottom w:val="single" w:color="auto" w:sz="4" w:space="0"/>
              <w:right w:val="single" w:color="auto" w:sz="4" w:space="0"/>
            </w:tcBorders>
            <w:vAlign w:val="center"/>
          </w:tcPr>
          <w:p>
            <w:pPr>
              <w:jc w:val="right"/>
            </w:pPr>
            <w:r>
              <w:t xml:space="preserve"> 79.14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10,414,532.92 </w:t>
            </w:r>
          </w:p>
        </w:tc>
        <w:tc>
          <w:tcPr>
            <w:tcW w:w="350" w:type="pct"/>
            <w:tcBorders>
              <w:top w:val="single" w:color="auto" w:sz="4" w:space="0"/>
              <w:left w:val="single" w:color="auto" w:sz="4" w:space="0"/>
              <w:bottom w:val="single" w:color="auto" w:sz="4" w:space="0"/>
              <w:right w:val="single" w:color="auto" w:sz="4" w:space="0"/>
            </w:tcBorders>
            <w:vAlign w:val="center"/>
          </w:tcPr>
          <w:p>
            <w:pPr>
              <w:jc w:val="right"/>
            </w:pPr>
            <w:r>
              <w:t xml:space="preserve"> 5.00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197,848,925.48</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268,911,329.61 </w:t>
            </w:r>
          </w:p>
        </w:tc>
        <w:tc>
          <w:tcPr>
            <w:tcW w:w="350" w:type="pct"/>
            <w:tcBorders>
              <w:top w:val="single" w:color="auto" w:sz="4" w:space="0"/>
              <w:left w:val="single" w:color="auto" w:sz="4" w:space="0"/>
              <w:bottom w:val="single" w:color="auto" w:sz="4" w:space="0"/>
              <w:right w:val="single" w:color="auto" w:sz="4" w:space="0"/>
            </w:tcBorders>
            <w:vAlign w:val="center"/>
          </w:tcPr>
          <w:p>
            <w:pPr>
              <w:jc w:val="right"/>
            </w:pPr>
            <w:r>
              <w:t xml:space="preserve"> 88.86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13,338,638.12</w:t>
            </w:r>
          </w:p>
        </w:tc>
        <w:tc>
          <w:tcPr>
            <w:tcW w:w="359" w:type="pct"/>
            <w:tcBorders>
              <w:top w:val="single" w:color="auto" w:sz="4" w:space="0"/>
              <w:left w:val="single" w:color="auto" w:sz="4" w:space="0"/>
              <w:bottom w:val="single" w:color="auto" w:sz="4" w:space="0"/>
              <w:right w:val="single" w:color="auto" w:sz="4" w:space="0"/>
            </w:tcBorders>
            <w:vAlign w:val="center"/>
          </w:tcPr>
          <w:p>
            <w:pPr>
              <w:jc w:val="right"/>
            </w:pPr>
            <w:r>
              <w:t xml:space="preserve"> 4.96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255,572,691.49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color w:val="000000" w:themeColor="text1"/>
              <w14:textFill>
                <w14:solidFill>
                  <w14:schemeClr w14:val="tx1"/>
                </w14:solidFill>
              </w14:textFill>
            </w:rPr>
            <w:alias w:val="按组合计提坏账准备的应收票据明细-类别"/>
            <w:tag w:val="_GBC_6d9e7457cc694a73a262b35683b9ab0e"/>
            <w:id w:val="-294139096"/>
          </w:sdtPr>
          <w:sdtEndPr>
            <w:rPr>
              <w:color w:val="000000" w:themeColor="text1"/>
              <w14:textFill>
                <w14:solidFill>
                  <w14:schemeClr w14:val="tx1"/>
                </w14:solidFill>
              </w14:textFill>
            </w:rPr>
          </w:sdtEndPr>
          <w:sdtContent>
            <w:tc>
              <w:tcPr>
                <w:tcW w:w="701"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color w:val="000000" w:themeColor="text1"/>
                    <w14:textFill>
                      <w14:solidFill>
                        <w14:schemeClr w14:val="tx1"/>
                      </w14:solidFill>
                    </w14:textFill>
                  </w:rPr>
                  <w:t>账龄组合-商业承兑汇票</w:t>
                </w:r>
              </w:p>
            </w:tc>
          </w:sdtContent>
        </w:sdt>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 54,910,702.09 </w:t>
            </w:r>
          </w:p>
        </w:tc>
        <w:tc>
          <w:tcPr>
            <w:tcW w:w="340" w:type="pct"/>
            <w:tcBorders>
              <w:top w:val="single" w:color="auto" w:sz="4" w:space="0"/>
              <w:left w:val="single" w:color="auto" w:sz="4" w:space="0"/>
              <w:bottom w:val="single" w:color="auto" w:sz="4" w:space="0"/>
              <w:right w:val="single" w:color="auto" w:sz="4" w:space="0"/>
            </w:tcBorders>
            <w:vAlign w:val="center"/>
          </w:tcPr>
          <w:p>
            <w:pPr>
              <w:jc w:val="right"/>
            </w:pPr>
            <w:r>
              <w:t xml:space="preserve"> 20.86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 2,926,522.69 </w:t>
            </w:r>
          </w:p>
        </w:tc>
        <w:tc>
          <w:tcPr>
            <w:tcW w:w="350" w:type="pct"/>
            <w:tcBorders>
              <w:top w:val="single" w:color="auto" w:sz="4" w:space="0"/>
              <w:left w:val="single" w:color="auto" w:sz="4" w:space="0"/>
              <w:bottom w:val="single" w:color="auto" w:sz="4" w:space="0"/>
              <w:right w:val="single" w:color="auto" w:sz="4" w:space="0"/>
            </w:tcBorders>
            <w:vAlign w:val="center"/>
          </w:tcPr>
          <w:p>
            <w:pPr>
              <w:jc w:val="right"/>
            </w:pPr>
            <w:r>
              <w:t xml:space="preserve"> 5.33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 51,984,179.40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 33,708,339.67 </w:t>
            </w:r>
          </w:p>
        </w:tc>
        <w:tc>
          <w:tcPr>
            <w:tcW w:w="350" w:type="pct"/>
            <w:tcBorders>
              <w:top w:val="single" w:color="auto" w:sz="4" w:space="0"/>
              <w:left w:val="single" w:color="auto" w:sz="4" w:space="0"/>
              <w:bottom w:val="single" w:color="auto" w:sz="4" w:space="0"/>
              <w:right w:val="single" w:color="auto" w:sz="4" w:space="0"/>
            </w:tcBorders>
            <w:vAlign w:val="center"/>
          </w:tcPr>
          <w:p>
            <w:pPr>
              <w:jc w:val="right"/>
            </w:pPr>
            <w:r>
              <w:t>11.14</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2,588,303.13</w:t>
            </w:r>
          </w:p>
        </w:tc>
        <w:tc>
          <w:tcPr>
            <w:tcW w:w="359" w:type="pct"/>
            <w:tcBorders>
              <w:top w:val="single" w:color="auto" w:sz="4" w:space="0"/>
              <w:left w:val="single" w:color="auto" w:sz="4" w:space="0"/>
              <w:bottom w:val="single" w:color="auto" w:sz="4" w:space="0"/>
              <w:right w:val="single" w:color="auto" w:sz="4" w:space="0"/>
            </w:tcBorders>
            <w:vAlign w:val="center"/>
          </w:tcPr>
          <w:p>
            <w:pPr>
              <w:jc w:val="right"/>
            </w:pPr>
            <w:r>
              <w:t xml:space="preserve"> 7.68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31,120,036.54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0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263,174,160.49 </w:t>
            </w:r>
          </w:p>
        </w:tc>
        <w:tc>
          <w:tcPr>
            <w:tcW w:w="340"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100.00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13,341,055.61 </w:t>
            </w:r>
          </w:p>
        </w:tc>
        <w:tc>
          <w:tcPr>
            <w:tcW w:w="350"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rPr>
                <w:rFonts w:hint="eastAsia"/>
              </w:rPr>
              <w:t>5.07</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249,833,104.88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302,619,669.28 </w:t>
            </w:r>
          </w:p>
        </w:tc>
        <w:tc>
          <w:tcPr>
            <w:tcW w:w="350"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100.00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15,926,941.25</w:t>
            </w:r>
          </w:p>
        </w:tc>
        <w:tc>
          <w:tcPr>
            <w:tcW w:w="359"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5.26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286,692,728.03</w:t>
            </w:r>
          </w:p>
        </w:tc>
      </w:tr>
      <w:bookmarkEnd w:id="203"/>
      <w:bookmarkEnd w:id="204"/>
    </w:tbl>
    <w:p>
      <w:pPr>
        <w:rPr>
          <w:color w:val="000000" w:themeColor="text1"/>
          <w14:textFill>
            <w14:solidFill>
              <w14:schemeClr w14:val="tx1"/>
            </w14:solidFill>
          </w14:textFill>
        </w:rPr>
      </w:pPr>
      <w:bookmarkStart w:id="205" w:name="_Hlk10466593"/>
      <w:bookmarkStart w:id="206" w:name="_Hlk10466603"/>
      <w:r>
        <w:rPr>
          <w:rFonts w:hint="eastAsia"/>
          <w:color w:val="000000" w:themeColor="text1"/>
          <w14:textFill>
            <w14:solidFill>
              <w14:schemeClr w14:val="tx1"/>
            </w14:solidFill>
          </w14:textFill>
        </w:rPr>
        <w:t>按单项计提坏账准备：</w:t>
      </w:r>
      <w:bookmarkEnd w:id="205"/>
    </w:p>
    <w:sdt>
      <w:sdtPr>
        <w:rPr>
          <w:rFonts w:hint="eastAsia"/>
          <w:color w:val="000000" w:themeColor="text1"/>
          <w14:textFill>
            <w14:solidFill>
              <w14:schemeClr w14:val="tx1"/>
            </w14:solidFill>
          </w14:textFill>
        </w:rPr>
        <w:alias w:val="是否适用：按单项计提坏账准备的应收票据详细情况[双击切换]"/>
        <w:tag w:val="_GBC_90335c20d2434e43b63dbeddbebca5f6"/>
        <w:id w:val="388777840"/>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06"/>
    <w:p>
      <w:pPr>
        <w:rPr>
          <w:rFonts w:cstheme="minorBidi"/>
          <w:bCs w:val="0"/>
          <w:color w:val="000000" w:themeColor="text1"/>
          <w:szCs w:val="22"/>
          <w14:textFill>
            <w14:solidFill>
              <w14:schemeClr w14:val="tx1"/>
            </w14:solidFill>
          </w14:textFill>
        </w:rPr>
      </w:pPr>
      <w:bookmarkStart w:id="207" w:name="_Hlk533597423"/>
      <w:bookmarkEnd w:id="207"/>
      <w:bookmarkStart w:id="208" w:name="_Hlk10466625"/>
      <w:bookmarkStart w:id="209" w:name="_Hlk10466636"/>
      <w:r>
        <w:rPr>
          <w:rFonts w:hint="eastAsia" w:cstheme="minorBidi"/>
          <w:color w:val="000000" w:themeColor="text1"/>
          <w:szCs w:val="22"/>
          <w14:textFill>
            <w14:solidFill>
              <w14:schemeClr w14:val="tx1"/>
            </w14:solidFill>
          </w14:textFill>
        </w:rPr>
        <w:t>按组合计提坏账准备：</w:t>
      </w:r>
      <w:bookmarkEnd w:id="208"/>
    </w:p>
    <w:sdt>
      <w:sdtPr>
        <w:rPr>
          <w:rFonts w:hint="eastAsia" w:cstheme="minorBidi"/>
          <w:bCs w:val="0"/>
          <w:color w:val="000000" w:themeColor="text1"/>
          <w:szCs w:val="22"/>
          <w14:textFill>
            <w14:solidFill>
              <w14:schemeClr w14:val="tx1"/>
            </w14:solidFill>
          </w14:textFill>
        </w:rPr>
        <w:alias w:val="是否适用：按组合计提坏账准备的应收票据详细情况[双击切换]"/>
        <w:tag w:val="_GBC_2b00fe7228b14b11bdb374e735777f02"/>
        <w:id w:val="-423803803"/>
        <w:lock w:val="contentLocked"/>
        <w:placeholder>
          <w:docPart w:val="GBC22222222222222222222222222222"/>
        </w:placeholder>
      </w:sdtPr>
      <w:sdtEndPr>
        <w:rPr>
          <w:rFonts w:hint="eastAsia" w:cstheme="minorBidi"/>
          <w:bCs w:val="0"/>
          <w:color w:val="000000" w:themeColor="text1"/>
          <w:szCs w:val="22"/>
          <w14:textFill>
            <w14:solidFill>
              <w14:schemeClr w14:val="tx1"/>
            </w14:solidFill>
          </w14:textFill>
        </w:rPr>
      </w:sdtEndPr>
      <w:sdtContent>
        <w:p>
          <w:pPr>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ascii="宋体" w:hAnsi="宋体" w:cstheme="minorBidi"/>
              <w:color w:val="000000" w:themeColor="text1"/>
              <w:szCs w:val="22"/>
              <w14:textFill>
                <w14:solidFill>
                  <w14:schemeClr w14:val="tx1"/>
                </w14:solidFill>
              </w14:textFill>
            </w:rPr>
            <w:instrText xml:space="preserve"> </w:instrText>
          </w:r>
          <w:r>
            <w:rPr>
              <w:rFonts w:hint="eastAsia" w:ascii="宋体" w:hAnsi="宋体" w:cstheme="minorBidi"/>
              <w:color w:val="000000" w:themeColor="text1"/>
              <w:szCs w:val="22"/>
              <w14:textFill>
                <w14:solidFill>
                  <w14:schemeClr w14:val="tx1"/>
                </w14:solidFill>
              </w14:textFill>
            </w:rPr>
            <w:instrText xml:space="preserve">MACROBUTTON  SnrToggleCheckbox √适用</w:instrText>
          </w:r>
          <w:r>
            <w:rPr>
              <w:rFonts w:ascii="宋体" w:hAnsi="宋体" w:cstheme="minorBidi"/>
              <w:color w:val="000000" w:themeColor="text1"/>
              <w:szCs w:val="22"/>
              <w14:textFill>
                <w14:solidFill>
                  <w14:schemeClr w14:val="tx1"/>
                </w14:solidFill>
              </w14:textFill>
            </w:rPr>
            <w:instrText xml:space="preserve">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pPr>
        <w:rPr>
          <w:rFonts w:cstheme="minorBidi"/>
          <w:bCs w:val="0"/>
          <w:color w:val="000000" w:themeColor="text1"/>
          <w:szCs w:val="22"/>
          <w14:textFill>
            <w14:solidFill>
              <w14:schemeClr w14:val="tx1"/>
            </w14:solidFill>
          </w14:textFill>
        </w:rPr>
      </w:pPr>
      <w:bookmarkStart w:id="210" w:name="_Hlk533601037"/>
      <w:r>
        <w:rPr>
          <w:rFonts w:hint="eastAsia"/>
          <w:color w:val="000000" w:themeColor="text1"/>
          <w14:textFill>
            <w14:solidFill>
              <w14:schemeClr w14:val="tx1"/>
            </w14:solidFill>
          </w14:textFill>
        </w:rPr>
        <w:t>组合计提项目</w:t>
      </w:r>
      <w:r>
        <w:rPr>
          <w:rFonts w:hint="eastAsia" w:cstheme="minorBidi"/>
          <w:color w:val="000000" w:themeColor="text1"/>
          <w:szCs w:val="22"/>
          <w14:textFill>
            <w14:solidFill>
              <w14:schemeClr w14:val="tx1"/>
            </w14:solidFill>
          </w14:textFill>
        </w:rPr>
        <w:t>：</w:t>
      </w:r>
      <w:sdt>
        <w:sdtPr>
          <w:rPr>
            <w:rFonts w:cstheme="minorBidi"/>
            <w:bCs w:val="0"/>
            <w:color w:val="000000" w:themeColor="text1"/>
            <w:szCs w:val="22"/>
            <w14:textFill>
              <w14:solidFill>
                <w14:schemeClr w14:val="tx1"/>
              </w14:solidFill>
            </w14:textFill>
          </w:rPr>
          <w:alias w:val="按组合计提坏账准备的应收票据明细-类别"/>
          <w:tag w:val="_GBC_3ab101eae3824734a1fbf3c7c224edc3"/>
          <w:id w:val="421526924"/>
          <w:placeholder>
            <w:docPart w:val="GBC22222222222222222222222222222"/>
          </w:placeholder>
          <w:comboBox>
            <w:listItem w:displayText="账龄组合-商业承兑汇票" w:value="账龄组合-商业承兑汇票"/>
            <w:listItem w:displayText="账龄组合-银行承兑汇票" w:value="账龄组合-银行承兑汇票"/>
          </w:comboBox>
        </w:sdtPr>
        <w:sdtEndPr>
          <w:rPr>
            <w:rFonts w:cstheme="minorBidi"/>
            <w:bCs w:val="0"/>
            <w:color w:val="000000" w:themeColor="text1"/>
            <w:szCs w:val="22"/>
            <w14:textFill>
              <w14:solidFill>
                <w14:schemeClr w14:val="tx1"/>
              </w14:solidFill>
            </w14:textFill>
          </w:rPr>
        </w:sdtEndPr>
        <w:sdtContent>
          <w:r>
            <w:rPr>
              <w:rFonts w:cstheme="minorBidi"/>
              <w:bCs w:val="0"/>
              <w:color w:val="000000" w:themeColor="text1"/>
              <w:szCs w:val="22"/>
              <w14:textFill>
                <w14:solidFill>
                  <w14:schemeClr w14:val="tx1"/>
                </w14:solidFill>
              </w14:textFill>
            </w:rPr>
            <w:t>银行承兑汇票组合、商业承兑汇票组合</w:t>
          </w:r>
        </w:sdtContent>
      </w:sdt>
    </w:p>
    <w:p>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组合计提坏账准备的应收票据详细情况"/>
          <w:tag w:val="_GBC_5f3250f84084490c95753d0a165a807b"/>
          <w:id w:val="133094601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组合计提坏账准备的应收票据详细情况"/>
          <w:tag w:val="_GBC_8b6ba2153795407e8dbbd199bda78b09"/>
          <w:id w:val="-42656928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3"/>
        <w:gridCol w:w="3596"/>
        <w:gridCol w:w="366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376290ef0b041e8bbd7b943461b0a9f"/>
            <w:id w:val="-262537700"/>
          </w:sdtPr>
          <w:sdtContent>
            <w:tc>
              <w:tcPr>
                <w:tcW w:w="1158"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cb2e8486740a451fbac357ed56dfdf09"/>
            <w:id w:val="-327283171"/>
          </w:sdtPr>
          <w:sdtContent>
            <w:tc>
              <w:tcPr>
                <w:tcW w:w="3842"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pPr>
              <w:jc w:val="center"/>
              <w:rPr>
                <w:color w:val="000000" w:themeColor="text1"/>
                <w14:textFill>
                  <w14:solidFill>
                    <w14:schemeClr w14:val="tx1"/>
                  </w14:solidFill>
                </w14:textFill>
              </w:rPr>
            </w:pPr>
          </w:p>
        </w:tc>
        <w:sdt>
          <w:sdtPr>
            <w:tag w:val="_PLD_e58334d5cfd94eb3a57462d770bebef2"/>
            <w:id w:val="-919782565"/>
          </w:sdtPr>
          <w:sdtContent>
            <w:tc>
              <w:tcPr>
                <w:tcW w:w="127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bdeedca9dff44f0386291c89e9b9d89b"/>
            <w:id w:val="1403950414"/>
          </w:sdtPr>
          <w:sdtContent>
            <w:tc>
              <w:tcPr>
                <w:tcW w:w="129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f6f1b7e04e5d43bda3afea1cf431ea55"/>
            <w:id w:val="833426038"/>
          </w:sdtPr>
          <w:sdtContent>
            <w:tc>
              <w:tcPr>
                <w:tcW w:w="1267"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计提比例</w:t>
                </w:r>
                <w:r>
                  <w:rPr>
                    <w:rFonts w:hint="eastAsia"/>
                    <w:color w:val="000000" w:themeColor="text1"/>
                    <w14:textFill>
                      <w14:solidFill>
                        <w14:schemeClr w14:val="tx1"/>
                      </w14:solidFill>
                    </w14:textFill>
                  </w:rPr>
                  <w:t>（%）</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银行承兑汇票组合</w:t>
            </w:r>
          </w:p>
        </w:tc>
        <w:tc>
          <w:tcPr>
            <w:tcW w:w="1276" w:type="pct"/>
          </w:tcPr>
          <w:p>
            <w:pPr>
              <w:jc w:val="right"/>
            </w:pPr>
            <w:r>
              <w:rPr>
                <w:rFonts w:hint="eastAsia"/>
              </w:rPr>
              <w:t xml:space="preserve"> 208,263,458.40 </w:t>
            </w:r>
          </w:p>
        </w:tc>
        <w:tc>
          <w:tcPr>
            <w:tcW w:w="1299" w:type="pct"/>
          </w:tcPr>
          <w:p>
            <w:pPr>
              <w:jc w:val="right"/>
            </w:pPr>
            <w:r>
              <w:rPr>
                <w:rFonts w:hint="eastAsia"/>
              </w:rPr>
              <w:t xml:space="preserve"> 10,414,532.92 </w:t>
            </w:r>
          </w:p>
        </w:tc>
        <w:tc>
          <w:tcPr>
            <w:tcW w:w="1267" w:type="pct"/>
          </w:tcPr>
          <w:p>
            <w:pPr>
              <w:jc w:val="right"/>
            </w:pPr>
            <w:r>
              <w:rPr>
                <w:rFonts w:hint="eastAsia"/>
              </w:rPr>
              <w:t xml:space="preserve"> 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商业承兑汇票组合</w:t>
            </w:r>
          </w:p>
        </w:tc>
        <w:tc>
          <w:tcPr>
            <w:tcW w:w="1276" w:type="pct"/>
          </w:tcPr>
          <w:p>
            <w:pPr>
              <w:jc w:val="right"/>
            </w:pPr>
            <w:r>
              <w:rPr>
                <w:rFonts w:hint="eastAsia"/>
              </w:rPr>
              <w:t xml:space="preserve"> 54,910,702.09 </w:t>
            </w:r>
          </w:p>
        </w:tc>
        <w:tc>
          <w:tcPr>
            <w:tcW w:w="1299" w:type="pct"/>
          </w:tcPr>
          <w:p>
            <w:pPr>
              <w:jc w:val="right"/>
            </w:pPr>
            <w:r>
              <w:rPr>
                <w:rFonts w:hint="eastAsia"/>
              </w:rPr>
              <w:t xml:space="preserve"> 2,926,522.69 </w:t>
            </w:r>
          </w:p>
        </w:tc>
        <w:tc>
          <w:tcPr>
            <w:tcW w:w="1267" w:type="pct"/>
          </w:tcPr>
          <w:p>
            <w:pPr>
              <w:jc w:val="right"/>
            </w:pPr>
            <w:r>
              <w:rPr>
                <w:rFonts w:hint="eastAsia"/>
              </w:rPr>
              <w:t xml:space="preserve"> 5.33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276" w:type="pct"/>
          </w:tcPr>
          <w:p>
            <w:pPr>
              <w:jc w:val="right"/>
            </w:pPr>
            <w:r>
              <w:t xml:space="preserve"> 263,174,160.49 </w:t>
            </w:r>
          </w:p>
        </w:tc>
        <w:tc>
          <w:tcPr>
            <w:tcW w:w="1299" w:type="pct"/>
          </w:tcPr>
          <w:p>
            <w:pPr>
              <w:jc w:val="right"/>
            </w:pPr>
            <w:r>
              <w:t xml:space="preserve"> 13,341,055.61 </w:t>
            </w:r>
          </w:p>
        </w:tc>
        <w:tc>
          <w:tcPr>
            <w:tcW w:w="1267" w:type="pct"/>
          </w:tcPr>
          <w:p>
            <w:pPr>
              <w:jc w:val="right"/>
            </w:pPr>
            <w:r>
              <w:t xml:space="preserve"> 5.07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按组合计提坏账准备的应收票据确认标准[双击切换]"/>
        <w:tag w:val="_GBC_ceeb8d4dc9cb454fae5b8d4178caf8a1"/>
        <w:id w:val="-212074018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09"/>
    <w:bookmarkEnd w:id="210"/>
    <w:p>
      <w:pPr>
        <w:rPr>
          <w:rFonts w:cstheme="minorBidi"/>
          <w:bCs w:val="0"/>
          <w:color w:val="000000" w:themeColor="text1"/>
          <w:szCs w:val="22"/>
          <w14:textFill>
            <w14:solidFill>
              <w14:schemeClr w14:val="tx1"/>
            </w14:solidFill>
          </w14:textFill>
        </w:rPr>
      </w:pPr>
      <w:bookmarkStart w:id="211" w:name="_Hlk153356892"/>
      <w:bookmarkStart w:id="212" w:name="_Hlk167884917"/>
      <w:r>
        <w:rPr>
          <w:rFonts w:hint="eastAsia" w:cstheme="minorBidi"/>
          <w:color w:val="000000" w:themeColor="text1"/>
          <w:szCs w:val="22"/>
          <w14:textFill>
            <w14:solidFill>
              <w14:schemeClr w14:val="tx1"/>
            </w14:solidFill>
          </w14:textFill>
        </w:rPr>
        <w:t>按预期信用损失一般模型计提坏账准备</w:t>
      </w:r>
    </w:p>
    <w:sdt>
      <w:sdtPr>
        <w:rPr>
          <w:rFonts w:cstheme="minorBidi"/>
          <w:bCs w:val="0"/>
          <w:color w:val="000000" w:themeColor="text1"/>
          <w:szCs w:val="22"/>
          <w14:textFill>
            <w14:solidFill>
              <w14:schemeClr w14:val="tx1"/>
            </w14:solidFill>
          </w14:textFill>
        </w:rPr>
        <w:alias w:val="是否适用：按预期信用损失一般模型计提坏账准备[双击切换]"/>
        <w:tag w:val="_GBC_843d776745f34ed8a0f1956fcb3af042"/>
        <w:id w:val="-1622067805"/>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pPr>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各阶段划分依据和坏账准备计提比例"/>
        <w:tag w:val="_GBC_0c92b3ffc361499bb76814db60f3df97"/>
        <w:id w:val="63073667"/>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pPr>
        <w:pStyle w:val="36"/>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对本期发生损失准备变动的应收票据账面余额显著变动的情况说明：</w:t>
      </w:r>
    </w:p>
    <w:sdt>
      <w:sdtPr>
        <w:rPr>
          <w:color w:val="000000" w:themeColor="text1"/>
          <w14:textFill>
            <w14:solidFill>
              <w14:schemeClr w14:val="tx1"/>
            </w14:solidFill>
          </w14:textFill>
        </w:rPr>
        <w:alias w:val="是否适用：对本期发生损失准备变动的账面余额显著变动的情况说明[双击切换]"/>
        <w:tag w:val="_GBC_58cb241b61cd42d1a0d769cec83b1516"/>
        <w:id w:val="-2042345029"/>
        <w:placeholder>
          <w:docPart w:val="GBC22222222222222222222222222222"/>
        </w:placeholder>
      </w:sdtPr>
      <w:sdtEndPr>
        <w:rPr>
          <w:color w:val="000000" w:themeColor="text1"/>
          <w14:textFill>
            <w14:solidFill>
              <w14:schemeClr w14:val="tx1"/>
            </w14:solidFill>
          </w14:textFill>
        </w:rPr>
      </w:sdtEndPr>
      <w:sdtContent>
        <w:p>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11"/>
    <w:bookmarkEnd w:id="212"/>
    <w:p>
      <w:pPr>
        <w:pStyle w:val="5"/>
        <w:numPr>
          <w:ilvl w:val="3"/>
          <w:numId w:val="42"/>
        </w:numPr>
        <w:ind w:left="425" w:hanging="425"/>
        <w:rPr>
          <w:rFonts w:hint="eastAsia" w:ascii="宋体" w:hAnsi="宋体"/>
          <w:color w:val="000000" w:themeColor="text1"/>
          <w14:textFill>
            <w14:solidFill>
              <w14:schemeClr w14:val="tx1"/>
            </w14:solidFill>
          </w14:textFill>
        </w:rPr>
      </w:pPr>
      <w:bookmarkStart w:id="213" w:name="_Hlk532980547"/>
      <w:bookmarkStart w:id="214" w:name="_Hlk167885031"/>
      <w:bookmarkStart w:id="215" w:name="_Hlk154148795"/>
      <w:r>
        <w:rPr>
          <w:rFonts w:hint="eastAsia" w:ascii="宋体" w:hAnsi="宋体"/>
          <w:color w:val="000000" w:themeColor="text1"/>
          <w14:textFill>
            <w14:solidFill>
              <w14:schemeClr w14:val="tx1"/>
            </w14:solidFill>
          </w14:textFill>
        </w:rPr>
        <w:t>坏账准备的情况</w:t>
      </w:r>
    </w:p>
    <w:sdt>
      <w:sdtPr>
        <w:rPr>
          <w:color w:val="000000" w:themeColor="text1"/>
          <w14:textFill>
            <w14:solidFill>
              <w14:schemeClr w14:val="tx1"/>
            </w14:solidFill>
          </w14:textFill>
        </w:rPr>
        <w:alias w:val="是否适用：应收票据坏账准备情况[双击切换]"/>
        <w:tag w:val="_GBC_168f3e2065e34239828a1cf025c3d9ad"/>
        <w:id w:val="-82975337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snapToGrid w:val="0"/>
        <w:spacing w:line="240" w:lineRule="atLeast"/>
        <w:ind w:left="425"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应收票据坏账准备情况"/>
          <w:tag w:val="_GBC_d3a8b55f4d3d46338dc8615962682b22"/>
          <w:id w:val="203615382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应收票据坏账准备情况"/>
          <w:tag w:val="_GBC_f03e183b4ddf4c9ebe18b9e75a7c77f3"/>
          <w:id w:val="-10193095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44"/>
        <w:tblW w:w="52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381"/>
        <w:gridCol w:w="1987"/>
        <w:gridCol w:w="1987"/>
        <w:gridCol w:w="2208"/>
        <w:gridCol w:w="2420"/>
        <w:gridCol w:w="1766"/>
        <w:gridCol w:w="1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d91070330c034808b2168b8b81919a89"/>
            <w:id w:val="-1145051153"/>
          </w:sdtPr>
          <w:sdtContent>
            <w:tc>
              <w:tcPr>
                <w:tcW w:w="808"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60ccbd20c2d8456995a587f893de4932"/>
            <w:id w:val="477807252"/>
          </w:sdtPr>
          <w:sdtContent>
            <w:tc>
              <w:tcPr>
                <w:tcW w:w="674"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742c587d8e0148bf971392aa01bf66de"/>
            <w:id w:val="150109725"/>
          </w:sdtPr>
          <w:sdtContent>
            <w:tc>
              <w:tcPr>
                <w:tcW w:w="2843" w:type="pct"/>
                <w:gridSpan w:val="4"/>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sdt>
          <w:sdtPr>
            <w:tag w:val="_PLD_e573bb55483f4ff8b7343b703edf5fab"/>
            <w:id w:val="2021814461"/>
          </w:sdtPr>
          <w:sdtContent>
            <w:tc>
              <w:tcPr>
                <w:tcW w:w="674"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08" w:type="pct"/>
            <w:vMerge w:val="continue"/>
            <w:shd w:val="clear" w:color="auto" w:fill="FFFFFF"/>
          </w:tcPr>
          <w:p>
            <w:pPr>
              <w:widowControl w:val="0"/>
              <w:jc w:val="center"/>
              <w:rPr>
                <w:color w:val="000000" w:themeColor="text1"/>
                <w14:textFill>
                  <w14:solidFill>
                    <w14:schemeClr w14:val="tx1"/>
                  </w14:solidFill>
                </w14:textFill>
              </w:rPr>
            </w:pPr>
          </w:p>
        </w:tc>
        <w:tc>
          <w:tcPr>
            <w:tcW w:w="674" w:type="pct"/>
            <w:vMerge w:val="continue"/>
            <w:shd w:val="clear" w:color="auto" w:fill="FFFFFF"/>
          </w:tcPr>
          <w:p>
            <w:pPr>
              <w:widowControl w:val="0"/>
              <w:jc w:val="right"/>
              <w:rPr>
                <w:color w:val="000000" w:themeColor="text1"/>
                <w14:textFill>
                  <w14:solidFill>
                    <w14:schemeClr w14:val="tx1"/>
                  </w14:solidFill>
                </w14:textFill>
              </w:rPr>
            </w:pPr>
          </w:p>
        </w:tc>
        <w:sdt>
          <w:sdtPr>
            <w:tag w:val="_PLD_77edaeb5d0ba4895bf03260caf79609a"/>
            <w:id w:val="1845281573"/>
          </w:sdtPr>
          <w:sdtContent>
            <w:tc>
              <w:tcPr>
                <w:tcW w:w="674" w:type="pc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tag w:val="_PLD_07e66fa953b04e198132856ff978b12d"/>
            <w:id w:val="-701234955"/>
          </w:sdtPr>
          <w:sdtContent>
            <w:tc>
              <w:tcPr>
                <w:tcW w:w="749" w:type="pct"/>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收回或转回</w:t>
                </w:r>
              </w:p>
            </w:tc>
          </w:sdtContent>
        </w:sdt>
        <w:tc>
          <w:tcPr>
            <w:tcW w:w="821" w:type="pct"/>
            <w:shd w:val="clear" w:color="auto" w:fill="FFFFFF"/>
            <w:vAlign w:val="center"/>
          </w:tcPr>
          <w:sdt>
            <w:sdtPr>
              <w:tag w:val="_PLD_659150d8a45b4fe4aa5b1a76230550df"/>
              <w:id w:val="-206417428"/>
            </w:sdtPr>
            <w:sdtContent>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转销或核销</w:t>
                </w:r>
              </w:p>
            </w:sdtContent>
          </w:sdt>
        </w:tc>
        <w:tc>
          <w:tcPr>
            <w:tcW w:w="599" w:type="pct"/>
            <w:shd w:val="clear" w:color="auto" w:fill="FFFFFF"/>
          </w:tcPr>
          <w:sdt>
            <w:sdtPr>
              <w:tag w:val="_PLD_b2f39b7c7250417f9d0d6e05c18ae503"/>
              <w:id w:val="442031928"/>
            </w:sdtPr>
            <w:sdtContent>
              <w:p>
                <w:pPr>
                  <w:widowControl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sdtContent>
          </w:sdt>
        </w:tc>
        <w:tc>
          <w:tcPr>
            <w:tcW w:w="674" w:type="pct"/>
            <w:vMerge w:val="continue"/>
            <w:shd w:val="clear" w:color="auto" w:fill="FFFFFF"/>
          </w:tcPr>
          <w:p>
            <w:pPr>
              <w:widowControl w:val="0"/>
              <w:jc w:val="right"/>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08" w:type="pct"/>
          </w:tcPr>
          <w:p>
            <w:pPr>
              <w:widowControl w:val="0"/>
            </w:pPr>
            <w:r>
              <w:rPr>
                <w:rFonts w:hint="eastAsia"/>
              </w:rPr>
              <w:t>单项计提预期信用损失的应收票据</w:t>
            </w:r>
          </w:p>
        </w:tc>
        <w:tc>
          <w:tcPr>
            <w:tcW w:w="674" w:type="pct"/>
          </w:tcPr>
          <w:p>
            <w:pPr>
              <w:widowControl w:val="0"/>
              <w:jc w:val="right"/>
            </w:pPr>
          </w:p>
        </w:tc>
        <w:tc>
          <w:tcPr>
            <w:tcW w:w="674" w:type="pct"/>
          </w:tcPr>
          <w:p>
            <w:pPr>
              <w:widowControl w:val="0"/>
              <w:jc w:val="right"/>
            </w:pPr>
          </w:p>
        </w:tc>
        <w:tc>
          <w:tcPr>
            <w:tcW w:w="749" w:type="pct"/>
          </w:tcPr>
          <w:p>
            <w:pPr>
              <w:widowControl w:val="0"/>
              <w:jc w:val="right"/>
            </w:pPr>
          </w:p>
        </w:tc>
        <w:tc>
          <w:tcPr>
            <w:tcW w:w="821" w:type="pct"/>
          </w:tcPr>
          <w:p>
            <w:pPr>
              <w:widowControl w:val="0"/>
              <w:jc w:val="right"/>
            </w:pPr>
          </w:p>
        </w:tc>
        <w:tc>
          <w:tcPr>
            <w:tcW w:w="599" w:type="pct"/>
          </w:tcPr>
          <w:p>
            <w:pPr>
              <w:widowControl w:val="0"/>
              <w:jc w:val="right"/>
            </w:pPr>
          </w:p>
        </w:tc>
        <w:tc>
          <w:tcPr>
            <w:tcW w:w="674" w:type="pct"/>
          </w:tcPr>
          <w:p>
            <w:pPr>
              <w:widowControl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08" w:type="pct"/>
          </w:tcPr>
          <w:p>
            <w:pPr>
              <w:widowControl w:val="0"/>
            </w:pPr>
            <w:r>
              <w:rPr>
                <w:rFonts w:hint="eastAsia"/>
              </w:rPr>
              <w:t>按组合计提预期信用损失的应收票据</w:t>
            </w:r>
          </w:p>
        </w:tc>
        <w:tc>
          <w:tcPr>
            <w:tcW w:w="674" w:type="pct"/>
            <w:vAlign w:val="center"/>
          </w:tcPr>
          <w:p>
            <w:pPr>
              <w:widowControl w:val="0"/>
              <w:jc w:val="right"/>
            </w:pPr>
            <w:r>
              <w:t xml:space="preserve"> 15,926,941.25 </w:t>
            </w:r>
          </w:p>
        </w:tc>
        <w:tc>
          <w:tcPr>
            <w:tcW w:w="674" w:type="pct"/>
            <w:vAlign w:val="center"/>
          </w:tcPr>
          <w:p>
            <w:pPr>
              <w:widowControl w:val="0"/>
              <w:jc w:val="right"/>
            </w:pPr>
            <w:r>
              <w:t xml:space="preserve"> -2,585,885.64 </w:t>
            </w:r>
          </w:p>
        </w:tc>
        <w:tc>
          <w:tcPr>
            <w:tcW w:w="749" w:type="pct"/>
            <w:vAlign w:val="center"/>
          </w:tcPr>
          <w:p>
            <w:pPr>
              <w:widowControl w:val="0"/>
              <w:jc w:val="right"/>
            </w:pPr>
          </w:p>
        </w:tc>
        <w:tc>
          <w:tcPr>
            <w:tcW w:w="821" w:type="pct"/>
            <w:vAlign w:val="center"/>
          </w:tcPr>
          <w:p>
            <w:pPr>
              <w:widowControl w:val="0"/>
              <w:jc w:val="right"/>
            </w:pPr>
          </w:p>
        </w:tc>
        <w:tc>
          <w:tcPr>
            <w:tcW w:w="599" w:type="pct"/>
            <w:vAlign w:val="center"/>
          </w:tcPr>
          <w:p>
            <w:pPr>
              <w:widowControl w:val="0"/>
              <w:jc w:val="right"/>
            </w:pPr>
          </w:p>
        </w:tc>
        <w:tc>
          <w:tcPr>
            <w:tcW w:w="674" w:type="pct"/>
            <w:vAlign w:val="center"/>
          </w:tcPr>
          <w:p>
            <w:pPr>
              <w:widowControl w:val="0"/>
              <w:jc w:val="right"/>
            </w:pPr>
            <w:r>
              <w:t>13,341,055.61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08" w:type="pct"/>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74" w:type="pct"/>
            <w:vAlign w:val="center"/>
          </w:tcPr>
          <w:p>
            <w:pPr>
              <w:widowControl w:val="0"/>
              <w:jc w:val="right"/>
            </w:pPr>
            <w:r>
              <w:t xml:space="preserve"> 15,926,941.25 </w:t>
            </w:r>
          </w:p>
        </w:tc>
        <w:tc>
          <w:tcPr>
            <w:tcW w:w="674" w:type="pct"/>
            <w:vAlign w:val="center"/>
          </w:tcPr>
          <w:p>
            <w:pPr>
              <w:widowControl w:val="0"/>
              <w:jc w:val="right"/>
            </w:pPr>
            <w:r>
              <w:t xml:space="preserve"> -2,585,885.64 </w:t>
            </w:r>
          </w:p>
        </w:tc>
        <w:tc>
          <w:tcPr>
            <w:tcW w:w="749" w:type="pct"/>
            <w:vAlign w:val="center"/>
          </w:tcPr>
          <w:p>
            <w:pPr>
              <w:widowControl w:val="0"/>
              <w:jc w:val="right"/>
            </w:pPr>
          </w:p>
        </w:tc>
        <w:tc>
          <w:tcPr>
            <w:tcW w:w="821" w:type="pct"/>
            <w:vAlign w:val="center"/>
          </w:tcPr>
          <w:p>
            <w:pPr>
              <w:widowControl w:val="0"/>
              <w:jc w:val="right"/>
            </w:pPr>
          </w:p>
        </w:tc>
        <w:tc>
          <w:tcPr>
            <w:tcW w:w="599" w:type="pct"/>
            <w:vAlign w:val="center"/>
          </w:tcPr>
          <w:p>
            <w:pPr>
              <w:widowControl w:val="0"/>
              <w:jc w:val="right"/>
            </w:pPr>
          </w:p>
        </w:tc>
        <w:tc>
          <w:tcPr>
            <w:tcW w:w="674" w:type="pct"/>
            <w:vAlign w:val="center"/>
          </w:tcPr>
          <w:p>
            <w:pPr>
              <w:widowControl w:val="0"/>
              <w:jc w:val="right"/>
            </w:pPr>
            <w:r>
              <w:t xml:space="preserve"> 13,341,055.61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rFonts w:hint="eastAsia"/>
          <w:color w:val="000000" w:themeColor="text1"/>
          <w14:textFill>
            <w14:solidFill>
              <w14:schemeClr w14:val="tx1"/>
            </w14:solidFill>
          </w14:textFill>
        </w:rPr>
        <w:alias w:val="是否适用：应收票据本期坏账准备收回或转回金额重要的[双击切换]"/>
        <w:tag w:val="_GBC_ebd5833e36984f6f9c7dc0fec90cccc0"/>
        <w:id w:val="-910390690"/>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cstheme="minorBidi"/>
          <w:bCs w:val="0"/>
          <w:color w:val="000000" w:themeColor="text1"/>
          <w:szCs w:val="22"/>
          <w14:textFill>
            <w14:solidFill>
              <w14:schemeClr w14:val="tx1"/>
            </w14:solidFill>
          </w14:textFill>
        </w:rPr>
        <w:alias w:val="应收票据坏账准备的其他说明"/>
        <w:tag w:val="_GBC_06a2eec03f574dd1baa82ec8987eaf65"/>
        <w:id w:val="-1918779964"/>
        <w:placeholder>
          <w:docPart w:val="GBC22222222222222222222222222222"/>
        </w:placeholder>
      </w:sdtPr>
      <w:sdtEndPr>
        <w:rPr>
          <w:rFonts w:asciiTheme="minorHAnsi" w:hAnsiTheme="minorHAnsi" w:cstheme="minorBidi"/>
          <w:bCs w:val="0"/>
          <w:color w:val="000000" w:themeColor="text1"/>
          <w:szCs w:val="22"/>
          <w14:textFill>
            <w14:solidFill>
              <w14:schemeClr w14:val="tx1"/>
            </w14:solidFill>
          </w14:textFill>
        </w:rPr>
      </w:sdtEndPr>
      <w:sdtContent>
        <w:p>
          <w:pPr>
            <w:rPr>
              <w:rFonts w:asciiTheme="minorHAnsi" w:hAnsiTheme="minorHAnsi" w:cstheme="minorBidi"/>
              <w:bCs w:val="0"/>
              <w:color w:val="000000" w:themeColor="text1"/>
              <w:szCs w:val="22"/>
              <w14:textFill>
                <w14:solidFill>
                  <w14:schemeClr w14:val="tx1"/>
                </w14:solidFill>
              </w14:textFill>
            </w:rPr>
          </w:pPr>
          <w:r>
            <w:rPr>
              <w:rFonts w:hint="eastAsia" w:cstheme="minorBidi"/>
              <w:bCs w:val="0"/>
              <w:color w:val="000000" w:themeColor="text1"/>
              <w:szCs w:val="22"/>
              <w14:textFill>
                <w14:solidFill>
                  <w14:schemeClr w14:val="tx1"/>
                </w14:solidFill>
              </w14:textFill>
            </w:rPr>
            <w:t>无</w:t>
          </w:r>
        </w:p>
      </w:sdtContent>
    </w:sdt>
    <w:bookmarkEnd w:id="213"/>
    <w:bookmarkEnd w:id="214"/>
    <w:bookmarkEnd w:id="215"/>
    <w:p>
      <w:pPr>
        <w:pStyle w:val="5"/>
        <w:numPr>
          <w:ilvl w:val="3"/>
          <w:numId w:val="42"/>
        </w:numPr>
        <w:ind w:left="425" w:hanging="425"/>
        <w:rPr>
          <w:rFonts w:hint="eastAsia" w:ascii="宋体" w:hAnsi="宋体"/>
          <w:color w:val="000000" w:themeColor="text1"/>
          <w14:textFill>
            <w14:solidFill>
              <w14:schemeClr w14:val="tx1"/>
            </w14:solidFill>
          </w14:textFill>
        </w:rPr>
      </w:pPr>
      <w:bookmarkStart w:id="216" w:name="_Hlk10466841"/>
      <w:bookmarkStart w:id="217" w:name="_Hlk10466853"/>
      <w:r>
        <w:rPr>
          <w:rFonts w:hint="eastAsia" w:ascii="宋体" w:hAnsi="宋体"/>
          <w:color w:val="000000" w:themeColor="text1"/>
          <w14:textFill>
            <w14:solidFill>
              <w14:schemeClr w14:val="tx1"/>
            </w14:solidFill>
          </w14:textFill>
        </w:rPr>
        <w:t>本期实际核销的应收票据情况</w:t>
      </w:r>
      <w:bookmarkEnd w:id="216"/>
    </w:p>
    <w:sdt>
      <w:sdtPr>
        <w:rPr>
          <w:color w:val="000000" w:themeColor="text1"/>
          <w14:textFill>
            <w14:solidFill>
              <w14:schemeClr w14:val="tx1"/>
            </w14:solidFill>
          </w14:textFill>
        </w:rPr>
        <w:alias w:val="是否适用：实际核销的应收票据[双击切换]"/>
        <w:tag w:val="_GBC_d0dcbb36ec68469bb29eac25b4a7af19"/>
        <w:id w:val="167460394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其中重要的应收票据核销情况：</w:t>
      </w:r>
    </w:p>
    <w:sdt>
      <w:sdtPr>
        <w:rPr>
          <w:color w:val="000000" w:themeColor="text1"/>
          <w14:textFill>
            <w14:solidFill>
              <w14:schemeClr w14:val="tx1"/>
            </w14:solidFill>
          </w14:textFill>
        </w:rPr>
        <w:alias w:val="是否适用：重要的应收票据核销[双击切换]"/>
        <w:tag w:val="_GBC_e2717d0c54ea4f5eb5b1671a3c798609"/>
        <w:id w:val="-209192147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应收票据核销说明：</w:t>
      </w:r>
    </w:p>
    <w:sdt>
      <w:sdtPr>
        <w:rPr>
          <w:rFonts w:cstheme="minorBidi"/>
          <w:bCs w:val="0"/>
          <w:color w:val="000000" w:themeColor="text1"/>
          <w:szCs w:val="22"/>
          <w14:textFill>
            <w14:solidFill>
              <w14:schemeClr w14:val="tx1"/>
            </w14:solidFill>
          </w14:textFill>
        </w:rPr>
        <w:alias w:val="是否适用：应收票据核销说明[双击切换]"/>
        <w:tag w:val="_GBC_60d1268fdde049f1971e1a68d97580f2"/>
        <w:id w:val="1818689597"/>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pPr>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bookmarkEnd w:id="217"/>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收票据的说明[双击切换]"/>
        <w:tag w:val="_GBC_704e24e70b65463883e10335ce93a1ac"/>
        <w:id w:val="178113613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应收账款</w:t>
      </w:r>
    </w:p>
    <w:p>
      <w:pPr>
        <w:pStyle w:val="5"/>
        <w:numPr>
          <w:ilvl w:val="3"/>
          <w:numId w:val="43"/>
        </w:numPr>
        <w:ind w:left="425" w:hanging="425"/>
        <w:rPr>
          <w:color w:val="000000" w:themeColor="text1"/>
          <w14:textFill>
            <w14:solidFill>
              <w14:schemeClr w14:val="tx1"/>
            </w14:solidFill>
          </w14:textFill>
        </w:rPr>
      </w:pPr>
      <w:bookmarkStart w:id="218" w:name="_Hlk167885161"/>
      <w:r>
        <w:rPr>
          <w:rFonts w:hint="eastAsia"/>
          <w:color w:val="000000" w:themeColor="text1"/>
          <w14:textFill>
            <w14:solidFill>
              <w14:schemeClr w14:val="tx1"/>
            </w14:solidFill>
          </w14:textFill>
        </w:rPr>
        <w:t>按账龄披露</w:t>
      </w:r>
    </w:p>
    <w:sdt>
      <w:sdtPr>
        <w:rPr>
          <w:rFonts w:hint="eastAsia"/>
          <w:color w:val="000000" w:themeColor="text1"/>
          <w14:textFill>
            <w14:solidFill>
              <w14:schemeClr w14:val="tx1"/>
            </w14:solidFill>
          </w14:textFill>
        </w:rPr>
        <w:alias w:val="是否适用：组合中，按账龄分析法计提坏账准备的应收账款[双击切换]"/>
        <w:tag w:val="_GBC_0cb5a49c5db74995bd3018603d9e51bd"/>
        <w:id w:val="72322005"/>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单项金额不重大但按信用风险特征组合后该组合的风险较大的应收账款"/>
          <w:tag w:val="_GBC_265ded289d9549b48b782b655857ce0f"/>
          <w:id w:val="-111320413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单项金额不重大但按信用风险特征组合后该组合的风险较大的应收账款"/>
          <w:tag w:val="_GBC_180ea8d33f6444f78eff9694acd980ae"/>
          <w:id w:val="111132392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7"/>
        <w:gridCol w:w="4751"/>
        <w:gridCol w:w="4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213499a1ef1849a6bacc47a55e2a94f7"/>
            <w:id w:val="2121180087"/>
          </w:sdtPr>
          <w:sdtContent>
            <w:tc>
              <w:tcPr>
                <w:tcW w:w="1628"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80e3ddf3d703438d9bc59aba1626c89f"/>
            <w:id w:val="-42449560"/>
          </w:sdtPr>
          <w:sdtContent>
            <w:tc>
              <w:tcPr>
                <w:tcW w:w="168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sdt>
          <w:sdtPr>
            <w:tag w:val="_PLD_4acf836dd5254d2ba9d541e7076daad6"/>
            <w:id w:val="-373537445"/>
          </w:sdtPr>
          <w:sdtContent>
            <w:tc>
              <w:tcPr>
                <w:tcW w:w="1686"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1年以内（含1年）</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1,800,950,524.71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1,619,436,209.32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1至2年</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333,310,223.71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314,144,025.52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2至3年</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116,843,865.48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143,872,214.88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3至4年</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44,434,315.43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39,567,983.55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4至5年</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21,979,207.53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21,244,917.01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5年以上</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45,661,668.27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45,757,977.71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2,363,179,805.13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2,184,023,327.99 </w:t>
            </w:r>
          </w:p>
        </w:tc>
      </w:tr>
    </w:tbl>
    <w:p>
      <w:pPr>
        <w:rPr>
          <w:color w:val="000000" w:themeColor="text1"/>
          <w14:textFill>
            <w14:solidFill>
              <w14:schemeClr w14:val="tx1"/>
            </w14:solidFill>
          </w14:textFill>
        </w:rPr>
      </w:pPr>
    </w:p>
    <w:bookmarkEnd w:id="218"/>
    <w:p>
      <w:pPr>
        <w:pStyle w:val="5"/>
        <w:numPr>
          <w:ilvl w:val="3"/>
          <w:numId w:val="43"/>
        </w:numPr>
        <w:ind w:left="425" w:hanging="425"/>
        <w:rPr>
          <w:color w:val="000000" w:themeColor="text1"/>
          <w14:textFill>
            <w14:solidFill>
              <w14:schemeClr w14:val="tx1"/>
            </w14:solidFill>
          </w14:textFill>
        </w:rPr>
      </w:pPr>
      <w:bookmarkStart w:id="219" w:name="_Hlk10467162"/>
      <w:r>
        <w:rPr>
          <w:rFonts w:hint="eastAsia"/>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应收账款分类披露[双击切换]"/>
        <w:tag w:val="_GBC_fc55e6778e08412caa3e7b9e7a1a0f85"/>
        <w:id w:val="221568018"/>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autoSpaceDE w:val="0"/>
        <w:autoSpaceDN w:val="0"/>
        <w:adjustRightInd w:val="0"/>
        <w:ind w:left="425" w:right="105"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应收账款按种类披露"/>
          <w:tag w:val="_GBC_13874a7a2d5642bc9d06df2e53ad133f"/>
          <w:id w:val="42353985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应收账款按种类披露"/>
          <w:tag w:val="_GBC_a7c9ba83409d4f5ebb3a7b0903842485"/>
          <w:id w:val="-153495616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786"/>
        <w:gridCol w:w="1541"/>
        <w:gridCol w:w="780"/>
        <w:gridCol w:w="1382"/>
        <w:gridCol w:w="808"/>
        <w:gridCol w:w="1541"/>
        <w:gridCol w:w="1541"/>
        <w:gridCol w:w="808"/>
        <w:gridCol w:w="1382"/>
        <w:gridCol w:w="832"/>
        <w:gridCol w:w="15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59" w:hRule="atLeast"/>
        </w:trPr>
        <w:sdt>
          <w:sdtPr>
            <w:tag w:val="_PLD_a2143754c0e847e9a8bbb40d4548066c"/>
            <w:id w:val="414753359"/>
          </w:sdtPr>
          <w:sdtContent>
            <w:tc>
              <w:tcPr>
                <w:tcW w:w="641"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sdtContent>
        </w:sdt>
        <w:sdt>
          <w:sdtPr>
            <w:tag w:val="_PLD_25d42b68a0be4b6c9079bb6f0b9688f1"/>
            <w:id w:val="294949823"/>
          </w:sdtPr>
          <w:sdtContent>
            <w:tc>
              <w:tcPr>
                <w:tcW w:w="2171" w:type="pct"/>
                <w:gridSpan w:val="5"/>
                <w:tcBorders>
                  <w:top w:val="single" w:color="auto" w:sz="4" w:space="0"/>
                  <w:left w:val="single" w:color="auto" w:sz="4" w:space="0"/>
                  <w:right w:val="single" w:color="auto" w:sz="4" w:space="0"/>
                </w:tcBorders>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7ebf4817a5864c42bb0897c8ddd0cd9c"/>
            <w:id w:val="1961761957"/>
          </w:sdtPr>
          <w:sdtContent>
            <w:tc>
              <w:tcPr>
                <w:tcW w:w="2189" w:type="pct"/>
                <w:gridSpan w:val="5"/>
                <w:tcBorders>
                  <w:top w:val="single" w:color="auto" w:sz="4" w:space="0"/>
                  <w:left w:val="single" w:color="auto" w:sz="4" w:space="0"/>
                  <w:right w:val="single" w:color="auto" w:sz="4" w:space="0"/>
                </w:tcBorders>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27" w:hRule="atLeast"/>
        </w:trPr>
        <w:tc>
          <w:tcPr>
            <w:tcW w:w="641" w:type="pct"/>
            <w:vMerge w:val="continue"/>
            <w:tcBorders>
              <w:left w:val="single" w:color="auto" w:sz="4" w:space="0"/>
              <w:right w:val="single" w:color="auto" w:sz="4" w:space="0"/>
            </w:tcBorders>
            <w:vAlign w:val="center"/>
          </w:tcPr>
          <w:p>
            <w:pPr>
              <w:rPr>
                <w:color w:val="000000" w:themeColor="text1"/>
                <w14:textFill>
                  <w14:solidFill>
                    <w14:schemeClr w14:val="tx1"/>
                  </w14:solidFill>
                </w14:textFill>
              </w:rPr>
            </w:pPr>
          </w:p>
        </w:tc>
        <w:sdt>
          <w:sdtPr>
            <w:tag w:val="_PLD_fd64cffe158d4ef48a5ff569de778464"/>
            <w:id w:val="783166082"/>
          </w:sdtPr>
          <w:sdtContent>
            <w:tc>
              <w:tcPr>
                <w:tcW w:w="832"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f0f4adcb95c44cfa884ef7d853d6b134"/>
            <w:id w:val="-13999322"/>
          </w:sdtPr>
          <w:sdtContent>
            <w:tc>
              <w:tcPr>
                <w:tcW w:w="786"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4c122527ed0743b8905d9f19514f4328"/>
            <w:id w:val="14349927"/>
          </w:sdtPr>
          <w:sdtContent>
            <w:tc>
              <w:tcPr>
                <w:tcW w:w="553"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sdt>
          <w:sdtPr>
            <w:tag w:val="_PLD_fa758d9eb4ae426faef8e328262241b4"/>
            <w:id w:val="1266818496"/>
          </w:sdtPr>
          <w:sdtContent>
            <w:tc>
              <w:tcPr>
                <w:tcW w:w="843" w:type="pct"/>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58080bac137d4831ab65bc2f8ca82429"/>
            <w:id w:val="-1483541600"/>
          </w:sdtPr>
          <w:sdtContent>
            <w:tc>
              <w:tcPr>
                <w:tcW w:w="794" w:type="pct"/>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c015e43e7b384b6ab9bf259155579fa4"/>
            <w:id w:val="-1584903492"/>
          </w:sdtPr>
          <w:sdtContent>
            <w:tc>
              <w:tcPr>
                <w:tcW w:w="553"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375" w:hRule="atLeast"/>
        </w:trPr>
        <w:tc>
          <w:tcPr>
            <w:tcW w:w="641" w:type="pct"/>
            <w:vMerge w:val="continue"/>
            <w:tcBorders>
              <w:left w:val="single" w:color="auto" w:sz="4" w:space="0"/>
              <w:bottom w:val="single" w:color="auto" w:sz="4" w:space="0"/>
              <w:right w:val="single" w:color="auto" w:sz="4" w:space="0"/>
            </w:tcBorders>
            <w:vAlign w:val="center"/>
          </w:tcPr>
          <w:p>
            <w:pPr>
              <w:rPr>
                <w:color w:val="000000" w:themeColor="text1"/>
                <w14:textFill>
                  <w14:solidFill>
                    <w14:schemeClr w14:val="tx1"/>
                  </w14:solidFill>
                </w14:textFill>
              </w:rPr>
            </w:pPr>
          </w:p>
        </w:tc>
        <w:sdt>
          <w:sdtPr>
            <w:tag w:val="_PLD_2a622138bde346ccae812608989b472d"/>
            <w:id w:val="1474409050"/>
          </w:sdtPr>
          <w:sdtContent>
            <w:tc>
              <w:tcPr>
                <w:tcW w:w="553"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abd0e3a320c240aeb85b1414af26aa00"/>
            <w:id w:val="-2049837837"/>
          </w:sdtPr>
          <w:sdtContent>
            <w:tc>
              <w:tcPr>
                <w:tcW w:w="280"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d60468b4e5934fb9af3ebf3b3ca06a6b"/>
            <w:id w:val="1818219885"/>
          </w:sdtPr>
          <w:sdtContent>
            <w:tc>
              <w:tcPr>
                <w:tcW w:w="496"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743ca215156149608b4d9149bc142cc3"/>
            <w:id w:val="313693222"/>
          </w:sdtPr>
          <w:sdtContent>
            <w:tc>
              <w:tcPr>
                <w:tcW w:w="290"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553" w:type="pct"/>
            <w:vMerge w:val="continue"/>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sdt>
          <w:sdtPr>
            <w:tag w:val="_PLD_88061469e7574f3d93ff9dc8f7c03e2d"/>
            <w:id w:val="-801223109"/>
          </w:sdtPr>
          <w:sdtContent>
            <w:tc>
              <w:tcPr>
                <w:tcW w:w="553"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c2b4bd19b5284f3481bdd6a3becafce0"/>
            <w:id w:val="-1984310182"/>
          </w:sdtPr>
          <w:sdtContent>
            <w:tc>
              <w:tcPr>
                <w:tcW w:w="290"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c6874c65e4ac43019002d5903e4b46d6"/>
            <w:id w:val="-131713186"/>
          </w:sdtPr>
          <w:sdtContent>
            <w:tc>
              <w:tcPr>
                <w:tcW w:w="496"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0596fb5f4bb147b48d9ab2f32535e71f"/>
            <w:id w:val="1567913518"/>
          </w:sdtPr>
          <w:sdtContent>
            <w:tc>
              <w:tcPr>
                <w:tcW w:w="298"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553"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41"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 34,451,413.46 </w:t>
            </w:r>
          </w:p>
        </w:tc>
        <w:tc>
          <w:tcPr>
            <w:tcW w:w="280" w:type="pct"/>
            <w:tcBorders>
              <w:top w:val="single" w:color="auto" w:sz="4" w:space="0"/>
              <w:left w:val="single" w:color="auto" w:sz="4" w:space="0"/>
              <w:bottom w:val="single" w:color="auto" w:sz="4" w:space="0"/>
              <w:right w:val="single" w:color="auto" w:sz="4" w:space="0"/>
            </w:tcBorders>
            <w:vAlign w:val="center"/>
          </w:tcPr>
          <w:p>
            <w:pPr>
              <w:jc w:val="right"/>
            </w:pPr>
            <w:r>
              <w:t xml:space="preserve"> 1.46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 30,563,000.30 </w:t>
            </w:r>
          </w:p>
        </w:tc>
        <w:tc>
          <w:tcPr>
            <w:tcW w:w="290" w:type="pct"/>
            <w:tcBorders>
              <w:top w:val="single" w:color="auto" w:sz="4" w:space="0"/>
              <w:left w:val="single" w:color="auto" w:sz="4" w:space="0"/>
              <w:bottom w:val="single" w:color="auto" w:sz="4" w:space="0"/>
              <w:right w:val="single" w:color="auto" w:sz="4" w:space="0"/>
            </w:tcBorders>
            <w:vAlign w:val="center"/>
          </w:tcPr>
          <w:p>
            <w:pPr>
              <w:jc w:val="right"/>
            </w:pPr>
            <w:r>
              <w:t xml:space="preserve"> 88.71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 3,888,413.16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 37,740,798.51 </w:t>
            </w:r>
          </w:p>
        </w:tc>
        <w:tc>
          <w:tcPr>
            <w:tcW w:w="290" w:type="pct"/>
            <w:tcBorders>
              <w:top w:val="single" w:color="auto" w:sz="4" w:space="0"/>
              <w:left w:val="single" w:color="auto" w:sz="4" w:space="0"/>
              <w:bottom w:val="single" w:color="auto" w:sz="4" w:space="0"/>
              <w:right w:val="single" w:color="auto" w:sz="4" w:space="0"/>
            </w:tcBorders>
            <w:vAlign w:val="center"/>
          </w:tcPr>
          <w:p>
            <w:pPr>
              <w:jc w:val="right"/>
            </w:pPr>
            <w:r>
              <w:t xml:space="preserve"> 1.73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 32,189,244.05 </w:t>
            </w:r>
          </w:p>
        </w:tc>
        <w:tc>
          <w:tcPr>
            <w:tcW w:w="298" w:type="pct"/>
            <w:tcBorders>
              <w:top w:val="single" w:color="auto" w:sz="4" w:space="0"/>
              <w:left w:val="single" w:color="auto" w:sz="4" w:space="0"/>
              <w:bottom w:val="single" w:color="auto" w:sz="4" w:space="0"/>
              <w:right w:val="single" w:color="auto" w:sz="4" w:space="0"/>
            </w:tcBorders>
            <w:vAlign w:val="center"/>
          </w:tcPr>
          <w:p>
            <w:pPr>
              <w:jc w:val="right"/>
            </w:pPr>
            <w:r>
              <w:t xml:space="preserve"> 85.29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 5,551,554.46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a3793487a0154f9a85b0e94e01b6ddbe"/>
            <w:id w:val="346841760"/>
          </w:sdtPr>
          <w:sdtContent>
            <w:tc>
              <w:tcPr>
                <w:tcW w:w="5000" w:type="pct"/>
                <w:gridSpan w:val="11"/>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41"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2,328,728,391.67 </w:t>
            </w:r>
          </w:p>
        </w:tc>
        <w:tc>
          <w:tcPr>
            <w:tcW w:w="280" w:type="pct"/>
            <w:tcBorders>
              <w:top w:val="single" w:color="auto" w:sz="4" w:space="0"/>
              <w:left w:val="single" w:color="auto" w:sz="4" w:space="0"/>
              <w:bottom w:val="single" w:color="auto" w:sz="4" w:space="0"/>
              <w:right w:val="single" w:color="auto" w:sz="4" w:space="0"/>
            </w:tcBorders>
            <w:vAlign w:val="center"/>
          </w:tcPr>
          <w:p>
            <w:pPr>
              <w:jc w:val="right"/>
            </w:pPr>
            <w:r>
              <w:t xml:space="preserve"> 98.54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189,199,843.38 </w:t>
            </w:r>
          </w:p>
        </w:tc>
        <w:tc>
          <w:tcPr>
            <w:tcW w:w="290" w:type="pct"/>
            <w:tcBorders>
              <w:top w:val="single" w:color="auto" w:sz="4" w:space="0"/>
              <w:left w:val="single" w:color="auto" w:sz="4" w:space="0"/>
              <w:bottom w:val="single" w:color="auto" w:sz="4" w:space="0"/>
              <w:right w:val="single" w:color="auto" w:sz="4" w:space="0"/>
            </w:tcBorders>
            <w:vAlign w:val="center"/>
          </w:tcPr>
          <w:p>
            <w:pPr>
              <w:jc w:val="right"/>
            </w:pPr>
            <w:r>
              <w:t xml:space="preserve"> 8.12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2,139,528,548.29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2,146,282,529.48 </w:t>
            </w:r>
          </w:p>
        </w:tc>
        <w:tc>
          <w:tcPr>
            <w:tcW w:w="290" w:type="pct"/>
            <w:tcBorders>
              <w:top w:val="single" w:color="auto" w:sz="4" w:space="0"/>
              <w:left w:val="single" w:color="auto" w:sz="4" w:space="0"/>
              <w:bottom w:val="single" w:color="auto" w:sz="4" w:space="0"/>
              <w:right w:val="single" w:color="auto" w:sz="4" w:space="0"/>
            </w:tcBorders>
            <w:vAlign w:val="center"/>
          </w:tcPr>
          <w:p>
            <w:pPr>
              <w:jc w:val="right"/>
            </w:pPr>
            <w:r>
              <w:t xml:space="preserve"> 98.27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181,623,446.69 </w:t>
            </w:r>
          </w:p>
        </w:tc>
        <w:tc>
          <w:tcPr>
            <w:tcW w:w="298" w:type="pct"/>
            <w:tcBorders>
              <w:top w:val="single" w:color="auto" w:sz="4" w:space="0"/>
              <w:left w:val="single" w:color="auto" w:sz="4" w:space="0"/>
              <w:bottom w:val="single" w:color="auto" w:sz="4" w:space="0"/>
              <w:right w:val="single" w:color="auto" w:sz="4" w:space="0"/>
            </w:tcBorders>
            <w:vAlign w:val="center"/>
          </w:tcPr>
          <w:p>
            <w:pPr>
              <w:jc w:val="right"/>
            </w:pPr>
            <w:r>
              <w:t xml:space="preserve"> 8.46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1,964,659,082.79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55a01fc28b044e40bd4e4399252665c0"/>
            <w:id w:val="-647520329"/>
          </w:sdtPr>
          <w:sdtContent>
            <w:tc>
              <w:tcPr>
                <w:tcW w:w="5000" w:type="pct"/>
                <w:gridSpan w:val="11"/>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rPr>
              <w:color w:val="000000" w:themeColor="text1"/>
              <w14:textFill>
                <w14:solidFill>
                  <w14:schemeClr w14:val="tx1"/>
                </w14:solidFill>
              </w14:textFill>
            </w:rPr>
            <w:alias w:val="按组合计提坏账准备的应收账款明细-组合名称"/>
            <w:tag w:val="_GBC_c5f1817705f34c9782f585b3ed10e2db"/>
            <w:id w:val="-1908225108"/>
          </w:sdtPr>
          <w:sdtEndPr>
            <w:rPr>
              <w:color w:val="000000" w:themeColor="text1"/>
              <w14:textFill>
                <w14:solidFill>
                  <w14:schemeClr w14:val="tx1"/>
                </w14:solidFill>
              </w14:textFill>
            </w:rPr>
          </w:sdtEndPr>
          <w:sdtContent>
            <w:tc>
              <w:tcPr>
                <w:tcW w:w="641"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color w:val="000000" w:themeColor="text1"/>
                    <w14:textFill>
                      <w14:solidFill>
                        <w14:schemeClr w14:val="tx1"/>
                      </w14:solidFill>
                    </w14:textFill>
                  </w:rPr>
                  <w:t>账龄组合</w:t>
                </w:r>
              </w:p>
            </w:tc>
          </w:sdtContent>
        </w:sdt>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2,328,728,391.67 </w:t>
            </w:r>
          </w:p>
        </w:tc>
        <w:tc>
          <w:tcPr>
            <w:tcW w:w="280" w:type="pct"/>
            <w:tcBorders>
              <w:top w:val="single" w:color="auto" w:sz="4" w:space="0"/>
              <w:left w:val="single" w:color="auto" w:sz="4" w:space="0"/>
              <w:bottom w:val="single" w:color="auto" w:sz="4" w:space="0"/>
              <w:right w:val="single" w:color="auto" w:sz="4" w:space="0"/>
            </w:tcBorders>
            <w:vAlign w:val="center"/>
          </w:tcPr>
          <w:p>
            <w:pPr>
              <w:jc w:val="right"/>
            </w:pPr>
            <w:r>
              <w:t xml:space="preserve"> 98.54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189,199,843.38 </w:t>
            </w:r>
          </w:p>
        </w:tc>
        <w:tc>
          <w:tcPr>
            <w:tcW w:w="290" w:type="pct"/>
            <w:tcBorders>
              <w:top w:val="single" w:color="auto" w:sz="4" w:space="0"/>
              <w:left w:val="single" w:color="auto" w:sz="4" w:space="0"/>
              <w:bottom w:val="single" w:color="auto" w:sz="4" w:space="0"/>
              <w:right w:val="single" w:color="auto" w:sz="4" w:space="0"/>
            </w:tcBorders>
            <w:vAlign w:val="center"/>
          </w:tcPr>
          <w:p>
            <w:pPr>
              <w:jc w:val="right"/>
            </w:pPr>
            <w:r>
              <w:t xml:space="preserve"> 8.12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2,139,528,548.29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2,146,282,529.48 </w:t>
            </w:r>
          </w:p>
        </w:tc>
        <w:tc>
          <w:tcPr>
            <w:tcW w:w="290" w:type="pct"/>
            <w:tcBorders>
              <w:top w:val="single" w:color="auto" w:sz="4" w:space="0"/>
              <w:left w:val="single" w:color="auto" w:sz="4" w:space="0"/>
              <w:bottom w:val="single" w:color="auto" w:sz="4" w:space="0"/>
              <w:right w:val="single" w:color="auto" w:sz="4" w:space="0"/>
            </w:tcBorders>
            <w:vAlign w:val="center"/>
          </w:tcPr>
          <w:p>
            <w:pPr>
              <w:jc w:val="right"/>
            </w:pPr>
            <w:r>
              <w:t xml:space="preserve"> 98.27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181,623,446.69 </w:t>
            </w:r>
          </w:p>
        </w:tc>
        <w:tc>
          <w:tcPr>
            <w:tcW w:w="298" w:type="pct"/>
            <w:tcBorders>
              <w:top w:val="single" w:color="auto" w:sz="4" w:space="0"/>
              <w:left w:val="single" w:color="auto" w:sz="4" w:space="0"/>
              <w:bottom w:val="single" w:color="auto" w:sz="4" w:space="0"/>
              <w:right w:val="single" w:color="auto" w:sz="4" w:space="0"/>
            </w:tcBorders>
            <w:vAlign w:val="center"/>
          </w:tcPr>
          <w:p>
            <w:pPr>
              <w:jc w:val="right"/>
            </w:pPr>
            <w:r>
              <w:t xml:space="preserve"> 8.46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1,964,659,082.79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4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2,363,179,805.13 </w:t>
            </w:r>
          </w:p>
        </w:tc>
        <w:tc>
          <w:tcPr>
            <w:tcW w:w="280"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100.00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219,762,843.68 </w:t>
            </w:r>
          </w:p>
        </w:tc>
        <w:tc>
          <w:tcPr>
            <w:tcW w:w="290"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9.30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2,143,416,961.45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2,184,023,327.99 </w:t>
            </w:r>
          </w:p>
        </w:tc>
        <w:tc>
          <w:tcPr>
            <w:tcW w:w="290"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100.00 </w:t>
            </w:r>
          </w:p>
        </w:tc>
        <w:tc>
          <w:tcPr>
            <w:tcW w:w="496" w:type="pct"/>
            <w:tcBorders>
              <w:top w:val="single" w:color="auto" w:sz="4" w:space="0"/>
              <w:left w:val="single" w:color="auto" w:sz="4" w:space="0"/>
              <w:bottom w:val="single" w:color="auto" w:sz="4" w:space="0"/>
              <w:right w:val="single" w:color="auto" w:sz="4" w:space="0"/>
            </w:tcBorders>
            <w:vAlign w:val="center"/>
          </w:tcPr>
          <w:p>
            <w:pPr>
              <w:jc w:val="right"/>
            </w:pPr>
            <w:r>
              <w:t xml:space="preserve">213,812,690.74 </w:t>
            </w:r>
          </w:p>
        </w:tc>
        <w:tc>
          <w:tcPr>
            <w:tcW w:w="298"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9.79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1,970,210,637.25 </w:t>
            </w:r>
          </w:p>
        </w:tc>
      </w:tr>
      <w:bookmarkEnd w:id="219"/>
    </w:tbl>
    <w:p>
      <w:pPr>
        <w:rPr>
          <w:color w:val="000000" w:themeColor="text1"/>
          <w14:textFill>
            <w14:solidFill>
              <w14:schemeClr w14:val="tx1"/>
            </w14:solidFill>
          </w14:textFill>
        </w:rPr>
      </w:pPr>
      <w:bookmarkStart w:id="220" w:name="_Hlk10467187"/>
      <w:bookmarkStart w:id="221" w:name="_Hlk10467200"/>
      <w:r>
        <w:rPr>
          <w:rFonts w:hint="eastAsia"/>
          <w:color w:val="000000" w:themeColor="text1"/>
          <w14:textFill>
            <w14:solidFill>
              <w14:schemeClr w14:val="tx1"/>
            </w14:solidFill>
          </w14:textFill>
        </w:rPr>
        <w:t>按单项计提坏账准备：</w:t>
      </w:r>
      <w:bookmarkEnd w:id="220"/>
    </w:p>
    <w:sdt>
      <w:sdtPr>
        <w:rPr>
          <w:rFonts w:hint="eastAsia"/>
          <w:color w:val="000000" w:themeColor="text1"/>
          <w14:textFill>
            <w14:solidFill>
              <w14:schemeClr w14:val="tx1"/>
            </w14:solidFill>
          </w14:textFill>
        </w:rPr>
        <w:alias w:val="是否适用：按单项计提坏账准备的应收账款详细情况[双击切换]"/>
        <w:tag w:val="_GBC_e07c01cfb2fe4b05a2bb603b7f914946"/>
        <w:id w:val="-378785785"/>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21"/>
    <w:p>
      <w:pPr>
        <w:rPr>
          <w:color w:val="000000" w:themeColor="text1"/>
          <w14:textFill>
            <w14:solidFill>
              <w14:schemeClr w14:val="tx1"/>
            </w14:solidFill>
          </w14:textFill>
        </w:rPr>
      </w:pPr>
      <w:bookmarkStart w:id="222" w:name="_Hlk10467225"/>
      <w:r>
        <w:rPr>
          <w:rFonts w:hint="eastAsia"/>
          <w:color w:val="000000" w:themeColor="text1"/>
          <w14:textFill>
            <w14:solidFill>
              <w14:schemeClr w14:val="tx1"/>
            </w14:solidFill>
          </w14:textFill>
        </w:rPr>
        <w:t>按组合计提坏账准备：</w:t>
      </w:r>
    </w:p>
    <w:sdt>
      <w:sdtPr>
        <w:rPr>
          <w:rFonts w:hint="eastAsia"/>
          <w:color w:val="000000" w:themeColor="text1"/>
          <w14:textFill>
            <w14:solidFill>
              <w14:schemeClr w14:val="tx1"/>
            </w14:solidFill>
          </w14:textFill>
        </w:rPr>
        <w:alias w:val="是否适用：按组合计提坏账准备的应收账款详细情况[双击切换]"/>
        <w:tag w:val="_GBC_47a07baa9a4f4c5ea6de193ae7b87e74"/>
        <w:id w:val="-1168549893"/>
        <w:lock w:val="contentLocked"/>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bookmarkStart w:id="223" w:name="_Hlk533607573"/>
      <w:r>
        <w:rPr>
          <w:rFonts w:hint="eastAsia"/>
          <w:color w:val="000000" w:themeColor="text1"/>
          <w14:textFill>
            <w14:solidFill>
              <w14:schemeClr w14:val="tx1"/>
            </w14:solidFill>
          </w14:textFill>
        </w:rPr>
        <w:t>组合计提项目：</w:t>
      </w:r>
      <w:sdt>
        <w:sdtPr>
          <w:rPr>
            <w:color w:val="000000" w:themeColor="text1"/>
            <w14:textFill>
              <w14:solidFill>
                <w14:schemeClr w14:val="tx1"/>
              </w14:solidFill>
            </w14:textFill>
          </w:rPr>
          <w:alias w:val="按组合计提坏账准备的应收账款明细-组合名称"/>
          <w:tag w:val="_GBC_fec033684b6e412cabcd0e0ea1c6cb96"/>
          <w:id w:val="-1818017471"/>
          <w:placeholder>
            <w:docPart w:val="GBC22222222222222222222222222222"/>
          </w:placeholder>
          <w:comboBox>
            <w:listItem w:displayText="账龄组合" w:value="账龄组合"/>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账龄组合</w:t>
          </w:r>
        </w:sdtContent>
      </w:sdt>
    </w:p>
    <w:p>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组合计提坏账准备的应收账款详细情况"/>
          <w:tag w:val="_GBC_ccac8c131a6748e699800a5f25e5efcf"/>
          <w:id w:val="-168249878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组合计提坏账准备的应收账款详细情况"/>
          <w:tag w:val="_GBC_f0296899749441bf8c33f5882df60a71"/>
          <w:id w:val="154162974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3"/>
        <w:gridCol w:w="3596"/>
        <w:gridCol w:w="366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31ca2a43a5247699c45fd6309aee7fd"/>
            <w:id w:val="-351569302"/>
          </w:sdtPr>
          <w:sdtContent>
            <w:tc>
              <w:tcPr>
                <w:tcW w:w="1158"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271f4f470bff48e385b1a5d9080fde35"/>
            <w:id w:val="-1728682087"/>
          </w:sdtPr>
          <w:sdtContent>
            <w:tc>
              <w:tcPr>
                <w:tcW w:w="3842"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pPr>
              <w:jc w:val="center"/>
              <w:rPr>
                <w:color w:val="000000" w:themeColor="text1"/>
                <w14:textFill>
                  <w14:solidFill>
                    <w14:schemeClr w14:val="tx1"/>
                  </w14:solidFill>
                </w14:textFill>
              </w:rPr>
            </w:pPr>
          </w:p>
        </w:tc>
        <w:sdt>
          <w:sdtPr>
            <w:tag w:val="_PLD_e1c956de9b3b4544a5d0584eaaf6aea2"/>
            <w:id w:val="-1064718006"/>
          </w:sdtPr>
          <w:sdtContent>
            <w:tc>
              <w:tcPr>
                <w:tcW w:w="127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0098acb8b7f640f29f65a14017e23f02"/>
            <w:id w:val="-900598269"/>
          </w:sdtPr>
          <w:sdtContent>
            <w:tc>
              <w:tcPr>
                <w:tcW w:w="129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290bbc3bde3c43c487996752ceb95160"/>
            <w:id w:val="1314058170"/>
          </w:sdtPr>
          <w:sdtContent>
            <w:tc>
              <w:tcPr>
                <w:tcW w:w="1267"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计提比例</w:t>
                </w:r>
                <w:r>
                  <w:rPr>
                    <w:rFonts w:hint="eastAsia"/>
                    <w:color w:val="000000" w:themeColor="text1"/>
                    <w14:textFill>
                      <w14:solidFill>
                        <w14:schemeClr w14:val="tx1"/>
                      </w14:solidFill>
                    </w14:textFill>
                  </w:rPr>
                  <w:t>（%）</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1年以内（含1年）</w:t>
            </w:r>
          </w:p>
        </w:tc>
        <w:tc>
          <w:tcPr>
            <w:tcW w:w="1276" w:type="pct"/>
          </w:tcPr>
          <w:p>
            <w:pPr>
              <w:jc w:val="right"/>
            </w:pPr>
            <w:r>
              <w:rPr>
                <w:rFonts w:hint="eastAsia"/>
              </w:rPr>
              <w:t xml:space="preserve"> 1,800,836,634.29 </w:t>
            </w:r>
          </w:p>
        </w:tc>
        <w:tc>
          <w:tcPr>
            <w:tcW w:w="1299" w:type="pct"/>
          </w:tcPr>
          <w:p>
            <w:pPr>
              <w:jc w:val="right"/>
            </w:pPr>
            <w:r>
              <w:rPr>
                <w:rFonts w:hint="eastAsia"/>
              </w:rPr>
              <w:t xml:space="preserve"> 90,041,831.77 </w:t>
            </w:r>
          </w:p>
        </w:tc>
        <w:tc>
          <w:tcPr>
            <w:tcW w:w="1267" w:type="pct"/>
          </w:tcPr>
          <w:p>
            <w:pPr>
              <w:jc w:val="right"/>
            </w:pPr>
            <w:r>
              <w:rPr>
                <w:rFonts w:hint="eastAsia"/>
              </w:rPr>
              <w:t xml:space="preserve"> 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1至2年</w:t>
            </w:r>
          </w:p>
        </w:tc>
        <w:tc>
          <w:tcPr>
            <w:tcW w:w="1276" w:type="pct"/>
          </w:tcPr>
          <w:p>
            <w:pPr>
              <w:jc w:val="right"/>
            </w:pPr>
            <w:r>
              <w:rPr>
                <w:rFonts w:hint="eastAsia"/>
              </w:rPr>
              <w:t xml:space="preserve"> 333,310,223.71 </w:t>
            </w:r>
          </w:p>
        </w:tc>
        <w:tc>
          <w:tcPr>
            <w:tcW w:w="1299" w:type="pct"/>
          </w:tcPr>
          <w:p>
            <w:pPr>
              <w:jc w:val="right"/>
            </w:pPr>
            <w:r>
              <w:rPr>
                <w:rFonts w:hint="eastAsia"/>
              </w:rPr>
              <w:t xml:space="preserve"> 33,331,022.37 </w:t>
            </w:r>
          </w:p>
        </w:tc>
        <w:tc>
          <w:tcPr>
            <w:tcW w:w="1267" w:type="pct"/>
          </w:tcPr>
          <w:p>
            <w:pPr>
              <w:jc w:val="right"/>
            </w:pPr>
            <w:r>
              <w:rPr>
                <w:rFonts w:hint="eastAsia"/>
              </w:rPr>
              <w:t xml:space="preserve"> 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2至3年</w:t>
            </w:r>
          </w:p>
        </w:tc>
        <w:tc>
          <w:tcPr>
            <w:tcW w:w="1276" w:type="pct"/>
          </w:tcPr>
          <w:p>
            <w:pPr>
              <w:jc w:val="right"/>
            </w:pPr>
            <w:r>
              <w:rPr>
                <w:rFonts w:hint="eastAsia"/>
              </w:rPr>
              <w:t xml:space="preserve"> 115,132,043.48 </w:t>
            </w:r>
          </w:p>
        </w:tc>
        <w:tc>
          <w:tcPr>
            <w:tcW w:w="1299" w:type="pct"/>
          </w:tcPr>
          <w:p>
            <w:pPr>
              <w:jc w:val="right"/>
            </w:pPr>
            <w:r>
              <w:rPr>
                <w:rFonts w:hint="eastAsia"/>
              </w:rPr>
              <w:t xml:space="preserve"> 23,026,408.70 </w:t>
            </w:r>
          </w:p>
        </w:tc>
        <w:tc>
          <w:tcPr>
            <w:tcW w:w="1267" w:type="pct"/>
          </w:tcPr>
          <w:p>
            <w:pPr>
              <w:jc w:val="right"/>
            </w:pPr>
            <w:r>
              <w:rPr>
                <w:rFonts w:hint="eastAsia"/>
              </w:rPr>
              <w:t xml:space="preserve"> 20.00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3至4年</w:t>
            </w:r>
          </w:p>
        </w:tc>
        <w:tc>
          <w:tcPr>
            <w:tcW w:w="1276" w:type="pct"/>
          </w:tcPr>
          <w:p>
            <w:pPr>
              <w:jc w:val="right"/>
            </w:pPr>
            <w:r>
              <w:rPr>
                <w:rFonts w:hint="eastAsia"/>
              </w:rPr>
              <w:t xml:space="preserve"> 39,149,125.90 </w:t>
            </w:r>
          </w:p>
        </w:tc>
        <w:tc>
          <w:tcPr>
            <w:tcW w:w="1299" w:type="pct"/>
          </w:tcPr>
          <w:p>
            <w:pPr>
              <w:jc w:val="right"/>
            </w:pPr>
            <w:r>
              <w:rPr>
                <w:rFonts w:hint="eastAsia"/>
              </w:rPr>
              <w:t xml:space="preserve"> 11,744,737.77 </w:t>
            </w:r>
          </w:p>
        </w:tc>
        <w:tc>
          <w:tcPr>
            <w:tcW w:w="1267" w:type="pct"/>
          </w:tcPr>
          <w:p>
            <w:pPr>
              <w:jc w:val="right"/>
            </w:pPr>
            <w:r>
              <w:rPr>
                <w:rFonts w:hint="eastAsia"/>
              </w:rPr>
              <w:t xml:space="preserve"> 30.00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4至5年</w:t>
            </w:r>
          </w:p>
        </w:tc>
        <w:tc>
          <w:tcPr>
            <w:tcW w:w="1276" w:type="pct"/>
          </w:tcPr>
          <w:p>
            <w:pPr>
              <w:jc w:val="right"/>
            </w:pPr>
            <w:r>
              <w:rPr>
                <w:rFonts w:hint="eastAsia"/>
              </w:rPr>
              <w:t xml:space="preserve"> 18,489,043.05 </w:t>
            </w:r>
          </w:p>
        </w:tc>
        <w:tc>
          <w:tcPr>
            <w:tcW w:w="1299" w:type="pct"/>
          </w:tcPr>
          <w:p>
            <w:pPr>
              <w:jc w:val="right"/>
            </w:pPr>
            <w:r>
              <w:rPr>
                <w:rFonts w:hint="eastAsia"/>
              </w:rPr>
              <w:t xml:space="preserve"> 9,244,521.53 </w:t>
            </w:r>
          </w:p>
        </w:tc>
        <w:tc>
          <w:tcPr>
            <w:tcW w:w="1267" w:type="pct"/>
          </w:tcPr>
          <w:p>
            <w:pPr>
              <w:jc w:val="right"/>
            </w:pPr>
            <w:r>
              <w:rPr>
                <w:rFonts w:hint="eastAsia"/>
              </w:rPr>
              <w:t xml:space="preserve"> 50.00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5年以上</w:t>
            </w:r>
          </w:p>
        </w:tc>
        <w:tc>
          <w:tcPr>
            <w:tcW w:w="1276" w:type="pct"/>
          </w:tcPr>
          <w:p>
            <w:pPr>
              <w:jc w:val="right"/>
            </w:pPr>
            <w:r>
              <w:rPr>
                <w:rFonts w:hint="eastAsia"/>
              </w:rPr>
              <w:t xml:space="preserve"> 21,811,321.24 </w:t>
            </w:r>
          </w:p>
        </w:tc>
        <w:tc>
          <w:tcPr>
            <w:tcW w:w="1299" w:type="pct"/>
          </w:tcPr>
          <w:p>
            <w:pPr>
              <w:jc w:val="right"/>
            </w:pPr>
            <w:r>
              <w:rPr>
                <w:rFonts w:hint="eastAsia"/>
              </w:rPr>
              <w:t xml:space="preserve"> 21,811,321.24 </w:t>
            </w:r>
          </w:p>
        </w:tc>
        <w:tc>
          <w:tcPr>
            <w:tcW w:w="1267" w:type="pct"/>
          </w:tcPr>
          <w:p>
            <w:pPr>
              <w:jc w:val="right"/>
            </w:pPr>
            <w:r>
              <w:rPr>
                <w:rFonts w:hint="eastAsia"/>
              </w:rPr>
              <w:t xml:space="preserve"> 100.00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276" w:type="pct"/>
          </w:tcPr>
          <w:p>
            <w:pPr>
              <w:jc w:val="right"/>
            </w:pPr>
            <w:r>
              <w:t xml:space="preserve"> 2,328,728,391.67 </w:t>
            </w:r>
          </w:p>
        </w:tc>
        <w:tc>
          <w:tcPr>
            <w:tcW w:w="1299" w:type="pct"/>
          </w:tcPr>
          <w:p>
            <w:pPr>
              <w:jc w:val="right"/>
            </w:pPr>
            <w:r>
              <w:t xml:space="preserve"> 189,199,843.38 </w:t>
            </w:r>
          </w:p>
        </w:tc>
        <w:tc>
          <w:tcPr>
            <w:tcW w:w="1267" w:type="pct"/>
          </w:tcPr>
          <w:p>
            <w:pPr>
              <w:jc w:val="right"/>
            </w:pPr>
            <w:r>
              <w:t xml:space="preserve"> 8.12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按组合计提坏账准备的应收账款确认标准[双击切换]"/>
        <w:tag w:val="_GBC_8361cfeb973b4073b7fdbd49a393b38c"/>
        <w:id w:val="84112661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22"/>
    <w:bookmarkEnd w:id="223"/>
    <w:p>
      <w:pPr>
        <w:rPr>
          <w:rFonts w:cstheme="minorBidi"/>
          <w:bCs w:val="0"/>
          <w:color w:val="000000" w:themeColor="text1"/>
          <w:szCs w:val="22"/>
          <w14:textFill>
            <w14:solidFill>
              <w14:schemeClr w14:val="tx1"/>
            </w14:solidFill>
          </w14:textFill>
        </w:rPr>
      </w:pPr>
      <w:bookmarkStart w:id="224" w:name="_Hlk154134618"/>
      <w:bookmarkStart w:id="225" w:name="_Hlk153357523"/>
      <w:bookmarkStart w:id="226" w:name="_Hlk167885281"/>
      <w:r>
        <w:rPr>
          <w:rFonts w:hint="eastAsia" w:cstheme="minorBidi"/>
          <w:color w:val="000000" w:themeColor="text1"/>
          <w:szCs w:val="22"/>
          <w14:textFill>
            <w14:solidFill>
              <w14:schemeClr w14:val="tx1"/>
            </w14:solidFill>
          </w14:textFill>
        </w:rPr>
        <w:t>按预期信用损失一般模型计提坏账准备</w:t>
      </w:r>
    </w:p>
    <w:sdt>
      <w:sdtPr>
        <w:rPr>
          <w:rFonts w:cstheme="minorBidi"/>
          <w:bCs w:val="0"/>
          <w:color w:val="000000" w:themeColor="text1"/>
          <w:szCs w:val="22"/>
          <w14:textFill>
            <w14:solidFill>
              <w14:schemeClr w14:val="tx1"/>
            </w14:solidFill>
          </w14:textFill>
        </w:rPr>
        <w:alias w:val="是否适用：按预期信用损失一般模型计提坏账准备[双击切换]"/>
        <w:tag w:val="_GBC_1d19b1b69e8344f18b14e15d329edea7"/>
        <w:id w:val="549966102"/>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pPr>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各阶段划分依据和坏账准备计提比例"/>
        <w:tag w:val="_GBC_d8e8411c0a8c4c56aa732db88b5aee2e"/>
        <w:id w:val="-1869900495"/>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pPr>
        <w:pStyle w:val="36"/>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对本期发生损失准备变动的应收账款账面余额显著变动的情况说明：</w:t>
      </w:r>
    </w:p>
    <w:sdt>
      <w:sdtPr>
        <w:rPr>
          <w:color w:val="000000" w:themeColor="text1"/>
          <w14:textFill>
            <w14:solidFill>
              <w14:schemeClr w14:val="tx1"/>
            </w14:solidFill>
          </w14:textFill>
        </w:rPr>
        <w:alias w:val="是否适用：对本期发生损失准备变动的账面余额显著变动的情况说明[双击切换]"/>
        <w:tag w:val="_GBC_69f0a67a74b04da0bfa388cc3243da42"/>
        <w:id w:val="-947695542"/>
        <w:placeholder>
          <w:docPart w:val="GBC22222222222222222222222222222"/>
        </w:placeholder>
      </w:sdtPr>
      <w:sdtEndPr>
        <w:rPr>
          <w:color w:val="000000" w:themeColor="text1"/>
          <w14:textFill>
            <w14:solidFill>
              <w14:schemeClr w14:val="tx1"/>
            </w14:solidFill>
          </w14:textFill>
        </w:rPr>
      </w:sdtEndPr>
      <w:sdtContent>
        <w:p>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24"/>
    <w:bookmarkEnd w:id="225"/>
    <w:bookmarkEnd w:id="226"/>
    <w:p>
      <w:pPr>
        <w:pStyle w:val="5"/>
        <w:numPr>
          <w:ilvl w:val="3"/>
          <w:numId w:val="43"/>
        </w:numPr>
        <w:ind w:left="425" w:hanging="425"/>
        <w:rPr>
          <w:color w:val="000000" w:themeColor="text1"/>
          <w14:textFill>
            <w14:solidFill>
              <w14:schemeClr w14:val="tx1"/>
            </w14:solidFill>
          </w14:textFill>
        </w:rPr>
      </w:pPr>
      <w:bookmarkStart w:id="227" w:name="_Hlk10467433"/>
      <w:r>
        <w:rPr>
          <w:rFonts w:hint="eastAsia"/>
          <w:color w:val="000000" w:themeColor="text1"/>
          <w14:textFill>
            <w14:solidFill>
              <w14:schemeClr w14:val="tx1"/>
            </w14:solidFill>
          </w14:textFill>
        </w:rPr>
        <w:t>坏账准备的情况</w:t>
      </w:r>
    </w:p>
    <w:sdt>
      <w:sdtPr>
        <w:rPr>
          <w:color w:val="000000" w:themeColor="text1"/>
          <w14:textFill>
            <w14:solidFill>
              <w14:schemeClr w14:val="tx1"/>
            </w14:solidFill>
          </w14:textFill>
        </w:rPr>
        <w:alias w:val="是否适用：应收账款坏账准备[双击切换]"/>
        <w:tag w:val="_GBC_fb482eb90dbc45c4a6420c45e8a46012"/>
        <w:id w:val="198072626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snapToGrid w:val="0"/>
        <w:spacing w:line="240" w:lineRule="atLeast"/>
        <w:ind w:left="425"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应收账款坏账准备"/>
          <w:tag w:val="_GBC_f681542ff42f497c9ed44328f301413f"/>
          <w:id w:val="-18321482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应收账款坏账准备"/>
          <w:tag w:val="_GBC_79f82daaad1749fbb117cea0941b8667"/>
          <w:id w:val="-18063838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306"/>
        <w:gridCol w:w="1938"/>
        <w:gridCol w:w="2104"/>
        <w:gridCol w:w="1938"/>
        <w:gridCol w:w="1943"/>
        <w:gridCol w:w="1938"/>
        <w:gridCol w:w="1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82b0419f5c784cbe8b363ff715cfd4eb"/>
            <w:id w:val="595590588"/>
          </w:sdtPr>
          <w:sdtContent>
            <w:tc>
              <w:tcPr>
                <w:tcW w:w="818"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6cba2c33cb334541980e3e13a6ee357d"/>
            <w:id w:val="-1822573865"/>
          </w:sdtPr>
          <w:sdtContent>
            <w:tc>
              <w:tcPr>
                <w:tcW w:w="687"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ec3d2e2cde2a4ba29c966861f9ca39c7"/>
            <w:id w:val="1063516566"/>
          </w:sdtPr>
          <w:sdtContent>
            <w:tc>
              <w:tcPr>
                <w:tcW w:w="2809" w:type="pct"/>
                <w:gridSpan w:val="4"/>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sdt>
          <w:sdtPr>
            <w:tag w:val="_PLD_9c167d6d72f94e22aecc39ba0e735a78"/>
            <w:id w:val="1437798093"/>
          </w:sdtPr>
          <w:sdtContent>
            <w:tc>
              <w:tcPr>
                <w:tcW w:w="685"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vMerge w:val="continue"/>
            <w:shd w:val="clear" w:color="auto" w:fill="FFFFFF"/>
          </w:tcPr>
          <w:p>
            <w:pPr>
              <w:widowControl w:val="0"/>
              <w:jc w:val="center"/>
              <w:rPr>
                <w:color w:val="000000" w:themeColor="text1"/>
                <w14:textFill>
                  <w14:solidFill>
                    <w14:schemeClr w14:val="tx1"/>
                  </w14:solidFill>
                </w14:textFill>
              </w:rPr>
            </w:pPr>
          </w:p>
        </w:tc>
        <w:tc>
          <w:tcPr>
            <w:tcW w:w="687" w:type="pct"/>
            <w:vMerge w:val="continue"/>
            <w:shd w:val="clear" w:color="auto" w:fill="FFFFFF"/>
          </w:tcPr>
          <w:p>
            <w:pPr>
              <w:widowControl w:val="0"/>
              <w:jc w:val="center"/>
              <w:rPr>
                <w:color w:val="000000" w:themeColor="text1"/>
                <w14:textFill>
                  <w14:solidFill>
                    <w14:schemeClr w14:val="tx1"/>
                  </w14:solidFill>
                </w14:textFill>
              </w:rPr>
            </w:pPr>
          </w:p>
        </w:tc>
        <w:sdt>
          <w:sdtPr>
            <w:tag w:val="_PLD_6cba23a5661e46c88bed469159b39a72"/>
            <w:id w:val="202064261"/>
          </w:sdtPr>
          <w:sdtContent>
            <w:tc>
              <w:tcPr>
                <w:tcW w:w="746" w:type="pc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tag w:val="_PLD_eaa82901608843c6947a0e537e8e0700"/>
            <w:id w:val="-439381456"/>
          </w:sdtPr>
          <w:sdtContent>
            <w:tc>
              <w:tcPr>
                <w:tcW w:w="687" w:type="pct"/>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收回或转回</w:t>
                </w:r>
              </w:p>
            </w:tc>
          </w:sdtContent>
        </w:sdt>
        <w:tc>
          <w:tcPr>
            <w:tcW w:w="689" w:type="pct"/>
            <w:shd w:val="clear" w:color="auto" w:fill="FFFFFF"/>
            <w:vAlign w:val="center"/>
          </w:tcPr>
          <w:sdt>
            <w:sdtPr>
              <w:tag w:val="_PLD_4232da6e7f4d498bb5fd03aa253dd7d4"/>
              <w:id w:val="-1811702525"/>
            </w:sdtPr>
            <w:sdtContent>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转销或核销</w:t>
                </w:r>
              </w:p>
            </w:sdtContent>
          </w:sdt>
        </w:tc>
        <w:tc>
          <w:tcPr>
            <w:tcW w:w="687" w:type="pct"/>
            <w:shd w:val="clear" w:color="auto" w:fill="FFFFFF"/>
            <w:vAlign w:val="center"/>
          </w:tcPr>
          <w:sdt>
            <w:sdtPr>
              <w:tag w:val="_PLD_6a40df7ca60f4ded8af3453519948166"/>
              <w:id w:val="-555388038"/>
            </w:sdtPr>
            <w:sdtContent>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sdtContent>
          </w:sdt>
        </w:tc>
        <w:tc>
          <w:tcPr>
            <w:tcW w:w="685" w:type="pct"/>
            <w:vMerge w:val="continue"/>
            <w:shd w:val="clear" w:color="auto" w:fill="FFFFFF"/>
          </w:tcPr>
          <w:p>
            <w:pPr>
              <w:widowControl w:val="0"/>
              <w:jc w:val="right"/>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pPr>
              <w:widowControl w:val="0"/>
            </w:pPr>
            <w:r>
              <w:rPr>
                <w:rFonts w:hint="eastAsia"/>
              </w:rPr>
              <w:t>按单项计提坏账准备</w:t>
            </w:r>
          </w:p>
        </w:tc>
        <w:tc>
          <w:tcPr>
            <w:tcW w:w="687" w:type="pct"/>
          </w:tcPr>
          <w:p>
            <w:pPr>
              <w:widowControl w:val="0"/>
              <w:jc w:val="right"/>
            </w:pPr>
            <w:r>
              <w:t xml:space="preserve"> 32,189,244.05 </w:t>
            </w:r>
          </w:p>
        </w:tc>
        <w:tc>
          <w:tcPr>
            <w:tcW w:w="746" w:type="pct"/>
          </w:tcPr>
          <w:p>
            <w:pPr>
              <w:widowControl w:val="0"/>
              <w:jc w:val="right"/>
            </w:pPr>
            <w:r>
              <w:t xml:space="preserve"> 282,363.01 </w:t>
            </w:r>
          </w:p>
        </w:tc>
        <w:tc>
          <w:tcPr>
            <w:tcW w:w="687" w:type="pct"/>
          </w:tcPr>
          <w:p>
            <w:pPr>
              <w:widowControl w:val="0"/>
              <w:jc w:val="right"/>
            </w:pPr>
            <w:r>
              <w:t xml:space="preserve"> 1,808,169.76 </w:t>
            </w:r>
          </w:p>
        </w:tc>
        <w:tc>
          <w:tcPr>
            <w:tcW w:w="689" w:type="pct"/>
          </w:tcPr>
          <w:p>
            <w:pPr>
              <w:widowControl w:val="0"/>
              <w:jc w:val="right"/>
            </w:pPr>
            <w:r>
              <w:t xml:space="preserve"> 100,437.00 </w:t>
            </w:r>
          </w:p>
        </w:tc>
        <w:tc>
          <w:tcPr>
            <w:tcW w:w="687" w:type="pct"/>
          </w:tcPr>
          <w:p>
            <w:pPr>
              <w:widowControl w:val="0"/>
              <w:jc w:val="right"/>
            </w:pPr>
          </w:p>
        </w:tc>
        <w:tc>
          <w:tcPr>
            <w:tcW w:w="685" w:type="pct"/>
          </w:tcPr>
          <w:p>
            <w:pPr>
              <w:widowControl w:val="0"/>
              <w:jc w:val="right"/>
            </w:pPr>
            <w:r>
              <w:t xml:space="preserve"> 30,563,000.30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pPr>
              <w:widowControl w:val="0"/>
            </w:pPr>
            <w:r>
              <w:rPr>
                <w:rFonts w:hint="eastAsia"/>
              </w:rPr>
              <w:t>按组合计提坏账准备</w:t>
            </w:r>
          </w:p>
        </w:tc>
        <w:tc>
          <w:tcPr>
            <w:tcW w:w="687" w:type="pct"/>
          </w:tcPr>
          <w:p>
            <w:pPr>
              <w:widowControl w:val="0"/>
              <w:jc w:val="right"/>
            </w:pPr>
            <w:r>
              <w:t xml:space="preserve"> 181,623,446.69 </w:t>
            </w:r>
          </w:p>
        </w:tc>
        <w:tc>
          <w:tcPr>
            <w:tcW w:w="746" w:type="pct"/>
          </w:tcPr>
          <w:p>
            <w:pPr>
              <w:widowControl w:val="0"/>
              <w:jc w:val="right"/>
            </w:pPr>
            <w:r>
              <w:t xml:space="preserve"> 9,046,058.54 </w:t>
            </w:r>
          </w:p>
        </w:tc>
        <w:tc>
          <w:tcPr>
            <w:tcW w:w="687" w:type="pct"/>
          </w:tcPr>
          <w:p>
            <w:pPr>
              <w:widowControl w:val="0"/>
              <w:jc w:val="right"/>
            </w:pPr>
          </w:p>
        </w:tc>
        <w:tc>
          <w:tcPr>
            <w:tcW w:w="689" w:type="pct"/>
          </w:tcPr>
          <w:p>
            <w:pPr>
              <w:widowControl w:val="0"/>
              <w:jc w:val="right"/>
            </w:pPr>
          </w:p>
        </w:tc>
        <w:tc>
          <w:tcPr>
            <w:tcW w:w="687" w:type="pct"/>
          </w:tcPr>
          <w:p>
            <w:pPr>
              <w:widowControl w:val="0"/>
              <w:jc w:val="right"/>
            </w:pPr>
            <w:r>
              <w:t xml:space="preserve"> </w:t>
            </w:r>
            <w:r>
              <w:rPr>
                <w:rFonts w:hint="eastAsia"/>
              </w:rPr>
              <w:t>-</w:t>
            </w:r>
            <w:r>
              <w:t xml:space="preserve">1,469,661.85 </w:t>
            </w:r>
          </w:p>
        </w:tc>
        <w:tc>
          <w:tcPr>
            <w:tcW w:w="685" w:type="pct"/>
          </w:tcPr>
          <w:p>
            <w:pPr>
              <w:widowControl w:val="0"/>
              <w:jc w:val="right"/>
            </w:pPr>
            <w:r>
              <w:t xml:space="preserve"> 189,199,843.38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87" w:type="pct"/>
          </w:tcPr>
          <w:p>
            <w:pPr>
              <w:widowControl w:val="0"/>
              <w:jc w:val="right"/>
            </w:pPr>
            <w:r>
              <w:t xml:space="preserve"> 213,812,690.74 </w:t>
            </w:r>
          </w:p>
        </w:tc>
        <w:tc>
          <w:tcPr>
            <w:tcW w:w="746" w:type="pct"/>
          </w:tcPr>
          <w:p>
            <w:pPr>
              <w:widowControl w:val="0"/>
              <w:jc w:val="right"/>
            </w:pPr>
            <w:r>
              <w:t xml:space="preserve"> 9,328,421.55 </w:t>
            </w:r>
          </w:p>
        </w:tc>
        <w:tc>
          <w:tcPr>
            <w:tcW w:w="687" w:type="pct"/>
          </w:tcPr>
          <w:p>
            <w:pPr>
              <w:widowControl w:val="0"/>
              <w:jc w:val="right"/>
            </w:pPr>
            <w:r>
              <w:t xml:space="preserve"> 1,808,169.76 </w:t>
            </w:r>
          </w:p>
        </w:tc>
        <w:tc>
          <w:tcPr>
            <w:tcW w:w="689" w:type="pct"/>
          </w:tcPr>
          <w:p>
            <w:pPr>
              <w:widowControl w:val="0"/>
              <w:jc w:val="right"/>
            </w:pPr>
            <w:r>
              <w:t xml:space="preserve"> 100,437.00 </w:t>
            </w:r>
          </w:p>
        </w:tc>
        <w:tc>
          <w:tcPr>
            <w:tcW w:w="687" w:type="pct"/>
          </w:tcPr>
          <w:p>
            <w:pPr>
              <w:widowControl w:val="0"/>
              <w:jc w:val="right"/>
            </w:pPr>
            <w:r>
              <w:t xml:space="preserve"> </w:t>
            </w:r>
            <w:r>
              <w:rPr>
                <w:rFonts w:hint="eastAsia"/>
              </w:rPr>
              <w:t>-</w:t>
            </w:r>
            <w:r>
              <w:t xml:space="preserve">1,469,661.85 </w:t>
            </w:r>
          </w:p>
        </w:tc>
        <w:tc>
          <w:tcPr>
            <w:tcW w:w="685" w:type="pct"/>
          </w:tcPr>
          <w:p>
            <w:pPr>
              <w:widowControl w:val="0"/>
              <w:jc w:val="right"/>
            </w:pPr>
            <w:r>
              <w:t xml:space="preserve"> 219,762,843.68 </w:t>
            </w:r>
          </w:p>
        </w:tc>
      </w:tr>
    </w:tbl>
    <w:p>
      <w:pPr>
        <w:rPr>
          <w:color w:val="000000" w:themeColor="text1"/>
          <w14:textFill>
            <w14:solidFill>
              <w14:schemeClr w14:val="tx1"/>
            </w14:solidFill>
          </w14:textFill>
        </w:rPr>
      </w:pPr>
      <w:r>
        <w:rPr>
          <w:color w:val="000000" w:themeColor="text1"/>
          <w14:textFill>
            <w14:solidFill>
              <w14:schemeClr w14:val="tx1"/>
            </w14:solidFill>
          </w14:textFill>
        </w:rPr>
        <w:t>注</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其他</w:t>
      </w:r>
      <w:r>
        <w:rPr>
          <w:rFonts w:hint="eastAsia"/>
          <w:color w:val="000000" w:themeColor="text1"/>
          <w14:textFill>
            <w14:solidFill>
              <w14:schemeClr w14:val="tx1"/>
            </w14:solidFill>
          </w14:textFill>
        </w:rPr>
        <w:t>变动</w:t>
      </w:r>
      <w:r>
        <w:rPr>
          <w:color w:val="000000" w:themeColor="text1"/>
          <w14:textFill>
            <w14:solidFill>
              <w14:schemeClr w14:val="tx1"/>
            </w14:solidFill>
          </w14:textFill>
        </w:rPr>
        <w:t>金额系以房抵款债务重组</w:t>
      </w:r>
      <w:r>
        <w:rPr>
          <w:rFonts w:hint="eastAsia"/>
          <w:color w:val="000000" w:themeColor="text1"/>
          <w14:textFill>
            <w14:solidFill>
              <w14:schemeClr w14:val="tx1"/>
            </w14:solidFill>
          </w14:textFill>
        </w:rPr>
        <w:t>减少</w:t>
      </w:r>
      <w:r>
        <w:rPr>
          <w:color w:val="000000" w:themeColor="text1"/>
          <w14:textFill>
            <w14:solidFill>
              <w14:schemeClr w14:val="tx1"/>
            </w14:solidFill>
          </w14:textFill>
        </w:rPr>
        <w:t>坏账准备1,469,661.85元</w:t>
      </w:r>
    </w:p>
    <w:bookmarkEnd w:id="227"/>
    <w:p>
      <w:pPr>
        <w:rPr>
          <w:color w:val="000000" w:themeColor="text1"/>
          <w14:textFill>
            <w14:solidFill>
              <w14:schemeClr w14:val="tx1"/>
            </w14:solidFill>
          </w14:textFill>
        </w:rPr>
      </w:pPr>
      <w:bookmarkStart w:id="228" w:name="_Hlk167885446"/>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其中本期坏账准备收回或转回金额重要的[双击切换]"/>
        <w:tag w:val="_GBC_782db13fff094d37b8b99f81224cac44"/>
        <w:id w:val="198696531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应收账款坏账准备情况的说明"/>
        <w:tag w:val="_GBC_112ac8bd16914f4682cf1367c6702f93"/>
        <w:id w:val="1285315019"/>
        <w:placeholder>
          <w:docPart w:val="GBC22222222222222222222222222222"/>
        </w:placeholder>
      </w:sdtPr>
      <w:sdtEndPr>
        <w:rPr>
          <w:color w:val="000000" w:themeColor="text1"/>
          <w14:textFill>
            <w14:solidFill>
              <w14:schemeClr w14:val="tx1"/>
            </w14:solidFill>
          </w14:textFill>
        </w:rPr>
      </w:sdtEndPr>
      <w:sdtContent>
        <w:p>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228"/>
    <w:p>
      <w:pPr>
        <w:pStyle w:val="5"/>
        <w:numPr>
          <w:ilvl w:val="3"/>
          <w:numId w:val="43"/>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本期实际核销的应收账款情况</w:t>
      </w:r>
    </w:p>
    <w:sdt>
      <w:sdtPr>
        <w:rPr>
          <w:color w:val="000000" w:themeColor="text1"/>
          <w14:textFill>
            <w14:solidFill>
              <w14:schemeClr w14:val="tx1"/>
            </w14:solidFill>
          </w14:textFill>
        </w:rPr>
        <w:alias w:val="是否适用：本期实际核销的应收账款情况[双击切换]"/>
        <w:tag w:val="_GBC_240341a3455747bb87ecabf420d94ec5"/>
        <w:id w:val="58682116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本报告期实际核销的应收款项情况"/>
          <w:tag w:val="_GBC_97f637feeea84b2a8c01321339a44c9e"/>
          <w:id w:val="150223662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本报告期实际核销的应收款项情况"/>
          <w:tag w:val="_GBC_1e69e5173e614c0f8dd12c7f988c2a4e"/>
          <w:id w:val="-121279784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3"/>
        <w:gridCol w:w="7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3731fe405bb4134af7ad46e8ca83d7e"/>
            <w:id w:val="215636348"/>
          </w:sdtPr>
          <w:sdtContent>
            <w:tc>
              <w:tcPr>
                <w:tcW w:w="236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256a8b0b19c4d908f33771c40d2df26"/>
            <w:id w:val="1397088263"/>
          </w:sdtPr>
          <w:sdtContent>
            <w:tc>
              <w:tcPr>
                <w:tcW w:w="2639"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核销金额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1"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实际核销的应收账款</w:t>
            </w:r>
          </w:p>
        </w:tc>
        <w:tc>
          <w:tcPr>
            <w:tcW w:w="2639" w:type="pct"/>
          </w:tcPr>
          <w:p>
            <w:pPr>
              <w:jc w:val="right"/>
            </w:pPr>
            <w:r>
              <w:t>100,437.00</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其中重要的应收账款核销情况</w:t>
      </w:r>
    </w:p>
    <w:sdt>
      <w:sdtPr>
        <w:rPr>
          <w:color w:val="000000" w:themeColor="text1"/>
          <w14:textFill>
            <w14:solidFill>
              <w14:schemeClr w14:val="tx1"/>
            </w14:solidFill>
          </w14:textFill>
        </w:rPr>
        <w:alias w:val="是否适用：其中重要的应收账款核销情况[双击切换]"/>
        <w:tag w:val="_GBC_8a44f02ff52343a08b5e1e48c8b2cb3d"/>
        <w:id w:val="-66423753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应收账款核销说明：</w:t>
      </w:r>
    </w:p>
    <w:sdt>
      <w:sdtPr>
        <w:rPr>
          <w:color w:val="000000" w:themeColor="text1"/>
          <w14:textFill>
            <w14:solidFill>
              <w14:schemeClr w14:val="tx1"/>
            </w14:solidFill>
          </w14:textFill>
        </w:rPr>
        <w:alias w:val="是否适用：应收账款核销说明[双击切换]"/>
        <w:tag w:val="_GBC_69824b683b7348d5abc31b2f2e813757"/>
        <w:id w:val="-1802377547"/>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3"/>
          <w:numId w:val="43"/>
        </w:numPr>
        <w:ind w:left="425" w:hanging="425"/>
        <w:rPr>
          <w:color w:val="000000" w:themeColor="text1"/>
          <w14:textFill>
            <w14:solidFill>
              <w14:schemeClr w14:val="tx1"/>
            </w14:solidFill>
          </w14:textFill>
        </w:rPr>
      </w:pPr>
      <w:bookmarkStart w:id="229" w:name="_Hlk167885578"/>
      <w:r>
        <w:rPr>
          <w:rFonts w:hint="eastAsia"/>
          <w:color w:val="000000" w:themeColor="text1"/>
          <w14:textFill>
            <w14:solidFill>
              <w14:schemeClr w14:val="tx1"/>
            </w14:solidFill>
          </w14:textFill>
        </w:rPr>
        <w:t>按欠款方归集的期末余额前五名的应收账款和合同资产情况</w:t>
      </w:r>
    </w:p>
    <w:sdt>
      <w:sdtPr>
        <w:rPr>
          <w:rFonts w:hint="eastAsia"/>
          <w:color w:val="000000" w:themeColor="text1"/>
          <w14:textFill>
            <w14:solidFill>
              <w14:schemeClr w14:val="tx1"/>
            </w14:solidFill>
          </w14:textFill>
        </w:rPr>
        <w:alias w:val="是否适用：按欠款方归集的期末余额前五名的应收账款情况[双击切换]"/>
        <w:tag w:val="_GBC_23de179fe67e4dae836713363b228dc1"/>
        <w:id w:val="269595012"/>
        <w:placeholder>
          <w:docPart w:val="GBC22222222222222222222222222222"/>
        </w:placeholder>
      </w:sdtPr>
      <w:sdtEndPr>
        <w:rPr>
          <w:rFonts w:hint="eastAsia"/>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color w:val="000000" w:themeColor="text1"/>
            <w14:textFill>
              <w14:solidFill>
                <w14:schemeClr w14:val="tx1"/>
              </w14:solidFill>
            </w14:textFill>
          </w:rPr>
          <w:alias w:val="单位：财务附注：应收账款前五名欠款情况"/>
          <w:tag w:val="_GBC_7b83c21a9ac04b3f9556af0eefbf91af"/>
          <w:id w:val="-206670818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收账款前五名欠款情况"/>
          <w:tag w:val="_GBC_aeac0acd27084bbe8582a2bdb9097b96"/>
          <w:id w:val="12396678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9"/>
        <w:gridCol w:w="2446"/>
        <w:gridCol w:w="2018"/>
        <w:gridCol w:w="2164"/>
        <w:gridCol w:w="2883"/>
        <w:gridCol w:w="1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f9c6798381a549c8be592d88dde64345"/>
            <w:id w:val="232597730"/>
          </w:sdtPr>
          <w:sdtContent>
            <w:tc>
              <w:tcPr>
                <w:tcW w:w="919"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单位名称</w:t>
                </w:r>
              </w:p>
            </w:tc>
          </w:sdtContent>
        </w:sdt>
        <w:sdt>
          <w:sdtPr>
            <w:tag w:val="_PLD_cb3675ff5adc4fc5a9134c43edda944a"/>
            <w:id w:val="-1215576227"/>
          </w:sdtPr>
          <w:sdtContent>
            <w:tc>
              <w:tcPr>
                <w:tcW w:w="868" w:type="pct"/>
                <w:vAlign w:val="center"/>
              </w:tcPr>
              <w:p>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应收账款期末余额</w:t>
                </w:r>
              </w:p>
            </w:tc>
          </w:sdtContent>
        </w:sdt>
        <w:sdt>
          <w:sdtPr>
            <w:tag w:val="_PLD_ef22e7c0e8d749caad8859816f6d3d6d"/>
            <w:id w:val="-1580130658"/>
          </w:sdtPr>
          <w:sdtContent>
            <w:tc>
              <w:tcPr>
                <w:tcW w:w="71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合同资产期末余额</w:t>
                </w:r>
              </w:p>
            </w:tc>
          </w:sdtContent>
        </w:sdt>
        <w:sdt>
          <w:sdtPr>
            <w:tag w:val="_PLD_d4247a30e2224be4b066f9eb3e8b3980"/>
            <w:id w:val="-266310918"/>
          </w:sdtPr>
          <w:sdtContent>
            <w:tc>
              <w:tcPr>
                <w:tcW w:w="76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应收账款和合同资产期末余额</w:t>
                </w:r>
              </w:p>
            </w:tc>
          </w:sdtContent>
        </w:sdt>
        <w:sdt>
          <w:sdtPr>
            <w:tag w:val="_PLD_973a396aab204cf2abdf2f7f405b9071"/>
            <w:id w:val="1596979361"/>
          </w:sdtPr>
          <w:sdtContent>
            <w:tc>
              <w:tcPr>
                <w:tcW w:w="102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占应收账款和合同资产期末余额合计数的比例（%）</w:t>
                </w:r>
              </w:p>
            </w:tc>
          </w:sdtContent>
        </w:sdt>
        <w:sdt>
          <w:sdtPr>
            <w:tag w:val="_PLD_839fe6b484114addbcaeef57270c8a21"/>
            <w:id w:val="-1349705840"/>
          </w:sdtPr>
          <w:sdtContent>
            <w:tc>
              <w:tcPr>
                <w:tcW w:w="70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9" w:type="pct"/>
          </w:tcPr>
          <w:p>
            <w:pPr>
              <w:ind w:right="105"/>
            </w:pPr>
            <w:bookmarkStart w:id="230" w:name="OLE_LINK8"/>
            <w:bookmarkStart w:id="231" w:name="_Hlk238193890"/>
            <w:r>
              <w:rPr>
                <w:rFonts w:hint="eastAsia"/>
              </w:rPr>
              <w:t>客户</w:t>
            </w:r>
            <w:bookmarkEnd w:id="230"/>
            <w:r>
              <w:rPr>
                <w:rFonts w:hint="eastAsia"/>
              </w:rPr>
              <w:t>1</w:t>
            </w:r>
          </w:p>
        </w:tc>
        <w:tc>
          <w:tcPr>
            <w:tcW w:w="868" w:type="pct"/>
            <w:vAlign w:val="center"/>
          </w:tcPr>
          <w:p>
            <w:pPr>
              <w:ind w:right="73"/>
              <w:jc w:val="right"/>
            </w:pPr>
            <w:r>
              <w:rPr>
                <w:rFonts w:hint="eastAsia"/>
              </w:rPr>
              <w:t xml:space="preserve"> 92,425,336.58 </w:t>
            </w:r>
          </w:p>
        </w:tc>
        <w:tc>
          <w:tcPr>
            <w:tcW w:w="716" w:type="pct"/>
            <w:vAlign w:val="center"/>
          </w:tcPr>
          <w:p>
            <w:pPr>
              <w:jc w:val="right"/>
            </w:pPr>
          </w:p>
        </w:tc>
        <w:tc>
          <w:tcPr>
            <w:tcW w:w="768" w:type="pct"/>
            <w:vAlign w:val="center"/>
          </w:tcPr>
          <w:p>
            <w:pPr>
              <w:jc w:val="right"/>
            </w:pPr>
            <w:r>
              <w:rPr>
                <w:rFonts w:hint="eastAsia"/>
              </w:rPr>
              <w:t>92,425,336.58</w:t>
            </w:r>
          </w:p>
        </w:tc>
        <w:tc>
          <w:tcPr>
            <w:tcW w:w="1023" w:type="pct"/>
            <w:vAlign w:val="center"/>
          </w:tcPr>
          <w:p>
            <w:pPr>
              <w:jc w:val="right"/>
            </w:pPr>
            <w:r>
              <w:rPr>
                <w:rFonts w:hint="eastAsia"/>
              </w:rPr>
              <w:t>3.91</w:t>
            </w:r>
          </w:p>
        </w:tc>
        <w:tc>
          <w:tcPr>
            <w:tcW w:w="706" w:type="pct"/>
            <w:vAlign w:val="center"/>
          </w:tcPr>
          <w:p>
            <w:pPr>
              <w:jc w:val="right"/>
            </w:pPr>
            <w:r>
              <w:rPr>
                <w:rFonts w:hint="eastAsia"/>
              </w:rPr>
              <w:t>4,621,266.83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9" w:type="pct"/>
          </w:tcPr>
          <w:p>
            <w:pPr>
              <w:ind w:right="105"/>
            </w:pPr>
            <w:r>
              <w:t>客户</w:t>
            </w:r>
            <w:r>
              <w:rPr>
                <w:rFonts w:hint="eastAsia"/>
              </w:rPr>
              <w:t>2</w:t>
            </w:r>
          </w:p>
        </w:tc>
        <w:tc>
          <w:tcPr>
            <w:tcW w:w="868" w:type="pct"/>
            <w:vAlign w:val="center"/>
          </w:tcPr>
          <w:p>
            <w:pPr>
              <w:ind w:right="73"/>
              <w:jc w:val="right"/>
            </w:pPr>
            <w:r>
              <w:rPr>
                <w:rFonts w:hint="eastAsia"/>
              </w:rPr>
              <w:t xml:space="preserve"> 68,469,148.89 </w:t>
            </w:r>
          </w:p>
        </w:tc>
        <w:tc>
          <w:tcPr>
            <w:tcW w:w="716" w:type="pct"/>
            <w:vAlign w:val="center"/>
          </w:tcPr>
          <w:p>
            <w:pPr>
              <w:jc w:val="right"/>
            </w:pPr>
          </w:p>
        </w:tc>
        <w:tc>
          <w:tcPr>
            <w:tcW w:w="768" w:type="pct"/>
            <w:vAlign w:val="center"/>
          </w:tcPr>
          <w:p>
            <w:pPr>
              <w:jc w:val="right"/>
            </w:pPr>
            <w:r>
              <w:rPr>
                <w:rFonts w:hint="eastAsia"/>
              </w:rPr>
              <w:t>68,469,148.89</w:t>
            </w:r>
          </w:p>
        </w:tc>
        <w:tc>
          <w:tcPr>
            <w:tcW w:w="1023" w:type="pct"/>
            <w:vAlign w:val="center"/>
          </w:tcPr>
          <w:p>
            <w:pPr>
              <w:jc w:val="right"/>
            </w:pPr>
            <w:r>
              <w:rPr>
                <w:rFonts w:hint="eastAsia"/>
              </w:rPr>
              <w:t>2.90</w:t>
            </w:r>
          </w:p>
        </w:tc>
        <w:tc>
          <w:tcPr>
            <w:tcW w:w="706" w:type="pct"/>
            <w:vAlign w:val="center"/>
          </w:tcPr>
          <w:p>
            <w:pPr>
              <w:jc w:val="right"/>
            </w:pPr>
            <w:r>
              <w:rPr>
                <w:rFonts w:hint="eastAsia"/>
              </w:rPr>
              <w:t>4,607,875.55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9" w:type="pct"/>
          </w:tcPr>
          <w:p>
            <w:pPr>
              <w:ind w:right="105"/>
            </w:pPr>
            <w:r>
              <w:t>客户</w:t>
            </w:r>
            <w:r>
              <w:rPr>
                <w:rFonts w:hint="eastAsia"/>
              </w:rPr>
              <w:t>3</w:t>
            </w:r>
          </w:p>
        </w:tc>
        <w:tc>
          <w:tcPr>
            <w:tcW w:w="868" w:type="pct"/>
            <w:vAlign w:val="center"/>
          </w:tcPr>
          <w:p>
            <w:pPr>
              <w:ind w:right="73"/>
              <w:jc w:val="right"/>
            </w:pPr>
            <w:r>
              <w:rPr>
                <w:rFonts w:hint="eastAsia"/>
              </w:rPr>
              <w:t xml:space="preserve"> 50,395,850.00 </w:t>
            </w:r>
          </w:p>
        </w:tc>
        <w:tc>
          <w:tcPr>
            <w:tcW w:w="716" w:type="pct"/>
            <w:vAlign w:val="center"/>
          </w:tcPr>
          <w:p>
            <w:pPr>
              <w:jc w:val="right"/>
            </w:pPr>
          </w:p>
        </w:tc>
        <w:tc>
          <w:tcPr>
            <w:tcW w:w="768" w:type="pct"/>
            <w:vAlign w:val="center"/>
          </w:tcPr>
          <w:p>
            <w:pPr>
              <w:jc w:val="right"/>
            </w:pPr>
            <w:r>
              <w:rPr>
                <w:rFonts w:hint="eastAsia"/>
              </w:rPr>
              <w:t>50,395,850.00</w:t>
            </w:r>
          </w:p>
        </w:tc>
        <w:tc>
          <w:tcPr>
            <w:tcW w:w="1023" w:type="pct"/>
            <w:vAlign w:val="center"/>
          </w:tcPr>
          <w:p>
            <w:pPr>
              <w:jc w:val="right"/>
            </w:pPr>
            <w:r>
              <w:rPr>
                <w:rFonts w:hint="eastAsia"/>
              </w:rPr>
              <w:t>2.13</w:t>
            </w:r>
          </w:p>
        </w:tc>
        <w:tc>
          <w:tcPr>
            <w:tcW w:w="706" w:type="pct"/>
            <w:vAlign w:val="center"/>
          </w:tcPr>
          <w:p>
            <w:pPr>
              <w:jc w:val="right"/>
            </w:pPr>
            <w:r>
              <w:rPr>
                <w:rFonts w:hint="eastAsia"/>
              </w:rPr>
              <w:t>3,249,792.50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9" w:type="pct"/>
          </w:tcPr>
          <w:p>
            <w:pPr>
              <w:ind w:right="105"/>
            </w:pPr>
            <w:r>
              <w:t>客户</w:t>
            </w:r>
            <w:r>
              <w:rPr>
                <w:rFonts w:hint="eastAsia"/>
              </w:rPr>
              <w:t>4</w:t>
            </w:r>
          </w:p>
        </w:tc>
        <w:tc>
          <w:tcPr>
            <w:tcW w:w="868" w:type="pct"/>
            <w:vAlign w:val="center"/>
          </w:tcPr>
          <w:p>
            <w:pPr>
              <w:ind w:right="73"/>
              <w:jc w:val="right"/>
            </w:pPr>
            <w:r>
              <w:rPr>
                <w:rFonts w:hint="eastAsia"/>
              </w:rPr>
              <w:t xml:space="preserve"> 48,200,000.00 </w:t>
            </w:r>
          </w:p>
        </w:tc>
        <w:tc>
          <w:tcPr>
            <w:tcW w:w="716" w:type="pct"/>
            <w:vAlign w:val="center"/>
          </w:tcPr>
          <w:p>
            <w:pPr>
              <w:jc w:val="right"/>
            </w:pPr>
          </w:p>
        </w:tc>
        <w:tc>
          <w:tcPr>
            <w:tcW w:w="768" w:type="pct"/>
            <w:vAlign w:val="center"/>
          </w:tcPr>
          <w:p>
            <w:pPr>
              <w:jc w:val="right"/>
            </w:pPr>
            <w:r>
              <w:rPr>
                <w:rFonts w:hint="eastAsia"/>
              </w:rPr>
              <w:t>48,200,000.00</w:t>
            </w:r>
          </w:p>
        </w:tc>
        <w:tc>
          <w:tcPr>
            <w:tcW w:w="1023" w:type="pct"/>
            <w:vAlign w:val="center"/>
          </w:tcPr>
          <w:p>
            <w:pPr>
              <w:jc w:val="right"/>
            </w:pPr>
            <w:r>
              <w:rPr>
                <w:rFonts w:hint="eastAsia"/>
              </w:rPr>
              <w:t>2.04</w:t>
            </w:r>
          </w:p>
        </w:tc>
        <w:tc>
          <w:tcPr>
            <w:tcW w:w="706" w:type="pct"/>
            <w:vAlign w:val="center"/>
          </w:tcPr>
          <w:p>
            <w:pPr>
              <w:jc w:val="right"/>
            </w:pPr>
            <w:r>
              <w:rPr>
                <w:rFonts w:hint="eastAsia"/>
              </w:rPr>
              <w:t>2,410,000.00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9" w:type="pct"/>
          </w:tcPr>
          <w:p>
            <w:pPr>
              <w:ind w:right="105"/>
            </w:pPr>
            <w:r>
              <w:t>客户</w:t>
            </w:r>
            <w:r>
              <w:rPr>
                <w:rFonts w:hint="eastAsia"/>
              </w:rPr>
              <w:t>5</w:t>
            </w:r>
          </w:p>
        </w:tc>
        <w:tc>
          <w:tcPr>
            <w:tcW w:w="868" w:type="pct"/>
            <w:vAlign w:val="center"/>
          </w:tcPr>
          <w:p>
            <w:pPr>
              <w:ind w:right="73"/>
              <w:jc w:val="right"/>
            </w:pPr>
            <w:r>
              <w:rPr>
                <w:rFonts w:hint="eastAsia"/>
              </w:rPr>
              <w:t xml:space="preserve"> 42,724,053.88 </w:t>
            </w:r>
          </w:p>
        </w:tc>
        <w:tc>
          <w:tcPr>
            <w:tcW w:w="716" w:type="pct"/>
            <w:vAlign w:val="center"/>
          </w:tcPr>
          <w:p>
            <w:pPr>
              <w:jc w:val="right"/>
            </w:pPr>
          </w:p>
        </w:tc>
        <w:tc>
          <w:tcPr>
            <w:tcW w:w="768" w:type="pct"/>
            <w:vAlign w:val="center"/>
          </w:tcPr>
          <w:p>
            <w:pPr>
              <w:jc w:val="right"/>
            </w:pPr>
            <w:r>
              <w:rPr>
                <w:rFonts w:hint="eastAsia"/>
              </w:rPr>
              <w:t>42,724,053.88</w:t>
            </w:r>
          </w:p>
        </w:tc>
        <w:tc>
          <w:tcPr>
            <w:tcW w:w="1023" w:type="pct"/>
            <w:vAlign w:val="center"/>
          </w:tcPr>
          <w:p>
            <w:pPr>
              <w:jc w:val="right"/>
            </w:pPr>
            <w:r>
              <w:rPr>
                <w:rFonts w:hint="eastAsia"/>
              </w:rPr>
              <w:t>1.81</w:t>
            </w:r>
          </w:p>
        </w:tc>
        <w:tc>
          <w:tcPr>
            <w:tcW w:w="706" w:type="pct"/>
            <w:vAlign w:val="center"/>
          </w:tcPr>
          <w:p>
            <w:pPr>
              <w:jc w:val="right"/>
            </w:pPr>
            <w:r>
              <w:rPr>
                <w:rFonts w:hint="eastAsia"/>
              </w:rPr>
              <w:t>2,136,202.69</w:t>
            </w:r>
          </w:p>
        </w:tc>
      </w:tr>
      <w:bookmarkEnd w:id="23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9"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868" w:type="pct"/>
          </w:tcPr>
          <w:p>
            <w:pPr>
              <w:ind w:right="73"/>
              <w:jc w:val="right"/>
            </w:pPr>
            <w:r>
              <w:t xml:space="preserve">302,214,389.35 </w:t>
            </w:r>
          </w:p>
        </w:tc>
        <w:tc>
          <w:tcPr>
            <w:tcW w:w="716" w:type="pct"/>
          </w:tcPr>
          <w:p>
            <w:pPr>
              <w:jc w:val="right"/>
            </w:pPr>
          </w:p>
        </w:tc>
        <w:tc>
          <w:tcPr>
            <w:tcW w:w="768" w:type="pct"/>
          </w:tcPr>
          <w:p>
            <w:pPr>
              <w:jc w:val="right"/>
            </w:pPr>
            <w:r>
              <w:t>302,214,389.35</w:t>
            </w:r>
          </w:p>
        </w:tc>
        <w:tc>
          <w:tcPr>
            <w:tcW w:w="1023" w:type="pct"/>
          </w:tcPr>
          <w:p>
            <w:pPr>
              <w:jc w:val="right"/>
            </w:pPr>
            <w:r>
              <w:t>12.79</w:t>
            </w:r>
          </w:p>
        </w:tc>
        <w:tc>
          <w:tcPr>
            <w:tcW w:w="706" w:type="pct"/>
          </w:tcPr>
          <w:p>
            <w:pPr>
              <w:jc w:val="right"/>
            </w:pPr>
            <w:r>
              <w:t>17,025,137.57</w:t>
            </w:r>
          </w:p>
        </w:tc>
      </w:tr>
    </w:tbl>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按欠款方归集的期末余额前五名的应收账款情况的说明"/>
        <w:tag w:val="_GBC_5c27d22f220747b1ae5c245364a28655"/>
        <w:id w:val="565463095"/>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229"/>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rFonts w:hint="eastAsia"/>
          <w:color w:val="000000" w:themeColor="text1"/>
          <w14:textFill>
            <w14:solidFill>
              <w14:schemeClr w14:val="tx1"/>
            </w14:solidFill>
          </w14:textFill>
        </w:rPr>
        <w:alias w:val="是否适用：应收账款其他说明[双击切换]"/>
        <w:tag w:val="_GBC_c06434ba43c5400a80d620a65b730fd9"/>
        <w:id w:val="-1413306838"/>
        <w:placeholder>
          <w:docPart w:val="GBC22222222222222222222222222222"/>
        </w:placeholder>
      </w:sdtPr>
      <w:sdtEndPr>
        <w:rPr>
          <w:rFonts w:hint="eastAsia"/>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pPr>
        <w:pStyle w:val="4"/>
        <w:numPr>
          <w:ilvl w:val="0"/>
          <w:numId w:val="41"/>
        </w:numPr>
        <w:rPr>
          <w:color w:val="000000" w:themeColor="text1"/>
          <w:szCs w:val="21"/>
          <w14:textFill>
            <w14:solidFill>
              <w14:schemeClr w14:val="tx1"/>
            </w14:solidFill>
          </w14:textFill>
        </w:rPr>
      </w:pPr>
      <w:bookmarkStart w:id="232" w:name="_Hlk10470760"/>
      <w:r>
        <w:rPr>
          <w:color w:val="000000" w:themeColor="text1"/>
          <w:szCs w:val="21"/>
          <w14:textFill>
            <w14:solidFill>
              <w14:schemeClr w14:val="tx1"/>
            </w14:solidFill>
          </w14:textFill>
        </w:rPr>
        <w:t>合同资产</w:t>
      </w:r>
    </w:p>
    <w:p>
      <w:pPr>
        <w:pStyle w:val="5"/>
        <w:numPr>
          <w:ilvl w:val="3"/>
          <w:numId w:val="44"/>
        </w:numPr>
        <w:ind w:left="426" w:hanging="426"/>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合同资产情况</w:t>
      </w:r>
    </w:p>
    <w:sdt>
      <w:sdtPr>
        <w:rPr>
          <w:color w:val="000000" w:themeColor="text1"/>
          <w14:textFill>
            <w14:solidFill>
              <w14:schemeClr w14:val="tx1"/>
            </w14:solidFill>
          </w14:textFill>
        </w:rPr>
        <w:alias w:val="是否适用：合同资产情况[双击切换]"/>
        <w:tag w:val="_GBC_d77156d135184e21a21238cac863494c"/>
        <w:id w:val="-33939380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32"/>
    <w:p>
      <w:pPr>
        <w:pStyle w:val="5"/>
        <w:numPr>
          <w:ilvl w:val="3"/>
          <w:numId w:val="44"/>
        </w:numPr>
        <w:ind w:left="426" w:hanging="426"/>
        <w:rPr>
          <w:rFonts w:hint="eastAsia" w:ascii="宋体" w:hAnsi="宋体"/>
          <w:color w:val="000000" w:themeColor="text1"/>
          <w14:textFill>
            <w14:solidFill>
              <w14:schemeClr w14:val="tx1"/>
            </w14:solidFill>
          </w14:textFill>
        </w:rPr>
      </w:pPr>
      <w:bookmarkStart w:id="233" w:name="_Hlk10470932"/>
      <w:bookmarkStart w:id="234" w:name="_Hlk10470942"/>
      <w:r>
        <w:rPr>
          <w:rFonts w:hint="eastAsia" w:ascii="宋体" w:hAnsi="宋体"/>
          <w:color w:val="000000" w:themeColor="text1"/>
          <w14:textFill>
            <w14:solidFill>
              <w14:schemeClr w14:val="tx1"/>
            </w14:solidFill>
          </w14:textFill>
        </w:rPr>
        <w:t>报告期内账面价值发生重大变动的金额和原因</w:t>
      </w:r>
      <w:bookmarkEnd w:id="233"/>
    </w:p>
    <w:sdt>
      <w:sdtPr>
        <w:rPr>
          <w:color w:val="000000" w:themeColor="text1"/>
          <w14:textFill>
            <w14:solidFill>
              <w14:schemeClr w14:val="tx1"/>
            </w14:solidFill>
          </w14:textFill>
        </w:rPr>
        <w:alias w:val="是否适用：合同资产账面价值发生重大变动[双击切换]"/>
        <w:tag w:val="_GBC_4cdeacc1c4f24682b8d7fe35b510e9c1"/>
        <w:id w:val="119064036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34"/>
    <w:p>
      <w:pPr>
        <w:pStyle w:val="5"/>
        <w:numPr>
          <w:ilvl w:val="3"/>
          <w:numId w:val="44"/>
        </w:numPr>
        <w:ind w:left="426" w:hanging="426"/>
        <w:rPr>
          <w:rFonts w:hint="eastAsia" w:ascii="宋体" w:hAnsi="宋体"/>
          <w:color w:val="000000" w:themeColor="text1"/>
          <w14:textFill>
            <w14:solidFill>
              <w14:schemeClr w14:val="tx1"/>
            </w14:solidFill>
          </w14:textFill>
        </w:rPr>
      </w:pPr>
      <w:bookmarkStart w:id="235" w:name="_Hlk153378989"/>
      <w:bookmarkStart w:id="236" w:name="_Hlk167887721"/>
      <w:r>
        <w:rPr>
          <w:rFonts w:hint="eastAsia" w:ascii="宋体" w:hAnsi="宋体"/>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按坏账计提方法分类披露[双击切换]"/>
        <w:tag w:val="_GBC_2da6ba8f38a7432c80d6aa0ccacbb195"/>
        <w:id w:val="188436578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按单项计提坏账准备的详细情况[双击切换]"/>
        <w:tag w:val="_GBC_c0b8b61f599949688a3e43c3f6163421"/>
        <w:id w:val="-99155267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说明[双击切换]"/>
        <w:tag w:val="_GBC_027a4c6e526b4492855a75bfb12d58be"/>
        <w:id w:val="-112345586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按组合计提坏账准备的详细情况[双击切换]"/>
        <w:tag w:val="_GBC_059f7dfd74cd41d4b2b8918cfc3d067f"/>
        <w:id w:val="-1286967498"/>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pPr>
            <w:rPr>
              <w:color w:val="000000" w:themeColor="text1"/>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bookmarkEnd w:id="235"/>
    <w:p>
      <w:pPr>
        <w:rPr>
          <w:rFonts w:cstheme="minorBidi"/>
          <w:bCs w:val="0"/>
          <w:color w:val="000000" w:themeColor="text1"/>
          <w:szCs w:val="22"/>
          <w14:textFill>
            <w14:solidFill>
              <w14:schemeClr w14:val="tx1"/>
            </w14:solidFill>
          </w14:textFill>
        </w:rPr>
      </w:pPr>
      <w:bookmarkStart w:id="237" w:name="_Hlk153379126"/>
      <w:bookmarkStart w:id="238" w:name="_Hlk154135145"/>
      <w:r>
        <w:rPr>
          <w:rFonts w:hint="eastAsia" w:cstheme="minorBidi"/>
          <w:color w:val="000000" w:themeColor="text1"/>
          <w:szCs w:val="22"/>
          <w14:textFill>
            <w14:solidFill>
              <w14:schemeClr w14:val="tx1"/>
            </w14:solidFill>
          </w14:textFill>
        </w:rPr>
        <w:t>按预期信用损失一般模型计提坏账准备</w:t>
      </w:r>
    </w:p>
    <w:sdt>
      <w:sdtPr>
        <w:rPr>
          <w:rFonts w:cstheme="minorBidi"/>
          <w:bCs w:val="0"/>
          <w:color w:val="000000" w:themeColor="text1"/>
          <w:szCs w:val="22"/>
          <w14:textFill>
            <w14:solidFill>
              <w14:schemeClr w14:val="tx1"/>
            </w14:solidFill>
          </w14:textFill>
        </w:rPr>
        <w:alias w:val="是否适用：按预期信用损失一般模型计提坏账准备[双击切换]"/>
        <w:tag w:val="_GBC_9ccc97f60d514bd1ad20e654db46063f"/>
        <w:id w:val="-1270239885"/>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pPr>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各阶段划分依据和坏账准备计提比例"/>
        <w:tag w:val="_GBC_27f65e0b0d264d76ba6ef36044133df3"/>
        <w:id w:val="1995212231"/>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pPr>
        <w:pStyle w:val="36"/>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对本期发生损失准备变动的合同资产账面余额显著变动的情况说明：</w:t>
      </w:r>
    </w:p>
    <w:sdt>
      <w:sdtPr>
        <w:rPr>
          <w:color w:val="000000" w:themeColor="text1"/>
          <w14:textFill>
            <w14:solidFill>
              <w14:schemeClr w14:val="tx1"/>
            </w14:solidFill>
          </w14:textFill>
        </w:rPr>
        <w:alias w:val="是否适用：对本期发生损失准备变动的账面余额显著变动的情况说明[双击切换]"/>
        <w:tag w:val="_GBC_52ea8710f03d45c5bdb89559e11daa51"/>
        <w:id w:val="-2002734860"/>
        <w:placeholder>
          <w:docPart w:val="GBC22222222222222222222222222222"/>
        </w:placeholder>
      </w:sdtPr>
      <w:sdtEndPr>
        <w:rPr>
          <w:color w:val="000000" w:themeColor="text1"/>
          <w14:textFill>
            <w14:solidFill>
              <w14:schemeClr w14:val="tx1"/>
            </w14:solidFill>
          </w14:textFill>
        </w:rPr>
      </w:sdtEndPr>
      <w:sdtContent>
        <w:p>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36"/>
    <w:bookmarkEnd w:id="237"/>
    <w:bookmarkEnd w:id="238"/>
    <w:p>
      <w:pPr>
        <w:pStyle w:val="5"/>
        <w:numPr>
          <w:ilvl w:val="3"/>
          <w:numId w:val="44"/>
        </w:numPr>
        <w:ind w:left="426" w:hanging="426"/>
        <w:rPr>
          <w:rFonts w:hint="eastAsia" w:ascii="宋体" w:hAnsi="宋体"/>
          <w:color w:val="000000" w:themeColor="text1"/>
          <w14:textFill>
            <w14:solidFill>
              <w14:schemeClr w14:val="tx1"/>
            </w14:solidFill>
          </w14:textFill>
        </w:rPr>
      </w:pPr>
      <w:bookmarkStart w:id="239" w:name="_Hlk10470956"/>
      <w:bookmarkStart w:id="240" w:name="_Hlk10470966"/>
      <w:r>
        <w:rPr>
          <w:rFonts w:hint="eastAsia" w:ascii="宋体" w:hAnsi="宋体"/>
          <w:color w:val="000000" w:themeColor="text1"/>
          <w14:textFill>
            <w14:solidFill>
              <w14:schemeClr w14:val="tx1"/>
            </w14:solidFill>
          </w14:textFill>
        </w:rPr>
        <w:t>本期合同资产计提坏账准备情况</w:t>
      </w:r>
      <w:bookmarkEnd w:id="239"/>
    </w:p>
    <w:sdt>
      <w:sdtPr>
        <w:rPr>
          <w:color w:val="000000" w:themeColor="text1"/>
          <w14:textFill>
            <w14:solidFill>
              <w14:schemeClr w14:val="tx1"/>
            </w14:solidFill>
          </w14:textFill>
        </w:rPr>
        <w:alias w:val="是否适用：合同资产减值准备[双击切换]"/>
        <w:tag w:val="_GBC_47f239b7a5d442b0a0a358017de09567"/>
        <w:id w:val="-518701089"/>
        <w:placeholder>
          <w:docPart w:val="GBC22222222222222222222222222222"/>
        </w:placeholder>
      </w:sdtPr>
      <w:sdtEndPr>
        <w:rPr>
          <w:color w:val="000000" w:themeColor="text1"/>
          <w14:textFill>
            <w14:solidFill>
              <w14:schemeClr w14:val="tx1"/>
            </w14:solidFill>
          </w14:textFill>
        </w:rPr>
      </w:sdtEndPr>
      <w:sdtContent>
        <w:p>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40"/>
    <w:p>
      <w:pPr>
        <w:rPr>
          <w:color w:val="000000" w:themeColor="text1"/>
          <w14:textFill>
            <w14:solidFill>
              <w14:schemeClr w14:val="tx1"/>
            </w14:solidFill>
          </w14:textFill>
        </w:rPr>
      </w:pPr>
      <w:bookmarkStart w:id="241" w:name="_Hlk167888739"/>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5a496695d0eb4d6eaee4f7f7f7615f95"/>
        <w:id w:val="-149833760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坏账准备情况的说明"/>
        <w:tag w:val="_GBC_1e07c21bc8844634b0354dd2ff775cf3"/>
        <w:id w:val="-825824739"/>
        <w:placeholder>
          <w:docPart w:val="GBC22222222222222222222222222222"/>
        </w:placeholder>
      </w:sdtPr>
      <w:sdtEndPr>
        <w:rPr>
          <w:color w:val="000000" w:themeColor="text1"/>
          <w14:textFill>
            <w14:solidFill>
              <w14:schemeClr w14:val="tx1"/>
            </w14:solidFill>
          </w14:textFill>
        </w:rPr>
      </w:sdtEndPr>
      <w:sdtContent>
        <w:p>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241"/>
    <w:p>
      <w:pPr>
        <w:pStyle w:val="5"/>
        <w:numPr>
          <w:ilvl w:val="3"/>
          <w:numId w:val="44"/>
        </w:numPr>
        <w:ind w:left="426" w:hanging="426"/>
        <w:rPr>
          <w:rFonts w:hint="eastAsia" w:ascii="宋体" w:hAnsi="宋体"/>
          <w:color w:val="000000" w:themeColor="text1"/>
          <w14:textFill>
            <w14:solidFill>
              <w14:schemeClr w14:val="tx1"/>
            </w14:solidFill>
          </w14:textFill>
        </w:rPr>
      </w:pPr>
      <w:bookmarkStart w:id="242" w:name="_Hlk153379426"/>
      <w:bookmarkStart w:id="243" w:name="_Hlk167888904"/>
      <w:r>
        <w:rPr>
          <w:rFonts w:hint="eastAsia" w:ascii="宋体" w:hAnsi="宋体"/>
          <w:color w:val="000000" w:themeColor="text1"/>
          <w14:textFill>
            <w14:solidFill>
              <w14:schemeClr w14:val="tx1"/>
            </w14:solidFill>
          </w14:textFill>
        </w:rPr>
        <w:t>本期实际核销的合同资产情况</w:t>
      </w:r>
    </w:p>
    <w:sdt>
      <w:sdtPr>
        <w:rPr>
          <w:color w:val="000000" w:themeColor="text1"/>
          <w14:textFill>
            <w14:solidFill>
              <w14:schemeClr w14:val="tx1"/>
            </w14:solidFill>
          </w14:textFill>
        </w:rPr>
        <w:alias w:val="是否适用：实际核销的情况[双击切换]"/>
        <w:tag w:val="_GBC_a2fe224348004dacb76f7686b01b39be"/>
        <w:id w:val="-120409765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其中重要的合同资产核销情况</w:t>
      </w:r>
    </w:p>
    <w:sdt>
      <w:sdtPr>
        <w:rPr>
          <w:rFonts w:hint="eastAsia"/>
          <w:color w:val="000000" w:themeColor="text1"/>
          <w14:textFill>
            <w14:solidFill>
              <w14:schemeClr w14:val="tx1"/>
            </w14:solidFill>
          </w14:textFill>
        </w:rPr>
        <w:alias w:val="是否适用：重要的核销情况[双击切换]"/>
        <w:tag w:val="_GBC_6bcd1c712b36426ab4d08b134810344a"/>
        <w:id w:val="-1219054781"/>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合同资产核销说明：</w:t>
      </w:r>
    </w:p>
    <w:sdt>
      <w:sdtPr>
        <w:rPr>
          <w:color w:val="000000" w:themeColor="text1"/>
          <w14:textFill>
            <w14:solidFill>
              <w14:schemeClr w14:val="tx1"/>
            </w14:solidFill>
          </w14:textFill>
        </w:rPr>
        <w:alias w:val="是否适用：核销说明[双击切换]"/>
        <w:tag w:val="_GBC_63a73902686f443c9c4dcd3cd18e6da4"/>
        <w:id w:val="1871727156"/>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42"/>
    <w:bookmarkEnd w:id="243"/>
    <w:p>
      <w:pPr>
        <w:rPr>
          <w:color w:val="000000" w:themeColor="text1"/>
          <w14:textFill>
            <w14:solidFill>
              <w14:schemeClr w14:val="tx1"/>
            </w14:solidFill>
          </w14:textFill>
        </w:rPr>
      </w:pPr>
      <w:bookmarkStart w:id="244" w:name="_Hlk10471002"/>
      <w:bookmarkStart w:id="245" w:name="_Hlk10471011"/>
      <w:r>
        <w:rPr>
          <w:rFonts w:hint="eastAsia"/>
          <w:color w:val="000000" w:themeColor="text1"/>
          <w14:textFill>
            <w14:solidFill>
              <w14:schemeClr w14:val="tx1"/>
            </w14:solidFill>
          </w14:textFill>
        </w:rPr>
        <w:t>其他说明：</w:t>
      </w:r>
      <w:bookmarkEnd w:id="244"/>
    </w:p>
    <w:sdt>
      <w:sdtPr>
        <w:rPr>
          <w:color w:val="000000" w:themeColor="text1"/>
          <w14:textFill>
            <w14:solidFill>
              <w14:schemeClr w14:val="tx1"/>
            </w14:solidFill>
          </w14:textFill>
        </w:rPr>
        <w:alias w:val="是否适用：合同资产其他说明[双击切换]"/>
        <w:tag w:val="_GBC_06cd3c0f93454d76bd0c7e20322e8a49"/>
        <w:id w:val="424831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45"/>
    <w:p>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pPr>
        <w:pStyle w:val="4"/>
        <w:numPr>
          <w:ilvl w:val="0"/>
          <w:numId w:val="41"/>
        </w:numPr>
        <w:rPr>
          <w:color w:val="000000" w:themeColor="text1"/>
          <w:szCs w:val="21"/>
          <w14:textFill>
            <w14:solidFill>
              <w14:schemeClr w14:val="tx1"/>
            </w14:solidFill>
          </w14:textFill>
        </w:rPr>
      </w:pPr>
      <w:bookmarkStart w:id="246" w:name="_Hlk24102175"/>
      <w:bookmarkStart w:id="247" w:name="_Hlk167889313"/>
      <w:r>
        <w:rPr>
          <w:color w:val="000000" w:themeColor="text1"/>
          <w:szCs w:val="21"/>
          <w14:textFill>
            <w14:solidFill>
              <w14:schemeClr w14:val="tx1"/>
            </w14:solidFill>
          </w14:textFill>
        </w:rPr>
        <w:t>应收款项融资</w:t>
      </w:r>
    </w:p>
    <w:p>
      <w:pPr>
        <w:pStyle w:val="5"/>
        <w:numPr>
          <w:ilvl w:val="0"/>
          <w:numId w:val="45"/>
        </w:numPr>
        <w:tabs>
          <w:tab w:val="left" w:pos="360"/>
        </w:tabs>
        <w:ind w:left="0" w:firstLine="0"/>
      </w:pPr>
      <w:r>
        <w:rPr>
          <w:rFonts w:hint="eastAsia"/>
        </w:rPr>
        <w:t>应收款项</w:t>
      </w:r>
      <w:r>
        <w:rPr>
          <w:rFonts w:hint="eastAsia"/>
          <w:color w:val="000000" w:themeColor="text1"/>
          <w14:textFill>
            <w14:solidFill>
              <w14:schemeClr w14:val="tx1"/>
            </w14:solidFill>
          </w14:textFill>
        </w:rPr>
        <w:t>融资</w:t>
      </w:r>
      <w:r>
        <w:rPr>
          <w:rFonts w:hint="eastAsia"/>
        </w:rPr>
        <w:t>分类列示</w:t>
      </w:r>
    </w:p>
    <w:sdt>
      <w:sdtPr>
        <w:rPr>
          <w:color w:val="000000" w:themeColor="text1"/>
          <w14:textFill>
            <w14:solidFill>
              <w14:schemeClr w14:val="tx1"/>
            </w14:solidFill>
          </w14:textFill>
        </w:rPr>
        <w:alias w:val="是否适用：应收款项融资[双击切换]"/>
        <w:tag w:val="_GBC_ef490af2ae9646548061648e78d3873a"/>
        <w:id w:val="-121827835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应收款项融资"/>
          <w:tag w:val="_GBC_7cda8ff350bd4c7eba83f28198343ec1"/>
          <w:id w:val="38824201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应收款项融资"/>
          <w:tag w:val="_GBC_a63c9a5583bd46debcf8ddc8f5c8b5c5"/>
          <w:id w:val="-109646977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52"/>
        <w:gridCol w:w="4511"/>
        <w:gridCol w:w="4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7a5cb5b46ad4341aab7ca7400bbb71f"/>
            <w:id w:val="441587066"/>
          </w:sdtPr>
          <w:sdtContent>
            <w:tc>
              <w:tcPr>
                <w:tcW w:w="1793" w:type="pct"/>
                <w:vAlign w:val="center"/>
              </w:tcPr>
              <w:p>
                <w:pPr>
                  <w:jc w:val="center"/>
                  <w:rPr>
                    <w:color w:val="000000" w:themeColor="text1"/>
                    <w14:textFill>
                      <w14:solidFill>
                        <w14:schemeClr w14:val="tx1"/>
                      </w14:solidFill>
                    </w14:textFill>
                  </w:rPr>
                </w:pPr>
                <w:bookmarkStart w:id="248" w:name="_Hlk12969247"/>
                <w:bookmarkStart w:id="249" w:name="_Hlk13057555"/>
                <w:r>
                  <w:rPr>
                    <w:rFonts w:hint="eastAsia"/>
                    <w:color w:val="000000" w:themeColor="text1"/>
                    <w14:textFill>
                      <w14:solidFill>
                        <w14:schemeClr w14:val="tx1"/>
                      </w14:solidFill>
                    </w14:textFill>
                  </w:rPr>
                  <w:t>项目</w:t>
                </w:r>
              </w:p>
            </w:tc>
          </w:sdtContent>
        </w:sdt>
        <w:sdt>
          <w:sdtPr>
            <w:tag w:val="_PLD_22382bb64684420586d7f6150fc2ba41"/>
            <w:id w:val="983818938"/>
          </w:sdtPr>
          <w:sdtContent>
            <w:tc>
              <w:tcPr>
                <w:tcW w:w="1601"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ea864dd29d6649ad84845cfd97103d69"/>
            <w:id w:val="1715768017"/>
          </w:sdtPr>
          <w:sdtContent>
            <w:tc>
              <w:tcPr>
                <w:tcW w:w="1606"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pct"/>
          </w:tcPr>
          <w:p>
            <w:pPr>
              <w:autoSpaceDE w:val="0"/>
              <w:autoSpaceDN w:val="0"/>
              <w:adjustRightInd w:val="0"/>
            </w:pPr>
            <w:r>
              <w:rPr>
                <w:rFonts w:hint="eastAsia"/>
              </w:rPr>
              <w:t>银行承兑汇票</w:t>
            </w:r>
          </w:p>
        </w:tc>
        <w:tc>
          <w:tcPr>
            <w:tcW w:w="1601" w:type="pct"/>
          </w:tcPr>
          <w:p>
            <w:pPr>
              <w:jc w:val="right"/>
            </w:pPr>
            <w:r>
              <w:t xml:space="preserve"> 28,779,709.63 </w:t>
            </w:r>
          </w:p>
        </w:tc>
        <w:tc>
          <w:tcPr>
            <w:tcW w:w="1606" w:type="pct"/>
          </w:tcPr>
          <w:p>
            <w:pPr>
              <w:jc w:val="right"/>
            </w:pPr>
            <w:r>
              <w:t xml:space="preserve"> 32,442,376.14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pct"/>
          </w:tcPr>
          <w:p>
            <w:pPr>
              <w:autoSpaceDE w:val="0"/>
              <w:autoSpaceDN w:val="0"/>
              <w:adjustRightInd w:val="0"/>
            </w:pPr>
            <w:r>
              <w:rPr>
                <w:rFonts w:hint="eastAsia"/>
              </w:rPr>
              <w:t>供应链金融电子债权凭证</w:t>
            </w:r>
          </w:p>
        </w:tc>
        <w:tc>
          <w:tcPr>
            <w:tcW w:w="1601" w:type="pct"/>
          </w:tcPr>
          <w:p>
            <w:pPr>
              <w:jc w:val="right"/>
            </w:pPr>
            <w:r>
              <w:t xml:space="preserve"> 5,341,448.14 </w:t>
            </w:r>
          </w:p>
        </w:tc>
        <w:tc>
          <w:tcPr>
            <w:tcW w:w="1606" w:type="pct"/>
          </w:tcPr>
          <w:p>
            <w:pPr>
              <w:jc w:val="right"/>
            </w:pPr>
            <w:r>
              <w:t xml:space="preserve"> 4,991,147.96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01" w:type="pct"/>
          </w:tcPr>
          <w:p>
            <w:pPr>
              <w:jc w:val="right"/>
            </w:pPr>
            <w:r>
              <w:t xml:space="preserve"> 34,121,157.77 </w:t>
            </w:r>
          </w:p>
        </w:tc>
        <w:tc>
          <w:tcPr>
            <w:tcW w:w="1606" w:type="pct"/>
          </w:tcPr>
          <w:p>
            <w:pPr>
              <w:jc w:val="right"/>
            </w:pPr>
            <w:r>
              <w:t xml:space="preserve"> 37,433,524.10 </w:t>
            </w:r>
          </w:p>
        </w:tc>
      </w:tr>
    </w:tbl>
    <w:p>
      <w:pPr>
        <w:pStyle w:val="5"/>
        <w:numPr>
          <w:ilvl w:val="0"/>
          <w:numId w:val="45"/>
        </w:numPr>
        <w:tabs>
          <w:tab w:val="left" w:pos="360"/>
        </w:tabs>
        <w:ind w:left="0" w:firstLine="0"/>
      </w:pPr>
      <w:r>
        <w:rPr>
          <w:rFonts w:hint="eastAsia"/>
        </w:rPr>
        <w:t>期末公司已质押的应收款项融资</w:t>
      </w:r>
    </w:p>
    <w:sdt>
      <w:sdtPr>
        <w:rPr>
          <w:color w:val="000000" w:themeColor="text1"/>
          <w14:textFill>
            <w14:solidFill>
              <w14:schemeClr w14:val="tx1"/>
            </w14:solidFill>
          </w14:textFill>
        </w:rPr>
        <w:alias w:val="是否适用：期末公司已质押的应收款项融资[双击切换]"/>
        <w:tag w:val="_GBC_be6effae9a0c46449ee5beec6506abc0"/>
        <w:id w:val="-49333237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45"/>
        </w:numPr>
        <w:tabs>
          <w:tab w:val="left" w:pos="360"/>
        </w:tabs>
        <w:ind w:left="0" w:firstLine="0"/>
      </w:pPr>
      <w:r>
        <w:rPr>
          <w:rFonts w:hint="eastAsia"/>
        </w:rPr>
        <w:t>期末公司已背书或贴现且在资产负债表日尚未到期的应收款项融资</w:t>
      </w:r>
    </w:p>
    <w:sdt>
      <w:sdtPr>
        <w:rPr>
          <w:color w:val="000000" w:themeColor="text1"/>
          <w14:textFill>
            <w14:solidFill>
              <w14:schemeClr w14:val="tx1"/>
            </w14:solidFill>
          </w14:textFill>
        </w:rPr>
        <w:alias w:val="是否适用：期末公司已背书或贴现且在资产负债表日尚未到期的应收款项融资[双击切换]"/>
        <w:tag w:val="_GBC_5aba7034811c436e8fdb090306fae25a"/>
        <w:id w:val="118539638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期末公司已背书或贴现且在资产负债表日尚未到期的应收款项融资"/>
          <w:tag w:val="_GBC_5629d3c7de2b430d964f79cd2922bbdd"/>
          <w:id w:val="69928317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期末公司已背书或贴现且在资产负债表日尚未到期的应收款项融资"/>
          <w:tag w:val="_GBC_842647628955436292dcb5dbd82fc82a"/>
          <w:id w:val="-28967532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0"/>
        <w:gridCol w:w="4748"/>
        <w:gridCol w:w="4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1ee0c7055824e0a8c4e9342c43c1998"/>
            <w:id w:val="548737141"/>
          </w:sdtPr>
          <w:sdtContent>
            <w:tc>
              <w:tcPr>
                <w:tcW w:w="159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e215b5b595d4f9087594da41584b53d"/>
            <w:id w:val="-1591145403"/>
          </w:sdtPr>
          <w:sdtContent>
            <w:tc>
              <w:tcPr>
                <w:tcW w:w="168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期末终止确认金额</w:t>
                </w:r>
              </w:p>
            </w:tc>
          </w:sdtContent>
        </w:sdt>
        <w:sdt>
          <w:sdtPr>
            <w:tag w:val="_PLD_a58273833d134754b8f63be5a98d3b7b"/>
            <w:id w:val="32780501"/>
          </w:sdtPr>
          <w:sdtContent>
            <w:tc>
              <w:tcPr>
                <w:tcW w:w="172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期末未终止确认金额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tcPr>
          <w:p>
            <w:pPr>
              <w:pStyle w:val="48"/>
            </w:pPr>
            <w:r>
              <w:rPr>
                <w:rFonts w:hint="eastAsia"/>
              </w:rPr>
              <w:t>银行承兑汇票</w:t>
            </w:r>
          </w:p>
        </w:tc>
        <w:tc>
          <w:tcPr>
            <w:tcW w:w="1685" w:type="pct"/>
          </w:tcPr>
          <w:p>
            <w:pPr>
              <w:jc w:val="right"/>
            </w:pPr>
            <w:r>
              <w:t xml:space="preserve"> 320,394,160.76 </w:t>
            </w:r>
          </w:p>
        </w:tc>
        <w:tc>
          <w:tcPr>
            <w:tcW w:w="1725"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tcPr>
          <w:p>
            <w:pPr>
              <w:pStyle w:val="48"/>
            </w:pPr>
            <w:r>
              <w:rPr>
                <w:rFonts w:hint="eastAsia"/>
              </w:rPr>
              <w:t>供应链金融电子债权凭证</w:t>
            </w:r>
          </w:p>
        </w:tc>
        <w:tc>
          <w:tcPr>
            <w:tcW w:w="1685" w:type="pct"/>
          </w:tcPr>
          <w:p>
            <w:pPr>
              <w:jc w:val="right"/>
            </w:pPr>
            <w:r>
              <w:t xml:space="preserve"> 38,548,025.72 </w:t>
            </w:r>
          </w:p>
        </w:tc>
        <w:tc>
          <w:tcPr>
            <w:tcW w:w="1725"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85" w:type="pct"/>
          </w:tcPr>
          <w:p>
            <w:pPr>
              <w:jc w:val="right"/>
            </w:pPr>
            <w:r>
              <w:t xml:space="preserve"> 358,942,186.48 </w:t>
            </w:r>
          </w:p>
        </w:tc>
        <w:tc>
          <w:tcPr>
            <w:tcW w:w="1725" w:type="pct"/>
          </w:tcPr>
          <w:p>
            <w:pPr>
              <w:jc w:val="right"/>
            </w:pPr>
          </w:p>
        </w:tc>
      </w:tr>
    </w:tbl>
    <w:p>
      <w:pPr>
        <w:rPr>
          <w:color w:val="000000" w:themeColor="text1"/>
          <w14:textFill>
            <w14:solidFill>
              <w14:schemeClr w14:val="tx1"/>
            </w14:solidFill>
          </w14:textFill>
        </w:rPr>
      </w:pPr>
    </w:p>
    <w:p>
      <w:pPr>
        <w:pStyle w:val="5"/>
        <w:numPr>
          <w:ilvl w:val="0"/>
          <w:numId w:val="45"/>
        </w:numPr>
        <w:tabs>
          <w:tab w:val="left" w:pos="360"/>
        </w:tabs>
        <w:ind w:left="0" w:firstLine="0"/>
      </w:pPr>
      <w:r>
        <w:rPr>
          <w:rFonts w:hint="eastAsia"/>
        </w:rPr>
        <w:t>按坏账计提方法分类披露</w:t>
      </w:r>
    </w:p>
    <w:sdt>
      <w:sdtPr>
        <w:rPr>
          <w:color w:val="000000" w:themeColor="text1"/>
          <w14:textFill>
            <w14:solidFill>
              <w14:schemeClr w14:val="tx1"/>
            </w14:solidFill>
          </w14:textFill>
        </w:rPr>
        <w:alias w:val="是否适用：按坏账计提方法分类披露[双击切换]"/>
        <w:tag w:val="_GBC_405ca68f760443499c1bd1a1fa1e9e7d"/>
        <w:id w:val="-124510512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autoSpaceDE w:val="0"/>
        <w:autoSpaceDN w:val="0"/>
        <w:adjustRightInd w:val="0"/>
        <w:ind w:left="425" w:right="105"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按坏账计提方法分类披露"/>
          <w:tag w:val="_GBC_9f69d0c8249e4b2c8278a4e70e780347"/>
          <w:id w:val="-120317552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按坏账计提方法分类披露"/>
          <w:tag w:val="_GBC_fe7cf8f65c4a417fa30d2a0b1bda0867"/>
          <w:id w:val="-68144338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7"/>
        <w:gridCol w:w="1424"/>
        <w:gridCol w:w="908"/>
        <w:gridCol w:w="1161"/>
        <w:gridCol w:w="1154"/>
        <w:gridCol w:w="1424"/>
        <w:gridCol w:w="1424"/>
        <w:gridCol w:w="908"/>
        <w:gridCol w:w="1161"/>
        <w:gridCol w:w="1154"/>
        <w:gridCol w:w="1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sdt>
          <w:sdtPr>
            <w:tag w:val="_PLD_afc6122750c74a4a8117ff067542864d"/>
            <w:id w:val="1516806551"/>
          </w:sdtPr>
          <w:sdtContent>
            <w:tc>
              <w:tcPr>
                <w:tcW w:w="0" w:type="auto"/>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sdtContent>
        </w:sdt>
        <w:sdt>
          <w:sdtPr>
            <w:tag w:val="_PLD_8d348d82b79742e3a1beed09474847b8"/>
            <w:id w:val="1846662193"/>
          </w:sdtPr>
          <w:sdtContent>
            <w:tc>
              <w:tcPr>
                <w:tcW w:w="0" w:type="auto"/>
                <w:gridSpan w:val="5"/>
                <w:tcBorders>
                  <w:top w:val="single" w:color="auto" w:sz="4" w:space="0"/>
                  <w:left w:val="single" w:color="auto" w:sz="4" w:space="0"/>
                  <w:right w:val="single" w:color="auto" w:sz="4" w:space="0"/>
                </w:tcBorders>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5a7985e7bb214c1382175298b409ab82"/>
            <w:id w:val="-774256147"/>
          </w:sdtPr>
          <w:sdtContent>
            <w:tc>
              <w:tcPr>
                <w:tcW w:w="0" w:type="auto"/>
                <w:gridSpan w:val="5"/>
                <w:tcBorders>
                  <w:top w:val="single" w:color="auto" w:sz="4" w:space="0"/>
                  <w:left w:val="single" w:color="auto" w:sz="4" w:space="0"/>
                  <w:right w:val="single" w:color="auto" w:sz="4" w:space="0"/>
                </w:tcBorders>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0" w:type="auto"/>
            <w:vMerge w:val="continue"/>
            <w:tcBorders>
              <w:left w:val="single" w:color="auto" w:sz="4" w:space="0"/>
              <w:right w:val="single" w:color="auto" w:sz="4" w:space="0"/>
            </w:tcBorders>
            <w:vAlign w:val="center"/>
          </w:tcPr>
          <w:p>
            <w:pPr>
              <w:rPr>
                <w:color w:val="000000" w:themeColor="text1"/>
                <w14:textFill>
                  <w14:solidFill>
                    <w14:schemeClr w14:val="tx1"/>
                  </w14:solidFill>
                </w14:textFill>
              </w:rPr>
            </w:pPr>
          </w:p>
        </w:tc>
        <w:sdt>
          <w:sdtPr>
            <w:tag w:val="_PLD_33957afafd6e4c78935ecdc01c6fd4a3"/>
            <w:id w:val="-506057381"/>
          </w:sdtPr>
          <w:sdtContent>
            <w:tc>
              <w:tcPr>
                <w:tcW w:w="0" w:type="auto"/>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02b8d4e96b1e4b86b23c730ac1de8231"/>
            <w:id w:val="1004097542"/>
          </w:sdtPr>
          <w:sdtContent>
            <w:tc>
              <w:tcPr>
                <w:tcW w:w="0" w:type="auto"/>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4c4d5f8d41874515a185b16534d14f49"/>
            <w:id w:val="1092750422"/>
          </w:sdtPr>
          <w:sdtContent>
            <w:tc>
              <w:tcPr>
                <w:tcW w:w="0" w:type="auto"/>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sdt>
          <w:sdtPr>
            <w:tag w:val="_PLD_3ec60523afa948cba0ceb8404106dbc7"/>
            <w:id w:val="-2079652543"/>
          </w:sdtPr>
          <w:sdtContent>
            <w:tc>
              <w:tcPr>
                <w:tcW w:w="0" w:type="auto"/>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730fcc4fa8de48cfa2ce9d1237a39e4b"/>
            <w:id w:val="-728311864"/>
          </w:sdtPr>
          <w:sdtContent>
            <w:tc>
              <w:tcPr>
                <w:tcW w:w="0" w:type="auto"/>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c09c2414dd8946b58d2ac98b4f54fcba"/>
            <w:id w:val="1831799777"/>
          </w:sdtPr>
          <w:sdtContent>
            <w:tc>
              <w:tcPr>
                <w:tcW w:w="0" w:type="auto"/>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0" w:type="auto"/>
            <w:vMerge w:val="continue"/>
            <w:tcBorders>
              <w:left w:val="single" w:color="auto" w:sz="4" w:space="0"/>
              <w:bottom w:val="single" w:color="auto" w:sz="4" w:space="0"/>
              <w:right w:val="single" w:color="auto" w:sz="4" w:space="0"/>
            </w:tcBorders>
            <w:vAlign w:val="center"/>
          </w:tcPr>
          <w:p>
            <w:pPr>
              <w:rPr>
                <w:color w:val="000000" w:themeColor="text1"/>
                <w14:textFill>
                  <w14:solidFill>
                    <w14:schemeClr w14:val="tx1"/>
                  </w14:solidFill>
                </w14:textFill>
              </w:rPr>
            </w:pPr>
          </w:p>
        </w:tc>
        <w:sdt>
          <w:sdtPr>
            <w:tag w:val="_PLD_cf02385b9edd4f9092c58b53397050ca"/>
            <w:id w:val="121350839"/>
          </w:sdtPr>
          <w:sdtContent>
            <w:tc>
              <w:tcPr>
                <w:tcW w:w="0" w:type="auto"/>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69e455e411e4404d95e7d6ca4ad66fc0"/>
            <w:id w:val="-2071175500"/>
          </w:sdtPr>
          <w:sdtContent>
            <w:tc>
              <w:tcPr>
                <w:tcW w:w="0" w:type="auto"/>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9c94fe32a1b24e3696cf5acf8740e42d"/>
            <w:id w:val="1793551621"/>
          </w:sdtPr>
          <w:sdtContent>
            <w:tc>
              <w:tcPr>
                <w:tcW w:w="0" w:type="auto"/>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b8b01992765645ed98274f40b2920d16"/>
            <w:id w:val="-1085992371"/>
          </w:sdtPr>
          <w:sdtContent>
            <w:tc>
              <w:tcPr>
                <w:tcW w:w="0" w:type="auto"/>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0" w:type="auto"/>
            <w:vMerge w:val="continue"/>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sdt>
          <w:sdtPr>
            <w:tag w:val="_PLD_2780b50fec7f4a369e2e2c5559b5df81"/>
            <w:id w:val="1931383870"/>
          </w:sdtPr>
          <w:sdtContent>
            <w:tc>
              <w:tcPr>
                <w:tcW w:w="0" w:type="auto"/>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1d1994b5339b478e89c5a437bc3cdacc"/>
            <w:id w:val="2021576975"/>
          </w:sdtPr>
          <w:sdtContent>
            <w:tc>
              <w:tcPr>
                <w:tcW w:w="0" w:type="auto"/>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c75ffe4e6f2f483ba18a1afb2bfc443c"/>
            <w:id w:val="-1536654425"/>
          </w:sdtPr>
          <w:sdtContent>
            <w:tc>
              <w:tcPr>
                <w:tcW w:w="0" w:type="auto"/>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91788d5458b04774af651219e9dcc425"/>
            <w:id w:val="101853881"/>
          </w:sdtPr>
          <w:sdtContent>
            <w:tc>
              <w:tcPr>
                <w:tcW w:w="0" w:type="auto"/>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0" w:type="auto"/>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pStyle w:val="48"/>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11"/>
            <w:tcBorders>
              <w:top w:val="single" w:color="auto" w:sz="4" w:space="0"/>
              <w:left w:val="single" w:color="auto" w:sz="4" w:space="0"/>
              <w:bottom w:val="single" w:color="auto" w:sz="4" w:space="0"/>
              <w:right w:val="single" w:color="auto" w:sz="4" w:space="0"/>
            </w:tcBorders>
          </w:tcPr>
          <w:sdt>
            <w:sdtPr>
              <w:tag w:val="_PLD_002d76a794bc48ae9520df0feebbb6ac"/>
              <w:id w:val="1104312103"/>
            </w:sdt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34,444,237.18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100.00</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323,079.41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0.94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34,121,157.77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37,930,037.09</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100.00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496,512.99</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1.31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37,433,524.10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gridSpan w:val="11"/>
            <w:tcBorders>
              <w:top w:val="single" w:color="auto" w:sz="4" w:space="0"/>
              <w:left w:val="single" w:color="auto" w:sz="4" w:space="0"/>
              <w:bottom w:val="single" w:color="auto" w:sz="4" w:space="0"/>
              <w:right w:val="single" w:color="auto" w:sz="4" w:space="0"/>
            </w:tcBorders>
          </w:tcPr>
          <w:sdt>
            <w:sdtPr>
              <w:tag w:val="_PLD_99254941c87b4aef96d5280757eecac3"/>
              <w:id w:val="1811281381"/>
            </w:sdt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color w:val="000000" w:themeColor="text1"/>
              <w14:textFill>
                <w14:solidFill>
                  <w14:schemeClr w14:val="tx1"/>
                </w14:solidFill>
              </w14:textFill>
            </w:rPr>
            <w:alias w:val="按组合计提坏账准备的明细-类别"/>
            <w:tag w:val="_GBC_e4caba41e5e342bb871455bd3a15bb2f"/>
            <w:id w:val="-1038433616"/>
          </w:sdtPr>
          <w:sdtEndPr>
            <w:rPr>
              <w:color w:val="auto"/>
            </w:rPr>
          </w:sdtEndPr>
          <w:sdtContent>
            <w:tc>
              <w:tcPr>
                <w:tcW w:w="0" w:type="auto"/>
                <w:tcBorders>
                  <w:top w:val="single" w:color="auto" w:sz="4" w:space="0"/>
                  <w:left w:val="single" w:color="auto" w:sz="4" w:space="0"/>
                  <w:bottom w:val="single" w:color="auto" w:sz="4" w:space="0"/>
                  <w:right w:val="single" w:color="auto" w:sz="4" w:space="0"/>
                </w:tcBorders>
              </w:tcPr>
              <w:p>
                <w:pPr>
                  <w:jc w:val="both"/>
                </w:pPr>
                <w:r>
                  <w:rPr>
                    <w:color w:val="000000" w:themeColor="text1"/>
                    <w14:textFill>
                      <w14:solidFill>
                        <w14:schemeClr w14:val="tx1"/>
                      </w14:solidFill>
                    </w14:textFill>
                  </w:rPr>
                  <w:t>银行承兑汇票</w:t>
                </w:r>
              </w:p>
            </w:tc>
          </w:sdtContent>
        </w:sdt>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28,779,709.63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83.55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28,779,709.63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32,442,376.14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85.53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w:t>
            </w:r>
          </w:p>
        </w:tc>
        <w:tc>
          <w:tcPr>
            <w:tcW w:w="0" w:type="auto"/>
            <w:vAlign w:val="center"/>
          </w:tcPr>
          <w:p>
            <w:pPr>
              <w:jc w:val="right"/>
            </w:pPr>
            <w:r>
              <w:t xml:space="preserve">32,442,376.14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color w:val="000000" w:themeColor="text1"/>
              <w14:textFill>
                <w14:solidFill>
                  <w14:schemeClr w14:val="tx1"/>
                </w14:solidFill>
              </w14:textFill>
            </w:rPr>
            <w:alias w:val="按组合计提坏账准备的明细-类别"/>
            <w:tag w:val="_GBC_e4caba41e5e342bb871455bd3a15bb2f"/>
            <w:id w:val="1357084886"/>
          </w:sdtPr>
          <w:sdtEndPr>
            <w:rPr>
              <w:color w:val="000000" w:themeColor="text1"/>
              <w14:textFill>
                <w14:solidFill>
                  <w14:schemeClr w14:val="tx1"/>
                </w14:solidFill>
              </w14:textFill>
            </w:rPr>
          </w:sdtEndPr>
          <w:sdtContent>
            <w:tc>
              <w:tcPr>
                <w:tcW w:w="0" w:type="auto"/>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color w:val="000000" w:themeColor="text1"/>
                    <w14:textFill>
                      <w14:solidFill>
                        <w14:schemeClr w14:val="tx1"/>
                      </w14:solidFill>
                    </w14:textFill>
                  </w:rPr>
                  <w:t>供应链金融电子债权凭证</w:t>
                </w:r>
              </w:p>
            </w:tc>
          </w:sdtContent>
        </w:sdt>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5,664,527.55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16.45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323,079.41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5.70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5,341,448.14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5,487,660.95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14.47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496,512.99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9.05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4,991,147.96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34,444,237.18 </w:t>
            </w:r>
          </w:p>
        </w:tc>
        <w:tc>
          <w:tcPr>
            <w:tcW w:w="0" w:type="auto"/>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100.00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323,079.41 </w:t>
            </w:r>
          </w:p>
        </w:tc>
        <w:tc>
          <w:tcPr>
            <w:tcW w:w="0" w:type="auto"/>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0.94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34,121,157.77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37,930,037.09</w:t>
            </w:r>
          </w:p>
        </w:tc>
        <w:tc>
          <w:tcPr>
            <w:tcW w:w="0" w:type="auto"/>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100.00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496,512.99 </w:t>
            </w:r>
          </w:p>
        </w:tc>
        <w:tc>
          <w:tcPr>
            <w:tcW w:w="0" w:type="auto"/>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1.31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37,433,524.10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按单项计提坏账准备的详细情况[双击切换]"/>
        <w:tag w:val="_GBC_70906d84159d4210b15e17fb2293500d"/>
        <w:id w:val="-12393270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说明[双击切换]"/>
        <w:tag w:val="_GBC_f71cdd4ebdc046418cd6f9214346df97"/>
        <w:id w:val="113506754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按组合计提坏账准备的详细情况[双击切换]"/>
        <w:tag w:val="_GBC_02191f78423f4f4ca97cd31179bf21d5"/>
        <w:id w:val="674922597"/>
        <w:lock w:val="contentLocked"/>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pPr>
            <w:rPr>
              <w:rFonts w:ascii="Calibri" w:hAnsi="Calibri" w:cs="Times New Roman"/>
              <w:bCs w:val="0"/>
              <w:color w:val="000000" w:themeColor="text1"/>
              <w:szCs w:val="22"/>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p>
      <w:pPr>
        <w:rPr>
          <w:rFonts w:ascii="Calibri" w:hAnsi="Calibri" w:cs="Times New Roman"/>
          <w:bCs w:val="0"/>
          <w:color w:val="000000" w:themeColor="text1"/>
          <w:szCs w:val="22"/>
          <w14:textFill>
            <w14:solidFill>
              <w14:schemeClr w14:val="tx1"/>
            </w14:solidFill>
          </w14:textFill>
        </w:rPr>
      </w:pPr>
      <w:r>
        <w:rPr>
          <w:rFonts w:hint="eastAsia"/>
          <w:color w:val="000000" w:themeColor="text1"/>
          <w14:textFill>
            <w14:solidFill>
              <w14:schemeClr w14:val="tx1"/>
            </w14:solidFill>
          </w14:textFill>
        </w:rPr>
        <w:t>组合计提项目</w:t>
      </w:r>
      <w:r>
        <w:rPr>
          <w:rFonts w:hint="eastAsia" w:ascii="Calibri" w:hAnsi="Calibri" w:cs="Times New Roman"/>
          <w:color w:val="000000" w:themeColor="text1"/>
          <w:szCs w:val="22"/>
          <w14:textFill>
            <w14:solidFill>
              <w14:schemeClr w14:val="tx1"/>
            </w14:solidFill>
          </w14:textFill>
        </w:rPr>
        <w:t>：</w:t>
      </w:r>
      <w:sdt>
        <w:sdtPr>
          <w:rPr>
            <w:rFonts w:ascii="Calibri" w:hAnsi="Calibri" w:cs="Times New Roman"/>
            <w:bCs w:val="0"/>
            <w:color w:val="000000" w:themeColor="text1"/>
            <w:szCs w:val="22"/>
            <w14:textFill>
              <w14:solidFill>
                <w14:schemeClr w14:val="tx1"/>
              </w14:solidFill>
            </w14:textFill>
          </w:rPr>
          <w:alias w:val="按组合计提坏账准备的明细-类别"/>
          <w:tag w:val="_GBC_598cd6118928494496c5466b6c35d92f"/>
          <w:id w:val="-234635171"/>
          <w:placeholder>
            <w:docPart w:val="GBC22222222222222222222222222222"/>
          </w:placeholder>
          <w:comboBox>
            <w:listItem w:displayText="供应链金融电子债权凭证" w:value="供应链金融电子债权凭证"/>
            <w:listItem w:displayText="银行承兑汇票" w:value="银行承兑汇票"/>
          </w:comboBox>
        </w:sdtPr>
        <w:sdtEndPr>
          <w:rPr>
            <w:rFonts w:ascii="Calibri" w:hAnsi="Calibri" w:cs="Times New Roman"/>
            <w:bCs w:val="0"/>
            <w:color w:val="000000" w:themeColor="text1"/>
            <w:szCs w:val="22"/>
            <w14:textFill>
              <w14:solidFill>
                <w14:schemeClr w14:val="tx1"/>
              </w14:solidFill>
            </w14:textFill>
          </w:rPr>
        </w:sdtEndPr>
        <w:sdtContent>
          <w:r>
            <w:rPr>
              <w:rFonts w:ascii="Calibri" w:hAnsi="Calibri" w:cs="Times New Roman"/>
              <w:bCs w:val="0"/>
              <w:color w:val="000000" w:themeColor="text1"/>
              <w:szCs w:val="22"/>
              <w14:textFill>
                <w14:solidFill>
                  <w14:schemeClr w14:val="tx1"/>
                </w14:solidFill>
              </w14:textFill>
            </w:rPr>
            <w:t>银行承兑汇票组合、供应链金融电子债权凭证组合</w:t>
          </w:r>
        </w:sdtContent>
      </w:sdt>
    </w:p>
    <w:p>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组合计提坏账准备的详细名称"/>
          <w:tag w:val="_GBC_c00af189ef0f4ce390f3a585228bcce1"/>
          <w:id w:val="474189264"/>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组合计提坏账准备的详细名称"/>
          <w:tag w:val="_GBC_b1b76cd7d41e45d1ad9b3fec05025621"/>
          <w:id w:val="-81880885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r>
        <w:rPr>
          <w:color w:val="000000" w:themeColor="text1"/>
          <w14:textFill>
            <w14:solidFill>
              <w14:schemeClr w14:val="tx1"/>
            </w14:solidFill>
          </w14:textFill>
        </w:rPr>
        <w:t xml:space="preserve"> </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3"/>
        <w:gridCol w:w="3596"/>
        <w:gridCol w:w="366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6eabaf873fa4c159a85e48001393d30"/>
            <w:id w:val="-2141265053"/>
          </w:sdtPr>
          <w:sdtContent>
            <w:tc>
              <w:tcPr>
                <w:tcW w:w="1158"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f85ecb3059a1497990b8f0d5c01b3d6a"/>
            <w:id w:val="-1410844477"/>
          </w:sdtPr>
          <w:sdtContent>
            <w:tc>
              <w:tcPr>
                <w:tcW w:w="3842"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pPr>
              <w:jc w:val="center"/>
              <w:rPr>
                <w:color w:val="000000" w:themeColor="text1"/>
                <w14:textFill>
                  <w14:solidFill>
                    <w14:schemeClr w14:val="tx1"/>
                  </w14:solidFill>
                </w14:textFill>
              </w:rPr>
            </w:pPr>
          </w:p>
        </w:tc>
        <w:sdt>
          <w:sdtPr>
            <w:tag w:val="_PLD_b1230d3f7ca543f5b9651da474e07b85"/>
            <w:id w:val="-775246288"/>
          </w:sdtPr>
          <w:sdtContent>
            <w:tc>
              <w:tcPr>
                <w:tcW w:w="127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454915d62090417eadfa941b4e119439"/>
            <w:id w:val="-847023237"/>
          </w:sdtPr>
          <w:sdtContent>
            <w:tc>
              <w:tcPr>
                <w:tcW w:w="129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78ce0134255d44aca7a2a314b10b2f3f"/>
            <w:id w:val="2105685432"/>
          </w:sdtPr>
          <w:sdtEndPr>
            <w:rPr>
              <w:rFonts w:hint="eastAsia"/>
            </w:rPr>
          </w:sdtEndPr>
          <w:sdtContent>
            <w:tc>
              <w:tcPr>
                <w:tcW w:w="1267"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计提比例</w:t>
                </w:r>
                <w:r>
                  <w:rPr>
                    <w:rFonts w:hint="eastAsia"/>
                    <w:color w:val="000000" w:themeColor="text1"/>
                    <w14:textFill>
                      <w14:solidFill>
                        <w14:schemeClr w14:val="tx1"/>
                      </w14:solidFill>
                    </w14:textFill>
                  </w:rPr>
                  <w:t>（%）</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银行承兑汇票组合</w:t>
            </w:r>
          </w:p>
        </w:tc>
        <w:tc>
          <w:tcPr>
            <w:tcW w:w="1276" w:type="pct"/>
          </w:tcPr>
          <w:p>
            <w:pPr>
              <w:jc w:val="right"/>
            </w:pPr>
            <w:r>
              <w:t xml:space="preserve"> 28,779,709.63 </w:t>
            </w:r>
          </w:p>
        </w:tc>
        <w:tc>
          <w:tcPr>
            <w:tcW w:w="1299" w:type="pct"/>
          </w:tcPr>
          <w:p>
            <w:pPr>
              <w:jc w:val="right"/>
            </w:pPr>
          </w:p>
        </w:tc>
        <w:tc>
          <w:tcPr>
            <w:tcW w:w="1267"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供应链金融电子债权凭证组合</w:t>
            </w:r>
          </w:p>
        </w:tc>
        <w:tc>
          <w:tcPr>
            <w:tcW w:w="1276" w:type="pct"/>
          </w:tcPr>
          <w:p>
            <w:pPr>
              <w:jc w:val="right"/>
            </w:pPr>
            <w:r>
              <w:t xml:space="preserve"> 5,664,527.55 </w:t>
            </w:r>
          </w:p>
        </w:tc>
        <w:tc>
          <w:tcPr>
            <w:tcW w:w="1299" w:type="pct"/>
          </w:tcPr>
          <w:p>
            <w:pPr>
              <w:jc w:val="right"/>
            </w:pPr>
            <w:r>
              <w:t xml:space="preserve"> 323,079.41 </w:t>
            </w:r>
          </w:p>
        </w:tc>
        <w:tc>
          <w:tcPr>
            <w:tcW w:w="1267" w:type="pct"/>
          </w:tcPr>
          <w:p>
            <w:pPr>
              <w:jc w:val="right"/>
            </w:pPr>
            <w:r>
              <w:t xml:space="preserve"> 5.70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276" w:type="pct"/>
          </w:tcPr>
          <w:p>
            <w:pPr>
              <w:jc w:val="right"/>
            </w:pPr>
            <w:r>
              <w:t xml:space="preserve"> 34,444,237.18 </w:t>
            </w:r>
          </w:p>
        </w:tc>
        <w:tc>
          <w:tcPr>
            <w:tcW w:w="1299" w:type="pct"/>
          </w:tcPr>
          <w:p>
            <w:pPr>
              <w:jc w:val="right"/>
            </w:pPr>
            <w:r>
              <w:t xml:space="preserve"> 323,079.41 </w:t>
            </w:r>
          </w:p>
        </w:tc>
        <w:tc>
          <w:tcPr>
            <w:tcW w:w="1267" w:type="pct"/>
          </w:tcPr>
          <w:p>
            <w:pPr>
              <w:jc w:val="right"/>
            </w:pPr>
            <w:r>
              <w:t xml:space="preserve"> 0.94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按组合计提坏账准备的的说明[双击切换]"/>
        <w:tag w:val="_GBC_3b35e5a7dadd47138921433236c760e9"/>
        <w:id w:val="42600573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rFonts w:cstheme="minorBidi"/>
          <w:bCs w:val="0"/>
          <w:color w:val="000000" w:themeColor="text1"/>
          <w:szCs w:val="22"/>
          <w14:textFill>
            <w14:solidFill>
              <w14:schemeClr w14:val="tx1"/>
            </w14:solidFill>
          </w14:textFill>
        </w:rPr>
      </w:pPr>
      <w:bookmarkStart w:id="250" w:name="_Hlk154134692"/>
      <w:bookmarkStart w:id="251" w:name="_Hlk153372713"/>
      <w:r>
        <w:rPr>
          <w:rFonts w:hint="eastAsia" w:cstheme="minorBidi"/>
          <w:color w:val="000000" w:themeColor="text1"/>
          <w:szCs w:val="22"/>
          <w14:textFill>
            <w14:solidFill>
              <w14:schemeClr w14:val="tx1"/>
            </w14:solidFill>
          </w14:textFill>
        </w:rPr>
        <w:t>按预期信用损失一般模型计提坏账准备</w:t>
      </w:r>
    </w:p>
    <w:sdt>
      <w:sdtPr>
        <w:rPr>
          <w:rFonts w:cstheme="minorBidi"/>
          <w:bCs w:val="0"/>
          <w:color w:val="000000" w:themeColor="text1"/>
          <w:szCs w:val="22"/>
          <w14:textFill>
            <w14:solidFill>
              <w14:schemeClr w14:val="tx1"/>
            </w14:solidFill>
          </w14:textFill>
        </w:rPr>
        <w:alias w:val="是否适用：按预期信用损失一般模型计提坏账准备[双击切换]"/>
        <w:tag w:val="_GBC_205986a144f344f78129e3fba39b34ca"/>
        <w:id w:val="260423228"/>
        <w:placeholder>
          <w:docPart w:val="GBC22222222222222222222222222222"/>
        </w:placeholder>
      </w:sdtPr>
      <w:sdtEndPr>
        <w:rPr>
          <w:rFonts w:cstheme="minorBidi"/>
          <w:bCs w:val="0"/>
          <w:color w:val="000000" w:themeColor="text1"/>
          <w:szCs w:val="22"/>
          <w14:textFill>
            <w14:solidFill>
              <w14:schemeClr w14:val="tx1"/>
            </w14:solidFill>
          </w14:textFill>
        </w:rPr>
      </w:sdtEndPr>
      <w:sdtContent>
        <w:p>
          <w:pPr>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□适用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hint="eastAsia"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各阶段划分依据和坏账准备计提比例"/>
        <w:tag w:val="_GBC_ad44af7652e14ebaa2475a018590c7f5"/>
        <w:id w:val="1855151934"/>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pPr>
        <w:pStyle w:val="36"/>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对本期发生损失准备变动的应收款项融资账面余额显著变动的情况说明：</w:t>
      </w:r>
    </w:p>
    <w:sdt>
      <w:sdtPr>
        <w:rPr>
          <w:color w:val="000000" w:themeColor="text1"/>
          <w14:textFill>
            <w14:solidFill>
              <w14:schemeClr w14:val="tx1"/>
            </w14:solidFill>
          </w14:textFill>
        </w:rPr>
        <w:alias w:val="是否适用：对本期发生损失准备变动的账面余额显著变动的情况说明[双击切换]"/>
        <w:tag w:val="_GBC_ae382171e73840ef92b5fb34fa844e9f"/>
        <w:id w:val="679317615"/>
        <w:placeholder>
          <w:docPart w:val="GBC22222222222222222222222222222"/>
        </w:placeholder>
      </w:sdtPr>
      <w:sdtEndPr>
        <w:rPr>
          <w:color w:val="000000" w:themeColor="text1"/>
          <w14:textFill>
            <w14:solidFill>
              <w14:schemeClr w14:val="tx1"/>
            </w14:solidFill>
          </w14:textFill>
        </w:rPr>
      </w:sdtEndPr>
      <w:sdtContent>
        <w:p>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50"/>
    <w:bookmarkEnd w:id="251"/>
    <w:p>
      <w:pPr>
        <w:pStyle w:val="5"/>
        <w:numPr>
          <w:ilvl w:val="0"/>
          <w:numId w:val="45"/>
        </w:numPr>
        <w:tabs>
          <w:tab w:val="left" w:pos="360"/>
        </w:tabs>
        <w:ind w:left="0" w:firstLine="0"/>
      </w:pPr>
      <w:r>
        <w:rPr>
          <w:rFonts w:hint="eastAsia"/>
        </w:rPr>
        <w:t>坏账准备的情况</w:t>
      </w:r>
    </w:p>
    <w:sdt>
      <w:sdtPr>
        <w:rPr>
          <w:color w:val="000000" w:themeColor="text1"/>
          <w14:textFill>
            <w14:solidFill>
              <w14:schemeClr w14:val="tx1"/>
            </w14:solidFill>
          </w14:textFill>
        </w:rPr>
        <w:alias w:val="是否适用：坏账准备情况[双击切换]"/>
        <w:tag w:val="_GBC_808e84ec9b034cfdb05b2cba07546530"/>
        <w:id w:val="146762429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snapToGrid w:val="0"/>
        <w:spacing w:line="240" w:lineRule="atLeast"/>
        <w:ind w:left="425"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坏账准备情况"/>
          <w:tag w:val="_GBC_84bfb6ea47b24edb97b66eb6e5b63748"/>
          <w:id w:val="-1068563667"/>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坏账准备情况"/>
          <w:tag w:val="_GBC_de61a6c4267f43538fa404aa6715a962"/>
          <w:id w:val="23513399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306"/>
        <w:gridCol w:w="1938"/>
        <w:gridCol w:w="2104"/>
        <w:gridCol w:w="1938"/>
        <w:gridCol w:w="1943"/>
        <w:gridCol w:w="1938"/>
        <w:gridCol w:w="1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edd395b8b3e845f1a313e276338c64fc"/>
            <w:id w:val="-259906858"/>
          </w:sdtPr>
          <w:sdtContent>
            <w:tc>
              <w:tcPr>
                <w:tcW w:w="818"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8fb8986f0f8948c88eb62e367aa7d589"/>
            <w:id w:val="-1201867488"/>
          </w:sdtPr>
          <w:sdtContent>
            <w:tc>
              <w:tcPr>
                <w:tcW w:w="687"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6f7dbdca626947c79b628fe45b693422"/>
            <w:id w:val="1176383609"/>
          </w:sdtPr>
          <w:sdtContent>
            <w:tc>
              <w:tcPr>
                <w:tcW w:w="2809" w:type="pct"/>
                <w:gridSpan w:val="4"/>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tc>
          <w:tcPr>
            <w:tcW w:w="685" w:type="pct"/>
            <w:vMerge w:val="restart"/>
            <w:shd w:val="clear" w:color="auto" w:fill="FFFFFF"/>
            <w:vAlign w:val="center"/>
          </w:tcPr>
          <w:sdt>
            <w:sdtPr>
              <w:tag w:val="_PLD_c531cf45aa6447038dbb320044841d53"/>
              <w:id w:val="-456569207"/>
            </w:sdtPr>
            <w:sdtContent>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vMerge w:val="continue"/>
            <w:shd w:val="clear" w:color="auto" w:fill="FFFFFF"/>
          </w:tcPr>
          <w:p>
            <w:pPr>
              <w:widowControl w:val="0"/>
              <w:jc w:val="center"/>
              <w:rPr>
                <w:color w:val="000000" w:themeColor="text1"/>
                <w14:textFill>
                  <w14:solidFill>
                    <w14:schemeClr w14:val="tx1"/>
                  </w14:solidFill>
                </w14:textFill>
              </w:rPr>
            </w:pPr>
          </w:p>
        </w:tc>
        <w:tc>
          <w:tcPr>
            <w:tcW w:w="687" w:type="pct"/>
            <w:vMerge w:val="continue"/>
            <w:shd w:val="clear" w:color="auto" w:fill="FFFFFF"/>
          </w:tcPr>
          <w:p>
            <w:pPr>
              <w:widowControl w:val="0"/>
              <w:jc w:val="center"/>
              <w:rPr>
                <w:color w:val="000000" w:themeColor="text1"/>
                <w14:textFill>
                  <w14:solidFill>
                    <w14:schemeClr w14:val="tx1"/>
                  </w14:solidFill>
                </w14:textFill>
              </w:rPr>
            </w:pPr>
          </w:p>
        </w:tc>
        <w:sdt>
          <w:sdtPr>
            <w:tag w:val="_PLD_865b3bdae8bd4443b7b4c12eb3ce1b17"/>
            <w:id w:val="862944041"/>
          </w:sdtPr>
          <w:sdtContent>
            <w:tc>
              <w:tcPr>
                <w:tcW w:w="746" w:type="pc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tag w:val="_PLD_08f916e8d73040dca77181904184dfd3"/>
            <w:id w:val="1091666688"/>
          </w:sdtPr>
          <w:sdtContent>
            <w:tc>
              <w:tcPr>
                <w:tcW w:w="687" w:type="pct"/>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收回或转回</w:t>
                </w:r>
              </w:p>
            </w:tc>
          </w:sdtContent>
        </w:sdt>
        <w:sdt>
          <w:sdtPr>
            <w:tag w:val="_PLD_1a5551cddb1a46e08fe893dc39daeaba"/>
            <w:id w:val="-508675828"/>
          </w:sdtPr>
          <w:sdtContent>
            <w:tc>
              <w:tcPr>
                <w:tcW w:w="689" w:type="pct"/>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转销或核销</w:t>
                </w:r>
              </w:p>
            </w:tc>
          </w:sdtContent>
        </w:sdt>
        <w:sdt>
          <w:sdtPr>
            <w:tag w:val="_PLD_2a508871130d45279687a5d871df27f3"/>
            <w:id w:val="-637957779"/>
          </w:sdtPr>
          <w:sdtContent>
            <w:tc>
              <w:tcPr>
                <w:tcW w:w="687" w:type="pct"/>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tc>
          </w:sdtContent>
        </w:sdt>
        <w:tc>
          <w:tcPr>
            <w:tcW w:w="685" w:type="pct"/>
            <w:vMerge w:val="continue"/>
            <w:shd w:val="clear" w:color="auto" w:fill="FFFFFF"/>
          </w:tcPr>
          <w:p>
            <w:pPr>
              <w:widowControl w:val="0"/>
              <w:jc w:val="right"/>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pPr>
              <w:widowControl w:val="0"/>
            </w:pPr>
            <w:r>
              <w:rPr>
                <w:rFonts w:hint="eastAsia"/>
              </w:rPr>
              <w:t>按单项计提坏账准备</w:t>
            </w:r>
          </w:p>
        </w:tc>
        <w:tc>
          <w:tcPr>
            <w:tcW w:w="687" w:type="pct"/>
          </w:tcPr>
          <w:p>
            <w:pPr>
              <w:widowControl w:val="0"/>
              <w:jc w:val="right"/>
            </w:pPr>
          </w:p>
        </w:tc>
        <w:tc>
          <w:tcPr>
            <w:tcW w:w="746" w:type="pct"/>
          </w:tcPr>
          <w:p>
            <w:pPr>
              <w:widowControl w:val="0"/>
              <w:jc w:val="right"/>
            </w:pPr>
          </w:p>
        </w:tc>
        <w:tc>
          <w:tcPr>
            <w:tcW w:w="687" w:type="pct"/>
          </w:tcPr>
          <w:p>
            <w:pPr>
              <w:widowControl w:val="0"/>
              <w:jc w:val="right"/>
            </w:pPr>
          </w:p>
        </w:tc>
        <w:tc>
          <w:tcPr>
            <w:tcW w:w="689" w:type="pct"/>
          </w:tcPr>
          <w:p>
            <w:pPr>
              <w:widowControl w:val="0"/>
              <w:jc w:val="right"/>
            </w:pPr>
          </w:p>
        </w:tc>
        <w:tc>
          <w:tcPr>
            <w:tcW w:w="687" w:type="pct"/>
          </w:tcPr>
          <w:p>
            <w:pPr>
              <w:widowControl w:val="0"/>
              <w:jc w:val="right"/>
            </w:pPr>
          </w:p>
        </w:tc>
        <w:tc>
          <w:tcPr>
            <w:tcW w:w="685" w:type="pct"/>
          </w:tcPr>
          <w:p>
            <w:pPr>
              <w:widowControl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pPr>
              <w:widowControl w:val="0"/>
            </w:pPr>
            <w:r>
              <w:rPr>
                <w:rFonts w:hint="eastAsia"/>
              </w:rPr>
              <w:t>按组合计提坏账准备</w:t>
            </w:r>
          </w:p>
        </w:tc>
        <w:tc>
          <w:tcPr>
            <w:tcW w:w="687" w:type="pct"/>
          </w:tcPr>
          <w:p>
            <w:pPr>
              <w:widowControl w:val="0"/>
              <w:jc w:val="right"/>
            </w:pPr>
            <w:r>
              <w:t xml:space="preserve"> 496,512.99 </w:t>
            </w:r>
          </w:p>
        </w:tc>
        <w:tc>
          <w:tcPr>
            <w:tcW w:w="746" w:type="pct"/>
          </w:tcPr>
          <w:p>
            <w:pPr>
              <w:widowControl w:val="0"/>
              <w:jc w:val="right"/>
            </w:pPr>
            <w:r>
              <w:t xml:space="preserve"> -173,433.58 </w:t>
            </w:r>
          </w:p>
        </w:tc>
        <w:tc>
          <w:tcPr>
            <w:tcW w:w="687" w:type="pct"/>
          </w:tcPr>
          <w:p>
            <w:pPr>
              <w:widowControl w:val="0"/>
              <w:jc w:val="right"/>
            </w:pPr>
          </w:p>
        </w:tc>
        <w:tc>
          <w:tcPr>
            <w:tcW w:w="689" w:type="pct"/>
          </w:tcPr>
          <w:p>
            <w:pPr>
              <w:widowControl w:val="0"/>
              <w:jc w:val="right"/>
            </w:pPr>
          </w:p>
        </w:tc>
        <w:tc>
          <w:tcPr>
            <w:tcW w:w="687" w:type="pct"/>
          </w:tcPr>
          <w:p>
            <w:pPr>
              <w:widowControl w:val="0"/>
              <w:jc w:val="right"/>
            </w:pPr>
          </w:p>
        </w:tc>
        <w:tc>
          <w:tcPr>
            <w:tcW w:w="685" w:type="pct"/>
          </w:tcPr>
          <w:p>
            <w:pPr>
              <w:widowControl w:val="0"/>
              <w:jc w:val="right"/>
            </w:pPr>
            <w:r>
              <w:t xml:space="preserve"> 323,079.41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87" w:type="pct"/>
          </w:tcPr>
          <w:p>
            <w:pPr>
              <w:widowControl w:val="0"/>
              <w:jc w:val="right"/>
            </w:pPr>
            <w:r>
              <w:t xml:space="preserve"> 496,512.99 </w:t>
            </w:r>
          </w:p>
        </w:tc>
        <w:tc>
          <w:tcPr>
            <w:tcW w:w="746" w:type="pct"/>
          </w:tcPr>
          <w:p>
            <w:pPr>
              <w:widowControl w:val="0"/>
              <w:jc w:val="right"/>
            </w:pPr>
            <w:r>
              <w:t xml:space="preserve"> -173,433.58 </w:t>
            </w:r>
          </w:p>
        </w:tc>
        <w:tc>
          <w:tcPr>
            <w:tcW w:w="687" w:type="pct"/>
          </w:tcPr>
          <w:p>
            <w:pPr>
              <w:widowControl w:val="0"/>
              <w:jc w:val="right"/>
            </w:pPr>
          </w:p>
        </w:tc>
        <w:tc>
          <w:tcPr>
            <w:tcW w:w="689" w:type="pct"/>
          </w:tcPr>
          <w:p>
            <w:pPr>
              <w:widowControl w:val="0"/>
              <w:jc w:val="right"/>
            </w:pPr>
          </w:p>
        </w:tc>
        <w:tc>
          <w:tcPr>
            <w:tcW w:w="687" w:type="pct"/>
          </w:tcPr>
          <w:p>
            <w:pPr>
              <w:widowControl w:val="0"/>
              <w:jc w:val="right"/>
            </w:pPr>
          </w:p>
        </w:tc>
        <w:tc>
          <w:tcPr>
            <w:tcW w:w="685" w:type="pct"/>
          </w:tcPr>
          <w:p>
            <w:pPr>
              <w:widowControl w:val="0"/>
              <w:jc w:val="right"/>
            </w:pPr>
            <w:r>
              <w:t xml:space="preserve"> 323,079.41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382a7c63c3664661a21baa08f6ba86a8"/>
        <w:id w:val="199321961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坏账准备情况的说明"/>
        <w:tag w:val="_GBC_61ca0a7cb2a147fba52fe081c3ffe8b1"/>
        <w:id w:val="1441337936"/>
        <w:placeholder>
          <w:docPart w:val="GBC22222222222222222222222222222"/>
        </w:placeholder>
      </w:sdtPr>
      <w:sdtEndPr>
        <w:rPr>
          <w:color w:val="000000" w:themeColor="text1"/>
          <w14:textFill>
            <w14:solidFill>
              <w14:schemeClr w14:val="tx1"/>
            </w14:solidFill>
          </w14:textFill>
        </w:rPr>
      </w:sdtEndPr>
      <w:sdtContent>
        <w:p>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5"/>
        <w:numPr>
          <w:ilvl w:val="0"/>
          <w:numId w:val="45"/>
        </w:numPr>
        <w:tabs>
          <w:tab w:val="left" w:pos="360"/>
        </w:tabs>
        <w:ind w:left="0" w:firstLine="0"/>
      </w:pPr>
      <w:r>
        <w:rPr>
          <w:rFonts w:hint="eastAsia"/>
        </w:rPr>
        <w:t>本期实际核销的应收款项融资情况</w:t>
      </w:r>
    </w:p>
    <w:sdt>
      <w:sdtPr>
        <w:rPr>
          <w:color w:val="000000" w:themeColor="text1"/>
          <w14:textFill>
            <w14:solidFill>
              <w14:schemeClr w14:val="tx1"/>
            </w14:solidFill>
          </w14:textFill>
        </w:rPr>
        <w:alias w:val="是否适用：实际核销的情况[双击切换]"/>
        <w:tag w:val="_GBC_a2d69dfc601543db9955bbac18a0162c"/>
        <w:id w:val="-69685935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其中重要的应收款项融资核销情况</w:t>
      </w:r>
    </w:p>
    <w:sdt>
      <w:sdtPr>
        <w:rPr>
          <w:rFonts w:hint="eastAsia"/>
          <w:color w:val="000000" w:themeColor="text1"/>
          <w14:textFill>
            <w14:solidFill>
              <w14:schemeClr w14:val="tx1"/>
            </w14:solidFill>
          </w14:textFill>
        </w:rPr>
        <w:alias w:val="是否适用：重要的核销情况[双击切换]"/>
        <w:tag w:val="_GBC_1b7bee0edc57444896650801ca80ffe4"/>
        <w:id w:val="399177686"/>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核销说明[双击切换]"/>
        <w:tag w:val="_GBC_488ea774dd4f4c1d882f56da574ad29c"/>
        <w:id w:val="1072011159"/>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45"/>
        </w:numPr>
        <w:tabs>
          <w:tab w:val="left" w:pos="360"/>
        </w:tabs>
        <w:ind w:left="0" w:firstLine="0"/>
      </w:pPr>
      <w:r>
        <w:rPr>
          <w:rFonts w:hint="eastAsia"/>
        </w:rPr>
        <w:t>应收款项融资本期增减变动及公允价值变动情况：</w:t>
      </w:r>
    </w:p>
    <w:sdt>
      <w:sdtPr>
        <w:rPr>
          <w:rFonts w:hint="eastAsia"/>
          <w:color w:val="000000" w:themeColor="text1"/>
          <w14:textFill>
            <w14:solidFill>
              <w14:schemeClr w14:val="tx1"/>
            </w14:solidFill>
          </w14:textFill>
        </w:rPr>
        <w:alias w:val="是否适用：应收款项融资本期增减变动及公允价值变动情况[双击切换]"/>
        <w:tag w:val="_GBC_229d012533ea43b7b63c184aa0b161d0"/>
        <w:id w:val="-596633658"/>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46"/>
    <w:bookmarkEnd w:id="248"/>
    <w:bookmarkEnd w:id="249"/>
    <w:p>
      <w:pPr>
        <w:pStyle w:val="5"/>
        <w:numPr>
          <w:ilvl w:val="0"/>
          <w:numId w:val="45"/>
        </w:numPr>
        <w:tabs>
          <w:tab w:val="left" w:pos="360"/>
        </w:tabs>
        <w:ind w:left="0" w:firstLine="0"/>
      </w:pPr>
      <w:r>
        <w:rPr>
          <w:rFonts w:hint="eastAsia"/>
        </w:rPr>
        <w:t>其他说明：</w:t>
      </w:r>
    </w:p>
    <w:sdt>
      <w:sdtPr>
        <w:rPr>
          <w:rFonts w:hint="eastAsia"/>
          <w:color w:val="000000" w:themeColor="text1"/>
          <w14:textFill>
            <w14:solidFill>
              <w14:schemeClr w14:val="tx1"/>
            </w14:solidFill>
          </w14:textFill>
        </w:rPr>
        <w:alias w:val="是否适用：应收款项融资其他说明[双击切换]"/>
        <w:tag w:val="_GBC_f2fd5be9d56145ea8eaacde595a4b245"/>
        <w:id w:val="-1412777815"/>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bookmarkStart w:id="252" w:name="_Hlk13057390"/>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52"/>
    <w:p>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bookmarkEnd w:id="247"/>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预付款项</w:t>
      </w:r>
    </w:p>
    <w:p>
      <w:pPr>
        <w:pStyle w:val="5"/>
        <w:numPr>
          <w:ilvl w:val="0"/>
          <w:numId w:val="46"/>
        </w:numPr>
        <w:tabs>
          <w:tab w:val="left" w:pos="616"/>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预付款项按账龄列示</w:t>
      </w:r>
    </w:p>
    <w:sdt>
      <w:sdtPr>
        <w:rPr>
          <w:color w:val="000000" w:themeColor="text1"/>
          <w14:textFill>
            <w14:solidFill>
              <w14:schemeClr w14:val="tx1"/>
            </w14:solidFill>
          </w14:textFill>
        </w:rPr>
        <w:alias w:val="是否适用：预付款项按账龄列示[双击切换]"/>
        <w:tag w:val="_GBC_af3b3e24767e48f7a70a5cfa609407a2"/>
        <w:id w:val="-205083906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预付账款账龄"/>
          <w:tag w:val="_GBC_9eb28bbf7d374cdf965c7e133b610fb3"/>
          <w:id w:val="-15707218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预付账款账龄"/>
          <w:tag w:val="_GBC_d491347f74764df5af3312ad7a0a92e5"/>
          <w:id w:val="25626247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359"/>
        <w:gridCol w:w="1892"/>
        <w:gridCol w:w="1877"/>
        <w:gridCol w:w="1875"/>
        <w:gridCol w:w="1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37" w:hRule="atLeast"/>
        </w:trPr>
        <w:sdt>
          <w:sdtPr>
            <w:tag w:val="_PLD_159a64f22a4a4b1ab31846b4d6034c4c"/>
            <w:id w:val="-1216425315"/>
          </w:sdtPr>
          <w:sdtContent>
            <w:tc>
              <w:tcPr>
                <w:tcW w:w="764"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6ca82cba92a649d08c6ceb86dd951ef3"/>
            <w:id w:val="1242372647"/>
          </w:sdtPr>
          <w:sdtContent>
            <w:tc>
              <w:tcPr>
                <w:tcW w:w="2118" w:type="pct"/>
                <w:gridSpan w:val="2"/>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365dab2f8fd246d79543ed0d2e6dcab7"/>
            <w:id w:val="-1669093839"/>
          </w:sdtPr>
          <w:sdtContent>
            <w:tc>
              <w:tcPr>
                <w:tcW w:w="2117" w:type="pct"/>
                <w:gridSpan w:val="2"/>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vMerge w:val="continue"/>
          </w:tcPr>
          <w:p>
            <w:pPr>
              <w:rPr>
                <w:color w:val="000000" w:themeColor="text1"/>
                <w14:textFill>
                  <w14:solidFill>
                    <w14:schemeClr w14:val="tx1"/>
                  </w14:solidFill>
                </w14:textFill>
              </w:rPr>
            </w:pPr>
          </w:p>
        </w:tc>
        <w:sdt>
          <w:sdtPr>
            <w:tag w:val="_PLD_a9d7b721cfa446e9ae31149380da5970"/>
            <w:id w:val="-137504577"/>
          </w:sdtPr>
          <w:sdtContent>
            <w:tc>
              <w:tcPr>
                <w:tcW w:w="106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2d8b8f523dcd4c95815b7c8fd528129d"/>
            <w:id w:val="-2000796471"/>
          </w:sdtPr>
          <w:sdtContent>
            <w:tc>
              <w:tcPr>
                <w:tcW w:w="105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f01816a56b3f4ec1a7d603d3ac318eb1"/>
            <w:id w:val="506407868"/>
          </w:sdtPr>
          <w:sdtContent>
            <w:tc>
              <w:tcPr>
                <w:tcW w:w="105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55adcab5f9be4d24b3d0faaf5403e89a"/>
            <w:id w:val="476493230"/>
          </w:sdtPr>
          <w:sdtContent>
            <w:tc>
              <w:tcPr>
                <w:tcW w:w="106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1年以内</w:t>
            </w:r>
          </w:p>
        </w:tc>
        <w:tc>
          <w:tcPr>
            <w:tcW w:w="1063" w:type="pct"/>
          </w:tcPr>
          <w:p>
            <w:pPr>
              <w:jc w:val="right"/>
            </w:pPr>
            <w:r>
              <w:t xml:space="preserve"> 76,930,545.26 </w:t>
            </w:r>
          </w:p>
        </w:tc>
        <w:tc>
          <w:tcPr>
            <w:tcW w:w="1055" w:type="pct"/>
          </w:tcPr>
          <w:p>
            <w:pPr>
              <w:jc w:val="right"/>
            </w:pPr>
            <w:r>
              <w:t xml:space="preserve"> 97.75 </w:t>
            </w:r>
          </w:p>
        </w:tc>
        <w:tc>
          <w:tcPr>
            <w:tcW w:w="1054" w:type="pct"/>
          </w:tcPr>
          <w:p>
            <w:pPr>
              <w:jc w:val="right"/>
            </w:pPr>
            <w:r>
              <w:t xml:space="preserve"> 141,922,078.53 </w:t>
            </w:r>
          </w:p>
        </w:tc>
        <w:tc>
          <w:tcPr>
            <w:tcW w:w="1063" w:type="pct"/>
          </w:tcPr>
          <w:p>
            <w:pPr>
              <w:jc w:val="right"/>
            </w:pPr>
            <w:r>
              <w:t xml:space="preserve"> 99.45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1至2年</w:t>
            </w:r>
          </w:p>
        </w:tc>
        <w:tc>
          <w:tcPr>
            <w:tcW w:w="1063" w:type="pct"/>
          </w:tcPr>
          <w:p>
            <w:pPr>
              <w:jc w:val="right"/>
            </w:pPr>
            <w:r>
              <w:t xml:space="preserve"> 991,303.75 </w:t>
            </w:r>
          </w:p>
        </w:tc>
        <w:tc>
          <w:tcPr>
            <w:tcW w:w="1055" w:type="pct"/>
          </w:tcPr>
          <w:p>
            <w:pPr>
              <w:jc w:val="right"/>
            </w:pPr>
            <w:r>
              <w:t xml:space="preserve"> 1.26 </w:t>
            </w:r>
          </w:p>
        </w:tc>
        <w:tc>
          <w:tcPr>
            <w:tcW w:w="1054" w:type="pct"/>
          </w:tcPr>
          <w:p>
            <w:pPr>
              <w:jc w:val="right"/>
            </w:pPr>
            <w:r>
              <w:t xml:space="preserve"> 89,607.60 </w:t>
            </w:r>
          </w:p>
        </w:tc>
        <w:tc>
          <w:tcPr>
            <w:tcW w:w="1063" w:type="pct"/>
          </w:tcPr>
          <w:p>
            <w:pPr>
              <w:jc w:val="right"/>
            </w:pPr>
            <w:r>
              <w:t xml:space="preserve"> 0.06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2至3年</w:t>
            </w:r>
          </w:p>
        </w:tc>
        <w:tc>
          <w:tcPr>
            <w:tcW w:w="1063" w:type="pct"/>
          </w:tcPr>
          <w:p>
            <w:pPr>
              <w:jc w:val="right"/>
            </w:pPr>
            <w:r>
              <w:t xml:space="preserve"> 58,323.50 </w:t>
            </w:r>
          </w:p>
        </w:tc>
        <w:tc>
          <w:tcPr>
            <w:tcW w:w="1055" w:type="pct"/>
          </w:tcPr>
          <w:p>
            <w:pPr>
              <w:jc w:val="right"/>
            </w:pPr>
            <w:r>
              <w:t xml:space="preserve"> 0.07 </w:t>
            </w:r>
          </w:p>
        </w:tc>
        <w:tc>
          <w:tcPr>
            <w:tcW w:w="1054" w:type="pct"/>
          </w:tcPr>
          <w:p>
            <w:pPr>
              <w:jc w:val="right"/>
            </w:pPr>
            <w:r>
              <w:t xml:space="preserve"> 23,750.00 </w:t>
            </w:r>
          </w:p>
        </w:tc>
        <w:tc>
          <w:tcPr>
            <w:tcW w:w="1063" w:type="pct"/>
          </w:tcPr>
          <w:p>
            <w:pPr>
              <w:jc w:val="right"/>
            </w:pPr>
            <w:r>
              <w:t xml:space="preserve"> 0.02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3年以上</w:t>
            </w:r>
          </w:p>
        </w:tc>
        <w:tc>
          <w:tcPr>
            <w:tcW w:w="1063" w:type="pct"/>
          </w:tcPr>
          <w:p>
            <w:pPr>
              <w:jc w:val="right"/>
            </w:pPr>
            <w:r>
              <w:t xml:space="preserve"> 727,701.30 </w:t>
            </w:r>
          </w:p>
        </w:tc>
        <w:tc>
          <w:tcPr>
            <w:tcW w:w="1055" w:type="pct"/>
          </w:tcPr>
          <w:p>
            <w:pPr>
              <w:jc w:val="right"/>
            </w:pPr>
            <w:r>
              <w:t xml:space="preserve"> 0.92 </w:t>
            </w:r>
          </w:p>
        </w:tc>
        <w:tc>
          <w:tcPr>
            <w:tcW w:w="1054" w:type="pct"/>
          </w:tcPr>
          <w:p>
            <w:pPr>
              <w:jc w:val="right"/>
            </w:pPr>
            <w:r>
              <w:t xml:space="preserve"> 673,903.44 </w:t>
            </w:r>
          </w:p>
        </w:tc>
        <w:tc>
          <w:tcPr>
            <w:tcW w:w="1063" w:type="pct"/>
          </w:tcPr>
          <w:p>
            <w:pPr>
              <w:jc w:val="right"/>
            </w:pPr>
            <w:r>
              <w:t xml:space="preserve"> 0.47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64"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063" w:type="pct"/>
          </w:tcPr>
          <w:p>
            <w:pPr>
              <w:jc w:val="right"/>
            </w:pPr>
            <w:r>
              <w:t xml:space="preserve"> 78,707,873.81 </w:t>
            </w:r>
          </w:p>
        </w:tc>
        <w:tc>
          <w:tcPr>
            <w:tcW w:w="1055" w:type="pct"/>
          </w:tcPr>
          <w:p>
            <w:pPr>
              <w:jc w:val="right"/>
            </w:pPr>
            <w:r>
              <w:t xml:space="preserve"> 100.00 </w:t>
            </w:r>
          </w:p>
        </w:tc>
        <w:tc>
          <w:tcPr>
            <w:tcW w:w="1054" w:type="pct"/>
          </w:tcPr>
          <w:p>
            <w:pPr>
              <w:jc w:val="right"/>
            </w:pPr>
            <w:r>
              <w:t xml:space="preserve"> 142,709,339.57 </w:t>
            </w:r>
          </w:p>
        </w:tc>
        <w:tc>
          <w:tcPr>
            <w:tcW w:w="1063" w:type="pct"/>
          </w:tcPr>
          <w:p>
            <w:pPr>
              <w:jc w:val="right"/>
            </w:pPr>
            <w:r>
              <w:t xml:space="preserve"> 100.00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账龄超过1年且金额重要的预付款项未及时结算原因</w:t>
      </w:r>
      <w:r>
        <w:rPr>
          <w:color w:val="000000" w:themeColor="text1"/>
          <w14:textFill>
            <w14:solidFill>
              <w14:schemeClr w14:val="tx1"/>
            </w14:solidFill>
          </w14:textFill>
        </w:rPr>
        <w:t>的说明：</w:t>
      </w:r>
    </w:p>
    <w:sdt>
      <w:sdtPr>
        <w:rPr>
          <w:color w:val="000000" w:themeColor="text1"/>
          <w14:textFill>
            <w14:solidFill>
              <w14:schemeClr w14:val="tx1"/>
            </w14:solidFill>
          </w14:textFill>
        </w:rPr>
        <w:alias w:val="账龄超过1年且金额重要的预付款项未及时结算原因的说明"/>
        <w:tag w:val="_GBC_174a9654172e49e09cdbf18d854fdd51"/>
        <w:id w:val="1088508383"/>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5"/>
        <w:numPr>
          <w:ilvl w:val="0"/>
          <w:numId w:val="46"/>
        </w:numPr>
        <w:tabs>
          <w:tab w:val="left" w:pos="616"/>
        </w:tabs>
        <w:rPr>
          <w:rFonts w:hint="eastAsia" w:ascii="宋体" w:hAnsi="宋体"/>
          <w:color w:val="000000" w:themeColor="text1"/>
          <w14:textFill>
            <w14:solidFill>
              <w14:schemeClr w14:val="tx1"/>
            </w14:solidFill>
          </w14:textFill>
        </w:rPr>
      </w:pPr>
      <w:bookmarkStart w:id="253" w:name="_Hlk199853551"/>
      <w:r>
        <w:rPr>
          <w:rFonts w:hint="eastAsia" w:ascii="宋体" w:hAnsi="宋体"/>
          <w:color w:val="000000" w:themeColor="text1"/>
          <w14:textFill>
            <w14:solidFill>
              <w14:schemeClr w14:val="tx1"/>
            </w14:solidFill>
          </w14:textFill>
        </w:rPr>
        <w:t>按预付对象归集的期末余额前五名的预付款情况</w:t>
      </w:r>
    </w:p>
    <w:sdt>
      <w:sdtPr>
        <w:rPr>
          <w:rFonts w:hint="eastAsia"/>
          <w:color w:val="000000" w:themeColor="text1"/>
          <w14:textFill>
            <w14:solidFill>
              <w14:schemeClr w14:val="tx1"/>
            </w14:solidFill>
          </w14:textFill>
        </w:rPr>
        <w:alias w:val="是否适用：按预付对象归集的期末余额前五名的预付款情况[双击切换]"/>
        <w:tag w:val="_GBC_a1864f04af6d49bdb434d74a7f29f8c3"/>
        <w:id w:val="511030353"/>
        <w:placeholder>
          <w:docPart w:val="GBC22222222222222222222222222222"/>
        </w:placeholder>
      </w:sdtPr>
      <w:sdtEndPr>
        <w:rPr>
          <w:rFonts w:hint="eastAsia"/>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jc w:val="right"/>
      </w:pPr>
      <w:r>
        <w:rPr>
          <w:rFonts w:hint="eastAsia"/>
        </w:rPr>
        <w:t>单位：</w:t>
      </w:r>
      <w:sdt>
        <w:sdtPr>
          <w:rPr>
            <w:rFonts w:hint="eastAsia"/>
          </w:rPr>
          <w:alias w:val="单位：按预付对象归集的期末余额前五名的预付款情况"/>
          <w:tag w:val="_GBC_60474912a059478aa7a052f29a7878f6"/>
          <w:id w:val="-66185996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rPr>
        </w:sdtEndPr>
        <w:sdtContent>
          <w:r>
            <w:rPr>
              <w:rFonts w:hint="eastAsia"/>
            </w:rPr>
            <w:t>元</w:t>
          </w:r>
        </w:sdtContent>
      </w:sdt>
      <w:r>
        <w:rPr>
          <w:rFonts w:hint="eastAsia"/>
        </w:rPr>
        <w:t xml:space="preserve"> 币种：</w:t>
      </w:r>
      <w:sdt>
        <w:sdtPr>
          <w:rPr>
            <w:rFonts w:hint="eastAsia"/>
          </w:rPr>
          <w:alias w:val="币种：按预付对象归集的期末余额前五名的预付款情况"/>
          <w:tag w:val="_GBC_bd430b918c86452ca29c59c0866e9f4e"/>
          <w:id w:val="197540551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44"/>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9"/>
        <w:gridCol w:w="2325"/>
        <w:gridCol w:w="3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d1820e97fc2b412296b96c0151dea923"/>
            <w:id w:val="1566528810"/>
          </w:sdtPr>
          <w:sdtContent>
            <w:tc>
              <w:tcPr>
                <w:tcW w:w="1526" w:type="pct"/>
                <w:vAlign w:val="center"/>
              </w:tcPr>
              <w:p>
                <w:pPr>
                  <w:ind w:right="105"/>
                  <w:jc w:val="center"/>
                </w:pPr>
                <w:r>
                  <w:rPr>
                    <w:rFonts w:hint="eastAsia"/>
                  </w:rPr>
                  <w:t>单位名称</w:t>
                </w:r>
              </w:p>
            </w:tc>
          </w:sdtContent>
        </w:sdt>
        <w:sdt>
          <w:sdtPr>
            <w:tag w:val="_PLD_ea2392e4fefe4be5b353e22520ae4d4e"/>
            <w:id w:val="2053414326"/>
          </w:sdtPr>
          <w:sdtContent>
            <w:tc>
              <w:tcPr>
                <w:tcW w:w="1286" w:type="pct"/>
                <w:vAlign w:val="center"/>
              </w:tcPr>
              <w:p>
                <w:pPr>
                  <w:ind w:right="73"/>
                  <w:jc w:val="center"/>
                </w:pPr>
                <w:r>
                  <w:rPr>
                    <w:rFonts w:hint="eastAsia"/>
                  </w:rPr>
                  <w:t>期末余额</w:t>
                </w:r>
              </w:p>
            </w:tc>
          </w:sdtContent>
        </w:sdt>
        <w:sdt>
          <w:sdtPr>
            <w:tag w:val="_PLD_0c082a2df5b041d9ab1489c29022c66c"/>
            <w:id w:val="-1245799355"/>
          </w:sdtPr>
          <w:sdtContent>
            <w:tc>
              <w:tcPr>
                <w:tcW w:w="2187" w:type="pct"/>
                <w:vAlign w:val="center"/>
              </w:tcPr>
              <w:p>
                <w:pPr>
                  <w:jc w:val="center"/>
                </w:pPr>
                <w:r>
                  <w:rPr>
                    <w:rFonts w:hint="eastAsia"/>
                  </w:rPr>
                  <w:t>占预付款项期末余额合计数的比例(</w:t>
                </w:r>
                <w:r>
                  <w:t>%)</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26" w:type="pct"/>
          </w:tcPr>
          <w:p>
            <w:pPr>
              <w:ind w:right="105"/>
            </w:pPr>
            <w:r>
              <w:t>供应商1</w:t>
            </w:r>
          </w:p>
        </w:tc>
        <w:tc>
          <w:tcPr>
            <w:tcW w:w="1286" w:type="pct"/>
          </w:tcPr>
          <w:p>
            <w:pPr>
              <w:ind w:right="73"/>
              <w:jc w:val="right"/>
            </w:pPr>
            <w:r>
              <w:rPr>
                <w:rFonts w:hint="eastAsia"/>
              </w:rPr>
              <w:t xml:space="preserve"> 25,500,111.02 </w:t>
            </w:r>
          </w:p>
        </w:tc>
        <w:tc>
          <w:tcPr>
            <w:tcW w:w="2187" w:type="pct"/>
          </w:tcPr>
          <w:p>
            <w:pPr>
              <w:jc w:val="right"/>
            </w:pPr>
            <w:r>
              <w:rPr>
                <w:rFonts w:hint="eastAsia"/>
              </w:rPr>
              <w:t xml:space="preserve"> 32.40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26" w:type="pct"/>
          </w:tcPr>
          <w:p>
            <w:pPr>
              <w:ind w:right="105"/>
            </w:pPr>
            <w:r>
              <w:t>供应商</w:t>
            </w:r>
            <w:r>
              <w:rPr>
                <w:rFonts w:hint="eastAsia"/>
              </w:rPr>
              <w:t>2</w:t>
            </w:r>
          </w:p>
        </w:tc>
        <w:tc>
          <w:tcPr>
            <w:tcW w:w="1286" w:type="pct"/>
          </w:tcPr>
          <w:p>
            <w:pPr>
              <w:ind w:right="73"/>
              <w:jc w:val="right"/>
            </w:pPr>
            <w:r>
              <w:rPr>
                <w:rFonts w:hint="eastAsia"/>
              </w:rPr>
              <w:t xml:space="preserve"> 10,137,216.96 </w:t>
            </w:r>
          </w:p>
        </w:tc>
        <w:tc>
          <w:tcPr>
            <w:tcW w:w="2187" w:type="pct"/>
          </w:tcPr>
          <w:p>
            <w:pPr>
              <w:jc w:val="right"/>
            </w:pPr>
            <w:r>
              <w:rPr>
                <w:rFonts w:hint="eastAsia"/>
              </w:rPr>
              <w:t xml:space="preserve"> 12.88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26" w:type="pct"/>
          </w:tcPr>
          <w:p>
            <w:pPr>
              <w:ind w:right="105"/>
            </w:pPr>
            <w:r>
              <w:t>供应商</w:t>
            </w:r>
            <w:r>
              <w:rPr>
                <w:rFonts w:hint="eastAsia"/>
              </w:rPr>
              <w:t>3</w:t>
            </w:r>
          </w:p>
        </w:tc>
        <w:tc>
          <w:tcPr>
            <w:tcW w:w="1286" w:type="pct"/>
          </w:tcPr>
          <w:p>
            <w:pPr>
              <w:ind w:right="73"/>
              <w:jc w:val="right"/>
            </w:pPr>
            <w:r>
              <w:rPr>
                <w:rFonts w:hint="eastAsia"/>
              </w:rPr>
              <w:t xml:space="preserve"> 9,463,673.93 </w:t>
            </w:r>
          </w:p>
        </w:tc>
        <w:tc>
          <w:tcPr>
            <w:tcW w:w="2187" w:type="pct"/>
          </w:tcPr>
          <w:p>
            <w:pPr>
              <w:jc w:val="right"/>
            </w:pPr>
            <w:r>
              <w:rPr>
                <w:rFonts w:hint="eastAsia"/>
              </w:rPr>
              <w:t xml:space="preserve"> 12.02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26" w:type="pct"/>
          </w:tcPr>
          <w:p>
            <w:pPr>
              <w:ind w:right="105"/>
            </w:pPr>
            <w:r>
              <w:t>供应商</w:t>
            </w:r>
            <w:r>
              <w:rPr>
                <w:rFonts w:hint="eastAsia"/>
              </w:rPr>
              <w:t>4</w:t>
            </w:r>
          </w:p>
        </w:tc>
        <w:tc>
          <w:tcPr>
            <w:tcW w:w="1286" w:type="pct"/>
          </w:tcPr>
          <w:p>
            <w:pPr>
              <w:ind w:right="73"/>
              <w:jc w:val="right"/>
            </w:pPr>
            <w:r>
              <w:rPr>
                <w:rFonts w:hint="eastAsia"/>
              </w:rPr>
              <w:t xml:space="preserve"> 4,681,756.15 </w:t>
            </w:r>
          </w:p>
        </w:tc>
        <w:tc>
          <w:tcPr>
            <w:tcW w:w="2187" w:type="pct"/>
          </w:tcPr>
          <w:p>
            <w:pPr>
              <w:jc w:val="right"/>
            </w:pPr>
            <w:r>
              <w:rPr>
                <w:rFonts w:hint="eastAsia"/>
              </w:rPr>
              <w:t xml:space="preserve"> 5.95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26" w:type="pct"/>
          </w:tcPr>
          <w:p>
            <w:pPr>
              <w:ind w:right="105"/>
            </w:pPr>
            <w:r>
              <w:t>供应商</w:t>
            </w:r>
            <w:r>
              <w:rPr>
                <w:rFonts w:hint="eastAsia"/>
              </w:rPr>
              <w:t>5</w:t>
            </w:r>
          </w:p>
        </w:tc>
        <w:tc>
          <w:tcPr>
            <w:tcW w:w="1286" w:type="pct"/>
          </w:tcPr>
          <w:p>
            <w:pPr>
              <w:ind w:right="73"/>
              <w:jc w:val="right"/>
            </w:pPr>
            <w:r>
              <w:rPr>
                <w:rFonts w:hint="eastAsia"/>
              </w:rPr>
              <w:t xml:space="preserve"> 4,084,027.22 </w:t>
            </w:r>
          </w:p>
        </w:tc>
        <w:tc>
          <w:tcPr>
            <w:tcW w:w="2187" w:type="pct"/>
          </w:tcPr>
          <w:p>
            <w:pPr>
              <w:jc w:val="right"/>
            </w:pPr>
            <w:r>
              <w:rPr>
                <w:rFonts w:hint="eastAsia"/>
              </w:rPr>
              <w:t xml:space="preserve"> 5.19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526" w:type="pct"/>
          </w:tcPr>
          <w:p>
            <w:pPr>
              <w:ind w:right="105"/>
              <w:jc w:val="center"/>
            </w:pPr>
            <w:r>
              <w:rPr>
                <w:rFonts w:hint="eastAsia"/>
              </w:rPr>
              <w:t>合计</w:t>
            </w:r>
          </w:p>
        </w:tc>
        <w:tc>
          <w:tcPr>
            <w:tcW w:w="1286" w:type="pct"/>
          </w:tcPr>
          <w:p>
            <w:pPr>
              <w:ind w:right="73"/>
              <w:jc w:val="right"/>
            </w:pPr>
            <w:r>
              <w:t xml:space="preserve"> 53,866,785.28 </w:t>
            </w:r>
          </w:p>
        </w:tc>
        <w:tc>
          <w:tcPr>
            <w:tcW w:w="2187" w:type="pct"/>
          </w:tcPr>
          <w:p>
            <w:pPr>
              <w:jc w:val="right"/>
            </w:pPr>
            <w:r>
              <w:t xml:space="preserve"> 68.44 </w:t>
            </w:r>
          </w:p>
        </w:tc>
      </w:tr>
    </w:tbl>
    <w:p>
      <w:pPr>
        <w:snapToGrid w:val="0"/>
        <w:spacing w:line="240" w:lineRule="atLeast"/>
      </w:pPr>
      <w:r>
        <w:rPr>
          <w:rFonts w:hint="eastAsia"/>
        </w:rPr>
        <w:t>其他说明：</w:t>
      </w:r>
    </w:p>
    <w:sdt>
      <w:sdtPr>
        <w:rPr>
          <w:color w:val="000000" w:themeColor="text1"/>
          <w14:textFill>
            <w14:solidFill>
              <w14:schemeClr w14:val="tx1"/>
            </w14:solidFill>
          </w14:textFill>
        </w:rPr>
        <w:alias w:val="按预付对象归集的期末余额前五名的预付款情况的说明"/>
        <w:tag w:val="_GBC_e2f1aa285f174786838e4fcd54656fec"/>
        <w:id w:val="1554957528"/>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253"/>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预付帐款的说明[双击切换]"/>
        <w:tag w:val="_GBC_c712ee6483d44c77b1f563e552689c6d"/>
        <w:id w:val="-28419449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其他应收款</w:t>
      </w:r>
    </w:p>
    <w:p>
      <w:pPr>
        <w:pStyle w:val="5"/>
        <w:rPr>
          <w:rFonts w:hint="eastAsia" w:ascii="宋体" w:hAnsi="宋体"/>
          <w:color w:val="000000" w:themeColor="text1"/>
          <w14:textFill>
            <w14:solidFill>
              <w14:schemeClr w14:val="tx1"/>
            </w14:solidFill>
          </w14:textFill>
        </w:rPr>
      </w:pPr>
      <w:bookmarkStart w:id="254" w:name="_Hlk10467611"/>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其他应收款分类列示[双击切换]"/>
        <w:tag w:val="_GBC_23e3e9ad53624abaaa00fc7f7c24842a"/>
        <w:id w:val="-178612001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应收款分类列示"/>
          <w:tag w:val="_GBC_b73f89c776a341249ed520fe726b4db9"/>
          <w:id w:val="15527194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应收款分类列示"/>
          <w:tag w:val="_GBC_a23554f2403346ea97b8fb1ef551ebe4"/>
          <w:id w:val="-136605699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198"/>
        <w:gridCol w:w="2939"/>
        <w:gridCol w:w="2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3b049b9a7f344665a70a23c402afbda5"/>
            <w:id w:val="454840426"/>
          </w:sdtPr>
          <w:sdtContent>
            <w:tc>
              <w:tcPr>
                <w:tcW w:w="176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50a4ba0fb444ea69297bd36780a7618"/>
            <w:id w:val="984509163"/>
          </w:sdtPr>
          <w:sdtContent>
            <w:tc>
              <w:tcPr>
                <w:tcW w:w="162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58c3f70487c440b99a9f440a2d57d1e"/>
            <w:id w:val="250008914"/>
          </w:sdtPr>
          <w:sdtContent>
            <w:tc>
              <w:tcPr>
                <w:tcW w:w="161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5" w:type="pct"/>
          </w:tcPr>
          <w:p>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应收利息</w:t>
            </w:r>
          </w:p>
        </w:tc>
        <w:tc>
          <w:tcPr>
            <w:tcW w:w="1622" w:type="pct"/>
          </w:tcPr>
          <w:p>
            <w:pPr>
              <w:ind w:right="5"/>
              <w:jc w:val="right"/>
            </w:pPr>
          </w:p>
        </w:tc>
        <w:tc>
          <w:tcPr>
            <w:tcW w:w="1613" w:type="pct"/>
          </w:tcPr>
          <w:p>
            <w:pPr>
              <w:ind w:right="5"/>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5" w:type="pct"/>
          </w:tcPr>
          <w:p>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应收股利</w:t>
            </w:r>
          </w:p>
        </w:tc>
        <w:tc>
          <w:tcPr>
            <w:tcW w:w="1622" w:type="pct"/>
          </w:tcPr>
          <w:p>
            <w:pPr>
              <w:ind w:right="5"/>
              <w:jc w:val="right"/>
            </w:pPr>
          </w:p>
        </w:tc>
        <w:tc>
          <w:tcPr>
            <w:tcW w:w="1613" w:type="pct"/>
          </w:tcPr>
          <w:p>
            <w:pPr>
              <w:ind w:right="5"/>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5" w:type="pct"/>
          </w:tcPr>
          <w:p>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其他应收款</w:t>
            </w:r>
          </w:p>
        </w:tc>
        <w:tc>
          <w:tcPr>
            <w:tcW w:w="1622" w:type="pct"/>
          </w:tcPr>
          <w:p>
            <w:pPr>
              <w:ind w:right="5"/>
              <w:jc w:val="right"/>
            </w:pPr>
            <w:r>
              <w:t xml:space="preserve"> 145,674,357.08 </w:t>
            </w:r>
          </w:p>
        </w:tc>
        <w:tc>
          <w:tcPr>
            <w:tcW w:w="1613" w:type="pct"/>
          </w:tcPr>
          <w:p>
            <w:pPr>
              <w:ind w:right="5"/>
              <w:jc w:val="right"/>
            </w:pPr>
            <w:r>
              <w:t xml:space="preserve"> 122,669,436.29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5" w:type="pct"/>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22" w:type="pct"/>
          </w:tcPr>
          <w:p>
            <w:pPr>
              <w:jc w:val="right"/>
            </w:pPr>
            <w:r>
              <w:t xml:space="preserve"> 145,674,357.08 </w:t>
            </w:r>
          </w:p>
        </w:tc>
        <w:tc>
          <w:tcPr>
            <w:tcW w:w="1613" w:type="pct"/>
          </w:tcPr>
          <w:p>
            <w:pPr>
              <w:jc w:val="right"/>
            </w:pPr>
            <w:r>
              <w:t xml:space="preserve"> 122,669,436.29 </w:t>
            </w:r>
          </w:p>
        </w:tc>
      </w:tr>
    </w:tbl>
    <w:p>
      <w:pPr>
        <w:rPr>
          <w:color w:val="000000" w:themeColor="text1"/>
          <w14:textFill>
            <w14:solidFill>
              <w14:schemeClr w14:val="tx1"/>
            </w14:solidFill>
          </w14:textFill>
        </w:rPr>
      </w:pPr>
      <w:bookmarkStart w:id="255" w:name="_Hlk532906097"/>
      <w:r>
        <w:rPr>
          <w:rFonts w:hint="eastAsia"/>
          <w:color w:val="000000" w:themeColor="text1"/>
          <w14:textFill>
            <w14:solidFill>
              <w14:schemeClr w14:val="tx1"/>
            </w14:solidFill>
          </w14:textFill>
        </w:rPr>
        <w:t>其他说明：</w:t>
      </w:r>
      <w:bookmarkEnd w:id="255"/>
    </w:p>
    <w:sdt>
      <w:sdtPr>
        <w:rPr>
          <w:color w:val="000000" w:themeColor="text1"/>
          <w14:textFill>
            <w14:solidFill>
              <w14:schemeClr w14:val="tx1"/>
            </w14:solidFill>
          </w14:textFill>
        </w:rPr>
        <w:alias w:val="是否适用：其他应收款分类列示其他说明[双击切换]"/>
        <w:tag w:val="_GBC_73a4089b33094d13b0ea7c9bf8cfb58f"/>
        <w:id w:val="15295914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54"/>
    <w:p>
      <w:pPr>
        <w:pStyle w:val="5"/>
        <w:tabs>
          <w:tab w:val="left" w:pos="546"/>
        </w:tabs>
        <w:rPr>
          <w:rFonts w:hint="eastAsia" w:ascii="宋体" w:hAnsi="宋体"/>
          <w:color w:val="000000" w:themeColor="text1"/>
          <w14:textFill>
            <w14:solidFill>
              <w14:schemeClr w14:val="tx1"/>
            </w14:solidFill>
          </w14:textFill>
        </w:rPr>
      </w:pPr>
      <w:r>
        <w:rPr>
          <w:rFonts w:hint="eastAsia" w:ascii="宋体" w:hAnsi="宋体" w:cs="宋体"/>
          <w:color w:val="000000" w:themeColor="text1"/>
          <w:kern w:val="0"/>
          <w:szCs w:val="22"/>
          <w14:textFill>
            <w14:solidFill>
              <w14:schemeClr w14:val="tx1"/>
            </w14:solidFill>
          </w14:textFill>
        </w:rPr>
        <w:t>应收利息</w:t>
      </w:r>
    </w:p>
    <w:p>
      <w:pPr>
        <w:pStyle w:val="6"/>
        <w:numPr>
          <w:ilvl w:val="0"/>
          <w:numId w:val="47"/>
        </w:numPr>
      </w:pPr>
      <w:r>
        <w:rPr>
          <w:rFonts w:hint="eastAsia"/>
        </w:rPr>
        <w:t>应收利息分类</w:t>
      </w:r>
    </w:p>
    <w:sdt>
      <w:sdtPr>
        <w:rPr>
          <w:color w:val="000000" w:themeColor="text1"/>
          <w14:textFill>
            <w14:solidFill>
              <w14:schemeClr w14:val="tx1"/>
            </w14:solidFill>
          </w14:textFill>
        </w:rPr>
        <w:alias w:val="是否适用：应收利息分类[双击切换]"/>
        <w:tag w:val="_GBC_86f9e9a81d7d4e07ae6873a88ddf6cc7"/>
        <w:id w:val="-111174024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6"/>
        <w:numPr>
          <w:ilvl w:val="0"/>
          <w:numId w:val="47"/>
        </w:numPr>
      </w:pPr>
      <w:r>
        <w:rPr>
          <w:rFonts w:hint="eastAsia"/>
        </w:rPr>
        <w:t>重要逾期利息</w:t>
      </w:r>
    </w:p>
    <w:sdt>
      <w:sdtPr>
        <w:rPr>
          <w:color w:val="000000" w:themeColor="text1"/>
          <w14:textFill>
            <w14:solidFill>
              <w14:schemeClr w14:val="tx1"/>
            </w14:solidFill>
          </w14:textFill>
        </w:rPr>
        <w:alias w:val="是否适用：重要逾期利息[双击切换]"/>
        <w:tag w:val="_GBC_4554f307ef2241a583829b74df8ef0c3"/>
        <w:id w:val="155141350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6"/>
        <w:numPr>
          <w:ilvl w:val="0"/>
          <w:numId w:val="47"/>
        </w:numPr>
      </w:pPr>
      <w:bookmarkStart w:id="256" w:name="_Hlk167889561"/>
      <w:bookmarkStart w:id="257" w:name="_Hlk153374831"/>
      <w:r>
        <w:rPr>
          <w:rFonts w:hint="eastAsia"/>
        </w:rPr>
        <w:t>按坏账计提方法分类披露</w:t>
      </w:r>
    </w:p>
    <w:sdt>
      <w:sdtPr>
        <w:rPr>
          <w:color w:val="000000" w:themeColor="text1"/>
          <w14:textFill>
            <w14:solidFill>
              <w14:schemeClr w14:val="tx1"/>
            </w14:solidFill>
          </w14:textFill>
        </w:rPr>
        <w:alias w:val="是否适用：按坏账计提方法分类披露[双击切换]"/>
        <w:tag w:val="_GBC_e7c7032e67f14d5baddb2d7b0cdebf38"/>
        <w:id w:val="-12384877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按单项计提坏账准备的详细情况[双击切换]"/>
        <w:tag w:val="_GBC_07ebcd379e854ad8bd9de0d3ef457583"/>
        <w:id w:val="-202215342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说明[双击切换]"/>
        <w:tag w:val="_GBC_5e47d50d50fc4b3095057ac3908e407b"/>
        <w:id w:val="117005979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按组合计提坏账准备的详细情况[双击切换]"/>
        <w:tag w:val="_GBC_0dc49505e0b44d56bf15079c4ea20a9a"/>
        <w:id w:val="-1850010352"/>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pPr>
            <w:rPr>
              <w:color w:val="000000" w:themeColor="text1"/>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bookmarkEnd w:id="256"/>
    <w:bookmarkEnd w:id="257"/>
    <w:p>
      <w:pPr>
        <w:pStyle w:val="6"/>
        <w:numPr>
          <w:ilvl w:val="0"/>
          <w:numId w:val="47"/>
        </w:numPr>
      </w:pPr>
      <w:bookmarkStart w:id="258" w:name="_Hlk10468247"/>
      <w:r>
        <w:rPr>
          <w:rFonts w:hint="eastAsia"/>
        </w:rPr>
        <w:t>按预期信用损失一般模型计提坏账准备</w:t>
      </w:r>
    </w:p>
    <w:sdt>
      <w:sdtPr>
        <w:rPr>
          <w:color w:val="000000" w:themeColor="text1"/>
          <w14:textFill>
            <w14:solidFill>
              <w14:schemeClr w14:val="tx1"/>
            </w14:solidFill>
          </w14:textFill>
        </w:rPr>
        <w:alias w:val="是否适用：应收利息坏账准备调节表[双击切换]"/>
        <w:tag w:val="_GBC_2081adab30854417bcfae25caae8c9f9"/>
        <w:id w:val="128053556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58"/>
    <w:p>
      <w:pPr>
        <w:pStyle w:val="6"/>
        <w:numPr>
          <w:ilvl w:val="0"/>
          <w:numId w:val="47"/>
        </w:numPr>
      </w:pPr>
      <w:bookmarkStart w:id="259" w:name="_Hlk153375041"/>
      <w:bookmarkStart w:id="260" w:name="_Hlk167889778"/>
      <w:r>
        <w:rPr>
          <w:rFonts w:hint="eastAsia"/>
        </w:rPr>
        <w:t>坏账准备的情况</w:t>
      </w:r>
    </w:p>
    <w:sdt>
      <w:sdtPr>
        <w:rPr>
          <w:color w:val="000000" w:themeColor="text1"/>
          <w14:textFill>
            <w14:solidFill>
              <w14:schemeClr w14:val="tx1"/>
            </w14:solidFill>
          </w14:textFill>
        </w:rPr>
        <w:alias w:val="是否适用：坏账准备情况[双击切换]"/>
        <w:tag w:val="_GBC_4a551e6f1c064b2d9170d6f608a5d12b"/>
        <w:id w:val="-101523155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5092fe8f9b7d425eb163b84fd07f53f0"/>
        <w:id w:val="-42742934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坏账准备情况的说明"/>
        <w:tag w:val="_GBC_456f6a2707124917aced7af3ec2980f6"/>
        <w:id w:val="276300849"/>
        <w:placeholder>
          <w:docPart w:val="GBC22222222222222222222222222222"/>
        </w:placeholder>
      </w:sdtPr>
      <w:sdtEndPr>
        <w:rPr>
          <w:color w:val="000000" w:themeColor="text1"/>
          <w14:textFill>
            <w14:solidFill>
              <w14:schemeClr w14:val="tx1"/>
            </w14:solidFill>
          </w14:textFill>
        </w:rPr>
      </w:sdtEndPr>
      <w:sdtContent>
        <w:p>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6"/>
        <w:numPr>
          <w:ilvl w:val="0"/>
          <w:numId w:val="47"/>
        </w:numPr>
      </w:pPr>
      <w:r>
        <w:rPr>
          <w:rFonts w:hint="eastAsia"/>
        </w:rPr>
        <w:t>本期实际核销的应收利息情况</w:t>
      </w:r>
    </w:p>
    <w:sdt>
      <w:sdtPr>
        <w:rPr>
          <w:color w:val="000000" w:themeColor="text1"/>
          <w14:textFill>
            <w14:solidFill>
              <w14:schemeClr w14:val="tx1"/>
            </w14:solidFill>
          </w14:textFill>
        </w:rPr>
        <w:alias w:val="是否适用：实际核销的情况[双击切换]"/>
        <w:tag w:val="_GBC_4b850c38d1264ec6b7921671d08b78eb"/>
        <w:id w:val="29071233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其中重要的应收利息核销情况</w:t>
      </w:r>
    </w:p>
    <w:sdt>
      <w:sdtPr>
        <w:rPr>
          <w:rFonts w:hint="eastAsia"/>
          <w:color w:val="000000" w:themeColor="text1"/>
          <w14:textFill>
            <w14:solidFill>
              <w14:schemeClr w14:val="tx1"/>
            </w14:solidFill>
          </w14:textFill>
        </w:rPr>
        <w:alias w:val="是否适用：重要的核销情况[双击切换]"/>
        <w:tag w:val="_GBC_01d7a4e15dbb43749e9afdba26e20527"/>
        <w:id w:val="1314374691"/>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核销说明[双击切换]"/>
        <w:tag w:val="_GBC_fa943be869f247e4945a7336e3ce2e1f"/>
        <w:id w:val="-602718793"/>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59"/>
    <w:bookmarkEnd w:id="260"/>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收利息的说明[双击切换]"/>
        <w:tag w:val="_GBC_9fcbab94f58048baace4761ca17ae925"/>
        <w:id w:val="-25922071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应收股利</w:t>
      </w:r>
    </w:p>
    <w:p>
      <w:pPr>
        <w:pStyle w:val="6"/>
        <w:numPr>
          <w:ilvl w:val="0"/>
          <w:numId w:val="47"/>
        </w:numPr>
      </w:pPr>
      <w:r>
        <w:rPr>
          <w:rFonts w:hint="eastAsia"/>
        </w:rPr>
        <w:t>应收股利</w:t>
      </w:r>
    </w:p>
    <w:sdt>
      <w:sdtPr>
        <w:rPr>
          <w:color w:val="000000" w:themeColor="text1"/>
          <w14:textFill>
            <w14:solidFill>
              <w14:schemeClr w14:val="tx1"/>
            </w14:solidFill>
          </w14:textFill>
        </w:rPr>
        <w:alias w:val="是否适用：应收股利[双击切换]"/>
        <w:tag w:val="_GBC_002b8ba295db406eb34a179aa27a4801"/>
        <w:id w:val="-141955580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6"/>
        <w:numPr>
          <w:ilvl w:val="0"/>
          <w:numId w:val="47"/>
        </w:numPr>
      </w:pPr>
      <w:r>
        <w:rPr>
          <w:rFonts w:hint="eastAsia"/>
        </w:rPr>
        <w:t>重要的账龄超过1年的应收股利</w:t>
      </w:r>
    </w:p>
    <w:p>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重要的账龄超过1年的应收股利[双击切换]"/>
          <w:tag w:val="_GBC_9aa7ef4a3c0c40638901a5b7f6224231"/>
          <w:id w:val="-1152451180"/>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pStyle w:val="6"/>
        <w:numPr>
          <w:ilvl w:val="0"/>
          <w:numId w:val="47"/>
        </w:numPr>
      </w:pPr>
      <w:bookmarkStart w:id="261" w:name="_Hlk167889908"/>
      <w:bookmarkStart w:id="262" w:name="_Hlk153377225"/>
      <w:r>
        <w:rPr>
          <w:rFonts w:hint="eastAsia"/>
        </w:rPr>
        <w:t>按坏账计提方法分类披露</w:t>
      </w:r>
    </w:p>
    <w:sdt>
      <w:sdtPr>
        <w:rPr>
          <w:color w:val="000000" w:themeColor="text1"/>
          <w14:textFill>
            <w14:solidFill>
              <w14:schemeClr w14:val="tx1"/>
            </w14:solidFill>
          </w14:textFill>
        </w:rPr>
        <w:alias w:val="是否适用：按坏账计提方法分类披露[双击切换]"/>
        <w:tag w:val="_GBC_8b70ad2470ad4f7fa9d5783df04c53e3"/>
        <w:id w:val="-192216894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按单项计提坏账准备的详细情况[双击切换]"/>
        <w:tag w:val="_GBC_483991b4a15b41e5972cf3114089a5f0"/>
        <w:id w:val="-177222411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说明[双击切换]"/>
        <w:tag w:val="_GBC_d7afb2e278434689a41c386c91ae5fd8"/>
        <w:id w:val="-182464680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按组合计提坏账准备的详细情况[双击切换]"/>
        <w:tag w:val="_GBC_37434366d06a4e49b22522b1d88358dd"/>
        <w:id w:val="-833449655"/>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pPr>
            <w:rPr>
              <w:color w:val="000000" w:themeColor="text1"/>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bookmarkEnd w:id="261"/>
    <w:bookmarkEnd w:id="262"/>
    <w:p>
      <w:pPr>
        <w:pStyle w:val="6"/>
        <w:numPr>
          <w:ilvl w:val="0"/>
          <w:numId w:val="47"/>
        </w:numPr>
      </w:pPr>
      <w:bookmarkStart w:id="263" w:name="_Hlk10468610"/>
      <w:r>
        <w:rPr>
          <w:rFonts w:hint="eastAsia"/>
        </w:rPr>
        <w:t>按预期信用损失一般模型计提坏账准备</w:t>
      </w:r>
    </w:p>
    <w:sdt>
      <w:sdtPr>
        <w:rPr>
          <w:color w:val="000000" w:themeColor="text1"/>
          <w14:textFill>
            <w14:solidFill>
              <w14:schemeClr w14:val="tx1"/>
            </w14:solidFill>
          </w14:textFill>
        </w:rPr>
        <w:alias w:val="是否适用：应收股利坏账准备调节表[双击切换]"/>
        <w:tag w:val="_GBC_5a51eb2bfb0643eb8b9c73cdd0dbec60"/>
        <w:id w:val="-32358678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63"/>
    <w:p>
      <w:pPr>
        <w:pStyle w:val="6"/>
        <w:numPr>
          <w:ilvl w:val="0"/>
          <w:numId w:val="47"/>
        </w:numPr>
      </w:pPr>
      <w:bookmarkStart w:id="264" w:name="_Hlk153377452"/>
      <w:bookmarkStart w:id="265" w:name="_Hlk167890094"/>
      <w:r>
        <w:rPr>
          <w:rFonts w:hint="eastAsia"/>
        </w:rPr>
        <w:t>坏账准备的情况</w:t>
      </w:r>
    </w:p>
    <w:sdt>
      <w:sdtPr>
        <w:rPr>
          <w:color w:val="000000" w:themeColor="text1"/>
          <w14:textFill>
            <w14:solidFill>
              <w14:schemeClr w14:val="tx1"/>
            </w14:solidFill>
          </w14:textFill>
        </w:rPr>
        <w:alias w:val="是否适用：坏账准备情况[双击切换]"/>
        <w:tag w:val="_GBC_27a4f54f16d145c384ec77d7ec602dbc"/>
        <w:id w:val="-22422583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e4fd140c18e841efba2e4cb5bf308654"/>
        <w:id w:val="34491841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坏账准备情况的说明"/>
        <w:tag w:val="_GBC_414c7640b0394cf3a868f0350c981765"/>
        <w:id w:val="1669977905"/>
        <w:placeholder>
          <w:docPart w:val="GBC22222222222222222222222222222"/>
        </w:placeholder>
      </w:sdtPr>
      <w:sdtEndPr>
        <w:rPr>
          <w:color w:val="000000" w:themeColor="text1"/>
          <w14:textFill>
            <w14:solidFill>
              <w14:schemeClr w14:val="tx1"/>
            </w14:solidFill>
          </w14:textFill>
        </w:rPr>
      </w:sdtEndPr>
      <w:sdtContent>
        <w:p>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6"/>
        <w:numPr>
          <w:ilvl w:val="0"/>
          <w:numId w:val="47"/>
        </w:numPr>
      </w:pPr>
      <w:r>
        <w:rPr>
          <w:rFonts w:hint="eastAsia"/>
        </w:rPr>
        <w:t>本期实际核销的应收股利情况</w:t>
      </w:r>
    </w:p>
    <w:sdt>
      <w:sdtPr>
        <w:rPr>
          <w:color w:val="000000" w:themeColor="text1"/>
          <w14:textFill>
            <w14:solidFill>
              <w14:schemeClr w14:val="tx1"/>
            </w14:solidFill>
          </w14:textFill>
        </w:rPr>
        <w:alias w:val="是否适用：实际核销的情况[双击切换]"/>
        <w:tag w:val="_GBC_9eaf5a867a514dab9094fbf8401be69b"/>
        <w:id w:val="-36629842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其中重要的应收股利核销情况</w:t>
      </w:r>
    </w:p>
    <w:sdt>
      <w:sdtPr>
        <w:rPr>
          <w:rFonts w:hint="eastAsia"/>
          <w:color w:val="000000" w:themeColor="text1"/>
          <w14:textFill>
            <w14:solidFill>
              <w14:schemeClr w14:val="tx1"/>
            </w14:solidFill>
          </w14:textFill>
        </w:rPr>
        <w:alias w:val="是否适用：重要的核销情况[双击切换]"/>
        <w:tag w:val="_GBC_5cf96e8ce96146ed94b21417af438fca"/>
        <w:id w:val="-2007583523"/>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核销说明[双击切换]"/>
        <w:tag w:val="_GBC_cdab003e34144d27a769732520f8f54a"/>
        <w:id w:val="-439453943"/>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64"/>
    <w:bookmarkEnd w:id="265"/>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收股利的说明[双击切换]"/>
        <w:tag w:val="_GBC_108dd924d7ca4fa78961046db5cd354e"/>
        <w:id w:val="-1862935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其他应收款</w:t>
      </w:r>
    </w:p>
    <w:p>
      <w:pPr>
        <w:pStyle w:val="6"/>
        <w:numPr>
          <w:ilvl w:val="0"/>
          <w:numId w:val="47"/>
        </w:numPr>
      </w:pPr>
      <w:bookmarkStart w:id="266" w:name="_Hlk533421204"/>
      <w:bookmarkStart w:id="267" w:name="_Hlk167890330"/>
      <w:r>
        <w:rPr>
          <w:rFonts w:hint="eastAsia"/>
        </w:rPr>
        <w:t>按账龄披露</w:t>
      </w:r>
      <w:bookmarkEnd w:id="266"/>
    </w:p>
    <w:sdt>
      <w:sdtPr>
        <w:rPr>
          <w:rFonts w:hint="eastAsia"/>
          <w:color w:val="000000" w:themeColor="text1"/>
          <w14:textFill>
            <w14:solidFill>
              <w14:schemeClr w14:val="tx1"/>
            </w14:solidFill>
          </w14:textFill>
        </w:rPr>
        <w:alias w:val="是否适用：组合中，按账龄分析法计提坏账准备的其他应收账款[双击切换]"/>
        <w:tag w:val="_GBC_2dc7496d7daf42fabc670f597f99f9a3"/>
        <w:id w:val="1509325958"/>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单项金额不重大但按信用风险特征组合后该组合的风险较大的其他应收账款"/>
          <w:tag w:val="_GBC_cdb739275e9048aba4230ed9bd146a45"/>
          <w:id w:val="199113248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单项金额不重大但按信用风险特征组合后该组合的风险较大的其他应收账款"/>
          <w:tag w:val="_GBC_3fef54d9cee94f85a0131be89bc468aa"/>
          <w:id w:val="65888710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073"/>
        <w:gridCol w:w="2993"/>
        <w:gridCol w:w="2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b6e27a2b2e82491eabe1f7ae934a9024"/>
            <w:id w:val="203837725"/>
          </w:sdtPr>
          <w:sdtContent>
            <w:tc>
              <w:tcPr>
                <w:tcW w:w="169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1ec6a999d56e428c86b4b1d15e441db3"/>
            <w:id w:val="594680146"/>
          </w:sdtPr>
          <w:sdtContent>
            <w:tc>
              <w:tcPr>
                <w:tcW w:w="1652"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tc>
          <w:tcPr>
            <w:tcW w:w="1652" w:type="pct"/>
            <w:tcBorders>
              <w:top w:val="single" w:color="auto" w:sz="4" w:space="0"/>
              <w:left w:val="single" w:color="auto" w:sz="4" w:space="0"/>
              <w:bottom w:val="single" w:color="auto" w:sz="4" w:space="0"/>
              <w:right w:val="single" w:color="auto" w:sz="4" w:space="0"/>
            </w:tcBorders>
          </w:tcPr>
          <w:sdt>
            <w:sdtPr>
              <w:tag w:val="_PLD_7e4dd2ab04c74f9b948d19d48ec6182e"/>
              <w:id w:val="-1422796917"/>
            </w:sdtPr>
            <w:sdtContent>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1年以内（含1年）</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39,181,700.86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15,174,934.15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1至2年</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2,457,664.52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2,156,082.22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2至3年</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1,126,571.76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1,693,864.30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3至4年</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129,318,970.58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129,297,747.98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4至5年</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485,207.42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350,204.62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5年以上</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1,260,112.69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1,092,265.49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173,830,227.83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149,765,098.76 </w:t>
            </w:r>
          </w:p>
        </w:tc>
      </w:tr>
      <w:bookmarkEnd w:id="267"/>
    </w:tbl>
    <w:p>
      <w:pPr>
        <w:pStyle w:val="6"/>
        <w:numPr>
          <w:ilvl w:val="0"/>
          <w:numId w:val="47"/>
        </w:numPr>
      </w:pPr>
      <w:r>
        <w:rPr>
          <w:rFonts w:hint="eastAsia"/>
        </w:rPr>
        <w:t>按款项性质分类情况</w:t>
      </w:r>
    </w:p>
    <w:sdt>
      <w:sdtPr>
        <w:rPr>
          <w:color w:val="000000" w:themeColor="text1"/>
          <w14:textFill>
            <w14:solidFill>
              <w14:schemeClr w14:val="tx1"/>
            </w14:solidFill>
          </w14:textFill>
        </w:rPr>
        <w:alias w:val="是否适用：其他应收款按款项性质分类情况[双击切换]"/>
        <w:tag w:val="_GBC_43f55a27297f4f93b1b4f668134ac6be"/>
        <w:id w:val="133866116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应收款按款项性质分类情况"/>
          <w:tag w:val="_GBC_9a3af1171f5640cd83ea2c41e0145167"/>
          <w:id w:val="-80755277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应收款按款项性质分类情况"/>
          <w:tag w:val="_GBC_0d096e7260294092a6e9a8405d01bc70"/>
          <w:id w:val="23559881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7"/>
        <w:gridCol w:w="2980"/>
        <w:gridCol w:w="2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e66a0098cd34ad6a335156852121360"/>
            <w:id w:val="-1506119146"/>
          </w:sdtPr>
          <w:sdtContent>
            <w:tc>
              <w:tcPr>
                <w:tcW w:w="170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款项性质</w:t>
                </w:r>
              </w:p>
            </w:tc>
          </w:sdtContent>
        </w:sdt>
        <w:sdt>
          <w:sdtPr>
            <w:tag w:val="_PLD_51fee06f6d3944a9bbc7bac249ed63b6"/>
            <w:id w:val="373507196"/>
          </w:sdtPr>
          <w:sdtContent>
            <w:tc>
              <w:tcPr>
                <w:tcW w:w="164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sdt>
          <w:sdtPr>
            <w:tag w:val="_PLD_0297dadecff24ff8926a98d0267a917b"/>
            <w:id w:val="-1463889026"/>
          </w:sdtPr>
          <w:sdtContent>
            <w:tc>
              <w:tcPr>
                <w:tcW w:w="165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pPr>
              <w:pStyle w:val="48"/>
            </w:pPr>
            <w:r>
              <w:rPr>
                <w:rFonts w:hint="eastAsia"/>
              </w:rPr>
              <w:t>押金及保证金</w:t>
            </w:r>
          </w:p>
        </w:tc>
        <w:tc>
          <w:tcPr>
            <w:tcW w:w="1647" w:type="pct"/>
          </w:tcPr>
          <w:p>
            <w:pPr>
              <w:jc w:val="right"/>
            </w:pPr>
            <w:r>
              <w:t xml:space="preserve"> 34,624,808.32 </w:t>
            </w:r>
          </w:p>
        </w:tc>
        <w:tc>
          <w:tcPr>
            <w:tcW w:w="1653" w:type="pct"/>
          </w:tcPr>
          <w:p>
            <w:pPr>
              <w:jc w:val="right"/>
            </w:pPr>
            <w:r>
              <w:t xml:space="preserve"> 19,034,581.86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pPr>
              <w:pStyle w:val="48"/>
            </w:pPr>
            <w:r>
              <w:rPr>
                <w:rFonts w:hint="eastAsia"/>
              </w:rPr>
              <w:t>土地补偿款</w:t>
            </w:r>
          </w:p>
        </w:tc>
        <w:tc>
          <w:tcPr>
            <w:tcW w:w="1647" w:type="pct"/>
          </w:tcPr>
          <w:p>
            <w:pPr>
              <w:jc w:val="right"/>
            </w:pPr>
            <w:r>
              <w:t xml:space="preserve"> 128,226,000.00 </w:t>
            </w:r>
          </w:p>
        </w:tc>
        <w:tc>
          <w:tcPr>
            <w:tcW w:w="1653" w:type="pct"/>
          </w:tcPr>
          <w:p>
            <w:pPr>
              <w:jc w:val="right"/>
            </w:pPr>
            <w:r>
              <w:t xml:space="preserve"> 128,226,000.00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pPr>
              <w:pStyle w:val="48"/>
            </w:pPr>
            <w:r>
              <w:rPr>
                <w:rFonts w:hint="eastAsia"/>
              </w:rPr>
              <w:t>往来及其他</w:t>
            </w:r>
          </w:p>
        </w:tc>
        <w:tc>
          <w:tcPr>
            <w:tcW w:w="1647" w:type="pct"/>
          </w:tcPr>
          <w:p>
            <w:pPr>
              <w:jc w:val="right"/>
            </w:pPr>
            <w:r>
              <w:t xml:space="preserve"> 10,979,419.51 </w:t>
            </w:r>
          </w:p>
        </w:tc>
        <w:tc>
          <w:tcPr>
            <w:tcW w:w="1653" w:type="pct"/>
          </w:tcPr>
          <w:p>
            <w:pPr>
              <w:jc w:val="right"/>
            </w:pPr>
            <w:r>
              <w:t xml:space="preserve"> 2,504,516.90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647" w:type="pct"/>
          </w:tcPr>
          <w:p>
            <w:pPr>
              <w:jc w:val="right"/>
            </w:pPr>
            <w:r>
              <w:t xml:space="preserve"> 173,830,227.83 </w:t>
            </w:r>
          </w:p>
        </w:tc>
        <w:tc>
          <w:tcPr>
            <w:tcW w:w="1653" w:type="pct"/>
          </w:tcPr>
          <w:p>
            <w:pPr>
              <w:jc w:val="right"/>
            </w:pPr>
            <w:r>
              <w:t xml:space="preserve"> 149,765,098.76 </w:t>
            </w:r>
          </w:p>
        </w:tc>
      </w:tr>
    </w:tbl>
    <w:p>
      <w:pPr>
        <w:pStyle w:val="6"/>
        <w:numPr>
          <w:ilvl w:val="0"/>
          <w:numId w:val="47"/>
        </w:numPr>
      </w:pPr>
      <w:bookmarkStart w:id="268" w:name="_Hlk10469799"/>
      <w:r>
        <w:rPr>
          <w:rFonts w:hint="eastAsia"/>
        </w:rPr>
        <w:t>坏账准备计提情况</w:t>
      </w:r>
    </w:p>
    <w:sdt>
      <w:sdtPr>
        <w:rPr>
          <w:color w:val="000000" w:themeColor="text1"/>
          <w14:textFill>
            <w14:solidFill>
              <w14:schemeClr w14:val="tx1"/>
            </w14:solidFill>
          </w14:textFill>
        </w:rPr>
        <w:alias w:val="是否适用：其他应收款坏账准备调节表[双击切换]"/>
        <w:tag w:val="_GBC_29d0c5a1588a4f6589b1f8148c9ef180"/>
        <w:id w:val="-25521094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autoSpaceDE w:val="0"/>
        <w:autoSpaceDN w:val="0"/>
        <w:adjustRightInd w:val="0"/>
        <w:ind w:right="105" w:rightChars="5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应收款坏账准备调节表"/>
          <w:tag w:val="_GBC_c65b82e3cfaf4fde8d75eac8c9a6e9f9"/>
          <w:id w:val="100255343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应收款坏账准备调节表"/>
          <w:tag w:val="_GBC_08cd78a434cc441cbfff10030c5a8719"/>
          <w:id w:val="-717420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2"/>
        <w:gridCol w:w="1721"/>
        <w:gridCol w:w="1927"/>
        <w:gridCol w:w="1929"/>
        <w:gridCol w:w="1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df16deeb9614db49d9aa88a31229d9a"/>
            <w:id w:val="-1139647795"/>
          </w:sdtPr>
          <w:sdtContent>
            <w:tc>
              <w:tcPr>
                <w:tcW w:w="968" w:type="pct"/>
                <w:vMerge w:val="restart"/>
                <w:vAlign w:val="center"/>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坏账准备</w:t>
                </w:r>
              </w:p>
            </w:tc>
          </w:sdtContent>
        </w:sdt>
        <w:sdt>
          <w:sdtPr>
            <w:tag w:val="_PLD_f47baed0f5d14c0486b4530b2aa1cb4c"/>
            <w:id w:val="-1042972446"/>
          </w:sdtPr>
          <w:sdtContent>
            <w:tc>
              <w:tcPr>
                <w:tcW w:w="951" w:type="pct"/>
                <w:vAlign w:val="center"/>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第一阶段</w:t>
                </w:r>
              </w:p>
            </w:tc>
          </w:sdtContent>
        </w:sdt>
        <w:sdt>
          <w:sdtPr>
            <w:tag w:val="_PLD_a29dd4725bec4eb78b246b92252a24df"/>
            <w:id w:val="-1413315775"/>
          </w:sdtPr>
          <w:sdtContent>
            <w:tc>
              <w:tcPr>
                <w:tcW w:w="1065" w:type="pct"/>
                <w:vAlign w:val="center"/>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第二阶段</w:t>
                </w:r>
              </w:p>
            </w:tc>
          </w:sdtContent>
        </w:sdt>
        <w:sdt>
          <w:sdtPr>
            <w:tag w:val="_PLD_c495a5d3c56f4cb9a0bd5cc9cc9b5410"/>
            <w:id w:val="-1177024012"/>
          </w:sdtPr>
          <w:sdtContent>
            <w:tc>
              <w:tcPr>
                <w:tcW w:w="1066" w:type="pct"/>
                <w:vAlign w:val="center"/>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第三阶段</w:t>
                </w:r>
              </w:p>
            </w:tc>
          </w:sdtContent>
        </w:sdt>
        <w:sdt>
          <w:sdtPr>
            <w:tag w:val="_PLD_0dc8bab0b7424c1295b83fcc97ca7554"/>
            <w:id w:val="644634277"/>
          </w:sdtPr>
          <w:sdtContent>
            <w:tc>
              <w:tcPr>
                <w:tcW w:w="950" w:type="pct"/>
                <w:vMerge w:val="restart"/>
                <w:vAlign w:val="center"/>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合计</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Merge w:val="continue"/>
            <w:vAlign w:val="center"/>
          </w:tcPr>
          <w:p>
            <w:pPr>
              <w:jc w:val="center"/>
              <w:rPr>
                <w:color w:val="000000" w:themeColor="text1"/>
                <w14:textFill>
                  <w14:solidFill>
                    <w14:schemeClr w14:val="tx1"/>
                  </w14:solidFill>
                </w14:textFill>
              </w:rPr>
            </w:pPr>
          </w:p>
        </w:tc>
        <w:sdt>
          <w:sdtPr>
            <w:tag w:val="_PLD_08f8b6a1fd974f0d8ae0c04f27849740"/>
            <w:id w:val="1473336790"/>
          </w:sdtPr>
          <w:sdtContent>
            <w:tc>
              <w:tcPr>
                <w:tcW w:w="951" w:type="pct"/>
                <w:vAlign w:val="center"/>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未来12个月预期信用损失</w:t>
                </w:r>
              </w:p>
            </w:tc>
          </w:sdtContent>
        </w:sdt>
        <w:sdt>
          <w:sdtPr>
            <w:tag w:val="_PLD_c85cfe8f6d6a4ab0af13d30e76cd7800"/>
            <w:id w:val="1100914872"/>
          </w:sdtPr>
          <w:sdtContent>
            <w:tc>
              <w:tcPr>
                <w:tcW w:w="1065" w:type="pct"/>
                <w:vAlign w:val="center"/>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整个存续期预期信用损失(未发生信用减值)</w:t>
                </w:r>
              </w:p>
            </w:tc>
          </w:sdtContent>
        </w:sdt>
        <w:sdt>
          <w:sdtPr>
            <w:tag w:val="_PLD_2df6c7466f224906aa04a411975e6f79"/>
            <w:id w:val="587432177"/>
          </w:sdtPr>
          <w:sdtContent>
            <w:tc>
              <w:tcPr>
                <w:tcW w:w="1066" w:type="pct"/>
                <w:vAlign w:val="center"/>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整个存续期预期信用损失(已发生信用减值)</w:t>
                </w:r>
              </w:p>
            </w:tc>
          </w:sdtContent>
        </w:sdt>
        <w:tc>
          <w:tcPr>
            <w:tcW w:w="950" w:type="pct"/>
            <w:vMerge w:val="continue"/>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2026年</w:t>
            </w:r>
            <w:r>
              <w:rPr>
                <w:rFonts w:hint="eastAsia" w:ascii="宋体" w:hAnsi="宋体" w:eastAsia="宋体" w:cs="宋体"/>
                <w:color w:val="000000" w:themeColor="text1"/>
                <w:sz w:val="21"/>
                <w:szCs w:val="21"/>
                <w:lang w:eastAsia="zh-CN"/>
                <w14:textFill>
                  <w14:solidFill>
                    <w14:schemeClr w14:val="tx1"/>
                  </w14:solidFill>
                </w14:textFill>
              </w:rPr>
              <w:t>1月1日余额</w:t>
            </w:r>
          </w:p>
        </w:tc>
        <w:tc>
          <w:tcPr>
            <w:tcW w:w="951" w:type="pct"/>
            <w:vAlign w:val="center"/>
          </w:tcPr>
          <w:p>
            <w:pPr>
              <w:jc w:val="right"/>
            </w:pPr>
            <w:r>
              <w:t xml:space="preserve"> 758,746.73 </w:t>
            </w:r>
          </w:p>
        </w:tc>
        <w:tc>
          <w:tcPr>
            <w:tcW w:w="1065" w:type="pct"/>
            <w:vAlign w:val="center"/>
          </w:tcPr>
          <w:p>
            <w:pPr>
              <w:jc w:val="right"/>
            </w:pPr>
            <w:r>
              <w:t xml:space="preserve"> 215,608.22 </w:t>
            </w:r>
          </w:p>
        </w:tc>
        <w:tc>
          <w:tcPr>
            <w:tcW w:w="1066" w:type="pct"/>
            <w:vAlign w:val="center"/>
          </w:tcPr>
          <w:p>
            <w:pPr>
              <w:jc w:val="right"/>
            </w:pPr>
            <w:r>
              <w:t xml:space="preserve"> 26,121,307.52 </w:t>
            </w:r>
          </w:p>
        </w:tc>
        <w:tc>
          <w:tcPr>
            <w:tcW w:w="950" w:type="pct"/>
            <w:vAlign w:val="center"/>
          </w:tcPr>
          <w:p>
            <w:pPr>
              <w:jc w:val="right"/>
            </w:pPr>
            <w:r>
              <w:t xml:space="preserve"> 27,095,662.47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2026年1月1日余额在本期</w:t>
            </w:r>
          </w:p>
        </w:tc>
        <w:tc>
          <w:tcPr>
            <w:tcW w:w="951" w:type="pct"/>
            <w:vAlign w:val="center"/>
          </w:tcPr>
          <w:p>
            <w:pPr>
              <w:jc w:val="right"/>
            </w:pPr>
          </w:p>
        </w:tc>
        <w:tc>
          <w:tcPr>
            <w:tcW w:w="1065" w:type="pct"/>
            <w:vAlign w:val="center"/>
          </w:tcPr>
          <w:p>
            <w:pPr>
              <w:jc w:val="right"/>
            </w:pPr>
          </w:p>
        </w:tc>
        <w:tc>
          <w:tcPr>
            <w:tcW w:w="1066" w:type="pct"/>
            <w:vAlign w:val="center"/>
          </w:tcPr>
          <w:p>
            <w:pPr>
              <w:jc w:val="right"/>
            </w:pPr>
          </w:p>
        </w:tc>
        <w:tc>
          <w:tcPr>
            <w:tcW w:w="950"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--转入第二阶段</w:t>
            </w:r>
          </w:p>
        </w:tc>
        <w:tc>
          <w:tcPr>
            <w:tcW w:w="951" w:type="pct"/>
            <w:vAlign w:val="center"/>
          </w:tcPr>
          <w:p>
            <w:pPr>
              <w:jc w:val="right"/>
            </w:pPr>
            <w:r>
              <w:t xml:space="preserve"> -122,883.23 </w:t>
            </w:r>
          </w:p>
        </w:tc>
        <w:tc>
          <w:tcPr>
            <w:tcW w:w="1065" w:type="pct"/>
            <w:vAlign w:val="center"/>
          </w:tcPr>
          <w:p>
            <w:pPr>
              <w:jc w:val="right"/>
            </w:pPr>
            <w:r>
              <w:t xml:space="preserve"> 122,883.23 </w:t>
            </w:r>
          </w:p>
        </w:tc>
        <w:tc>
          <w:tcPr>
            <w:tcW w:w="1066" w:type="pct"/>
            <w:vAlign w:val="center"/>
          </w:tcPr>
          <w:p>
            <w:pPr>
              <w:jc w:val="right"/>
            </w:pPr>
          </w:p>
        </w:tc>
        <w:tc>
          <w:tcPr>
            <w:tcW w:w="950"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--转入第三阶段</w:t>
            </w:r>
          </w:p>
        </w:tc>
        <w:tc>
          <w:tcPr>
            <w:tcW w:w="951" w:type="pct"/>
            <w:vAlign w:val="center"/>
          </w:tcPr>
          <w:p>
            <w:pPr>
              <w:jc w:val="right"/>
            </w:pPr>
          </w:p>
        </w:tc>
        <w:tc>
          <w:tcPr>
            <w:tcW w:w="1065" w:type="pct"/>
            <w:vAlign w:val="center"/>
          </w:tcPr>
          <w:p>
            <w:pPr>
              <w:jc w:val="right"/>
            </w:pPr>
            <w:r>
              <w:t xml:space="preserve"> -112,657.18 </w:t>
            </w:r>
          </w:p>
        </w:tc>
        <w:tc>
          <w:tcPr>
            <w:tcW w:w="1066" w:type="pct"/>
            <w:vAlign w:val="center"/>
          </w:tcPr>
          <w:p>
            <w:pPr>
              <w:jc w:val="right"/>
            </w:pPr>
            <w:r>
              <w:t xml:space="preserve"> 112,657.18 </w:t>
            </w:r>
          </w:p>
        </w:tc>
        <w:tc>
          <w:tcPr>
            <w:tcW w:w="950"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--转回第二阶段</w:t>
            </w:r>
          </w:p>
        </w:tc>
        <w:tc>
          <w:tcPr>
            <w:tcW w:w="951" w:type="pct"/>
            <w:vAlign w:val="center"/>
          </w:tcPr>
          <w:p>
            <w:pPr>
              <w:jc w:val="right"/>
            </w:pPr>
          </w:p>
        </w:tc>
        <w:tc>
          <w:tcPr>
            <w:tcW w:w="1065" w:type="pct"/>
            <w:vAlign w:val="center"/>
          </w:tcPr>
          <w:p>
            <w:pPr>
              <w:jc w:val="right"/>
            </w:pPr>
          </w:p>
        </w:tc>
        <w:tc>
          <w:tcPr>
            <w:tcW w:w="1066" w:type="pct"/>
            <w:vAlign w:val="center"/>
          </w:tcPr>
          <w:p>
            <w:pPr>
              <w:jc w:val="right"/>
            </w:pPr>
          </w:p>
        </w:tc>
        <w:tc>
          <w:tcPr>
            <w:tcW w:w="950"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--转回第一阶段</w:t>
            </w:r>
          </w:p>
        </w:tc>
        <w:tc>
          <w:tcPr>
            <w:tcW w:w="951" w:type="pct"/>
            <w:vAlign w:val="center"/>
          </w:tcPr>
          <w:p>
            <w:pPr>
              <w:jc w:val="right"/>
            </w:pPr>
          </w:p>
        </w:tc>
        <w:tc>
          <w:tcPr>
            <w:tcW w:w="1065" w:type="pct"/>
            <w:vAlign w:val="center"/>
          </w:tcPr>
          <w:p>
            <w:pPr>
              <w:jc w:val="right"/>
            </w:pPr>
          </w:p>
        </w:tc>
        <w:tc>
          <w:tcPr>
            <w:tcW w:w="1066" w:type="pct"/>
            <w:vAlign w:val="center"/>
          </w:tcPr>
          <w:p>
            <w:pPr>
              <w:jc w:val="right"/>
            </w:pPr>
          </w:p>
        </w:tc>
        <w:tc>
          <w:tcPr>
            <w:tcW w:w="950"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本期计提</w:t>
            </w:r>
          </w:p>
        </w:tc>
        <w:tc>
          <w:tcPr>
            <w:tcW w:w="951" w:type="pct"/>
            <w:vAlign w:val="center"/>
          </w:tcPr>
          <w:p>
            <w:pPr>
              <w:jc w:val="right"/>
            </w:pPr>
            <w:r>
              <w:t xml:space="preserve"> 1,025,676.40 </w:t>
            </w:r>
          </w:p>
        </w:tc>
        <w:tc>
          <w:tcPr>
            <w:tcW w:w="1065" w:type="pct"/>
            <w:vAlign w:val="center"/>
          </w:tcPr>
          <w:p>
            <w:pPr>
              <w:jc w:val="right"/>
            </w:pPr>
            <w:r>
              <w:t xml:space="preserve"> 19,932.18 </w:t>
            </w:r>
          </w:p>
        </w:tc>
        <w:tc>
          <w:tcPr>
            <w:tcW w:w="1066" w:type="pct"/>
            <w:vAlign w:val="center"/>
          </w:tcPr>
          <w:p>
            <w:pPr>
              <w:jc w:val="right"/>
            </w:pPr>
            <w:r>
              <w:t>14,599.70</w:t>
            </w:r>
          </w:p>
        </w:tc>
        <w:tc>
          <w:tcPr>
            <w:tcW w:w="950" w:type="pct"/>
            <w:vAlign w:val="center"/>
          </w:tcPr>
          <w:p>
            <w:pPr>
              <w:jc w:val="right"/>
            </w:pPr>
            <w:r>
              <w:t>1,060,208.28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jc w:val="both"/>
              <w:rPr>
                <w:rFonts w:hint="eastAsia" w:ascii="宋体" w:hAnsi="宋体" w:eastAsia="宋体"/>
                <w:color w:val="000000" w:themeColor="text1"/>
                <w:sz w:val="21"/>
                <w:szCs w:val="21"/>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本期转回</w:t>
            </w:r>
          </w:p>
        </w:tc>
        <w:tc>
          <w:tcPr>
            <w:tcW w:w="951" w:type="pct"/>
            <w:vAlign w:val="center"/>
          </w:tcPr>
          <w:p>
            <w:pPr>
              <w:jc w:val="right"/>
            </w:pPr>
          </w:p>
        </w:tc>
        <w:tc>
          <w:tcPr>
            <w:tcW w:w="1065" w:type="pct"/>
            <w:vAlign w:val="center"/>
          </w:tcPr>
          <w:p>
            <w:pPr>
              <w:jc w:val="right"/>
            </w:pPr>
          </w:p>
        </w:tc>
        <w:tc>
          <w:tcPr>
            <w:tcW w:w="1066" w:type="pct"/>
            <w:vAlign w:val="center"/>
          </w:tcPr>
          <w:p>
            <w:pPr>
              <w:jc w:val="right"/>
            </w:pPr>
          </w:p>
        </w:tc>
        <w:tc>
          <w:tcPr>
            <w:tcW w:w="950"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本期转销</w:t>
            </w:r>
          </w:p>
        </w:tc>
        <w:tc>
          <w:tcPr>
            <w:tcW w:w="951" w:type="pct"/>
            <w:vAlign w:val="center"/>
          </w:tcPr>
          <w:p>
            <w:pPr>
              <w:jc w:val="right"/>
            </w:pPr>
          </w:p>
        </w:tc>
        <w:tc>
          <w:tcPr>
            <w:tcW w:w="1065" w:type="pct"/>
            <w:vAlign w:val="center"/>
          </w:tcPr>
          <w:p>
            <w:pPr>
              <w:jc w:val="right"/>
            </w:pPr>
          </w:p>
        </w:tc>
        <w:tc>
          <w:tcPr>
            <w:tcW w:w="1066" w:type="pct"/>
            <w:vAlign w:val="center"/>
          </w:tcPr>
          <w:p>
            <w:pPr>
              <w:jc w:val="right"/>
            </w:pPr>
          </w:p>
        </w:tc>
        <w:tc>
          <w:tcPr>
            <w:tcW w:w="950"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jc w:val="both"/>
              <w:rPr>
                <w:rFonts w:hint="eastAsia" w:ascii="宋体" w:hAnsi="宋体" w:eastAsia="宋体"/>
                <w:color w:val="000000" w:themeColor="text1"/>
                <w:sz w:val="21"/>
                <w:szCs w:val="21"/>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本期核销</w:t>
            </w:r>
          </w:p>
        </w:tc>
        <w:tc>
          <w:tcPr>
            <w:tcW w:w="951" w:type="pct"/>
            <w:vAlign w:val="center"/>
          </w:tcPr>
          <w:p>
            <w:pPr>
              <w:jc w:val="right"/>
            </w:pPr>
          </w:p>
        </w:tc>
        <w:tc>
          <w:tcPr>
            <w:tcW w:w="1065" w:type="pct"/>
            <w:vAlign w:val="center"/>
          </w:tcPr>
          <w:p>
            <w:pPr>
              <w:jc w:val="right"/>
            </w:pPr>
          </w:p>
        </w:tc>
        <w:tc>
          <w:tcPr>
            <w:tcW w:w="1066" w:type="pct"/>
            <w:vAlign w:val="center"/>
          </w:tcPr>
          <w:p>
            <w:pPr>
              <w:jc w:val="right"/>
            </w:pPr>
          </w:p>
        </w:tc>
        <w:tc>
          <w:tcPr>
            <w:tcW w:w="950"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其他变动</w:t>
            </w:r>
          </w:p>
        </w:tc>
        <w:tc>
          <w:tcPr>
            <w:tcW w:w="951" w:type="pct"/>
            <w:vAlign w:val="center"/>
          </w:tcPr>
          <w:p>
            <w:pPr>
              <w:jc w:val="right"/>
            </w:pPr>
          </w:p>
        </w:tc>
        <w:tc>
          <w:tcPr>
            <w:tcW w:w="1065" w:type="pct"/>
            <w:vAlign w:val="center"/>
          </w:tcPr>
          <w:p>
            <w:pPr>
              <w:jc w:val="right"/>
            </w:pPr>
          </w:p>
        </w:tc>
        <w:tc>
          <w:tcPr>
            <w:tcW w:w="1066" w:type="pct"/>
            <w:vAlign w:val="center"/>
          </w:tcPr>
          <w:p>
            <w:pPr>
              <w:jc w:val="right"/>
            </w:pPr>
          </w:p>
        </w:tc>
        <w:tc>
          <w:tcPr>
            <w:tcW w:w="950"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8" w:type="pct"/>
            <w:vAlign w:val="center"/>
          </w:tcPr>
          <w:p>
            <w:pPr>
              <w:pStyle w:val="39"/>
              <w:spacing w:after="0"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2026年6月30日</w:t>
            </w:r>
            <w:r>
              <w:rPr>
                <w:rFonts w:hint="eastAsia" w:ascii="宋体" w:hAnsi="宋体" w:eastAsia="宋体" w:cs="宋体"/>
                <w:color w:val="000000" w:themeColor="text1"/>
                <w:sz w:val="21"/>
                <w:szCs w:val="21"/>
                <w:lang w:eastAsia="zh-CN"/>
                <w14:textFill>
                  <w14:solidFill>
                    <w14:schemeClr w14:val="tx1"/>
                  </w14:solidFill>
                </w14:textFill>
              </w:rPr>
              <w:t>余额</w:t>
            </w:r>
          </w:p>
        </w:tc>
        <w:tc>
          <w:tcPr>
            <w:tcW w:w="951" w:type="pct"/>
            <w:vAlign w:val="center"/>
          </w:tcPr>
          <w:p>
            <w:pPr>
              <w:jc w:val="right"/>
            </w:pPr>
            <w:r>
              <w:t xml:space="preserve"> 1,661,539.90 </w:t>
            </w:r>
          </w:p>
        </w:tc>
        <w:tc>
          <w:tcPr>
            <w:tcW w:w="1065" w:type="pct"/>
            <w:vAlign w:val="center"/>
          </w:tcPr>
          <w:p>
            <w:pPr>
              <w:jc w:val="right"/>
            </w:pPr>
            <w:r>
              <w:t xml:space="preserve"> 245,766.45 </w:t>
            </w:r>
          </w:p>
        </w:tc>
        <w:tc>
          <w:tcPr>
            <w:tcW w:w="1066" w:type="pct"/>
            <w:vAlign w:val="center"/>
          </w:tcPr>
          <w:p>
            <w:pPr>
              <w:jc w:val="right"/>
            </w:pPr>
            <w:r>
              <w:t xml:space="preserve"> 26,248,564.40 </w:t>
            </w:r>
          </w:p>
        </w:tc>
        <w:tc>
          <w:tcPr>
            <w:tcW w:w="950" w:type="pct"/>
            <w:vAlign w:val="center"/>
          </w:tcPr>
          <w:p>
            <w:pPr>
              <w:jc w:val="right"/>
            </w:pPr>
            <w:r>
              <w:t xml:space="preserve"> 28,155,870.75 </w:t>
            </w:r>
          </w:p>
        </w:tc>
      </w:tr>
    </w:tbl>
    <w:p>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其他应收款各阶段划分依据和坏账准备计提比例"/>
        <w:tag w:val="_GBC_db1ccc25244541ad82774f0488b4825b"/>
        <w:id w:val="113105544"/>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pPr>
        <w:pStyle w:val="36"/>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对本期发生损失准备变动的其他应收款账面余额显著变动的情况说明：</w:t>
      </w:r>
    </w:p>
    <w:sdt>
      <w:sdtPr>
        <w:rPr>
          <w:color w:val="000000" w:themeColor="text1"/>
          <w14:textFill>
            <w14:solidFill>
              <w14:schemeClr w14:val="tx1"/>
            </w14:solidFill>
          </w14:textFill>
        </w:rPr>
        <w:alias w:val="是否适用：其他应收款本期发生损失准备变动且账面余额显著变动的情况说明[双击切换]"/>
        <w:tag w:val="_GBC_32e9d68fc5194869baa30fe15720ff13"/>
        <w:id w:val="-23878746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ascii="Times New Roman" w:hAnsi="Times New Roman" w:cs="宋体"/>
          <w:bCs/>
          <w:color w:val="000000" w:themeColor="text1"/>
          <w:sz w:val="21"/>
          <w:szCs w:val="21"/>
          <w14:textFill>
            <w14:solidFill>
              <w14:schemeClr w14:val="tx1"/>
            </w14:solidFill>
          </w14:textFill>
        </w:rPr>
        <w:alias w:val="其他应收款本期发生损失准备变动且账面余额显著变动的情况说明"/>
        <w:tag w:val="_GBC_b0dd7f18e55c4caeb6b5121109090a7a"/>
        <w:id w:val="935174842"/>
        <w:placeholder>
          <w:docPart w:val="10CB9194DA154236BB9BD637D407C0C3"/>
        </w:placeholder>
      </w:sdtPr>
      <w:sdtEndPr>
        <w:rPr>
          <w:rFonts w:ascii="Times New Roman" w:hAnsi="Times New Roman" w:cs="宋体"/>
          <w:bCs/>
          <w:color w:val="000000" w:themeColor="text1"/>
          <w:sz w:val="21"/>
          <w:szCs w:val="20"/>
          <w14:textFill>
            <w14:solidFill>
              <w14:schemeClr w14:val="tx1"/>
            </w14:solidFill>
          </w14:textFill>
        </w:rPr>
      </w:sdtEndPr>
      <w:sdtContent>
        <w:p>
          <w:pPr>
            <w:pStyle w:val="42"/>
            <w:rPr>
              <w:rFonts w:hint="eastAsia"/>
              <w:szCs w:val="20"/>
            </w:rPr>
          </w:pPr>
          <w:r>
            <w:rPr>
              <w:rFonts w:hint="eastAsia" w:asciiTheme="minorEastAsia" w:hAnsiTheme="minorEastAsia" w:eastAsiaTheme="minorEastAsia"/>
              <w:szCs w:val="20"/>
            </w:rPr>
            <w:t>重要的单项计提坏账准备的其他应收款</w:t>
          </w:r>
        </w:p>
        <w:p>
          <w:pPr>
            <w:pStyle w:val="42"/>
            <w:jc w:val="right"/>
            <w:rPr>
              <w:rFonts w:hint="eastAsia" w:asciiTheme="minorEastAsia" w:hAnsiTheme="minorEastAsia" w:eastAsiaTheme="minorEastAsia"/>
              <w:szCs w:val="20"/>
            </w:rPr>
          </w:pPr>
          <w:r>
            <w:rPr>
              <w:rFonts w:hint="eastAsia" w:asciiTheme="minorEastAsia" w:hAnsiTheme="minorEastAsia" w:eastAsiaTheme="minorEastAsia"/>
              <w:szCs w:val="20"/>
            </w:rPr>
            <w:t xml:space="preserve">单位：元 </w:t>
          </w:r>
          <w:r>
            <w:rPr>
              <w:rFonts w:asciiTheme="minorEastAsia" w:hAnsiTheme="minorEastAsia" w:eastAsiaTheme="minorEastAsia"/>
              <w:szCs w:val="20"/>
            </w:rPr>
            <w:t xml:space="preserve"> </w:t>
          </w:r>
          <w:r>
            <w:rPr>
              <w:rFonts w:hint="eastAsia" w:asciiTheme="minorEastAsia" w:hAnsiTheme="minorEastAsia" w:eastAsiaTheme="minorEastAsia"/>
              <w:szCs w:val="20"/>
            </w:rPr>
            <w:t>币种：人民币</w:t>
          </w:r>
        </w:p>
        <w:tbl>
          <w:tblPr>
            <w:tblStyle w:val="41"/>
            <w:tblW w:w="5000" w:type="pct"/>
            <w:tblInd w:w="0" w:type="dxa"/>
            <w:tblLayout w:type="autofit"/>
            <w:tblCellMar>
              <w:top w:w="0" w:type="dxa"/>
              <w:left w:w="108" w:type="dxa"/>
              <w:bottom w:w="0" w:type="dxa"/>
              <w:right w:w="108" w:type="dxa"/>
            </w:tblCellMar>
          </w:tblPr>
          <w:tblGrid>
            <w:gridCol w:w="1013"/>
            <w:gridCol w:w="1647"/>
            <w:gridCol w:w="1698"/>
            <w:gridCol w:w="787"/>
            <w:gridCol w:w="1658"/>
            <w:gridCol w:w="1555"/>
            <w:gridCol w:w="691"/>
          </w:tblGrid>
          <w:tr>
            <w:tblPrEx>
              <w:tblCellMar>
                <w:top w:w="0" w:type="dxa"/>
                <w:left w:w="108" w:type="dxa"/>
                <w:bottom w:w="0" w:type="dxa"/>
                <w:right w:w="108" w:type="dxa"/>
              </w:tblCellMar>
            </w:tblPrEx>
            <w:trPr>
              <w:trHeight w:val="288" w:hRule="atLeast"/>
            </w:trPr>
            <w:tc>
              <w:tcPr>
                <w:tcW w:w="560" w:type="pct"/>
                <w:vMerge w:val="restart"/>
                <w:tcBorders>
                  <w:top w:val="single" w:color="auto" w:sz="4" w:space="0"/>
                  <w:left w:val="single" w:color="auto" w:sz="4" w:space="0"/>
                  <w:bottom w:val="single" w:color="auto" w:sz="4" w:space="0"/>
                  <w:right w:val="single" w:color="auto" w:sz="4" w:space="0"/>
                </w:tcBorders>
                <w:vAlign w:val="center"/>
              </w:tcPr>
              <w:p>
                <w:pPr>
                  <w:widowControl w:val="0"/>
                  <w:autoSpaceDE w:val="0"/>
                  <w:autoSpaceDN w:val="0"/>
                  <w:jc w:val="center"/>
                  <w:rPr>
                    <w:rFonts w:hint="eastAsia" w:cs="Noto Sans CJK JP Regular" w:asciiTheme="minorEastAsia" w:hAnsiTheme="minorEastAsia" w:eastAsiaTheme="minorEastAsia"/>
                    <w:color w:val="000000"/>
                    <w:sz w:val="20"/>
                    <w:szCs w:val="20"/>
                    <w:lang w:eastAsia="en-US"/>
                  </w:rPr>
                </w:pPr>
                <w:r>
                  <w:rPr>
                    <w:rFonts w:hint="eastAsia" w:cs="Noto Sans CJK JP Regular" w:asciiTheme="minorEastAsia" w:hAnsiTheme="minorEastAsia" w:eastAsiaTheme="minorEastAsia"/>
                    <w:sz w:val="20"/>
                    <w:szCs w:val="20"/>
                    <w:lang w:eastAsia="en-US"/>
                  </w:rPr>
                  <w:t>单位名称</w:t>
                </w:r>
              </w:p>
            </w:tc>
            <w:tc>
              <w:tcPr>
                <w:tcW w:w="2283" w:type="pct"/>
                <w:gridSpan w:val="3"/>
                <w:tcBorders>
                  <w:top w:val="single" w:color="auto" w:sz="4" w:space="0"/>
                  <w:left w:val="nil"/>
                  <w:bottom w:val="single" w:color="auto" w:sz="4" w:space="0"/>
                  <w:right w:val="single" w:color="auto" w:sz="4" w:space="0"/>
                </w:tcBorders>
                <w:vAlign w:val="center"/>
              </w:tcPr>
              <w:p>
                <w:pPr>
                  <w:widowControl w:val="0"/>
                  <w:autoSpaceDE w:val="0"/>
                  <w:autoSpaceDN w:val="0"/>
                  <w:jc w:val="center"/>
                  <w:rPr>
                    <w:rFonts w:hint="eastAsia" w:cs="Noto Sans CJK JP Regular" w:asciiTheme="minorEastAsia" w:hAnsiTheme="minorEastAsia" w:eastAsiaTheme="minorEastAsia"/>
                    <w:sz w:val="20"/>
                    <w:szCs w:val="20"/>
                    <w:lang w:eastAsia="en-US"/>
                  </w:rPr>
                </w:pPr>
                <w:r>
                  <w:rPr>
                    <w:rFonts w:hint="eastAsia" w:cs="Noto Sans CJK JP Regular" w:asciiTheme="minorEastAsia" w:hAnsiTheme="minorEastAsia" w:eastAsiaTheme="minorEastAsia"/>
                    <w:sz w:val="20"/>
                    <w:szCs w:val="20"/>
                    <w:lang w:eastAsia="en-US"/>
                  </w:rPr>
                  <w:t>期末数</w:t>
                </w:r>
              </w:p>
            </w:tc>
            <w:tc>
              <w:tcPr>
                <w:tcW w:w="1775" w:type="pct"/>
                <w:gridSpan w:val="2"/>
                <w:tcBorders>
                  <w:top w:val="single" w:color="auto" w:sz="4" w:space="0"/>
                  <w:left w:val="nil"/>
                  <w:bottom w:val="single" w:color="auto" w:sz="4" w:space="0"/>
                  <w:right w:val="single" w:color="auto" w:sz="4" w:space="0"/>
                </w:tcBorders>
                <w:vAlign w:val="center"/>
              </w:tcPr>
              <w:p>
                <w:pPr>
                  <w:widowControl w:val="0"/>
                  <w:autoSpaceDE w:val="0"/>
                  <w:autoSpaceDN w:val="0"/>
                  <w:jc w:val="center"/>
                  <w:rPr>
                    <w:rFonts w:hint="eastAsia" w:cs="Noto Sans CJK JP Regular" w:asciiTheme="minorEastAsia" w:hAnsiTheme="minorEastAsia" w:eastAsiaTheme="minorEastAsia"/>
                    <w:sz w:val="20"/>
                    <w:szCs w:val="20"/>
                    <w:lang w:eastAsia="en-US"/>
                  </w:rPr>
                </w:pPr>
                <w:r>
                  <w:rPr>
                    <w:rFonts w:hint="eastAsia" w:cs="Noto Sans CJK JP Regular" w:asciiTheme="minorEastAsia" w:hAnsiTheme="minorEastAsia" w:eastAsiaTheme="minorEastAsia"/>
                    <w:sz w:val="20"/>
                    <w:szCs w:val="20"/>
                    <w:lang w:eastAsia="en-US"/>
                  </w:rPr>
                  <w:t>期初数</w:t>
                </w:r>
              </w:p>
            </w:tc>
            <w:tc>
              <w:tcPr>
                <w:tcW w:w="382" w:type="pct"/>
                <w:vMerge w:val="restart"/>
                <w:tcBorders>
                  <w:top w:val="single" w:color="auto" w:sz="4" w:space="0"/>
                  <w:left w:val="single" w:color="auto" w:sz="4" w:space="0"/>
                  <w:bottom w:val="single" w:color="auto" w:sz="4" w:space="0"/>
                  <w:right w:val="single" w:color="auto" w:sz="4" w:space="0"/>
                </w:tcBorders>
                <w:vAlign w:val="center"/>
              </w:tcPr>
              <w:p>
                <w:pPr>
                  <w:widowControl w:val="0"/>
                  <w:autoSpaceDE w:val="0"/>
                  <w:autoSpaceDN w:val="0"/>
                  <w:jc w:val="center"/>
                  <w:rPr>
                    <w:rFonts w:hint="eastAsia" w:cs="Noto Sans CJK JP Regular" w:asciiTheme="minorEastAsia" w:hAnsiTheme="minorEastAsia" w:eastAsiaTheme="minorEastAsia"/>
                    <w:sz w:val="20"/>
                    <w:szCs w:val="20"/>
                    <w:lang w:eastAsia="en-US"/>
                  </w:rPr>
                </w:pPr>
                <w:r>
                  <w:rPr>
                    <w:rFonts w:hint="eastAsia" w:cs="Noto Sans CJK JP Regular" w:asciiTheme="minorEastAsia" w:hAnsiTheme="minorEastAsia" w:eastAsiaTheme="minorEastAsia"/>
                    <w:sz w:val="20"/>
                    <w:szCs w:val="20"/>
                    <w:lang w:eastAsia="en-US"/>
                  </w:rPr>
                  <w:t>计提依据</w:t>
                </w:r>
              </w:p>
            </w:tc>
          </w:tr>
          <w:tr>
            <w:tblPrEx>
              <w:tblCellMar>
                <w:top w:w="0" w:type="dxa"/>
                <w:left w:w="108" w:type="dxa"/>
                <w:bottom w:w="0" w:type="dxa"/>
                <w:right w:w="108" w:type="dxa"/>
              </w:tblCellMar>
            </w:tblPrEx>
            <w:trPr>
              <w:trHeight w:val="288" w:hRule="atLeast"/>
            </w:trPr>
            <w:tc>
              <w:tcPr>
                <w:tcW w:w="560" w:type="pct"/>
                <w:vMerge w:val="continue"/>
                <w:tcBorders>
                  <w:top w:val="single" w:color="auto" w:sz="4" w:space="0"/>
                  <w:left w:val="single" w:color="auto" w:sz="4" w:space="0"/>
                  <w:bottom w:val="single" w:color="auto" w:sz="4" w:space="0"/>
                  <w:right w:val="single" w:color="auto" w:sz="4" w:space="0"/>
                </w:tcBorders>
                <w:vAlign w:val="center"/>
              </w:tcPr>
              <w:p>
                <w:pPr>
                  <w:outlineLvl w:val="0"/>
                  <w:rPr>
                    <w:rFonts w:hint="eastAsia" w:cs="Times New Roman" w:asciiTheme="minorEastAsia" w:hAnsiTheme="minorEastAsia" w:eastAsiaTheme="minorEastAsia"/>
                    <w:color w:val="000000"/>
                    <w:sz w:val="20"/>
                    <w:szCs w:val="20"/>
                  </w:rPr>
                </w:pPr>
              </w:p>
            </w:tc>
            <w:tc>
              <w:tcPr>
                <w:tcW w:w="910" w:type="pct"/>
                <w:tcBorders>
                  <w:top w:val="nil"/>
                  <w:left w:val="nil"/>
                  <w:bottom w:val="single" w:color="auto" w:sz="4" w:space="0"/>
                  <w:right w:val="single" w:color="auto" w:sz="4" w:space="0"/>
                </w:tcBorders>
                <w:vAlign w:val="center"/>
              </w:tcPr>
              <w:p>
                <w:pPr>
                  <w:widowControl w:val="0"/>
                  <w:autoSpaceDE w:val="0"/>
                  <w:autoSpaceDN w:val="0"/>
                  <w:jc w:val="center"/>
                  <w:rPr>
                    <w:rFonts w:hint="eastAsia" w:cs="Noto Sans CJK JP Regular" w:asciiTheme="minorEastAsia" w:hAnsiTheme="minorEastAsia" w:eastAsiaTheme="minorEastAsia"/>
                    <w:sz w:val="20"/>
                    <w:szCs w:val="20"/>
                    <w:lang w:eastAsia="en-US"/>
                  </w:rPr>
                </w:pPr>
                <w:r>
                  <w:rPr>
                    <w:rFonts w:hint="eastAsia" w:cs="Noto Sans CJK JP Regular" w:asciiTheme="minorEastAsia" w:hAnsiTheme="minorEastAsia" w:eastAsiaTheme="minorEastAsia"/>
                    <w:sz w:val="20"/>
                    <w:szCs w:val="20"/>
                    <w:lang w:eastAsia="en-US"/>
                  </w:rPr>
                  <w:t>账面余额</w:t>
                </w:r>
              </w:p>
            </w:tc>
            <w:tc>
              <w:tcPr>
                <w:tcW w:w="938" w:type="pct"/>
                <w:tcBorders>
                  <w:top w:val="nil"/>
                  <w:left w:val="nil"/>
                  <w:bottom w:val="single" w:color="auto" w:sz="4" w:space="0"/>
                  <w:right w:val="single" w:color="auto" w:sz="4" w:space="0"/>
                </w:tcBorders>
                <w:vAlign w:val="center"/>
              </w:tcPr>
              <w:p>
                <w:pPr>
                  <w:widowControl w:val="0"/>
                  <w:autoSpaceDE w:val="0"/>
                  <w:autoSpaceDN w:val="0"/>
                  <w:jc w:val="center"/>
                  <w:rPr>
                    <w:rFonts w:hint="eastAsia" w:cs="Noto Sans CJK JP Regular" w:asciiTheme="minorEastAsia" w:hAnsiTheme="minorEastAsia" w:eastAsiaTheme="minorEastAsia"/>
                    <w:sz w:val="20"/>
                    <w:szCs w:val="20"/>
                    <w:lang w:eastAsia="en-US"/>
                  </w:rPr>
                </w:pPr>
                <w:r>
                  <w:rPr>
                    <w:rFonts w:hint="eastAsia" w:cs="Noto Sans CJK JP Regular" w:asciiTheme="minorEastAsia" w:hAnsiTheme="minorEastAsia" w:eastAsiaTheme="minorEastAsia"/>
                    <w:sz w:val="20"/>
                    <w:szCs w:val="20"/>
                    <w:lang w:eastAsia="en-US"/>
                  </w:rPr>
                  <w:t>坏账准备</w:t>
                </w:r>
              </w:p>
            </w:tc>
            <w:tc>
              <w:tcPr>
                <w:tcW w:w="435" w:type="pct"/>
                <w:tcBorders>
                  <w:top w:val="nil"/>
                  <w:left w:val="nil"/>
                  <w:bottom w:val="single" w:color="auto" w:sz="4" w:space="0"/>
                  <w:right w:val="single" w:color="auto" w:sz="4" w:space="0"/>
                </w:tcBorders>
                <w:vAlign w:val="center"/>
              </w:tcPr>
              <w:p>
                <w:pPr>
                  <w:widowControl w:val="0"/>
                  <w:autoSpaceDE w:val="0"/>
                  <w:autoSpaceDN w:val="0"/>
                  <w:jc w:val="center"/>
                  <w:rPr>
                    <w:rFonts w:hint="eastAsia" w:cs="Noto Sans CJK JP Regular" w:asciiTheme="minorEastAsia" w:hAnsiTheme="minorEastAsia" w:eastAsiaTheme="minorEastAsia"/>
                    <w:sz w:val="20"/>
                    <w:szCs w:val="20"/>
                    <w:lang w:eastAsia="en-US"/>
                  </w:rPr>
                </w:pPr>
                <w:r>
                  <w:rPr>
                    <w:rFonts w:hint="eastAsia" w:cs="Noto Sans CJK JP Regular" w:asciiTheme="minorEastAsia" w:hAnsiTheme="minorEastAsia" w:eastAsiaTheme="minorEastAsia"/>
                    <w:sz w:val="20"/>
                    <w:szCs w:val="20"/>
                    <w:lang w:eastAsia="en-US"/>
                  </w:rPr>
                  <w:t>计提比例（%）</w:t>
                </w:r>
              </w:p>
            </w:tc>
            <w:tc>
              <w:tcPr>
                <w:tcW w:w="916" w:type="pct"/>
                <w:tcBorders>
                  <w:top w:val="nil"/>
                  <w:left w:val="nil"/>
                  <w:bottom w:val="single" w:color="auto" w:sz="4" w:space="0"/>
                  <w:right w:val="single" w:color="auto" w:sz="4" w:space="0"/>
                </w:tcBorders>
                <w:vAlign w:val="center"/>
              </w:tcPr>
              <w:p>
                <w:pPr>
                  <w:widowControl w:val="0"/>
                  <w:autoSpaceDE w:val="0"/>
                  <w:autoSpaceDN w:val="0"/>
                  <w:jc w:val="center"/>
                  <w:rPr>
                    <w:rFonts w:hint="eastAsia" w:cs="Noto Sans CJK JP Regular" w:asciiTheme="minorEastAsia" w:hAnsiTheme="minorEastAsia" w:eastAsiaTheme="minorEastAsia"/>
                    <w:sz w:val="20"/>
                    <w:szCs w:val="20"/>
                    <w:lang w:eastAsia="en-US"/>
                  </w:rPr>
                </w:pPr>
                <w:r>
                  <w:rPr>
                    <w:rFonts w:hint="eastAsia" w:cs="Noto Sans CJK JP Regular" w:asciiTheme="minorEastAsia" w:hAnsiTheme="minorEastAsia" w:eastAsiaTheme="minorEastAsia"/>
                    <w:sz w:val="20"/>
                    <w:szCs w:val="20"/>
                    <w:lang w:eastAsia="en-US"/>
                  </w:rPr>
                  <w:t>账面余额</w:t>
                </w:r>
              </w:p>
            </w:tc>
            <w:tc>
              <w:tcPr>
                <w:tcW w:w="859" w:type="pct"/>
                <w:tcBorders>
                  <w:top w:val="nil"/>
                  <w:left w:val="nil"/>
                  <w:bottom w:val="single" w:color="auto" w:sz="4" w:space="0"/>
                  <w:right w:val="single" w:color="auto" w:sz="4" w:space="0"/>
                </w:tcBorders>
                <w:vAlign w:val="center"/>
              </w:tcPr>
              <w:p>
                <w:pPr>
                  <w:widowControl w:val="0"/>
                  <w:autoSpaceDE w:val="0"/>
                  <w:autoSpaceDN w:val="0"/>
                  <w:jc w:val="center"/>
                  <w:rPr>
                    <w:rFonts w:hint="eastAsia" w:cs="Noto Sans CJK JP Regular" w:asciiTheme="minorEastAsia" w:hAnsiTheme="minorEastAsia" w:eastAsiaTheme="minorEastAsia"/>
                    <w:sz w:val="20"/>
                    <w:szCs w:val="20"/>
                    <w:lang w:eastAsia="en-US"/>
                  </w:rPr>
                </w:pPr>
                <w:r>
                  <w:rPr>
                    <w:rFonts w:hint="eastAsia" w:cs="Noto Sans CJK JP Regular" w:asciiTheme="minorEastAsia" w:hAnsiTheme="minorEastAsia" w:eastAsiaTheme="minorEastAsia"/>
                    <w:sz w:val="20"/>
                    <w:szCs w:val="20"/>
                    <w:lang w:eastAsia="en-US"/>
                  </w:rPr>
                  <w:t>坏账准备</w:t>
                </w:r>
              </w:p>
            </w:tc>
            <w:tc>
              <w:tcPr>
                <w:tcW w:w="382" w:type="pct"/>
                <w:vMerge w:val="continue"/>
                <w:tcBorders>
                  <w:top w:val="single" w:color="auto" w:sz="4" w:space="0"/>
                  <w:left w:val="single" w:color="auto" w:sz="4" w:space="0"/>
                  <w:bottom w:val="single" w:color="auto" w:sz="4" w:space="0"/>
                  <w:right w:val="single" w:color="auto" w:sz="4" w:space="0"/>
                </w:tcBorders>
                <w:vAlign w:val="center"/>
              </w:tcPr>
              <w:p>
                <w:pPr>
                  <w:widowControl w:val="0"/>
                  <w:autoSpaceDE w:val="0"/>
                  <w:autoSpaceDN w:val="0"/>
                  <w:jc w:val="center"/>
                  <w:rPr>
                    <w:rFonts w:hint="eastAsia" w:cs="Noto Sans CJK JP Regular" w:asciiTheme="minorEastAsia" w:hAnsiTheme="minorEastAsia" w:eastAsiaTheme="minorEastAsia"/>
                    <w:sz w:val="20"/>
                    <w:szCs w:val="20"/>
                    <w:lang w:eastAsia="en-US"/>
                  </w:rPr>
                </w:pPr>
              </w:p>
            </w:tc>
          </w:tr>
          <w:tr>
            <w:tblPrEx>
              <w:tblCellMar>
                <w:top w:w="0" w:type="dxa"/>
                <w:left w:w="108" w:type="dxa"/>
                <w:bottom w:w="0" w:type="dxa"/>
                <w:right w:w="108" w:type="dxa"/>
              </w:tblCellMar>
            </w:tblPrEx>
            <w:trPr>
              <w:trHeight w:val="288" w:hRule="atLeast"/>
            </w:trPr>
            <w:tc>
              <w:tcPr>
                <w:tcW w:w="560" w:type="pct"/>
                <w:tcBorders>
                  <w:top w:val="nil"/>
                  <w:left w:val="single" w:color="auto" w:sz="4" w:space="0"/>
                  <w:bottom w:val="single" w:color="auto" w:sz="4" w:space="0"/>
                  <w:right w:val="single" w:color="auto" w:sz="4" w:space="0"/>
                </w:tcBorders>
                <w:vAlign w:val="center"/>
              </w:tcPr>
              <w:p>
                <w:pPr>
                  <w:widowControl w:val="0"/>
                  <w:autoSpaceDE w:val="0"/>
                  <w:autoSpaceDN w:val="0"/>
                  <w:rPr>
                    <w:rFonts w:hint="eastAsia" w:cs="Times New Roman" w:asciiTheme="minorEastAsia" w:hAnsiTheme="minorEastAsia" w:eastAsiaTheme="minorEastAsia"/>
                    <w:sz w:val="20"/>
                    <w:szCs w:val="20"/>
                  </w:rPr>
                </w:pPr>
                <w:r>
                  <w:rPr>
                    <w:rFonts w:hint="eastAsia" w:cs="Times New Roman" w:asciiTheme="minorEastAsia" w:hAnsiTheme="minorEastAsia" w:eastAsiaTheme="minorEastAsia"/>
                    <w:sz w:val="20"/>
                    <w:szCs w:val="20"/>
                  </w:rPr>
                  <w:t>昆明市西山区人民政府马街街道办事处</w:t>
                </w:r>
              </w:p>
            </w:tc>
            <w:tc>
              <w:tcPr>
                <w:tcW w:w="910" w:type="pct"/>
                <w:tcBorders>
                  <w:top w:val="nil"/>
                  <w:left w:val="nil"/>
                  <w:bottom w:val="single" w:color="auto" w:sz="4" w:space="0"/>
                  <w:right w:val="single" w:color="auto" w:sz="4" w:space="0"/>
                </w:tcBorders>
                <w:vAlign w:val="center"/>
              </w:tcPr>
              <w:p>
                <w:pPr>
                  <w:jc w:val="right"/>
                  <w:rPr>
                    <w:rFonts w:hint="eastAsia" w:cs="Times New Roman" w:asciiTheme="minorEastAsia" w:hAnsiTheme="minorEastAsia" w:eastAsiaTheme="minorEastAsia"/>
                    <w:sz w:val="20"/>
                    <w:szCs w:val="20"/>
                  </w:rPr>
                </w:pPr>
                <w:r>
                  <w:rPr>
                    <w:rFonts w:cs="Times New Roman" w:asciiTheme="minorEastAsia" w:hAnsiTheme="minorEastAsia" w:eastAsiaTheme="minorEastAsia"/>
                    <w:sz w:val="20"/>
                    <w:szCs w:val="20"/>
                  </w:rPr>
                  <w:t>128,226,000.00</w:t>
                </w:r>
              </w:p>
            </w:tc>
            <w:tc>
              <w:tcPr>
                <w:tcW w:w="938" w:type="pct"/>
                <w:tcBorders>
                  <w:top w:val="nil"/>
                  <w:left w:val="nil"/>
                  <w:bottom w:val="single" w:color="auto" w:sz="4" w:space="0"/>
                  <w:right w:val="single" w:color="auto" w:sz="4" w:space="0"/>
                </w:tcBorders>
                <w:vAlign w:val="center"/>
              </w:tcPr>
              <w:p>
                <w:pPr>
                  <w:jc w:val="right"/>
                  <w:rPr>
                    <w:rFonts w:hint="eastAsia" w:cs="Times New Roman" w:asciiTheme="minorEastAsia" w:hAnsiTheme="minorEastAsia" w:eastAsiaTheme="minorEastAsia"/>
                    <w:sz w:val="20"/>
                    <w:szCs w:val="20"/>
                  </w:rPr>
                </w:pPr>
                <w:r>
                  <w:rPr>
                    <w:rFonts w:cs="Times New Roman" w:asciiTheme="minorEastAsia" w:hAnsiTheme="minorEastAsia" w:eastAsiaTheme="minorEastAsia"/>
                    <w:sz w:val="20"/>
                    <w:szCs w:val="20"/>
                  </w:rPr>
                  <w:t>24,185,642.47</w:t>
                </w:r>
              </w:p>
            </w:tc>
            <w:tc>
              <w:tcPr>
                <w:tcW w:w="435" w:type="pct"/>
                <w:tcBorders>
                  <w:top w:val="nil"/>
                  <w:left w:val="nil"/>
                  <w:bottom w:val="single" w:color="auto" w:sz="4" w:space="0"/>
                  <w:right w:val="single" w:color="auto" w:sz="4" w:space="0"/>
                </w:tcBorders>
                <w:vAlign w:val="center"/>
              </w:tcPr>
              <w:p>
                <w:pPr>
                  <w:jc w:val="right"/>
                  <w:rPr>
                    <w:rFonts w:hint="eastAsia" w:cs="Times New Roman" w:asciiTheme="minorEastAsia" w:hAnsiTheme="minorEastAsia" w:eastAsiaTheme="minorEastAsia"/>
                    <w:sz w:val="20"/>
                    <w:szCs w:val="20"/>
                  </w:rPr>
                </w:pPr>
                <w:r>
                  <w:rPr>
                    <w:rFonts w:cs="Times New Roman" w:asciiTheme="minorEastAsia" w:hAnsiTheme="minorEastAsia" w:eastAsiaTheme="minorEastAsia"/>
                    <w:sz w:val="20"/>
                    <w:szCs w:val="20"/>
                  </w:rPr>
                  <w:t>18.86</w:t>
                </w:r>
              </w:p>
            </w:tc>
            <w:tc>
              <w:tcPr>
                <w:tcW w:w="916" w:type="pct"/>
                <w:tcBorders>
                  <w:top w:val="nil"/>
                  <w:left w:val="nil"/>
                  <w:bottom w:val="single" w:color="auto" w:sz="4" w:space="0"/>
                  <w:right w:val="single" w:color="auto" w:sz="4" w:space="0"/>
                </w:tcBorders>
                <w:vAlign w:val="center"/>
              </w:tcPr>
              <w:p>
                <w:pPr>
                  <w:jc w:val="right"/>
                  <w:rPr>
                    <w:rFonts w:hint="eastAsia" w:cs="Times New Roman" w:asciiTheme="minorEastAsia" w:hAnsiTheme="minorEastAsia" w:eastAsiaTheme="minorEastAsia"/>
                    <w:sz w:val="20"/>
                    <w:szCs w:val="20"/>
                  </w:rPr>
                </w:pPr>
                <w:r>
                  <w:rPr>
                    <w:rFonts w:cs="Times New Roman" w:asciiTheme="minorEastAsia" w:hAnsiTheme="minorEastAsia" w:eastAsiaTheme="minorEastAsia"/>
                    <w:sz w:val="20"/>
                    <w:szCs w:val="20"/>
                  </w:rPr>
                  <w:t>128,226,000.00</w:t>
                </w:r>
              </w:p>
            </w:tc>
            <w:tc>
              <w:tcPr>
                <w:tcW w:w="859" w:type="pct"/>
                <w:tcBorders>
                  <w:top w:val="nil"/>
                  <w:left w:val="nil"/>
                  <w:bottom w:val="single" w:color="auto" w:sz="4" w:space="0"/>
                  <w:right w:val="single" w:color="auto" w:sz="4" w:space="0"/>
                </w:tcBorders>
                <w:vAlign w:val="center"/>
              </w:tcPr>
              <w:p>
                <w:pPr>
                  <w:jc w:val="right"/>
                  <w:rPr>
                    <w:rFonts w:hint="eastAsia" w:cs="Times New Roman" w:asciiTheme="minorEastAsia" w:hAnsiTheme="minorEastAsia" w:eastAsiaTheme="minorEastAsia"/>
                    <w:sz w:val="20"/>
                    <w:szCs w:val="20"/>
                  </w:rPr>
                </w:pPr>
                <w:r>
                  <w:rPr>
                    <w:rFonts w:cs="Times New Roman" w:asciiTheme="minorEastAsia" w:hAnsiTheme="minorEastAsia" w:eastAsiaTheme="minorEastAsia"/>
                    <w:sz w:val="20"/>
                    <w:szCs w:val="20"/>
                  </w:rPr>
                  <w:t>24,185,642.47</w:t>
                </w:r>
              </w:p>
            </w:tc>
            <w:tc>
              <w:tcPr>
                <w:tcW w:w="382" w:type="pct"/>
                <w:tcBorders>
                  <w:top w:val="nil"/>
                  <w:left w:val="nil"/>
                  <w:bottom w:val="single" w:color="auto" w:sz="4" w:space="0"/>
                  <w:right w:val="single" w:color="auto" w:sz="4" w:space="0"/>
                </w:tcBorders>
                <w:vAlign w:val="center"/>
              </w:tcPr>
              <w:p>
                <w:pPr>
                  <w:widowControl w:val="0"/>
                  <w:autoSpaceDE w:val="0"/>
                  <w:autoSpaceDN w:val="0"/>
                  <w:jc w:val="center"/>
                  <w:rPr>
                    <w:rFonts w:hint="eastAsia" w:cs="Noto Sans CJK JP Regular" w:asciiTheme="minorEastAsia" w:hAnsiTheme="minorEastAsia" w:eastAsiaTheme="minorEastAsia"/>
                    <w:sz w:val="20"/>
                    <w:szCs w:val="20"/>
                  </w:rPr>
                </w:pPr>
                <w:r>
                  <w:rPr>
                    <w:rFonts w:hint="eastAsia" w:cs="Noto Sans CJK JP Regular" w:asciiTheme="minorEastAsia" w:hAnsiTheme="minorEastAsia" w:eastAsiaTheme="minorEastAsia"/>
                    <w:sz w:val="20"/>
                    <w:szCs w:val="20"/>
                  </w:rPr>
                  <w:t>预计未来可收回金额现值</w:t>
                </w:r>
              </w:p>
            </w:tc>
          </w:tr>
          <w:tr>
            <w:tblPrEx>
              <w:tblCellMar>
                <w:top w:w="0" w:type="dxa"/>
                <w:left w:w="108" w:type="dxa"/>
                <w:bottom w:w="0" w:type="dxa"/>
                <w:right w:w="108" w:type="dxa"/>
              </w:tblCellMar>
            </w:tblPrEx>
            <w:trPr>
              <w:trHeight w:val="288" w:hRule="atLeast"/>
            </w:trPr>
            <w:tc>
              <w:tcPr>
                <w:tcW w:w="560" w:type="pct"/>
                <w:tcBorders>
                  <w:top w:val="nil"/>
                  <w:left w:val="single" w:color="auto" w:sz="4" w:space="0"/>
                  <w:bottom w:val="single" w:color="auto" w:sz="4" w:space="0"/>
                  <w:right w:val="single" w:color="auto" w:sz="4" w:space="0"/>
                </w:tcBorders>
                <w:vAlign w:val="center"/>
              </w:tcPr>
              <w:p>
                <w:pPr>
                  <w:widowControl w:val="0"/>
                  <w:autoSpaceDE w:val="0"/>
                  <w:autoSpaceDN w:val="0"/>
                  <w:jc w:val="center"/>
                  <w:rPr>
                    <w:rFonts w:hint="eastAsia" w:cs="Times New Roman" w:asciiTheme="minorEastAsia" w:hAnsiTheme="minorEastAsia" w:eastAsiaTheme="minorEastAsia"/>
                    <w:sz w:val="20"/>
                    <w:szCs w:val="20"/>
                  </w:rPr>
                </w:pPr>
                <w:r>
                  <w:rPr>
                    <w:rFonts w:hint="eastAsia" w:cs="Times New Roman" w:asciiTheme="minorEastAsia" w:hAnsiTheme="minorEastAsia" w:eastAsiaTheme="minorEastAsia"/>
                    <w:sz w:val="20"/>
                    <w:szCs w:val="20"/>
                  </w:rPr>
                  <w:t>合计</w:t>
                </w:r>
              </w:p>
            </w:tc>
            <w:tc>
              <w:tcPr>
                <w:tcW w:w="910" w:type="pct"/>
                <w:tcBorders>
                  <w:top w:val="nil"/>
                  <w:left w:val="nil"/>
                  <w:bottom w:val="single" w:color="auto" w:sz="4" w:space="0"/>
                  <w:right w:val="single" w:color="auto" w:sz="4" w:space="0"/>
                </w:tcBorders>
                <w:vAlign w:val="center"/>
              </w:tcPr>
              <w:p>
                <w:pPr>
                  <w:jc w:val="right"/>
                  <w:rPr>
                    <w:rFonts w:hint="eastAsia" w:cs="Times New Roman" w:asciiTheme="minorEastAsia" w:hAnsiTheme="minorEastAsia" w:eastAsiaTheme="minorEastAsia"/>
                    <w:sz w:val="20"/>
                    <w:szCs w:val="20"/>
                  </w:rPr>
                </w:pPr>
                <w:r>
                  <w:rPr>
                    <w:rFonts w:cs="Times New Roman" w:asciiTheme="minorEastAsia" w:hAnsiTheme="minorEastAsia" w:eastAsiaTheme="minorEastAsia"/>
                    <w:sz w:val="20"/>
                    <w:szCs w:val="20"/>
                  </w:rPr>
                  <w:t>128,226,000.00</w:t>
                </w:r>
              </w:p>
            </w:tc>
            <w:tc>
              <w:tcPr>
                <w:tcW w:w="938" w:type="pct"/>
                <w:tcBorders>
                  <w:top w:val="nil"/>
                  <w:left w:val="nil"/>
                  <w:bottom w:val="single" w:color="auto" w:sz="4" w:space="0"/>
                  <w:right w:val="single" w:color="auto" w:sz="4" w:space="0"/>
                </w:tcBorders>
                <w:vAlign w:val="center"/>
              </w:tcPr>
              <w:p>
                <w:pPr>
                  <w:jc w:val="right"/>
                  <w:rPr>
                    <w:rFonts w:hint="eastAsia" w:cs="Times New Roman" w:asciiTheme="minorEastAsia" w:hAnsiTheme="minorEastAsia" w:eastAsiaTheme="minorEastAsia"/>
                    <w:sz w:val="20"/>
                    <w:szCs w:val="20"/>
                  </w:rPr>
                </w:pPr>
                <w:r>
                  <w:rPr>
                    <w:rFonts w:cs="Times New Roman" w:asciiTheme="minorEastAsia" w:hAnsiTheme="minorEastAsia" w:eastAsiaTheme="minorEastAsia"/>
                    <w:sz w:val="20"/>
                    <w:szCs w:val="20"/>
                  </w:rPr>
                  <w:t>24,185,642.47</w:t>
                </w:r>
              </w:p>
            </w:tc>
            <w:tc>
              <w:tcPr>
                <w:tcW w:w="435" w:type="pct"/>
                <w:tcBorders>
                  <w:top w:val="nil"/>
                  <w:left w:val="nil"/>
                  <w:bottom w:val="single" w:color="auto" w:sz="4" w:space="0"/>
                  <w:right w:val="single" w:color="auto" w:sz="4" w:space="0"/>
                </w:tcBorders>
                <w:vAlign w:val="center"/>
              </w:tcPr>
              <w:p>
                <w:pPr>
                  <w:jc w:val="right"/>
                  <w:rPr>
                    <w:rFonts w:hint="eastAsia" w:cs="Times New Roman" w:asciiTheme="minorEastAsia" w:hAnsiTheme="minorEastAsia" w:eastAsiaTheme="minorEastAsia"/>
                    <w:sz w:val="20"/>
                    <w:szCs w:val="20"/>
                  </w:rPr>
                </w:pPr>
                <w:r>
                  <w:rPr>
                    <w:rFonts w:cs="Times New Roman" w:asciiTheme="minorEastAsia" w:hAnsiTheme="minorEastAsia" w:eastAsiaTheme="minorEastAsia"/>
                    <w:sz w:val="20"/>
                    <w:szCs w:val="20"/>
                  </w:rPr>
                  <w:t>18.86</w:t>
                </w:r>
              </w:p>
            </w:tc>
            <w:tc>
              <w:tcPr>
                <w:tcW w:w="916" w:type="pct"/>
                <w:tcBorders>
                  <w:top w:val="nil"/>
                  <w:left w:val="nil"/>
                  <w:bottom w:val="single" w:color="auto" w:sz="4" w:space="0"/>
                  <w:right w:val="single" w:color="auto" w:sz="4" w:space="0"/>
                </w:tcBorders>
                <w:vAlign w:val="center"/>
              </w:tcPr>
              <w:p>
                <w:pPr>
                  <w:jc w:val="right"/>
                  <w:rPr>
                    <w:rFonts w:hint="eastAsia" w:cs="Times New Roman" w:asciiTheme="minorEastAsia" w:hAnsiTheme="minorEastAsia" w:eastAsiaTheme="minorEastAsia"/>
                    <w:sz w:val="20"/>
                    <w:szCs w:val="20"/>
                  </w:rPr>
                </w:pPr>
                <w:r>
                  <w:rPr>
                    <w:rFonts w:cs="Times New Roman" w:asciiTheme="minorEastAsia" w:hAnsiTheme="minorEastAsia" w:eastAsiaTheme="minorEastAsia"/>
                    <w:sz w:val="20"/>
                    <w:szCs w:val="20"/>
                  </w:rPr>
                  <w:t>128,226,000.00</w:t>
                </w:r>
              </w:p>
            </w:tc>
            <w:tc>
              <w:tcPr>
                <w:tcW w:w="859" w:type="pct"/>
                <w:tcBorders>
                  <w:top w:val="nil"/>
                  <w:left w:val="nil"/>
                  <w:bottom w:val="single" w:color="auto" w:sz="4" w:space="0"/>
                  <w:right w:val="single" w:color="auto" w:sz="4" w:space="0"/>
                </w:tcBorders>
                <w:vAlign w:val="center"/>
              </w:tcPr>
              <w:p>
                <w:pPr>
                  <w:jc w:val="right"/>
                  <w:rPr>
                    <w:rFonts w:hint="eastAsia" w:cs="Times New Roman" w:asciiTheme="minorEastAsia" w:hAnsiTheme="minorEastAsia" w:eastAsiaTheme="minorEastAsia"/>
                    <w:sz w:val="20"/>
                    <w:szCs w:val="20"/>
                  </w:rPr>
                </w:pPr>
                <w:r>
                  <w:rPr>
                    <w:rFonts w:cs="Times New Roman" w:asciiTheme="minorEastAsia" w:hAnsiTheme="minorEastAsia" w:eastAsiaTheme="minorEastAsia"/>
                    <w:sz w:val="20"/>
                    <w:szCs w:val="20"/>
                  </w:rPr>
                  <w:t>24,185,642.47</w:t>
                </w:r>
              </w:p>
            </w:tc>
            <w:tc>
              <w:tcPr>
                <w:tcW w:w="382" w:type="pct"/>
                <w:tcBorders>
                  <w:top w:val="nil"/>
                  <w:left w:val="nil"/>
                  <w:bottom w:val="single" w:color="auto" w:sz="4" w:space="0"/>
                  <w:right w:val="single" w:color="auto" w:sz="4" w:space="0"/>
                </w:tcBorders>
                <w:vAlign w:val="center"/>
              </w:tcPr>
              <w:p>
                <w:pPr>
                  <w:outlineLvl w:val="0"/>
                  <w:rPr>
                    <w:rFonts w:hint="eastAsia" w:cs="Times New Roman" w:asciiTheme="minorEastAsia" w:hAnsiTheme="minorEastAsia" w:eastAsiaTheme="minorEastAsia"/>
                    <w:color w:val="000000"/>
                    <w:sz w:val="20"/>
                    <w:szCs w:val="20"/>
                  </w:rPr>
                </w:pPr>
                <w:r>
                  <w:rPr>
                    <w:rFonts w:hint="eastAsia" w:cs="Times New Roman" w:asciiTheme="minorEastAsia" w:hAnsiTheme="minorEastAsia" w:eastAsiaTheme="minorEastAsia"/>
                    <w:color w:val="000000"/>
                    <w:sz w:val="20"/>
                    <w:szCs w:val="20"/>
                  </w:rPr>
                  <w:t>　</w:t>
                </w:r>
              </w:p>
            </w:tc>
          </w:tr>
        </w:tbl>
        <w:p>
          <w:pPr>
            <w:spacing w:line="360" w:lineRule="exact"/>
            <w:ind w:firstLine="400" w:firstLineChars="200"/>
            <w:jc w:val="both"/>
            <w:rPr>
              <w:rFonts w:hint="eastAsia" w:asciiTheme="minorEastAsia" w:hAnsiTheme="minorEastAsia" w:eastAsiaTheme="minorEastAsia"/>
              <w:sz w:val="20"/>
              <w:szCs w:val="20"/>
            </w:rPr>
          </w:pPr>
          <w:r>
            <w:rPr>
              <w:rFonts w:hint="eastAsia" w:asciiTheme="minorEastAsia" w:hAnsiTheme="minorEastAsia" w:eastAsiaTheme="minorEastAsia"/>
              <w:sz w:val="20"/>
              <w:szCs w:val="20"/>
            </w:rPr>
            <w:t>根据云变电气与昆明市西山区自然资源局、昆明市西山区城市更新改造领导小组办公室、昆明市西山区人民政府马街街道办事处签订的《昆明市企业“退二进三”国有土地使用权收购协议》之补充协议（以下简称土地收购协议）,云变电气将位于昆明市西山区春雨路265号，证载面积122.12亩（81,214.07平方米）土地交由政府收储，确认的搬迁补偿费金额为256,452,000.00元。截至2026年6月30日，云变电气已完成土地收购协议所约定的相关义务，尚有128,226,000.00元土地补偿款未收回，该款项的收回时间存在不确定性，经管理层审慎评估，采用预计未来可收回金额的现值单项计提坏账准备。</w:t>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本期坏账准备计提金额以及评估金融工具的信用风险是否显著增加的采用依据：</w:t>
      </w:r>
    </w:p>
    <w:sdt>
      <w:sdtPr>
        <w:rPr>
          <w:color w:val="000000" w:themeColor="text1"/>
          <w14:textFill>
            <w14:solidFill>
              <w14:schemeClr w14:val="tx1"/>
            </w14:solidFill>
          </w14:textFill>
        </w:rPr>
        <w:alias w:val="是否适用：其他应收款本期坏账准备计提金额以及评估金融工具的信用风险显著增加的采用依据[双击切换]"/>
        <w:tag w:val="_GBC_dde26fcf385445edb7b0e96dab2a2b3e"/>
        <w:id w:val="49316003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68"/>
    <w:p>
      <w:pPr>
        <w:pStyle w:val="6"/>
        <w:numPr>
          <w:ilvl w:val="0"/>
          <w:numId w:val="47"/>
        </w:numPr>
      </w:pPr>
      <w:bookmarkStart w:id="269" w:name="_Hlk10469877"/>
      <w:r>
        <w:rPr>
          <w:rFonts w:hint="eastAsia"/>
        </w:rPr>
        <w:t>坏账准备的情况</w:t>
      </w:r>
    </w:p>
    <w:sdt>
      <w:sdtPr>
        <w:rPr>
          <w:color w:val="000000" w:themeColor="text1"/>
          <w14:textFill>
            <w14:solidFill>
              <w14:schemeClr w14:val="tx1"/>
            </w14:solidFill>
          </w14:textFill>
        </w:rPr>
        <w:alias w:val="是否适用：其他应收款坏账准备[双击切换]"/>
        <w:tag w:val="_GBC_b3f4f88802a54b1da539ba2563000c5c"/>
        <w:id w:val="-43884263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bookmarkStart w:id="270" w:name="_Hlk154157836"/>
      <w:bookmarkStart w:id="271" w:name="_Hlk167890685"/>
      <w:r>
        <w:rPr>
          <w:rFonts w:hint="eastAsia"/>
          <w:color w:val="000000" w:themeColor="text1"/>
          <w14:textFill>
            <w14:solidFill>
              <w14:schemeClr w14:val="tx1"/>
            </w14:solidFill>
          </w14:textFill>
        </w:rPr>
        <w:t>其中本期坏账准备转回或收回金额重要的：</w:t>
      </w:r>
    </w:p>
    <w:sdt>
      <w:sdtPr>
        <w:rPr>
          <w:color w:val="000000" w:themeColor="text1"/>
          <w14:textFill>
            <w14:solidFill>
              <w14:schemeClr w14:val="tx1"/>
            </w14:solidFill>
          </w14:textFill>
        </w:rPr>
        <w:alias w:val="是否适用：其中本期其他应收账款坏账准备收回或转回金额重要的[双击切换]"/>
        <w:tag w:val="_GBC_eff381ff9a444ac19dde18c443ef3ff1"/>
        <w:id w:val="3640684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其他应收款坏账准备情况的说明"/>
        <w:tag w:val="_GBC_11748f5205eb4dda805c8e59fe7ff0df"/>
        <w:id w:val="-160958117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269"/>
    <w:bookmarkEnd w:id="270"/>
    <w:bookmarkEnd w:id="271"/>
    <w:p>
      <w:pPr>
        <w:pStyle w:val="6"/>
        <w:numPr>
          <w:ilvl w:val="0"/>
          <w:numId w:val="47"/>
        </w:numPr>
      </w:pPr>
      <w:r>
        <w:rPr>
          <w:rFonts w:hint="eastAsia"/>
        </w:rPr>
        <w:t>本期实际核销的其他应收款情况</w:t>
      </w:r>
    </w:p>
    <w:sdt>
      <w:sdtPr>
        <w:rPr>
          <w:color w:val="000000" w:themeColor="text1"/>
          <w14:textFill>
            <w14:solidFill>
              <w14:schemeClr w14:val="tx1"/>
            </w14:solidFill>
          </w14:textFill>
        </w:rPr>
        <w:alias w:val="是否适用：本期实际核销的其他应收款情况[双击切换]"/>
        <w:tag w:val="_GBC_99c0ad513e2447ba8b2267c169be5583"/>
        <w:id w:val="-30870596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其中重要的其他应收款核销情况：</w:t>
      </w:r>
    </w:p>
    <w:sdt>
      <w:sdtPr>
        <w:rPr>
          <w:color w:val="000000" w:themeColor="text1"/>
          <w14:textFill>
            <w14:solidFill>
              <w14:schemeClr w14:val="tx1"/>
            </w14:solidFill>
          </w14:textFill>
        </w:rPr>
        <w:alias w:val="是否适用：其中重要的其他应收款核销情况[双击切换]"/>
        <w:tag w:val="_GBC_18f34d9f47f24d07986c3f3568dd2c70"/>
        <w:id w:val="46987198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其他应收款核销说明：</w:t>
      </w:r>
    </w:p>
    <w:sdt>
      <w:sdtPr>
        <w:rPr>
          <w:b/>
          <w:bCs w:val="0"/>
          <w:color w:val="000000" w:themeColor="text1"/>
          <w14:textFill>
            <w14:solidFill>
              <w14:schemeClr w14:val="tx1"/>
            </w14:solidFill>
          </w14:textFill>
        </w:rPr>
        <w:alias w:val="是否适用：其他应收款冲销坏帐明细的说明[双击切换]"/>
        <w:tag w:val="_GBC_04f9a50bf0244ec4a466448325e84289"/>
        <w:id w:val="225269894"/>
        <w:placeholder>
          <w:docPart w:val="GBC22222222222222222222222222222"/>
        </w:placeholder>
      </w:sdtPr>
      <w:sdtEndPr>
        <w:rPr>
          <w:b w:val="0"/>
          <w:bCs w:val="0"/>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p>
      <w:pPr>
        <w:pStyle w:val="6"/>
        <w:numPr>
          <w:ilvl w:val="0"/>
          <w:numId w:val="47"/>
        </w:numPr>
      </w:pPr>
      <w:r>
        <w:rPr>
          <w:rFonts w:hint="eastAsia"/>
        </w:rPr>
        <w:t>按欠款方归集的期末余额前五名的其他应收款情况</w:t>
      </w:r>
    </w:p>
    <w:sdt>
      <w:sdtPr>
        <w:rPr>
          <w:color w:val="000000" w:themeColor="text1"/>
          <w14:textFill>
            <w14:solidFill>
              <w14:schemeClr w14:val="tx1"/>
            </w14:solidFill>
          </w14:textFill>
        </w:rPr>
        <w:alias w:val="是否适用：按欠款方归集的期末余额前五名的其他应收款情况[双击切换]"/>
        <w:tag w:val="_GBC_1ad831584f90441b93cce7d9b7baa3c9"/>
        <w:id w:val="188759762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应收账款前五名欠款情况"/>
          <w:tag w:val="_GBC_1f85b3036b0644cbaf6c33311b7f159d"/>
          <w:id w:val="182747110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应收账款前五名欠款情况"/>
          <w:tag w:val="_GBC_bc5cf48306144a92af62fef51b293c5a"/>
          <w:id w:val="-100542892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281"/>
        <w:gridCol w:w="1571"/>
        <w:gridCol w:w="1431"/>
        <w:gridCol w:w="1571"/>
        <w:gridCol w:w="1715"/>
        <w:gridCol w:w="13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6d371f7abd044db6abe05c7f74810d89"/>
            <w:id w:val="-913858457"/>
          </w:sdtPr>
          <w:sdtContent>
            <w:tc>
              <w:tcPr>
                <w:tcW w:w="720"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单位名称</w:t>
                </w:r>
              </w:p>
            </w:tc>
          </w:sdtContent>
        </w:sdt>
        <w:sdt>
          <w:sdtPr>
            <w:tag w:val="_PLD_9561b3d624ee40c28568fb322a981ebc"/>
            <w:id w:val="-32736045"/>
          </w:sdtPr>
          <w:sdtContent>
            <w:tc>
              <w:tcPr>
                <w:tcW w:w="883" w:type="pct"/>
                <w:vAlign w:val="center"/>
              </w:tcPr>
              <w:p>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e2774c827e314521821234a0e399c2c1"/>
            <w:id w:val="-46995152"/>
          </w:sdtPr>
          <w:sdtContent>
            <w:tc>
              <w:tcPr>
                <w:tcW w:w="80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占其他应收款期末余额合计数的比例(</w:t>
                </w:r>
                <w:r>
                  <w:rPr>
                    <w:color w:val="000000" w:themeColor="text1"/>
                    <w14:textFill>
                      <w14:solidFill>
                        <w14:schemeClr w14:val="tx1"/>
                      </w14:solidFill>
                    </w14:textFill>
                  </w:rPr>
                  <w:t>%)</w:t>
                </w:r>
              </w:p>
            </w:tc>
          </w:sdtContent>
        </w:sdt>
        <w:sdt>
          <w:sdtPr>
            <w:tag w:val="_PLD_538171446ab849ca976672ecf5055c60"/>
            <w:id w:val="1393229240"/>
          </w:sdtPr>
          <w:sdtContent>
            <w:tc>
              <w:tcPr>
                <w:tcW w:w="883" w:type="pct"/>
                <w:vAlign w:val="center"/>
              </w:tcPr>
              <w:p>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款项的性质</w:t>
                </w:r>
              </w:p>
            </w:tc>
          </w:sdtContent>
        </w:sdt>
        <w:sdt>
          <w:sdtPr>
            <w:tag w:val="_PLD_a97392b37d5d4c709a23cfdece48161b"/>
            <w:id w:val="-36128933"/>
          </w:sdtPr>
          <w:sdtContent>
            <w:tc>
              <w:tcPr>
                <w:tcW w:w="964" w:type="pct"/>
                <w:vAlign w:val="center"/>
              </w:tcPr>
              <w:p>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ac7ac1a39d1a46eb9269fc6979d54f6f"/>
            <w:id w:val="1919132869"/>
          </w:sdtPr>
          <w:sdtContent>
            <w:tc>
              <w:tcPr>
                <w:tcW w:w="74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20" w:type="pct"/>
          </w:tcPr>
          <w:p>
            <w:pPr>
              <w:ind w:right="105"/>
            </w:pPr>
            <w:r>
              <w:t>单位1</w:t>
            </w:r>
          </w:p>
        </w:tc>
        <w:tc>
          <w:tcPr>
            <w:tcW w:w="883" w:type="pct"/>
            <w:vAlign w:val="center"/>
          </w:tcPr>
          <w:p>
            <w:pPr>
              <w:ind w:right="73"/>
              <w:jc w:val="right"/>
            </w:pPr>
            <w:r>
              <w:rPr>
                <w:rFonts w:hint="eastAsia"/>
              </w:rPr>
              <w:t xml:space="preserve">128,226,000.00 </w:t>
            </w:r>
          </w:p>
        </w:tc>
        <w:tc>
          <w:tcPr>
            <w:tcW w:w="804" w:type="pct"/>
            <w:vAlign w:val="center"/>
          </w:tcPr>
          <w:p>
            <w:pPr>
              <w:jc w:val="right"/>
            </w:pPr>
            <w:r>
              <w:rPr>
                <w:rFonts w:hint="eastAsia"/>
              </w:rPr>
              <w:t xml:space="preserve"> 73.77 </w:t>
            </w:r>
          </w:p>
        </w:tc>
        <w:tc>
          <w:tcPr>
            <w:tcW w:w="883" w:type="pct"/>
            <w:vAlign w:val="center"/>
          </w:tcPr>
          <w:p>
            <w:pPr>
              <w:ind w:right="73"/>
              <w:jc w:val="center"/>
            </w:pPr>
            <w:r>
              <w:rPr>
                <w:rFonts w:hint="eastAsia"/>
              </w:rPr>
              <w:t>土地补偿款</w:t>
            </w:r>
          </w:p>
        </w:tc>
        <w:tc>
          <w:tcPr>
            <w:tcW w:w="964" w:type="pct"/>
            <w:vAlign w:val="center"/>
          </w:tcPr>
          <w:p>
            <w:pPr>
              <w:ind w:right="73"/>
              <w:jc w:val="center"/>
            </w:pPr>
            <w:r>
              <w:rPr>
                <w:rFonts w:hint="eastAsia"/>
              </w:rPr>
              <w:t>3-4年</w:t>
            </w:r>
          </w:p>
        </w:tc>
        <w:tc>
          <w:tcPr>
            <w:tcW w:w="745" w:type="pct"/>
            <w:vAlign w:val="center"/>
          </w:tcPr>
          <w:p>
            <w:pPr>
              <w:jc w:val="right"/>
            </w:pPr>
            <w:r>
              <w:rPr>
                <w:rFonts w:hint="eastAsia"/>
              </w:rPr>
              <w:t xml:space="preserve">24,185,642.47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20" w:type="pct"/>
            <w:vAlign w:val="center"/>
          </w:tcPr>
          <w:p>
            <w:pPr>
              <w:ind w:right="105"/>
              <w:jc w:val="both"/>
            </w:pPr>
            <w:r>
              <w:t>单位</w:t>
            </w:r>
            <w:r>
              <w:rPr>
                <w:rFonts w:hint="eastAsia"/>
              </w:rPr>
              <w:t>2</w:t>
            </w:r>
          </w:p>
        </w:tc>
        <w:tc>
          <w:tcPr>
            <w:tcW w:w="883" w:type="pct"/>
            <w:vAlign w:val="center"/>
          </w:tcPr>
          <w:p>
            <w:pPr>
              <w:ind w:right="73"/>
              <w:jc w:val="right"/>
            </w:pPr>
            <w:r>
              <w:rPr>
                <w:rFonts w:hint="eastAsia"/>
              </w:rPr>
              <w:t xml:space="preserve"> 10,000,000.00 </w:t>
            </w:r>
          </w:p>
        </w:tc>
        <w:tc>
          <w:tcPr>
            <w:tcW w:w="804" w:type="pct"/>
            <w:vAlign w:val="center"/>
          </w:tcPr>
          <w:p>
            <w:pPr>
              <w:jc w:val="right"/>
            </w:pPr>
            <w:r>
              <w:rPr>
                <w:rFonts w:hint="eastAsia"/>
              </w:rPr>
              <w:t xml:space="preserve"> 5.75 </w:t>
            </w:r>
          </w:p>
        </w:tc>
        <w:tc>
          <w:tcPr>
            <w:tcW w:w="883" w:type="pct"/>
            <w:vAlign w:val="center"/>
          </w:tcPr>
          <w:p>
            <w:pPr>
              <w:ind w:right="73"/>
              <w:jc w:val="center"/>
            </w:pPr>
            <w:r>
              <w:rPr>
                <w:rFonts w:hint="eastAsia"/>
              </w:rPr>
              <w:t>押金及保证金</w:t>
            </w:r>
          </w:p>
        </w:tc>
        <w:tc>
          <w:tcPr>
            <w:tcW w:w="964" w:type="pct"/>
            <w:vAlign w:val="center"/>
          </w:tcPr>
          <w:p>
            <w:pPr>
              <w:ind w:right="73"/>
              <w:jc w:val="center"/>
            </w:pPr>
            <w:r>
              <w:rPr>
                <w:rFonts w:hint="eastAsia"/>
              </w:rPr>
              <w:t>1年以内</w:t>
            </w:r>
          </w:p>
        </w:tc>
        <w:tc>
          <w:tcPr>
            <w:tcW w:w="745" w:type="pct"/>
            <w:vAlign w:val="center"/>
          </w:tcPr>
          <w:p>
            <w:pPr>
              <w:jc w:val="right"/>
            </w:pPr>
            <w:r>
              <w:rPr>
                <w:rFonts w:hint="eastAsia"/>
              </w:rPr>
              <w:t xml:space="preserve"> 500,000.00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20" w:type="pct"/>
            <w:vAlign w:val="center"/>
          </w:tcPr>
          <w:p>
            <w:pPr>
              <w:ind w:right="105"/>
              <w:jc w:val="both"/>
            </w:pPr>
            <w:r>
              <w:t>单位</w:t>
            </w:r>
            <w:r>
              <w:rPr>
                <w:rFonts w:hint="eastAsia"/>
              </w:rPr>
              <w:t>3</w:t>
            </w:r>
          </w:p>
        </w:tc>
        <w:tc>
          <w:tcPr>
            <w:tcW w:w="883" w:type="pct"/>
            <w:vAlign w:val="center"/>
          </w:tcPr>
          <w:p>
            <w:pPr>
              <w:ind w:right="73"/>
              <w:jc w:val="right"/>
            </w:pPr>
            <w:r>
              <w:rPr>
                <w:rFonts w:hint="eastAsia"/>
              </w:rPr>
              <w:t xml:space="preserve"> 2,750,000.00 </w:t>
            </w:r>
          </w:p>
        </w:tc>
        <w:tc>
          <w:tcPr>
            <w:tcW w:w="804" w:type="pct"/>
            <w:vAlign w:val="center"/>
          </w:tcPr>
          <w:p>
            <w:pPr>
              <w:jc w:val="right"/>
            </w:pPr>
            <w:r>
              <w:rPr>
                <w:rFonts w:hint="eastAsia"/>
              </w:rPr>
              <w:t xml:space="preserve"> 1.58 </w:t>
            </w:r>
          </w:p>
        </w:tc>
        <w:tc>
          <w:tcPr>
            <w:tcW w:w="883" w:type="pct"/>
            <w:vAlign w:val="center"/>
          </w:tcPr>
          <w:p>
            <w:pPr>
              <w:ind w:right="73"/>
              <w:jc w:val="center"/>
            </w:pPr>
            <w:r>
              <w:rPr>
                <w:rFonts w:hint="eastAsia"/>
              </w:rPr>
              <w:t>押金及保证金</w:t>
            </w:r>
          </w:p>
        </w:tc>
        <w:tc>
          <w:tcPr>
            <w:tcW w:w="964" w:type="pct"/>
            <w:vAlign w:val="center"/>
          </w:tcPr>
          <w:p>
            <w:pPr>
              <w:ind w:right="73"/>
              <w:jc w:val="center"/>
            </w:pPr>
            <w:r>
              <w:rPr>
                <w:rFonts w:hint="eastAsia"/>
              </w:rPr>
              <w:t>1年以内</w:t>
            </w:r>
          </w:p>
        </w:tc>
        <w:tc>
          <w:tcPr>
            <w:tcW w:w="745" w:type="pct"/>
            <w:vAlign w:val="center"/>
          </w:tcPr>
          <w:p>
            <w:pPr>
              <w:jc w:val="right"/>
            </w:pPr>
            <w:r>
              <w:rPr>
                <w:rFonts w:hint="eastAsia"/>
              </w:rPr>
              <w:t xml:space="preserve"> 137,500.00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20" w:type="pct"/>
            <w:vAlign w:val="center"/>
          </w:tcPr>
          <w:p>
            <w:pPr>
              <w:ind w:right="105"/>
              <w:jc w:val="both"/>
            </w:pPr>
            <w:r>
              <w:t>单位</w:t>
            </w:r>
            <w:r>
              <w:rPr>
                <w:rFonts w:hint="eastAsia"/>
              </w:rPr>
              <w:t>4</w:t>
            </w:r>
          </w:p>
        </w:tc>
        <w:tc>
          <w:tcPr>
            <w:tcW w:w="883" w:type="pct"/>
            <w:vAlign w:val="center"/>
          </w:tcPr>
          <w:p>
            <w:pPr>
              <w:ind w:right="73"/>
              <w:jc w:val="right"/>
            </w:pPr>
            <w:r>
              <w:rPr>
                <w:rFonts w:hint="eastAsia"/>
              </w:rPr>
              <w:t xml:space="preserve"> 1,567,279.88 </w:t>
            </w:r>
          </w:p>
        </w:tc>
        <w:tc>
          <w:tcPr>
            <w:tcW w:w="804" w:type="pct"/>
            <w:vAlign w:val="center"/>
          </w:tcPr>
          <w:p>
            <w:pPr>
              <w:jc w:val="right"/>
            </w:pPr>
            <w:r>
              <w:rPr>
                <w:rFonts w:hint="eastAsia"/>
              </w:rPr>
              <w:t xml:space="preserve"> 0.90 </w:t>
            </w:r>
          </w:p>
        </w:tc>
        <w:tc>
          <w:tcPr>
            <w:tcW w:w="883" w:type="pct"/>
            <w:vAlign w:val="center"/>
          </w:tcPr>
          <w:p>
            <w:pPr>
              <w:ind w:right="73"/>
              <w:jc w:val="center"/>
            </w:pPr>
            <w:r>
              <w:rPr>
                <w:rFonts w:hint="eastAsia"/>
              </w:rPr>
              <w:t>往来及其他</w:t>
            </w:r>
          </w:p>
        </w:tc>
        <w:tc>
          <w:tcPr>
            <w:tcW w:w="964" w:type="pct"/>
            <w:vAlign w:val="center"/>
          </w:tcPr>
          <w:p>
            <w:pPr>
              <w:ind w:right="73"/>
              <w:jc w:val="center"/>
            </w:pPr>
            <w:r>
              <w:rPr>
                <w:rFonts w:hint="eastAsia"/>
              </w:rPr>
              <w:t>1年以内</w:t>
            </w:r>
          </w:p>
        </w:tc>
        <w:tc>
          <w:tcPr>
            <w:tcW w:w="745" w:type="pct"/>
            <w:vAlign w:val="center"/>
          </w:tcPr>
          <w:p>
            <w:pPr>
              <w:jc w:val="right"/>
            </w:pPr>
            <w:r>
              <w:rPr>
                <w:rFonts w:hint="eastAsia"/>
              </w:rPr>
              <w:t xml:space="preserve"> 99,121.94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20" w:type="pct"/>
            <w:vAlign w:val="center"/>
          </w:tcPr>
          <w:p>
            <w:pPr>
              <w:ind w:right="105"/>
              <w:jc w:val="both"/>
            </w:pPr>
            <w:r>
              <w:t>单位</w:t>
            </w:r>
            <w:r>
              <w:rPr>
                <w:rFonts w:hint="eastAsia"/>
              </w:rPr>
              <w:t>5</w:t>
            </w:r>
          </w:p>
        </w:tc>
        <w:tc>
          <w:tcPr>
            <w:tcW w:w="883" w:type="pct"/>
            <w:vAlign w:val="center"/>
          </w:tcPr>
          <w:p>
            <w:pPr>
              <w:ind w:right="73"/>
              <w:jc w:val="right"/>
            </w:pPr>
            <w:r>
              <w:rPr>
                <w:rFonts w:hint="eastAsia"/>
              </w:rPr>
              <w:t xml:space="preserve"> 1,014,227.50 </w:t>
            </w:r>
          </w:p>
        </w:tc>
        <w:tc>
          <w:tcPr>
            <w:tcW w:w="804" w:type="pct"/>
            <w:vAlign w:val="center"/>
          </w:tcPr>
          <w:p>
            <w:pPr>
              <w:jc w:val="right"/>
            </w:pPr>
            <w:r>
              <w:rPr>
                <w:rFonts w:hint="eastAsia"/>
              </w:rPr>
              <w:t xml:space="preserve"> 0.58 </w:t>
            </w:r>
          </w:p>
        </w:tc>
        <w:tc>
          <w:tcPr>
            <w:tcW w:w="883" w:type="pct"/>
            <w:vAlign w:val="center"/>
          </w:tcPr>
          <w:p>
            <w:pPr>
              <w:ind w:right="73"/>
              <w:jc w:val="center"/>
            </w:pPr>
            <w:r>
              <w:rPr>
                <w:rFonts w:hint="eastAsia"/>
              </w:rPr>
              <w:t>押金及保证金</w:t>
            </w:r>
          </w:p>
        </w:tc>
        <w:tc>
          <w:tcPr>
            <w:tcW w:w="964" w:type="pct"/>
            <w:vAlign w:val="center"/>
          </w:tcPr>
          <w:p>
            <w:pPr>
              <w:ind w:right="73"/>
              <w:jc w:val="center"/>
            </w:pPr>
            <w:r>
              <w:t>3-4</w:t>
            </w:r>
            <w:r>
              <w:rPr>
                <w:rFonts w:hint="eastAsia"/>
              </w:rPr>
              <w:t>年、4-5 年、</w:t>
            </w:r>
          </w:p>
          <w:p>
            <w:pPr>
              <w:ind w:right="73"/>
              <w:jc w:val="center"/>
            </w:pPr>
            <w:r>
              <w:rPr>
                <w:rFonts w:hint="eastAsia"/>
              </w:rPr>
              <w:t>5 年以上</w:t>
            </w:r>
          </w:p>
        </w:tc>
        <w:tc>
          <w:tcPr>
            <w:tcW w:w="745" w:type="pct"/>
            <w:vAlign w:val="center"/>
          </w:tcPr>
          <w:p>
            <w:pPr>
              <w:jc w:val="right"/>
            </w:pPr>
            <w:r>
              <w:rPr>
                <w:rFonts w:hint="eastAsia"/>
              </w:rPr>
              <w:t xml:space="preserve"> 842,790.25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720" w:type="pct"/>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883" w:type="pct"/>
            <w:vAlign w:val="center"/>
          </w:tcPr>
          <w:p>
            <w:pPr>
              <w:ind w:right="73"/>
              <w:jc w:val="right"/>
            </w:pPr>
            <w:r>
              <w:t xml:space="preserve">143,557,507.38 </w:t>
            </w:r>
          </w:p>
        </w:tc>
        <w:tc>
          <w:tcPr>
            <w:tcW w:w="804" w:type="pct"/>
            <w:vAlign w:val="center"/>
          </w:tcPr>
          <w:p>
            <w:pPr>
              <w:jc w:val="right"/>
            </w:pPr>
            <w:r>
              <w:t xml:space="preserve"> 82.58 </w:t>
            </w:r>
          </w:p>
        </w:tc>
        <w:tc>
          <w:tcPr>
            <w:tcW w:w="883" w:type="pct"/>
            <w:vAlign w:val="center"/>
          </w:tcPr>
          <w:p>
            <w:pPr>
              <w:ind w:right="73"/>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tcPr>
            <w:tcW w:w="964" w:type="pct"/>
            <w:vAlign w:val="center"/>
          </w:tcPr>
          <w:p>
            <w:pPr>
              <w:ind w:right="73"/>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tcPr>
            <w:tcW w:w="745" w:type="pct"/>
            <w:vAlign w:val="center"/>
          </w:tcPr>
          <w:p>
            <w:pPr>
              <w:jc w:val="right"/>
            </w:pPr>
            <w:r>
              <w:t>25,765,054.66</w:t>
            </w:r>
          </w:p>
        </w:tc>
      </w:tr>
    </w:tbl>
    <w:p>
      <w:pPr>
        <w:pStyle w:val="6"/>
        <w:numPr>
          <w:ilvl w:val="0"/>
          <w:numId w:val="47"/>
        </w:numPr>
      </w:pPr>
      <w:bookmarkStart w:id="272" w:name="_Hlk167891115"/>
      <w:r>
        <w:rPr>
          <w:rFonts w:hint="eastAsia"/>
        </w:rPr>
        <w:t>因资金集中管理而列报于其他应收款</w:t>
      </w:r>
    </w:p>
    <w:sdt>
      <w:sdtPr>
        <w:rPr>
          <w:color w:val="000000" w:themeColor="text1"/>
          <w14:textFill>
            <w14:solidFill>
              <w14:schemeClr w14:val="tx1"/>
            </w14:solidFill>
          </w14:textFill>
        </w:rPr>
        <w:alias w:val="是否适用：因资金集中管理而列报于其他应收款[双击切换]"/>
        <w:tag w:val="_GBC_4dd617ad43cc44e08e5603fa324c6566"/>
        <w:id w:val="-2074960296"/>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72"/>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color w:val="000000" w:themeColor="text1"/>
          <w14:textFill>
            <w14:solidFill>
              <w14:schemeClr w14:val="tx1"/>
            </w14:solidFill>
          </w14:textFill>
        </w:rPr>
        <w:alias w:val="是否适用：其他应收款的其他说明[双击切换]"/>
        <w:tag w:val="_GBC_55d570440c184744bd13a4938ba488d1"/>
        <w:id w:val="-14743493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存货</w:t>
      </w:r>
    </w:p>
    <w:p>
      <w:pPr>
        <w:pStyle w:val="5"/>
        <w:numPr>
          <w:ilvl w:val="0"/>
          <w:numId w:val="48"/>
        </w:numPr>
        <w:tabs>
          <w:tab w:val="left" w:pos="630"/>
        </w:tabs>
        <w:rPr>
          <w:rFonts w:hint="eastAsia" w:ascii="宋体" w:hAnsi="宋体"/>
          <w:color w:val="000000" w:themeColor="text1"/>
          <w14:textFill>
            <w14:solidFill>
              <w14:schemeClr w14:val="tx1"/>
            </w14:solidFill>
          </w14:textFill>
        </w:rPr>
      </w:pPr>
      <w:bookmarkStart w:id="273" w:name="_Hlk10470159"/>
      <w:r>
        <w:rPr>
          <w:rFonts w:hint="eastAsia" w:ascii="宋体" w:hAnsi="宋体"/>
          <w:color w:val="000000" w:themeColor="text1"/>
          <w14:textFill>
            <w14:solidFill>
              <w14:schemeClr w14:val="tx1"/>
            </w14:solidFill>
          </w14:textFill>
        </w:rPr>
        <w:t>存货分类</w:t>
      </w:r>
    </w:p>
    <w:sdt>
      <w:sdtPr>
        <w:rPr>
          <w:color w:val="000000" w:themeColor="text1"/>
          <w14:textFill>
            <w14:solidFill>
              <w14:schemeClr w14:val="tx1"/>
            </w14:solidFill>
          </w14:textFill>
        </w:rPr>
        <w:alias w:val="是否适用：存货分类[双击切换]"/>
        <w:tag w:val="_GBC_06c46a03a226418fb8e5e84326c47750"/>
        <w:id w:val="-152986307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存货分类"/>
          <w:tag w:val="_GBC_cc6e1ec3be0141cbb25cf999a897b29b"/>
          <w:id w:val="-20202323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存货分类"/>
          <w:tag w:val="_GBC_d85b2ad6790d4fa2ace1d773934cd4b3"/>
          <w:id w:val="12367264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2235"/>
        <w:gridCol w:w="1867"/>
        <w:gridCol w:w="2146"/>
        <w:gridCol w:w="1934"/>
        <w:gridCol w:w="1917"/>
        <w:gridCol w:w="2138"/>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48d855cd658044389f8d1cbe0016be78"/>
            <w:id w:val="-1186364177"/>
          </w:sdtPr>
          <w:sdtContent>
            <w:tc>
              <w:tcPr>
                <w:tcW w:w="802"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86606f595aa4fff8214f9b6209260b6"/>
            <w:id w:val="725332809"/>
          </w:sdtPr>
          <w:sdtContent>
            <w:tc>
              <w:tcPr>
                <w:tcW w:w="2134"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a1bbc97888494137a790328386c2b9d8"/>
            <w:id w:val="1257021815"/>
          </w:sdtPr>
          <w:sdtContent>
            <w:tc>
              <w:tcPr>
                <w:tcW w:w="2064"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vMerge w:val="continue"/>
          </w:tcPr>
          <w:p>
            <w:pPr>
              <w:ind w:right="5"/>
              <w:jc w:val="center"/>
              <w:rPr>
                <w:color w:val="000000" w:themeColor="text1"/>
                <w14:textFill>
                  <w14:solidFill>
                    <w14:schemeClr w14:val="tx1"/>
                  </w14:solidFill>
                </w14:textFill>
              </w:rPr>
            </w:pPr>
          </w:p>
        </w:tc>
        <w:sdt>
          <w:sdtPr>
            <w:tag w:val="_PLD_60368d835c2843d99b5061f4c84f8d8e"/>
            <w:id w:val="-996110531"/>
          </w:sdtPr>
          <w:sdtContent>
            <w:tc>
              <w:tcPr>
                <w:tcW w:w="670" w:type="pct"/>
                <w:vAlign w:val="center"/>
              </w:tcPr>
              <w:p>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tc>
          <w:tcPr>
            <w:tcW w:w="770" w:type="pct"/>
            <w:vAlign w:val="center"/>
          </w:tcPr>
          <w:p>
            <w:pPr>
              <w:ind w:right="5"/>
              <w:jc w:val="center"/>
              <w:rPr>
                <w:color w:val="000000" w:themeColor="text1"/>
                <w14:textFill>
                  <w14:solidFill>
                    <w14:schemeClr w14:val="tx1"/>
                  </w14:solidFill>
                </w14:textFill>
              </w:rPr>
            </w:pPr>
            <w:sdt>
              <w:sdtPr>
                <w:tag w:val="_PLD_b5c53ce2a5004db988af9e72594f6b6a"/>
                <w:id w:val="1973788674"/>
              </w:sdtPr>
              <w:sdtContent>
                <w:r>
                  <w:rPr>
                    <w:rFonts w:hint="eastAsia"/>
                    <w:color w:val="000000" w:themeColor="text1"/>
                    <w14:textFill>
                      <w14:solidFill>
                        <w14:schemeClr w14:val="tx1"/>
                      </w14:solidFill>
                    </w14:textFill>
                  </w:rPr>
                  <w:t>存货跌价准备</w:t>
                </w:r>
                <w:r>
                  <w:rPr>
                    <w:color w:val="000000" w:themeColor="text1"/>
                    <w14:textFill>
                      <w14:solidFill>
                        <w14:schemeClr w14:val="tx1"/>
                      </w14:solidFill>
                    </w14:textFill>
                  </w:rPr>
                  <w:t>/合同履约成本减值准备</w:t>
                </w:r>
              </w:sdtContent>
            </w:sdt>
          </w:p>
        </w:tc>
        <w:sdt>
          <w:sdtPr>
            <w:tag w:val="_PLD_f2691cf723784fbcbc9a900f61c6e250"/>
            <w:id w:val="-1065640367"/>
          </w:sdtPr>
          <w:sdtContent>
            <w:tc>
              <w:tcPr>
                <w:tcW w:w="694" w:type="pct"/>
                <w:vAlign w:val="center"/>
              </w:tcPr>
              <w:p>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df34ec94af0b441bab962cb42fe65b1a"/>
            <w:id w:val="-369379863"/>
          </w:sdtPr>
          <w:sdtContent>
            <w:tc>
              <w:tcPr>
                <w:tcW w:w="688" w:type="pct"/>
                <w:vAlign w:val="center"/>
              </w:tcPr>
              <w:p>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tc>
          <w:tcPr>
            <w:tcW w:w="767" w:type="pct"/>
            <w:vAlign w:val="center"/>
          </w:tcPr>
          <w:p>
            <w:pPr>
              <w:ind w:right="5"/>
              <w:jc w:val="center"/>
              <w:rPr>
                <w:color w:val="000000" w:themeColor="text1"/>
                <w14:textFill>
                  <w14:solidFill>
                    <w14:schemeClr w14:val="tx1"/>
                  </w14:solidFill>
                </w14:textFill>
              </w:rPr>
            </w:pPr>
            <w:sdt>
              <w:sdtPr>
                <w:tag w:val="_PLD_7a42c47b54924b47b9e161d8fd9fb840"/>
                <w:id w:val="352234422"/>
              </w:sdtPr>
              <w:sdtContent>
                <w:r>
                  <w:rPr>
                    <w:rFonts w:hint="eastAsia"/>
                    <w:color w:val="000000" w:themeColor="text1"/>
                    <w14:textFill>
                      <w14:solidFill>
                        <w14:schemeClr w14:val="tx1"/>
                      </w14:solidFill>
                    </w14:textFill>
                  </w:rPr>
                  <w:t>存货跌价准备</w:t>
                </w:r>
                <w:r>
                  <w:rPr>
                    <w:color w:val="000000" w:themeColor="text1"/>
                    <w14:textFill>
                      <w14:solidFill>
                        <w14:schemeClr w14:val="tx1"/>
                      </w14:solidFill>
                    </w14:textFill>
                  </w:rPr>
                  <w:t>/合同履约成本减值准备</w:t>
                </w:r>
              </w:sdtContent>
            </w:sdt>
          </w:p>
        </w:tc>
        <w:sdt>
          <w:sdtPr>
            <w:tag w:val="_PLD_0db3a7f82db34583bb111dc2a8e88f8c"/>
            <w:id w:val="-794210242"/>
          </w:sdtPr>
          <w:sdtContent>
            <w:tc>
              <w:tcPr>
                <w:tcW w:w="609" w:type="pct"/>
                <w:vAlign w:val="center"/>
              </w:tcPr>
              <w:p>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原材料</w:t>
            </w:r>
          </w:p>
        </w:tc>
        <w:tc>
          <w:tcPr>
            <w:tcW w:w="670" w:type="pct"/>
          </w:tcPr>
          <w:p>
            <w:pPr>
              <w:ind w:right="5"/>
              <w:jc w:val="right"/>
            </w:pPr>
            <w:r>
              <w:t xml:space="preserve"> 243,290,741.80 </w:t>
            </w:r>
          </w:p>
        </w:tc>
        <w:tc>
          <w:tcPr>
            <w:tcW w:w="770" w:type="pct"/>
          </w:tcPr>
          <w:p>
            <w:pPr>
              <w:ind w:right="5"/>
              <w:jc w:val="right"/>
            </w:pPr>
            <w:r>
              <w:t xml:space="preserve"> 1,186,156.18 </w:t>
            </w:r>
          </w:p>
        </w:tc>
        <w:tc>
          <w:tcPr>
            <w:tcW w:w="694" w:type="pct"/>
          </w:tcPr>
          <w:p>
            <w:pPr>
              <w:ind w:right="5"/>
              <w:jc w:val="right"/>
            </w:pPr>
            <w:r>
              <w:t xml:space="preserve"> 242,104,585.62 </w:t>
            </w:r>
          </w:p>
        </w:tc>
        <w:tc>
          <w:tcPr>
            <w:tcW w:w="688" w:type="pct"/>
          </w:tcPr>
          <w:p>
            <w:pPr>
              <w:ind w:right="5"/>
              <w:jc w:val="right"/>
            </w:pPr>
            <w:r>
              <w:t xml:space="preserve"> 202,108,729.92 </w:t>
            </w:r>
          </w:p>
        </w:tc>
        <w:tc>
          <w:tcPr>
            <w:tcW w:w="767" w:type="pct"/>
          </w:tcPr>
          <w:p>
            <w:pPr>
              <w:ind w:right="5"/>
              <w:jc w:val="right"/>
            </w:pPr>
            <w:r>
              <w:t xml:space="preserve"> 2,312,737.87 </w:t>
            </w:r>
          </w:p>
        </w:tc>
        <w:tc>
          <w:tcPr>
            <w:tcW w:w="609" w:type="pct"/>
          </w:tcPr>
          <w:p>
            <w:pPr>
              <w:ind w:right="5"/>
              <w:jc w:val="right"/>
            </w:pPr>
            <w:r>
              <w:t xml:space="preserve">199,795,992.05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在产品</w:t>
            </w:r>
          </w:p>
        </w:tc>
        <w:tc>
          <w:tcPr>
            <w:tcW w:w="670" w:type="pct"/>
          </w:tcPr>
          <w:p>
            <w:pPr>
              <w:ind w:right="5"/>
              <w:jc w:val="right"/>
            </w:pPr>
            <w:r>
              <w:t xml:space="preserve"> 245,674,721.50 </w:t>
            </w:r>
          </w:p>
        </w:tc>
        <w:tc>
          <w:tcPr>
            <w:tcW w:w="770" w:type="pct"/>
          </w:tcPr>
          <w:p>
            <w:pPr>
              <w:ind w:right="5"/>
              <w:jc w:val="right"/>
            </w:pPr>
            <w:r>
              <w:t xml:space="preserve"> 1,162,656.07 </w:t>
            </w:r>
          </w:p>
        </w:tc>
        <w:tc>
          <w:tcPr>
            <w:tcW w:w="694" w:type="pct"/>
          </w:tcPr>
          <w:p>
            <w:pPr>
              <w:ind w:right="5"/>
              <w:jc w:val="right"/>
            </w:pPr>
            <w:r>
              <w:t xml:space="preserve"> 244,512,065.43 </w:t>
            </w:r>
          </w:p>
        </w:tc>
        <w:tc>
          <w:tcPr>
            <w:tcW w:w="688" w:type="pct"/>
          </w:tcPr>
          <w:p>
            <w:pPr>
              <w:ind w:right="5"/>
              <w:jc w:val="right"/>
            </w:pPr>
            <w:r>
              <w:t xml:space="preserve"> 209,421,495.97 </w:t>
            </w:r>
          </w:p>
        </w:tc>
        <w:tc>
          <w:tcPr>
            <w:tcW w:w="767" w:type="pct"/>
          </w:tcPr>
          <w:p>
            <w:pPr>
              <w:ind w:right="5"/>
              <w:jc w:val="right"/>
            </w:pPr>
            <w:r>
              <w:t xml:space="preserve"> 4,478,262.69 </w:t>
            </w:r>
          </w:p>
        </w:tc>
        <w:tc>
          <w:tcPr>
            <w:tcW w:w="609" w:type="pct"/>
          </w:tcPr>
          <w:p>
            <w:pPr>
              <w:ind w:right="5"/>
              <w:jc w:val="right"/>
            </w:pPr>
            <w:r>
              <w:t xml:space="preserve"> 204,943,233.28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库存商品</w:t>
            </w:r>
          </w:p>
        </w:tc>
        <w:tc>
          <w:tcPr>
            <w:tcW w:w="670" w:type="pct"/>
          </w:tcPr>
          <w:p>
            <w:pPr>
              <w:ind w:right="5"/>
              <w:jc w:val="right"/>
            </w:pPr>
            <w:r>
              <w:t xml:space="preserve"> 586,344,418.68 </w:t>
            </w:r>
          </w:p>
        </w:tc>
        <w:tc>
          <w:tcPr>
            <w:tcW w:w="770" w:type="pct"/>
          </w:tcPr>
          <w:p>
            <w:pPr>
              <w:ind w:right="5"/>
              <w:jc w:val="right"/>
            </w:pPr>
            <w:r>
              <w:t xml:space="preserve"> 11,996,243.36 </w:t>
            </w:r>
          </w:p>
        </w:tc>
        <w:tc>
          <w:tcPr>
            <w:tcW w:w="694" w:type="pct"/>
          </w:tcPr>
          <w:p>
            <w:pPr>
              <w:ind w:right="5"/>
              <w:jc w:val="right"/>
            </w:pPr>
            <w:r>
              <w:t xml:space="preserve"> 574,348,175.32 </w:t>
            </w:r>
          </w:p>
        </w:tc>
        <w:tc>
          <w:tcPr>
            <w:tcW w:w="688" w:type="pct"/>
          </w:tcPr>
          <w:p>
            <w:pPr>
              <w:ind w:right="5"/>
              <w:jc w:val="right"/>
            </w:pPr>
            <w:r>
              <w:t xml:space="preserve"> 443,134,828.09 </w:t>
            </w:r>
          </w:p>
        </w:tc>
        <w:tc>
          <w:tcPr>
            <w:tcW w:w="767" w:type="pct"/>
          </w:tcPr>
          <w:p>
            <w:pPr>
              <w:ind w:right="5"/>
              <w:jc w:val="right"/>
            </w:pPr>
            <w:r>
              <w:t xml:space="preserve"> 10,072,048.05 </w:t>
            </w:r>
          </w:p>
        </w:tc>
        <w:tc>
          <w:tcPr>
            <w:tcW w:w="609" w:type="pct"/>
          </w:tcPr>
          <w:p>
            <w:pPr>
              <w:ind w:right="5"/>
              <w:jc w:val="right"/>
            </w:pPr>
            <w:r>
              <w:t xml:space="preserve"> 433,062,780.04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pPr>
              <w:ind w:right="5"/>
            </w:pPr>
            <w:r>
              <w:rPr>
                <w:rFonts w:hint="eastAsia"/>
              </w:rPr>
              <w:t>发出商品</w:t>
            </w:r>
          </w:p>
        </w:tc>
        <w:tc>
          <w:tcPr>
            <w:tcW w:w="670" w:type="pct"/>
          </w:tcPr>
          <w:p>
            <w:pPr>
              <w:ind w:right="5"/>
              <w:jc w:val="right"/>
            </w:pPr>
            <w:r>
              <w:t xml:space="preserve"> 43,700,654.24 </w:t>
            </w:r>
          </w:p>
        </w:tc>
        <w:tc>
          <w:tcPr>
            <w:tcW w:w="770" w:type="pct"/>
          </w:tcPr>
          <w:p>
            <w:pPr>
              <w:ind w:right="5"/>
              <w:jc w:val="right"/>
            </w:pPr>
            <w:r>
              <w:t xml:space="preserve"> 324,939.57 </w:t>
            </w:r>
          </w:p>
        </w:tc>
        <w:tc>
          <w:tcPr>
            <w:tcW w:w="694" w:type="pct"/>
          </w:tcPr>
          <w:p>
            <w:pPr>
              <w:ind w:right="5"/>
              <w:jc w:val="right"/>
            </w:pPr>
            <w:r>
              <w:t xml:space="preserve"> 43,375,714.67 </w:t>
            </w:r>
          </w:p>
        </w:tc>
        <w:tc>
          <w:tcPr>
            <w:tcW w:w="688" w:type="pct"/>
          </w:tcPr>
          <w:p>
            <w:pPr>
              <w:ind w:right="5"/>
              <w:jc w:val="right"/>
            </w:pPr>
            <w:r>
              <w:t xml:space="preserve"> 159,045,365.05 </w:t>
            </w:r>
          </w:p>
        </w:tc>
        <w:tc>
          <w:tcPr>
            <w:tcW w:w="767" w:type="pct"/>
          </w:tcPr>
          <w:p>
            <w:pPr>
              <w:ind w:right="5"/>
              <w:jc w:val="right"/>
            </w:pPr>
            <w:r>
              <w:t xml:space="preserve"> 4,273,015.48 </w:t>
            </w:r>
          </w:p>
        </w:tc>
        <w:tc>
          <w:tcPr>
            <w:tcW w:w="609" w:type="pct"/>
          </w:tcPr>
          <w:p>
            <w:pPr>
              <w:ind w:right="5"/>
              <w:jc w:val="right"/>
            </w:pPr>
            <w:r>
              <w:t xml:space="preserve"> 154,772,349.57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02" w:type="pct"/>
          </w:tcPr>
          <w:p>
            <w:pPr>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70" w:type="pct"/>
          </w:tcPr>
          <w:p>
            <w:pPr>
              <w:ind w:right="5"/>
              <w:jc w:val="right"/>
            </w:pPr>
            <w:r>
              <w:t xml:space="preserve"> 1,119,010,536.22 </w:t>
            </w:r>
          </w:p>
        </w:tc>
        <w:tc>
          <w:tcPr>
            <w:tcW w:w="770" w:type="pct"/>
          </w:tcPr>
          <w:p>
            <w:pPr>
              <w:ind w:right="5"/>
              <w:jc w:val="right"/>
            </w:pPr>
            <w:r>
              <w:t xml:space="preserve"> 14,669,995.18 </w:t>
            </w:r>
          </w:p>
        </w:tc>
        <w:tc>
          <w:tcPr>
            <w:tcW w:w="694" w:type="pct"/>
          </w:tcPr>
          <w:p>
            <w:pPr>
              <w:ind w:right="5"/>
              <w:jc w:val="right"/>
            </w:pPr>
            <w:r>
              <w:t xml:space="preserve"> 1,104,340,541.04 </w:t>
            </w:r>
          </w:p>
        </w:tc>
        <w:tc>
          <w:tcPr>
            <w:tcW w:w="688" w:type="pct"/>
          </w:tcPr>
          <w:p>
            <w:pPr>
              <w:ind w:right="5"/>
              <w:jc w:val="right"/>
            </w:pPr>
            <w:r>
              <w:t xml:space="preserve"> 1,013,710,419.03 </w:t>
            </w:r>
          </w:p>
        </w:tc>
        <w:tc>
          <w:tcPr>
            <w:tcW w:w="767" w:type="pct"/>
          </w:tcPr>
          <w:p>
            <w:pPr>
              <w:ind w:right="5"/>
              <w:jc w:val="right"/>
            </w:pPr>
            <w:r>
              <w:t xml:space="preserve"> 21,136,064.09 </w:t>
            </w:r>
          </w:p>
        </w:tc>
        <w:tc>
          <w:tcPr>
            <w:tcW w:w="609" w:type="pct"/>
          </w:tcPr>
          <w:p>
            <w:pPr>
              <w:ind w:right="5"/>
              <w:jc w:val="right"/>
            </w:pPr>
            <w:r>
              <w:t xml:space="preserve"> 992,574,354.94 </w:t>
            </w:r>
          </w:p>
        </w:tc>
      </w:tr>
      <w:bookmarkEnd w:id="273"/>
    </w:tbl>
    <w:p>
      <w:pPr>
        <w:pStyle w:val="5"/>
        <w:numPr>
          <w:ilvl w:val="0"/>
          <w:numId w:val="48"/>
        </w:numPr>
        <w:tabs>
          <w:tab w:val="left" w:pos="630"/>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确认为存货的数据资源</w:t>
      </w:r>
    </w:p>
    <w:sdt>
      <w:sdtPr>
        <w:rPr>
          <w:rFonts w:hint="eastAsia"/>
          <w:color w:val="000000" w:themeColor="text1"/>
          <w14:textFill>
            <w14:solidFill>
              <w14:schemeClr w14:val="tx1"/>
            </w14:solidFill>
          </w14:textFill>
        </w:rPr>
        <w:alias w:val="是否适用：确认为存货的数据资源[双击切换]"/>
        <w:tag w:val="_GBC_b3f6ef82894a4eb29036b70065be8671"/>
        <w:id w:val="-1276088262"/>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48"/>
        </w:numPr>
        <w:tabs>
          <w:tab w:val="left" w:pos="630"/>
        </w:tabs>
        <w:rPr>
          <w:rFonts w:hint="eastAsia" w:ascii="宋体" w:hAnsi="宋体"/>
          <w:color w:val="000000" w:themeColor="text1"/>
          <w14:textFill>
            <w14:solidFill>
              <w14:schemeClr w14:val="tx1"/>
            </w14:solidFill>
          </w14:textFill>
        </w:rPr>
      </w:pPr>
      <w:bookmarkStart w:id="274" w:name="_Hlk10470459"/>
      <w:r>
        <w:rPr>
          <w:rFonts w:hint="eastAsia" w:ascii="宋体" w:hAnsi="宋体"/>
          <w:color w:val="000000" w:themeColor="text1"/>
          <w14:textFill>
            <w14:solidFill>
              <w14:schemeClr w14:val="tx1"/>
            </w14:solidFill>
          </w14:textFill>
        </w:rPr>
        <w:t>存货跌价准备及合同履约成本减值准备</w:t>
      </w:r>
    </w:p>
    <w:sdt>
      <w:sdtPr>
        <w:rPr>
          <w:color w:val="000000" w:themeColor="text1"/>
          <w14:textFill>
            <w14:solidFill>
              <w14:schemeClr w14:val="tx1"/>
            </w14:solidFill>
          </w14:textFill>
        </w:rPr>
        <w:alias w:val="是否适用：存货跌价准备[双击切换]"/>
        <w:tag w:val="_GBC_b9bd4a0fa089468ebded8bb61a86fbae"/>
        <w:id w:val="-141670843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存货跌价准备"/>
          <w:tag w:val="_GBC_42225a9505da4f598594afea08f9738b"/>
          <w:id w:val="-42064194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存货跌价准备"/>
          <w:tag w:val="_GBC_4de434e29d00482b8b3175d1e7874ff2"/>
          <w:id w:val="5390492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9"/>
        <w:gridCol w:w="2023"/>
        <w:gridCol w:w="2009"/>
        <w:gridCol w:w="2009"/>
        <w:gridCol w:w="2009"/>
        <w:gridCol w:w="2009"/>
        <w:gridCol w:w="2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sdt>
          <w:sdtPr>
            <w:tag w:val="_PLD_08d27e088675483b81e6b09cfaf565b8"/>
            <w:id w:val="-1041589189"/>
          </w:sdtPr>
          <w:sdtContent>
            <w:tc>
              <w:tcPr>
                <w:tcW w:w="713" w:type="pct"/>
                <w:vMerge w:val="restar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31ae60526c9437f842913d632c47f24"/>
            <w:id w:val="-612589544"/>
          </w:sdtPr>
          <w:sdtContent>
            <w:tc>
              <w:tcPr>
                <w:tcW w:w="718" w:type="pct"/>
                <w:vMerge w:val="restar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bc39054479074b8ab34cb8519780a5f1"/>
            <w:id w:val="486291444"/>
          </w:sdtPr>
          <w:sdtContent>
            <w:tc>
              <w:tcPr>
                <w:tcW w:w="1426" w:type="pct"/>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本期增加金额</w:t>
                </w:r>
              </w:p>
            </w:tc>
          </w:sdtContent>
        </w:sdt>
        <w:sdt>
          <w:sdtPr>
            <w:tag w:val="_PLD_a4a235b43e524c0c98a604df05693747"/>
            <w:id w:val="-665165261"/>
          </w:sdtPr>
          <w:sdtContent>
            <w:tc>
              <w:tcPr>
                <w:tcW w:w="1426" w:type="pct"/>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本期减少金额</w:t>
                </w:r>
              </w:p>
            </w:tc>
          </w:sdtContent>
        </w:sdt>
        <w:sdt>
          <w:sdtPr>
            <w:tag w:val="_PLD_fcea706dd57f438c8205de888401e160"/>
            <w:id w:val="-1583906688"/>
          </w:sdtPr>
          <w:sdtContent>
            <w:tc>
              <w:tcPr>
                <w:tcW w:w="717" w:type="pct"/>
                <w:vMerge w:val="restar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13" w:type="pct"/>
            <w:vMerge w:val="continue"/>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c>
          <w:tcPr>
            <w:tcW w:w="718" w:type="pct"/>
            <w:vMerge w:val="continue"/>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sdt>
          <w:sdtPr>
            <w:tag w:val="_PLD_9355443eafab4f4a862c075a55d7e279"/>
            <w:id w:val="193964713"/>
          </w:sdtPr>
          <w:sdtContent>
            <w:tc>
              <w:tcPr>
                <w:tcW w:w="713"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w:t>
                </w:r>
              </w:p>
            </w:tc>
          </w:sdtContent>
        </w:sdt>
        <w:sdt>
          <w:sdtPr>
            <w:tag w:val="_PLD_e67cdd42c79245c980edb6a9d839ecd0"/>
            <w:id w:val="1930774373"/>
          </w:sdtPr>
          <w:sdtContent>
            <w:tc>
              <w:tcPr>
                <w:tcW w:w="713"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sdt>
          <w:sdtPr>
            <w:tag w:val="_PLD_d2a5b409858c40b5a77dea8d7f7c8500"/>
            <w:id w:val="819083558"/>
          </w:sdtPr>
          <w:sdtContent>
            <w:tc>
              <w:tcPr>
                <w:tcW w:w="71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转回或转销</w:t>
                </w:r>
              </w:p>
            </w:tc>
          </w:sdtContent>
        </w:sdt>
        <w:sdt>
          <w:sdtPr>
            <w:tag w:val="_PLD_a0a39eeb19a049d18a777b0dc41ab25e"/>
            <w:id w:val="-1451777066"/>
          </w:sdtPr>
          <w:sdtContent>
            <w:tc>
              <w:tcPr>
                <w:tcW w:w="71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tc>
          <w:tcPr>
            <w:tcW w:w="717" w:type="pct"/>
            <w:vMerge w:val="continue"/>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13"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原材料</w:t>
            </w:r>
          </w:p>
        </w:tc>
        <w:tc>
          <w:tcPr>
            <w:tcW w:w="718" w:type="pct"/>
            <w:tcBorders>
              <w:top w:val="single" w:color="auto" w:sz="4" w:space="0"/>
              <w:left w:val="single" w:color="auto" w:sz="4" w:space="0"/>
              <w:bottom w:val="single" w:color="auto" w:sz="4" w:space="0"/>
              <w:right w:val="single" w:color="auto" w:sz="4" w:space="0"/>
            </w:tcBorders>
          </w:tcPr>
          <w:p>
            <w:pPr>
              <w:ind w:right="5"/>
              <w:jc w:val="right"/>
            </w:pPr>
            <w:r>
              <w:t xml:space="preserve"> 2,312,737.87 </w:t>
            </w:r>
          </w:p>
        </w:tc>
        <w:tc>
          <w:tcPr>
            <w:tcW w:w="713" w:type="pct"/>
            <w:tcBorders>
              <w:top w:val="single" w:color="auto" w:sz="4" w:space="0"/>
              <w:left w:val="single" w:color="auto" w:sz="4" w:space="0"/>
              <w:bottom w:val="single" w:color="auto" w:sz="4" w:space="0"/>
              <w:right w:val="single" w:color="auto" w:sz="4" w:space="0"/>
            </w:tcBorders>
          </w:tcPr>
          <w:p>
            <w:pPr>
              <w:jc w:val="right"/>
            </w:pPr>
            <w:r>
              <w:t xml:space="preserve"> -78,517.00 </w:t>
            </w:r>
          </w:p>
        </w:tc>
        <w:tc>
          <w:tcPr>
            <w:tcW w:w="713" w:type="pct"/>
            <w:tcBorders>
              <w:top w:val="single" w:color="auto" w:sz="4" w:space="0"/>
              <w:left w:val="single" w:color="auto" w:sz="4" w:space="0"/>
              <w:bottom w:val="single" w:color="auto" w:sz="4" w:space="0"/>
              <w:right w:val="single" w:color="auto" w:sz="4" w:space="0"/>
            </w:tcBorders>
          </w:tcPr>
          <w:p>
            <w:pPr>
              <w:jc w:val="right"/>
            </w:pPr>
          </w:p>
        </w:tc>
        <w:tc>
          <w:tcPr>
            <w:tcW w:w="713" w:type="pct"/>
            <w:tcBorders>
              <w:top w:val="single" w:color="auto" w:sz="4" w:space="0"/>
              <w:left w:val="single" w:color="auto" w:sz="4" w:space="0"/>
              <w:bottom w:val="single" w:color="auto" w:sz="4" w:space="0"/>
              <w:right w:val="single" w:color="auto" w:sz="4" w:space="0"/>
            </w:tcBorders>
          </w:tcPr>
          <w:p>
            <w:pPr>
              <w:jc w:val="right"/>
            </w:pPr>
            <w:r>
              <w:t xml:space="preserve"> 1,048,064.69 </w:t>
            </w:r>
          </w:p>
        </w:tc>
        <w:tc>
          <w:tcPr>
            <w:tcW w:w="713" w:type="pct"/>
            <w:tcBorders>
              <w:top w:val="single" w:color="auto" w:sz="4" w:space="0"/>
              <w:left w:val="single" w:color="auto" w:sz="4" w:space="0"/>
              <w:bottom w:val="single" w:color="auto" w:sz="4" w:space="0"/>
              <w:right w:val="single" w:color="auto" w:sz="4" w:space="0"/>
            </w:tcBorders>
          </w:tcPr>
          <w:p>
            <w:pPr>
              <w:jc w:val="right"/>
            </w:pPr>
          </w:p>
        </w:tc>
        <w:tc>
          <w:tcPr>
            <w:tcW w:w="717" w:type="pct"/>
            <w:tcBorders>
              <w:top w:val="single" w:color="auto" w:sz="4" w:space="0"/>
              <w:left w:val="single" w:color="auto" w:sz="4" w:space="0"/>
              <w:bottom w:val="single" w:color="auto" w:sz="4" w:space="0"/>
              <w:right w:val="single" w:color="auto" w:sz="4" w:space="0"/>
            </w:tcBorders>
          </w:tcPr>
          <w:p>
            <w:pPr>
              <w:ind w:right="5"/>
              <w:jc w:val="right"/>
            </w:pPr>
            <w:r>
              <w:t xml:space="preserve"> 1,186,156.18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13"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在产品</w:t>
            </w:r>
          </w:p>
        </w:tc>
        <w:tc>
          <w:tcPr>
            <w:tcW w:w="718" w:type="pct"/>
            <w:tcBorders>
              <w:top w:val="single" w:color="auto" w:sz="4" w:space="0"/>
              <w:left w:val="single" w:color="auto" w:sz="4" w:space="0"/>
              <w:bottom w:val="single" w:color="auto" w:sz="4" w:space="0"/>
              <w:right w:val="single" w:color="auto" w:sz="4" w:space="0"/>
            </w:tcBorders>
          </w:tcPr>
          <w:p>
            <w:pPr>
              <w:ind w:right="5"/>
              <w:jc w:val="right"/>
            </w:pPr>
            <w:r>
              <w:t xml:space="preserve"> 4,478,262.69 </w:t>
            </w:r>
          </w:p>
        </w:tc>
        <w:tc>
          <w:tcPr>
            <w:tcW w:w="713" w:type="pct"/>
            <w:tcBorders>
              <w:top w:val="single" w:color="auto" w:sz="4" w:space="0"/>
              <w:left w:val="single" w:color="auto" w:sz="4" w:space="0"/>
              <w:bottom w:val="single" w:color="auto" w:sz="4" w:space="0"/>
              <w:right w:val="single" w:color="auto" w:sz="4" w:space="0"/>
            </w:tcBorders>
          </w:tcPr>
          <w:p>
            <w:pPr>
              <w:jc w:val="right"/>
            </w:pPr>
            <w:r>
              <w:t xml:space="preserve"> 1,023,182.22 </w:t>
            </w:r>
          </w:p>
        </w:tc>
        <w:tc>
          <w:tcPr>
            <w:tcW w:w="713" w:type="pct"/>
            <w:tcBorders>
              <w:top w:val="single" w:color="auto" w:sz="4" w:space="0"/>
              <w:left w:val="single" w:color="auto" w:sz="4" w:space="0"/>
              <w:bottom w:val="single" w:color="auto" w:sz="4" w:space="0"/>
              <w:right w:val="single" w:color="auto" w:sz="4" w:space="0"/>
            </w:tcBorders>
          </w:tcPr>
          <w:p>
            <w:pPr>
              <w:jc w:val="right"/>
            </w:pPr>
          </w:p>
        </w:tc>
        <w:tc>
          <w:tcPr>
            <w:tcW w:w="713" w:type="pct"/>
            <w:tcBorders>
              <w:top w:val="single" w:color="auto" w:sz="4" w:space="0"/>
              <w:left w:val="single" w:color="auto" w:sz="4" w:space="0"/>
              <w:bottom w:val="single" w:color="auto" w:sz="4" w:space="0"/>
              <w:right w:val="single" w:color="auto" w:sz="4" w:space="0"/>
            </w:tcBorders>
          </w:tcPr>
          <w:p>
            <w:pPr>
              <w:jc w:val="right"/>
            </w:pPr>
            <w:r>
              <w:t xml:space="preserve"> 4,338,788.84 </w:t>
            </w:r>
          </w:p>
        </w:tc>
        <w:tc>
          <w:tcPr>
            <w:tcW w:w="713" w:type="pct"/>
            <w:tcBorders>
              <w:top w:val="single" w:color="auto" w:sz="4" w:space="0"/>
              <w:left w:val="single" w:color="auto" w:sz="4" w:space="0"/>
              <w:right w:val="single" w:color="auto" w:sz="4" w:space="0"/>
            </w:tcBorders>
          </w:tcPr>
          <w:p>
            <w:pPr>
              <w:jc w:val="right"/>
            </w:pPr>
          </w:p>
        </w:tc>
        <w:tc>
          <w:tcPr>
            <w:tcW w:w="717" w:type="pct"/>
            <w:tcBorders>
              <w:top w:val="single" w:color="auto" w:sz="4" w:space="0"/>
              <w:left w:val="single" w:color="auto" w:sz="4" w:space="0"/>
              <w:bottom w:val="single" w:color="auto" w:sz="4" w:space="0"/>
              <w:right w:val="single" w:color="auto" w:sz="4" w:space="0"/>
            </w:tcBorders>
          </w:tcPr>
          <w:p>
            <w:pPr>
              <w:ind w:right="5"/>
              <w:jc w:val="right"/>
            </w:pPr>
            <w:r>
              <w:t xml:space="preserve"> 1,162,656.07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13"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库存商品</w:t>
            </w:r>
          </w:p>
        </w:tc>
        <w:tc>
          <w:tcPr>
            <w:tcW w:w="718" w:type="pct"/>
            <w:tcBorders>
              <w:top w:val="single" w:color="auto" w:sz="4" w:space="0"/>
              <w:left w:val="single" w:color="auto" w:sz="4" w:space="0"/>
              <w:bottom w:val="single" w:color="auto" w:sz="4" w:space="0"/>
              <w:right w:val="single" w:color="auto" w:sz="4" w:space="0"/>
            </w:tcBorders>
          </w:tcPr>
          <w:p>
            <w:pPr>
              <w:ind w:right="5"/>
              <w:jc w:val="right"/>
            </w:pPr>
            <w:r>
              <w:t xml:space="preserve"> 10,072,048.05 </w:t>
            </w:r>
          </w:p>
        </w:tc>
        <w:tc>
          <w:tcPr>
            <w:tcW w:w="713" w:type="pct"/>
            <w:tcBorders>
              <w:top w:val="single" w:color="auto" w:sz="4" w:space="0"/>
              <w:left w:val="single" w:color="auto" w:sz="4" w:space="0"/>
              <w:bottom w:val="single" w:color="auto" w:sz="4" w:space="0"/>
              <w:right w:val="single" w:color="auto" w:sz="4" w:space="0"/>
            </w:tcBorders>
          </w:tcPr>
          <w:p>
            <w:pPr>
              <w:jc w:val="right"/>
            </w:pPr>
            <w:r>
              <w:t xml:space="preserve"> 7,364,630.76 </w:t>
            </w:r>
          </w:p>
        </w:tc>
        <w:tc>
          <w:tcPr>
            <w:tcW w:w="713" w:type="pct"/>
            <w:tcBorders>
              <w:top w:val="single" w:color="auto" w:sz="4" w:space="0"/>
              <w:left w:val="single" w:color="auto" w:sz="4" w:space="0"/>
              <w:bottom w:val="single" w:color="auto" w:sz="4" w:space="0"/>
              <w:right w:val="single" w:color="auto" w:sz="4" w:space="0"/>
            </w:tcBorders>
          </w:tcPr>
          <w:p>
            <w:pPr>
              <w:jc w:val="right"/>
            </w:pPr>
          </w:p>
        </w:tc>
        <w:tc>
          <w:tcPr>
            <w:tcW w:w="713" w:type="pct"/>
            <w:tcBorders>
              <w:top w:val="single" w:color="auto" w:sz="4" w:space="0"/>
              <w:left w:val="single" w:color="auto" w:sz="4" w:space="0"/>
              <w:bottom w:val="single" w:color="auto" w:sz="4" w:space="0"/>
              <w:right w:val="single" w:color="auto" w:sz="4" w:space="0"/>
            </w:tcBorders>
          </w:tcPr>
          <w:p>
            <w:pPr>
              <w:jc w:val="right"/>
            </w:pPr>
            <w:r>
              <w:t xml:space="preserve"> 5,440,435.45 </w:t>
            </w:r>
          </w:p>
        </w:tc>
        <w:tc>
          <w:tcPr>
            <w:tcW w:w="713" w:type="pct"/>
            <w:tcBorders>
              <w:left w:val="single" w:color="auto" w:sz="4" w:space="0"/>
              <w:right w:val="single" w:color="auto" w:sz="4" w:space="0"/>
            </w:tcBorders>
          </w:tcPr>
          <w:p>
            <w:pPr>
              <w:jc w:val="right"/>
            </w:pPr>
          </w:p>
        </w:tc>
        <w:tc>
          <w:tcPr>
            <w:tcW w:w="717" w:type="pct"/>
            <w:tcBorders>
              <w:top w:val="single" w:color="auto" w:sz="4" w:space="0"/>
              <w:left w:val="single" w:color="auto" w:sz="4" w:space="0"/>
              <w:bottom w:val="single" w:color="auto" w:sz="4" w:space="0"/>
              <w:right w:val="single" w:color="auto" w:sz="4" w:space="0"/>
            </w:tcBorders>
          </w:tcPr>
          <w:p>
            <w:pPr>
              <w:ind w:right="5"/>
              <w:jc w:val="right"/>
            </w:pPr>
            <w:r>
              <w:t xml:space="preserve"> 11,996,243.36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13"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发出商品</w:t>
            </w:r>
          </w:p>
        </w:tc>
        <w:tc>
          <w:tcPr>
            <w:tcW w:w="718" w:type="pct"/>
            <w:tcBorders>
              <w:top w:val="single" w:color="auto" w:sz="4" w:space="0"/>
              <w:left w:val="single" w:color="auto" w:sz="4" w:space="0"/>
              <w:bottom w:val="single" w:color="auto" w:sz="4" w:space="0"/>
              <w:right w:val="single" w:color="auto" w:sz="4" w:space="0"/>
            </w:tcBorders>
          </w:tcPr>
          <w:p>
            <w:pPr>
              <w:ind w:right="5"/>
              <w:jc w:val="right"/>
            </w:pPr>
            <w:r>
              <w:t xml:space="preserve"> 4,273,015.48 </w:t>
            </w:r>
          </w:p>
        </w:tc>
        <w:tc>
          <w:tcPr>
            <w:tcW w:w="713" w:type="pct"/>
            <w:tcBorders>
              <w:top w:val="single" w:color="auto" w:sz="4" w:space="0"/>
              <w:left w:val="single" w:color="auto" w:sz="4" w:space="0"/>
              <w:bottom w:val="single" w:color="auto" w:sz="4" w:space="0"/>
              <w:right w:val="single" w:color="auto" w:sz="4" w:space="0"/>
            </w:tcBorders>
          </w:tcPr>
          <w:p>
            <w:pPr>
              <w:jc w:val="right"/>
            </w:pPr>
            <w:r>
              <w:t xml:space="preserve"> 324,939.56 </w:t>
            </w:r>
          </w:p>
        </w:tc>
        <w:tc>
          <w:tcPr>
            <w:tcW w:w="713" w:type="pct"/>
            <w:tcBorders>
              <w:top w:val="single" w:color="auto" w:sz="4" w:space="0"/>
              <w:left w:val="single" w:color="auto" w:sz="4" w:space="0"/>
              <w:bottom w:val="single" w:color="auto" w:sz="4" w:space="0"/>
              <w:right w:val="single" w:color="auto" w:sz="4" w:space="0"/>
            </w:tcBorders>
          </w:tcPr>
          <w:p>
            <w:pPr>
              <w:jc w:val="right"/>
            </w:pPr>
          </w:p>
        </w:tc>
        <w:tc>
          <w:tcPr>
            <w:tcW w:w="713" w:type="pct"/>
            <w:tcBorders>
              <w:top w:val="single" w:color="auto" w:sz="4" w:space="0"/>
              <w:left w:val="single" w:color="auto" w:sz="4" w:space="0"/>
              <w:bottom w:val="single" w:color="auto" w:sz="4" w:space="0"/>
              <w:right w:val="single" w:color="auto" w:sz="4" w:space="0"/>
            </w:tcBorders>
          </w:tcPr>
          <w:p>
            <w:pPr>
              <w:jc w:val="right"/>
            </w:pPr>
            <w:r>
              <w:t xml:space="preserve"> 4,273,015.47 </w:t>
            </w:r>
          </w:p>
        </w:tc>
        <w:tc>
          <w:tcPr>
            <w:tcW w:w="713" w:type="pct"/>
            <w:tcBorders>
              <w:left w:val="single" w:color="auto" w:sz="4" w:space="0"/>
              <w:right w:val="single" w:color="auto" w:sz="4" w:space="0"/>
            </w:tcBorders>
          </w:tcPr>
          <w:p>
            <w:pPr>
              <w:jc w:val="right"/>
            </w:pPr>
          </w:p>
        </w:tc>
        <w:tc>
          <w:tcPr>
            <w:tcW w:w="717" w:type="pct"/>
            <w:tcBorders>
              <w:top w:val="single" w:color="auto" w:sz="4" w:space="0"/>
              <w:left w:val="single" w:color="auto" w:sz="4" w:space="0"/>
              <w:bottom w:val="single" w:color="auto" w:sz="4" w:space="0"/>
              <w:right w:val="single" w:color="auto" w:sz="4" w:space="0"/>
            </w:tcBorders>
          </w:tcPr>
          <w:p>
            <w:pPr>
              <w:jc w:val="right"/>
            </w:pPr>
            <w:r>
              <w:t xml:space="preserve"> 324,939.57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13"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18" w:type="pct"/>
            <w:tcBorders>
              <w:top w:val="single" w:color="auto" w:sz="4" w:space="0"/>
              <w:left w:val="single" w:color="auto" w:sz="4" w:space="0"/>
              <w:bottom w:val="single" w:color="auto" w:sz="4" w:space="0"/>
              <w:right w:val="single" w:color="auto" w:sz="4" w:space="0"/>
            </w:tcBorders>
          </w:tcPr>
          <w:p>
            <w:pPr>
              <w:ind w:right="5"/>
              <w:jc w:val="right"/>
            </w:pPr>
            <w:r>
              <w:t xml:space="preserve"> 21,136,064.09 </w:t>
            </w:r>
          </w:p>
        </w:tc>
        <w:tc>
          <w:tcPr>
            <w:tcW w:w="713" w:type="pct"/>
            <w:tcBorders>
              <w:top w:val="single" w:color="auto" w:sz="4" w:space="0"/>
              <w:left w:val="single" w:color="auto" w:sz="4" w:space="0"/>
              <w:bottom w:val="single" w:color="auto" w:sz="4" w:space="0"/>
              <w:right w:val="single" w:color="auto" w:sz="4" w:space="0"/>
            </w:tcBorders>
          </w:tcPr>
          <w:p>
            <w:pPr>
              <w:jc w:val="right"/>
            </w:pPr>
            <w:r>
              <w:t xml:space="preserve"> 8,634,235.54 </w:t>
            </w:r>
          </w:p>
        </w:tc>
        <w:tc>
          <w:tcPr>
            <w:tcW w:w="713" w:type="pct"/>
            <w:tcBorders>
              <w:top w:val="single" w:color="auto" w:sz="4" w:space="0"/>
              <w:left w:val="single" w:color="auto" w:sz="4" w:space="0"/>
              <w:bottom w:val="single" w:color="auto" w:sz="4" w:space="0"/>
              <w:right w:val="single" w:color="auto" w:sz="4" w:space="0"/>
            </w:tcBorders>
          </w:tcPr>
          <w:p>
            <w:pPr>
              <w:jc w:val="right"/>
            </w:pPr>
          </w:p>
        </w:tc>
        <w:tc>
          <w:tcPr>
            <w:tcW w:w="713" w:type="pct"/>
            <w:tcBorders>
              <w:top w:val="single" w:color="auto" w:sz="4" w:space="0"/>
              <w:left w:val="single" w:color="auto" w:sz="4" w:space="0"/>
              <w:bottom w:val="single" w:color="auto" w:sz="4" w:space="0"/>
              <w:right w:val="single" w:color="auto" w:sz="4" w:space="0"/>
            </w:tcBorders>
          </w:tcPr>
          <w:p>
            <w:pPr>
              <w:jc w:val="right"/>
            </w:pPr>
            <w:r>
              <w:t xml:space="preserve"> 15,100,304.45 </w:t>
            </w:r>
          </w:p>
        </w:tc>
        <w:tc>
          <w:tcPr>
            <w:tcW w:w="713" w:type="pct"/>
            <w:tcBorders>
              <w:left w:val="single" w:color="auto" w:sz="4" w:space="0"/>
              <w:bottom w:val="single" w:color="auto" w:sz="4" w:space="0"/>
              <w:right w:val="single" w:color="auto" w:sz="4" w:space="0"/>
            </w:tcBorders>
          </w:tcPr>
          <w:p>
            <w:pPr>
              <w:jc w:val="right"/>
            </w:pPr>
          </w:p>
        </w:tc>
        <w:tc>
          <w:tcPr>
            <w:tcW w:w="717" w:type="pct"/>
            <w:tcBorders>
              <w:top w:val="single" w:color="auto" w:sz="4" w:space="0"/>
              <w:left w:val="single" w:color="auto" w:sz="4" w:space="0"/>
              <w:bottom w:val="single" w:color="auto" w:sz="4" w:space="0"/>
              <w:right w:val="single" w:color="auto" w:sz="4" w:space="0"/>
            </w:tcBorders>
          </w:tcPr>
          <w:p>
            <w:pPr>
              <w:ind w:right="5"/>
              <w:jc w:val="right"/>
            </w:pPr>
            <w:r>
              <w:t xml:space="preserve"> 14,669,995.18 </w:t>
            </w:r>
          </w:p>
        </w:tc>
      </w:tr>
      <w:bookmarkEnd w:id="274"/>
    </w:tbl>
    <w:p>
      <w:pPr>
        <w:rPr>
          <w:color w:val="000000" w:themeColor="text1"/>
          <w14:textFill>
            <w14:solidFill>
              <w14:schemeClr w14:val="tx1"/>
            </w14:solidFill>
          </w14:textFill>
        </w:rPr>
      </w:pPr>
      <w:bookmarkStart w:id="275" w:name="_Hlk167891635"/>
      <w:r>
        <w:rPr>
          <w:color w:val="000000" w:themeColor="text1"/>
          <w14:textFill>
            <w14:solidFill>
              <w14:schemeClr w14:val="tx1"/>
            </w14:solidFill>
          </w14:textFill>
        </w:rPr>
        <w:t>本期转回或转销存货跌价准备的原因</w:t>
      </w:r>
    </w:p>
    <w:sdt>
      <w:sdtPr>
        <w:rPr>
          <w:color w:val="000000" w:themeColor="text1"/>
          <w14:textFill>
            <w14:solidFill>
              <w14:schemeClr w14:val="tx1"/>
            </w14:solidFill>
          </w14:textFill>
        </w:rPr>
        <w:alias w:val="是否适用：本期转回或转销存货跌价准备的原因[双击切换]"/>
        <w:tag w:val="_GBC_e27c6ef344f148c18ae56422278eafd6"/>
        <w:id w:val="-163046699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bCs/>
          <w:color w:val="000000" w:themeColor="text1"/>
          <w14:textFill>
            <w14:solidFill>
              <w14:schemeClr w14:val="tx1"/>
            </w14:solidFill>
          </w14:textFill>
        </w:rPr>
        <w:alias w:val="本期转回或转销存货跌价准备的原因"/>
        <w:tag w:val="_GBC_b6115b54c210477298ccbc4d1a5a3bfc"/>
        <w:id w:val="-756823606"/>
        <w:placeholder>
          <w:docPart w:val="GBC22222222222222222222222222222"/>
        </w:placeholder>
      </w:sdtPr>
      <w:sdtEndPr>
        <w:rPr>
          <w:bCs/>
          <w:color w:val="000000" w:themeColor="text1"/>
          <w14:textFill>
            <w14:solidFill>
              <w14:schemeClr w14:val="tx1"/>
            </w14:solidFill>
          </w14:textFill>
        </w:rPr>
      </w:sdtEndPr>
      <w:sdtContent>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5814"/>
            <w:gridCol w:w="8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blHeader/>
            </w:trPr>
            <w:tc>
              <w:tcPr>
                <w:tcW w:w="2086" w:type="pct"/>
              </w:tcPr>
              <w:p>
                <w:pPr>
                  <w:ind w:right="73"/>
                  <w:jc w:val="center"/>
                  <w:rPr>
                    <w:rFonts w:cs="Times New Roman"/>
                    <w:bCs w:val="0"/>
                    <w:sz w:val="20"/>
                    <w:szCs w:val="20"/>
                  </w:rPr>
                </w:pPr>
                <w:r>
                  <w:rPr>
                    <w:rFonts w:hint="eastAsia" w:cs="Times New Roman"/>
                    <w:bCs w:val="0"/>
                    <w:sz w:val="20"/>
                    <w:szCs w:val="20"/>
                  </w:rPr>
                  <w:t>项目</w:t>
                </w:r>
              </w:p>
            </w:tc>
            <w:tc>
              <w:tcPr>
                <w:tcW w:w="2914" w:type="pct"/>
              </w:tcPr>
              <w:p>
                <w:pPr>
                  <w:ind w:right="73"/>
                  <w:jc w:val="center"/>
                  <w:rPr>
                    <w:rFonts w:cs="Times New Roman"/>
                    <w:bCs w:val="0"/>
                    <w:sz w:val="20"/>
                    <w:szCs w:val="20"/>
                  </w:rPr>
                </w:pPr>
                <w:r>
                  <w:rPr>
                    <w:rFonts w:hint="eastAsia" w:cs="Times New Roman"/>
                    <w:bCs w:val="0"/>
                    <w:sz w:val="20"/>
                    <w:szCs w:val="20"/>
                  </w:rPr>
                  <w:t>转回或转销原因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2086" w:type="pct"/>
                <w:vAlign w:val="center"/>
              </w:tcPr>
              <w:p>
                <w:pPr>
                  <w:ind w:right="73"/>
                  <w:jc w:val="both"/>
                  <w:rPr>
                    <w:rFonts w:cs="Times New Roman"/>
                    <w:bCs w:val="0"/>
                    <w:sz w:val="20"/>
                    <w:szCs w:val="20"/>
                  </w:rPr>
                </w:pPr>
                <w:r>
                  <w:rPr>
                    <w:rFonts w:hint="eastAsia" w:cs="Times New Roman"/>
                    <w:bCs w:val="0"/>
                    <w:sz w:val="20"/>
                    <w:szCs w:val="20"/>
                  </w:rPr>
                  <w:t>原材料</w:t>
                </w:r>
              </w:p>
            </w:tc>
            <w:tc>
              <w:tcPr>
                <w:tcW w:w="2914" w:type="pct"/>
                <w:vAlign w:val="center"/>
              </w:tcPr>
              <w:p>
                <w:pPr>
                  <w:ind w:right="73"/>
                  <w:jc w:val="center"/>
                  <w:rPr>
                    <w:rFonts w:cs="Times New Roman"/>
                    <w:bCs w:val="0"/>
                    <w:sz w:val="20"/>
                    <w:szCs w:val="20"/>
                  </w:rPr>
                </w:pPr>
                <w:r>
                  <w:rPr>
                    <w:rFonts w:hint="eastAsia" w:cs="Times New Roman"/>
                    <w:bCs w:val="0"/>
                    <w:sz w:val="20"/>
                    <w:szCs w:val="20"/>
                  </w:rPr>
                  <w:t>本期已将期初计提存货跌价准备的存货耗用/售出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2086" w:type="pct"/>
                <w:vAlign w:val="center"/>
              </w:tcPr>
              <w:p>
                <w:pPr>
                  <w:ind w:right="73"/>
                  <w:jc w:val="both"/>
                  <w:rPr>
                    <w:rFonts w:cs="Times New Roman"/>
                    <w:bCs w:val="0"/>
                    <w:sz w:val="20"/>
                    <w:szCs w:val="20"/>
                  </w:rPr>
                </w:pPr>
                <w:r>
                  <w:rPr>
                    <w:rFonts w:hint="eastAsia" w:cs="Times New Roman"/>
                    <w:bCs w:val="0"/>
                    <w:sz w:val="20"/>
                    <w:szCs w:val="20"/>
                  </w:rPr>
                  <w:t>在产品</w:t>
                </w:r>
              </w:p>
            </w:tc>
            <w:tc>
              <w:tcPr>
                <w:tcW w:w="2914" w:type="pct"/>
                <w:vAlign w:val="center"/>
              </w:tcPr>
              <w:p>
                <w:pPr>
                  <w:ind w:right="73"/>
                  <w:jc w:val="center"/>
                  <w:rPr>
                    <w:rFonts w:cs="Times New Roman"/>
                    <w:bCs w:val="0"/>
                    <w:sz w:val="20"/>
                    <w:szCs w:val="20"/>
                  </w:rPr>
                </w:pPr>
                <w:r>
                  <w:rPr>
                    <w:rFonts w:hint="eastAsia" w:cs="Times New Roman"/>
                    <w:bCs w:val="0"/>
                    <w:sz w:val="20"/>
                    <w:szCs w:val="20"/>
                  </w:rPr>
                  <w:t>本期已将期初计提存货跌价准备的存货耗用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2086" w:type="pct"/>
                <w:vAlign w:val="center"/>
              </w:tcPr>
              <w:p>
                <w:pPr>
                  <w:ind w:right="73"/>
                  <w:jc w:val="both"/>
                  <w:rPr>
                    <w:rFonts w:cs="Times New Roman"/>
                    <w:bCs w:val="0"/>
                    <w:sz w:val="20"/>
                    <w:szCs w:val="20"/>
                  </w:rPr>
                </w:pPr>
                <w:r>
                  <w:rPr>
                    <w:rFonts w:hint="eastAsia" w:cs="Times New Roman"/>
                    <w:bCs w:val="0"/>
                    <w:sz w:val="20"/>
                    <w:szCs w:val="20"/>
                  </w:rPr>
                  <w:t>库存商品</w:t>
                </w:r>
              </w:p>
            </w:tc>
            <w:tc>
              <w:tcPr>
                <w:tcW w:w="2914" w:type="pct"/>
                <w:vAlign w:val="center"/>
              </w:tcPr>
              <w:p>
                <w:pPr>
                  <w:ind w:right="73"/>
                  <w:jc w:val="center"/>
                  <w:rPr>
                    <w:rFonts w:cs="Times New Roman"/>
                    <w:bCs w:val="0"/>
                    <w:sz w:val="20"/>
                    <w:szCs w:val="20"/>
                  </w:rPr>
                </w:pPr>
                <w:r>
                  <w:rPr>
                    <w:rFonts w:hint="eastAsia" w:cs="Times New Roman"/>
                    <w:bCs w:val="0"/>
                    <w:sz w:val="20"/>
                    <w:szCs w:val="20"/>
                  </w:rPr>
                  <w:t>本期已将期初计提存货跌价准备的存货售出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2086" w:type="pct"/>
                <w:vAlign w:val="center"/>
              </w:tcPr>
              <w:p>
                <w:pPr>
                  <w:ind w:right="73"/>
                  <w:jc w:val="both"/>
                  <w:rPr>
                    <w:rFonts w:cs="Times New Roman"/>
                    <w:bCs w:val="0"/>
                    <w:sz w:val="20"/>
                    <w:szCs w:val="20"/>
                  </w:rPr>
                </w:pPr>
                <w:r>
                  <w:rPr>
                    <w:rFonts w:hint="eastAsia" w:cs="Times New Roman"/>
                    <w:bCs w:val="0"/>
                    <w:sz w:val="20"/>
                    <w:szCs w:val="20"/>
                  </w:rPr>
                  <w:t>发出商品</w:t>
                </w:r>
              </w:p>
            </w:tc>
            <w:tc>
              <w:tcPr>
                <w:tcW w:w="2914" w:type="pct"/>
                <w:vAlign w:val="center"/>
              </w:tcPr>
              <w:p>
                <w:pPr>
                  <w:ind w:right="73"/>
                  <w:jc w:val="center"/>
                  <w:rPr>
                    <w:rFonts w:cs="Times New Roman"/>
                    <w:bCs w:val="0"/>
                    <w:sz w:val="20"/>
                    <w:szCs w:val="20"/>
                  </w:rPr>
                </w:pPr>
                <w:r>
                  <w:rPr>
                    <w:rFonts w:hint="eastAsia" w:cs="Times New Roman"/>
                    <w:bCs w:val="0"/>
                    <w:sz w:val="20"/>
                    <w:szCs w:val="20"/>
                  </w:rPr>
                  <w:t>本期已将期初计提存货跌价准备的存货售出</w:t>
                </w:r>
              </w:p>
            </w:tc>
          </w:tr>
        </w:tbl>
        <w:p>
          <w:pPr>
            <w:rPr>
              <w:color w:val="000000" w:themeColor="text1"/>
              <w14:textFill>
                <w14:solidFill>
                  <w14:schemeClr w14:val="tx1"/>
                </w14:solidFill>
              </w14:textFill>
            </w:rPr>
          </w:pP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按组合计提存货跌价准备</w:t>
      </w:r>
    </w:p>
    <w:sdt>
      <w:sdtPr>
        <w:rPr>
          <w:color w:val="000000" w:themeColor="text1"/>
          <w14:textFill>
            <w14:solidFill>
              <w14:schemeClr w14:val="tx1"/>
            </w14:solidFill>
          </w14:textFill>
        </w:rPr>
        <w:alias w:val="是否适用：按组合计提存货跌价准备[双击切换]"/>
        <w:tag w:val="_GBC_f0fab92eec8647d68c06a12b3bc75549"/>
        <w:id w:val="-126438647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按组合计提存货跌价准备的计提标准</w:t>
      </w:r>
    </w:p>
    <w:sdt>
      <w:sdtPr>
        <w:rPr>
          <w:color w:val="000000" w:themeColor="text1"/>
          <w14:textFill>
            <w14:solidFill>
              <w14:schemeClr w14:val="tx1"/>
            </w14:solidFill>
          </w14:textFill>
        </w:rPr>
        <w:alias w:val="是否适用：按组合计提存货跌价准备的计提标准[双击切换]"/>
        <w:tag w:val="_GBC_d204ec862c304c1f8d4ec4644591e14e"/>
        <w:id w:val="75795131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75"/>
    <w:p>
      <w:pPr>
        <w:pStyle w:val="5"/>
        <w:numPr>
          <w:ilvl w:val="0"/>
          <w:numId w:val="48"/>
        </w:numPr>
        <w:tabs>
          <w:tab w:val="left" w:pos="630"/>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存货期末余额含有的借款费用资本化金额及其计算标准和依据</w:t>
      </w:r>
    </w:p>
    <w:sdt>
      <w:sdtPr>
        <w:rPr>
          <w:rFonts w:hint="eastAsia"/>
          <w:color w:val="000000" w:themeColor="text1"/>
          <w14:textFill>
            <w14:solidFill>
              <w14:schemeClr w14:val="tx1"/>
            </w14:solidFill>
          </w14:textFill>
        </w:rPr>
        <w:alias w:val="是否适用：存货期末余额含有借款费用资本化金额的说明[双击切换]"/>
        <w:tag w:val="_GBC_c4216db560c643b38b29d44401d464c9"/>
        <w:id w:val="-331373543"/>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48"/>
        </w:numPr>
        <w:tabs>
          <w:tab w:val="left" w:pos="630"/>
        </w:tabs>
        <w:rPr>
          <w:rFonts w:hint="eastAsia" w:ascii="宋体" w:hAnsi="宋体"/>
          <w:color w:val="000000" w:themeColor="text1"/>
          <w14:textFill>
            <w14:solidFill>
              <w14:schemeClr w14:val="tx1"/>
            </w14:solidFill>
          </w14:textFill>
        </w:rPr>
      </w:pPr>
      <w:bookmarkStart w:id="276" w:name="_Hlk10470641"/>
      <w:r>
        <w:rPr>
          <w:rFonts w:hint="eastAsia" w:ascii="宋体" w:hAnsi="宋体"/>
          <w:color w:val="000000" w:themeColor="text1"/>
          <w14:textFill>
            <w14:solidFill>
              <w14:schemeClr w14:val="tx1"/>
            </w14:solidFill>
          </w14:textFill>
        </w:rPr>
        <w:t>合同履约成本本期摊销金额的说明</w:t>
      </w:r>
    </w:p>
    <w:sdt>
      <w:sdtPr>
        <w:rPr>
          <w:color w:val="000000" w:themeColor="text1"/>
          <w14:textFill>
            <w14:solidFill>
              <w14:schemeClr w14:val="tx1"/>
            </w14:solidFill>
          </w14:textFill>
        </w:rPr>
        <w:alias w:val="是否适用：合同履约成本本期摊销金额的说明[双击切换]"/>
        <w:tag w:val="_GBC_cd3513a7790e48d4a2a156e8ad6a629a"/>
        <w:id w:val="-148962055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76"/>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存货的其他说明[双击切换]"/>
        <w:tag w:val="_GBC_bd31680428a448ecb64fdd4cbab90a42"/>
        <w:id w:val="-106533544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持有待售资产</w:t>
      </w:r>
    </w:p>
    <w:sdt>
      <w:sdtPr>
        <w:rPr>
          <w:color w:val="000000" w:themeColor="text1"/>
          <w14:textFill>
            <w14:solidFill>
              <w14:schemeClr w14:val="tx1"/>
            </w14:solidFill>
          </w14:textFill>
        </w:rPr>
        <w:alias w:val="是否适用：划分为持有待售的资产[双击切换]"/>
        <w:tag w:val="_GBC_a6517e0f93e04b1caa2e45201c8133b1"/>
        <w:id w:val="-85565596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bookmarkStart w:id="277" w:name="_Hlk167891796"/>
      <w:bookmarkStart w:id="278" w:name="_Hlk10471081"/>
      <w:r>
        <w:rPr>
          <w:color w:val="000000" w:themeColor="text1"/>
          <w:szCs w:val="21"/>
          <w14:textFill>
            <w14:solidFill>
              <w14:schemeClr w14:val="tx1"/>
            </w14:solidFill>
          </w14:textFill>
        </w:rPr>
        <w:t>一年内到期的非流动资产</w:t>
      </w:r>
    </w:p>
    <w:sdt>
      <w:sdtPr>
        <w:rPr>
          <w:color w:val="000000" w:themeColor="text1"/>
          <w14:textFill>
            <w14:solidFill>
              <w14:schemeClr w14:val="tx1"/>
            </w14:solidFill>
          </w14:textFill>
        </w:rPr>
        <w:alias w:val="是否适用：一年内到期的非流动资产[双击切换]"/>
        <w:tag w:val="_GBC_3c3df002388d4bbe8dd8d4df7fe26ebc"/>
        <w:id w:val="88283706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ind w:right="210"/>
        <w:jc w:val="right"/>
      </w:pPr>
      <w:r>
        <w:rPr>
          <w:rFonts w:hint="eastAsia"/>
        </w:rPr>
        <w:t>单位：</w:t>
      </w:r>
      <w:sdt>
        <w:sdtPr>
          <w:rPr>
            <w:rFonts w:hint="eastAsia"/>
          </w:rPr>
          <w:alias w:val="单位：财务附注：一年内到期的非流动资产"/>
          <w:tag w:val="_GBC_14922dae03f44c28ac9ffa1215012f9c"/>
          <w:id w:val="-579679717"/>
          <w:placeholder>
            <w:docPart w:val="549510D9C6E7441B9E2CE1110A7A253D"/>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rPr>
              <w:rFonts w:hint="eastAsia"/>
            </w:rPr>
            <w:t>元</w:t>
          </w:r>
        </w:sdtContent>
      </w:sdt>
      <w:r>
        <w:rPr>
          <w:rFonts w:hint="eastAsia"/>
        </w:rPr>
        <w:t xml:space="preserve"> 币种：</w:t>
      </w:r>
      <w:sdt>
        <w:sdtPr>
          <w:rPr>
            <w:rFonts w:hint="eastAsia"/>
          </w:rPr>
          <w:alias w:val="币种：财务附注：一年内到期的非流动资产"/>
          <w:tag w:val="_GBC_82f0c618fc25413492c788e363214691"/>
          <w:id w:val="-980840296"/>
          <w:placeholder>
            <w:docPart w:val="549510D9C6E7441B9E2CE1110A7A253D"/>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rPr>
        </w:sdtEndPr>
        <w:sdtContent>
          <w:r>
            <w:rPr>
              <w:rFonts w:hint="eastAsia"/>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8"/>
        <w:gridCol w:w="2897"/>
        <w:gridCol w:w="2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dd3ecdefaa34ef4b20ed16dfc08362c"/>
            <w:id w:val="1877118837"/>
          </w:sdtPr>
          <w:sdtContent>
            <w:tc>
              <w:tcPr>
                <w:tcW w:w="1817" w:type="pct"/>
                <w:vAlign w:val="center"/>
              </w:tcPr>
              <w:p>
                <w:pPr>
                  <w:jc w:val="center"/>
                </w:pPr>
                <w:r>
                  <w:rPr>
                    <w:rFonts w:hint="eastAsia"/>
                  </w:rPr>
                  <w:t>项目</w:t>
                </w:r>
              </w:p>
            </w:tc>
          </w:sdtContent>
        </w:sdt>
        <w:sdt>
          <w:sdtPr>
            <w:tag w:val="_PLD_480b5377d1d84a9c8b0deaaf24f342ff"/>
            <w:id w:val="-473451862"/>
          </w:sdtPr>
          <w:sdtContent>
            <w:tc>
              <w:tcPr>
                <w:tcW w:w="1601" w:type="pct"/>
                <w:vAlign w:val="center"/>
              </w:tcPr>
              <w:p>
                <w:pPr>
                  <w:jc w:val="center"/>
                </w:pPr>
                <w:r>
                  <w:rPr>
                    <w:rFonts w:hint="eastAsia"/>
                  </w:rPr>
                  <w:t>期末余额</w:t>
                </w:r>
              </w:p>
            </w:tc>
          </w:sdtContent>
        </w:sdt>
        <w:sdt>
          <w:sdtPr>
            <w:tag w:val="_PLD_a67b2de4a1a3451da84cbef4312398ed"/>
            <w:id w:val="-1992476556"/>
          </w:sdtPr>
          <w:sdtContent>
            <w:tc>
              <w:tcPr>
                <w:tcW w:w="1582" w:type="pct"/>
                <w:vAlign w:val="center"/>
              </w:tcPr>
              <w:p>
                <w:pPr>
                  <w:jc w:val="center"/>
                </w:pPr>
                <w:r>
                  <w:rPr>
                    <w:rFonts w:hint="eastAsia"/>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pct"/>
            <w:vAlign w:val="center"/>
          </w:tcPr>
          <w:p>
            <w:pPr>
              <w:pStyle w:val="48"/>
            </w:pPr>
            <w:r>
              <w:rPr>
                <w:rFonts w:hint="eastAsia"/>
              </w:rPr>
              <w:t>一年内到期的长期应收款</w:t>
            </w:r>
          </w:p>
        </w:tc>
        <w:tc>
          <w:tcPr>
            <w:tcW w:w="1601" w:type="pct"/>
            <w:vAlign w:val="center"/>
          </w:tcPr>
          <w:p>
            <w:pPr>
              <w:jc w:val="right"/>
            </w:pPr>
            <w:r>
              <w:t>9,962,690.77</w:t>
            </w:r>
          </w:p>
        </w:tc>
        <w:tc>
          <w:tcPr>
            <w:tcW w:w="1582"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pct"/>
            <w:vAlign w:val="center"/>
          </w:tcPr>
          <w:p>
            <w:pPr>
              <w:snapToGrid w:val="0"/>
              <w:ind w:left="-107" w:leftChars="-51"/>
              <w:jc w:val="center"/>
            </w:pPr>
            <w:r>
              <w:rPr>
                <w:rFonts w:hint="eastAsia"/>
              </w:rPr>
              <w:t>合计</w:t>
            </w:r>
          </w:p>
        </w:tc>
        <w:tc>
          <w:tcPr>
            <w:tcW w:w="1601" w:type="pct"/>
            <w:vAlign w:val="center"/>
          </w:tcPr>
          <w:p>
            <w:pPr>
              <w:snapToGrid w:val="0"/>
              <w:jc w:val="right"/>
            </w:pPr>
            <w:r>
              <w:t>9,962,690.77</w:t>
            </w:r>
          </w:p>
        </w:tc>
        <w:tc>
          <w:tcPr>
            <w:tcW w:w="1582" w:type="pct"/>
            <w:vAlign w:val="center"/>
          </w:tcPr>
          <w:p>
            <w:pPr>
              <w:snapToGrid w:val="0"/>
              <w:jc w:val="right"/>
            </w:pPr>
          </w:p>
        </w:tc>
      </w:tr>
      <w:bookmarkEnd w:id="277"/>
    </w:tbl>
    <w:p>
      <w:pPr>
        <w:pStyle w:val="5"/>
        <w:rPr>
          <w:color w:val="000000" w:themeColor="text1"/>
          <w14:textFill>
            <w14:solidFill>
              <w14:schemeClr w14:val="tx1"/>
            </w14:solidFill>
          </w14:textFill>
        </w:rPr>
      </w:pPr>
      <w:bookmarkStart w:id="279" w:name="_Hlk167891921"/>
      <w:r>
        <w:rPr>
          <w:rFonts w:hint="eastAsia"/>
          <w:color w:val="000000" w:themeColor="text1"/>
          <w14:textFill>
            <w14:solidFill>
              <w14:schemeClr w14:val="tx1"/>
            </w14:solidFill>
          </w14:textFill>
        </w:rPr>
        <w:t>一年内到期的债权投资</w:t>
      </w:r>
    </w:p>
    <w:sdt>
      <w:sdtPr>
        <w:rPr>
          <w:color w:val="000000" w:themeColor="text1"/>
          <w14:textFill>
            <w14:solidFill>
              <w14:schemeClr w14:val="tx1"/>
            </w14:solidFill>
          </w14:textFill>
        </w:rPr>
        <w:alias w:val="是否适用：一年内到期的债权投资[双击切换]"/>
        <w:tag w:val="_GBC_ed748eccf06845059b7b75fbb321c08e"/>
        <w:id w:val="5428963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一年内到期的其他债权投资</w:t>
      </w:r>
    </w:p>
    <w:sdt>
      <w:sdtPr>
        <w:rPr>
          <w:color w:val="000000" w:themeColor="text1"/>
          <w14:textFill>
            <w14:solidFill>
              <w14:schemeClr w14:val="tx1"/>
            </w14:solidFill>
          </w14:textFill>
        </w:rPr>
        <w:alias w:val="是否适用：一年内到期的其他债权投资[双击切换]"/>
        <w:tag w:val="_GBC_4fffef07e644478cae129eff5661f608"/>
        <w:id w:val="-205290512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ind w:right="210"/>
        <w:rPr>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一年内到期的非流动资产的其他说明</w:t>
      </w:r>
    </w:p>
    <w:sdt>
      <w:sdtPr>
        <w:rPr>
          <w:color w:val="000000" w:themeColor="text1"/>
          <w14:textFill>
            <w14:solidFill>
              <w14:schemeClr w14:val="tx1"/>
            </w14:solidFill>
          </w14:textFill>
        </w:rPr>
        <w:alias w:val="一年内到期的非流动资产其他说明"/>
        <w:tag w:val="_GBC_218c0d81bbcc4458a19aa7e5806bac06"/>
        <w:id w:val="484666284"/>
        <w:placeholder>
          <w:docPart w:val="GBC22222222222222222222222222222"/>
        </w:placeholder>
      </w:sdtPr>
      <w:sdtEndPr>
        <w:rPr>
          <w:color w:val="000000" w:themeColor="text1"/>
          <w14:textFill>
            <w14:solidFill>
              <w14:schemeClr w14:val="tx1"/>
            </w14:solidFill>
          </w14:textFill>
        </w:rPr>
      </w:sdtEndPr>
      <w:sdtContent>
        <w:p>
          <w:pPr>
            <w:ind w:right="21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278"/>
    <w:bookmarkEnd w:id="279"/>
    <w:p>
      <w:pPr>
        <w:pStyle w:val="4"/>
        <w:numPr>
          <w:ilvl w:val="0"/>
          <w:numId w:val="41"/>
        </w:numPr>
        <w:rPr>
          <w:color w:val="000000" w:themeColor="text1"/>
          <w:szCs w:val="21"/>
          <w14:textFill>
            <w14:solidFill>
              <w14:schemeClr w14:val="tx1"/>
            </w14:solidFill>
          </w14:textFill>
        </w:rPr>
      </w:pPr>
      <w:bookmarkStart w:id="280" w:name="_Hlk10471163"/>
      <w:r>
        <w:rPr>
          <w:color w:val="000000" w:themeColor="text1"/>
          <w:szCs w:val="21"/>
          <w14:textFill>
            <w14:solidFill>
              <w14:schemeClr w14:val="tx1"/>
            </w14:solidFill>
          </w14:textFill>
        </w:rPr>
        <w:t>其他流动资产</w:t>
      </w:r>
    </w:p>
    <w:sdt>
      <w:sdtPr>
        <w:rPr>
          <w:color w:val="000000" w:themeColor="text1"/>
          <w14:textFill>
            <w14:solidFill>
              <w14:schemeClr w14:val="tx1"/>
            </w14:solidFill>
          </w14:textFill>
        </w:rPr>
        <w:alias w:val="是否适用：其他流动资产[双击切换]"/>
        <w:tag w:val="_GBC_7733d50365e24328b41020152f88028d"/>
        <w:id w:val="158581213"/>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流动资产"/>
          <w:tag w:val="_GBC_d0c62fc75d164678ad203d9ddb106538"/>
          <w:id w:val="-170377563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流动资产"/>
          <w:tag w:val="_GBC_9196143d56d24a9ea7f7e31ce8a09024"/>
          <w:id w:val="15379365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7"/>
        <w:gridCol w:w="2917"/>
        <w:gridCol w:w="2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5bbfc7d41df4300abcae2e424cc6572"/>
            <w:id w:val="-477767698"/>
          </w:sdtPr>
          <w:sdtContent>
            <w:tc>
              <w:tcPr>
                <w:tcW w:w="1816" w:type="pct"/>
                <w:vAlign w:val="center"/>
              </w:tcPr>
              <w:p>
                <w:pPr>
                  <w:jc w:val="center"/>
                  <w:rPr>
                    <w:color w:val="000000" w:themeColor="text1"/>
                    <w14:textFill>
                      <w14:solidFill>
                        <w14:schemeClr w14:val="tx1"/>
                      </w14:solidFill>
                    </w14:textFill>
                  </w:rPr>
                </w:pPr>
                <w:bookmarkStart w:id="281" w:name="_Hlk533421736"/>
                <w:r>
                  <w:rPr>
                    <w:rFonts w:hint="eastAsia"/>
                    <w:color w:val="000000" w:themeColor="text1"/>
                    <w14:textFill>
                      <w14:solidFill>
                        <w14:schemeClr w14:val="tx1"/>
                      </w14:solidFill>
                    </w14:textFill>
                  </w:rPr>
                  <w:t>项目</w:t>
                </w:r>
              </w:p>
            </w:tc>
          </w:sdtContent>
        </w:sdt>
        <w:sdt>
          <w:sdtPr>
            <w:tag w:val="_PLD_d2a222194eae4e958db2401139170ea2"/>
            <w:id w:val="866249086"/>
          </w:sdtPr>
          <w:sdtContent>
            <w:tc>
              <w:tcPr>
                <w:tcW w:w="161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0f3815799e9d4216b9506517d8e9b90c"/>
            <w:id w:val="-173799764"/>
          </w:sdtPr>
          <w:sdtContent>
            <w:tc>
              <w:tcPr>
                <w:tcW w:w="157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tcPr>
          <w:p>
            <w:pPr>
              <w:rPr>
                <w:color w:val="000000" w:themeColor="text1"/>
                <w14:textFill>
                  <w14:solidFill>
                    <w14:schemeClr w14:val="tx1"/>
                  </w14:solidFill>
                </w14:textFill>
              </w:rPr>
            </w:pPr>
            <w:r>
              <w:rPr>
                <w:rFonts w:hint="eastAsia"/>
              </w:rPr>
              <w:t>待抵扣、待认证进项税额</w:t>
            </w:r>
          </w:p>
        </w:tc>
        <w:tc>
          <w:tcPr>
            <w:tcW w:w="1612" w:type="pct"/>
          </w:tcPr>
          <w:p>
            <w:pPr>
              <w:jc w:val="right"/>
            </w:pPr>
            <w:r>
              <w:t xml:space="preserve"> 9,449,631.32 </w:t>
            </w:r>
          </w:p>
        </w:tc>
        <w:tc>
          <w:tcPr>
            <w:tcW w:w="1572" w:type="pct"/>
          </w:tcPr>
          <w:p>
            <w:pPr>
              <w:jc w:val="right"/>
            </w:pPr>
            <w:r>
              <w:t xml:space="preserve"> 1,913,331.56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tcPr>
          <w:p>
            <w:pPr>
              <w:rPr>
                <w:color w:val="000000" w:themeColor="text1"/>
                <w14:textFill>
                  <w14:solidFill>
                    <w14:schemeClr w14:val="tx1"/>
                  </w14:solidFill>
                </w14:textFill>
              </w:rPr>
            </w:pPr>
            <w:r>
              <w:rPr>
                <w:rFonts w:hint="eastAsia"/>
              </w:rPr>
              <w:t>预缴税款</w:t>
            </w:r>
          </w:p>
        </w:tc>
        <w:tc>
          <w:tcPr>
            <w:tcW w:w="1612" w:type="pct"/>
          </w:tcPr>
          <w:p>
            <w:pPr>
              <w:jc w:val="right"/>
            </w:pPr>
            <w:r>
              <w:t xml:space="preserve"> 83,892.71 </w:t>
            </w:r>
          </w:p>
        </w:tc>
        <w:tc>
          <w:tcPr>
            <w:tcW w:w="1572" w:type="pct"/>
          </w:tcPr>
          <w:p>
            <w:pPr>
              <w:jc w:val="right"/>
            </w:pPr>
            <w:r>
              <w:t xml:space="preserve"> 10,406.13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vAlign w:val="center"/>
          </w:tcPr>
          <w:p>
            <w:pPr>
              <w:snapToGrid w:val="0"/>
              <w:ind w:left="-107" w:leftChars="-51"/>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12" w:type="pct"/>
          </w:tcPr>
          <w:p>
            <w:pPr>
              <w:snapToGrid w:val="0"/>
              <w:jc w:val="right"/>
            </w:pPr>
            <w:r>
              <w:t xml:space="preserve"> 9,533,524.03 </w:t>
            </w:r>
          </w:p>
        </w:tc>
        <w:tc>
          <w:tcPr>
            <w:tcW w:w="1572" w:type="pct"/>
          </w:tcPr>
          <w:p>
            <w:pPr>
              <w:snapToGrid w:val="0"/>
              <w:jc w:val="right"/>
            </w:pPr>
            <w:r>
              <w:t xml:space="preserve"> 1,923,737.69 </w:t>
            </w:r>
          </w:p>
        </w:tc>
      </w:tr>
      <w:bookmarkEnd w:id="281"/>
    </w:tbl>
    <w:p>
      <w:pPr>
        <w:pStyle w:val="48"/>
      </w:pPr>
      <w:r>
        <w:rPr>
          <w:rFonts w:hint="eastAsia"/>
        </w:rPr>
        <w:t>补偿性资产相关信息</w:t>
      </w:r>
    </w:p>
    <w:sdt>
      <w:sdtPr>
        <w:rPr>
          <w:rFonts w:hint="eastAsia" w:ascii="宋体" w:hAnsi="宋体"/>
          <w:color w:val="000000"/>
        </w:rPr>
        <w:alias w:val="是否适用：其他流动资产补偿性资产相关信息的说明[双击切换]"/>
        <w:tag w:val="_GBC_d23e85a0e221493d9e095d75249c50f5"/>
        <w:id w:val="1109546277"/>
        <w:placeholder>
          <w:docPart w:val="GBC22222222222222222222222222222"/>
        </w:placeholder>
      </w:sdtPr>
      <w:sdtEndPr>
        <w:rPr>
          <w:rFonts w:hint="eastAsia" w:ascii="宋体" w:hAnsi="宋体"/>
          <w:color w:val="000000"/>
        </w:rPr>
      </w:sdtEndPr>
      <w:sdtContent>
        <w:p>
          <w:pPr>
            <w:rPr>
              <w:color w:val="000000"/>
            </w:rPr>
          </w:pPr>
          <w:r>
            <w:rPr>
              <w:rFonts w:hint="eastAsia" w:ascii="宋体" w:hAnsi="宋体"/>
              <w:color w:val="000000"/>
            </w:rPr>
            <w:fldChar w:fldCharType="begin"/>
          </w:r>
          <w:r>
            <w:rPr>
              <w:rFonts w:hint="eastAsia"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hint="eastAsia" w:ascii="宋体" w:hAnsi="宋体"/>
              <w:color w:val="000000"/>
            </w:rPr>
            <w:instrText xml:space="preserve"> MACROBUTTON  SnrToggleCheckbox √不适用 </w:instrText>
          </w:r>
          <w:r>
            <w:rPr>
              <w:rFonts w:hint="eastAsia" w:ascii="宋体" w:hAnsi="宋体"/>
              <w:color w:val="000000"/>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其他流动资产说明"/>
        <w:tag w:val="_GBC_7955e529151148f394eed0e26977270b"/>
        <w:id w:val="-1339535617"/>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280"/>
    <w:p>
      <w:pPr>
        <w:pStyle w:val="4"/>
        <w:numPr>
          <w:ilvl w:val="0"/>
          <w:numId w:val="41"/>
        </w:numPr>
        <w:rPr>
          <w:color w:val="000000" w:themeColor="text1"/>
          <w:szCs w:val="21"/>
          <w14:textFill>
            <w14:solidFill>
              <w14:schemeClr w14:val="tx1"/>
            </w14:solidFill>
          </w14:textFill>
        </w:rPr>
      </w:pPr>
      <w:bookmarkStart w:id="282" w:name="_Hlk10471390"/>
      <w:r>
        <w:rPr>
          <w:color w:val="000000" w:themeColor="text1"/>
          <w:szCs w:val="21"/>
          <w14:textFill>
            <w14:solidFill>
              <w14:schemeClr w14:val="tx1"/>
            </w14:solidFill>
          </w14:textFill>
        </w:rPr>
        <w:t>债权投资</w:t>
      </w:r>
    </w:p>
    <w:p>
      <w:pPr>
        <w:pStyle w:val="5"/>
        <w:numPr>
          <w:ilvl w:val="3"/>
          <w:numId w:val="49"/>
        </w:numPr>
        <w:ind w:left="426" w:hanging="426"/>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债权投资情况</w:t>
      </w:r>
    </w:p>
    <w:sdt>
      <w:sdtPr>
        <w:rPr>
          <w:color w:val="000000" w:themeColor="text1"/>
          <w14:textFill>
            <w14:solidFill>
              <w14:schemeClr w14:val="tx1"/>
            </w14:solidFill>
          </w14:textFill>
        </w:rPr>
        <w:alias w:val="是否适用：以摊余成本计量的长期债权投资[双击切换]"/>
        <w:tag w:val="_GBC_22cb0188d98c4d37a97e0c6a9e34e10d"/>
        <w:id w:val="-56055997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82"/>
    <w:p>
      <w:pPr>
        <w:rPr>
          <w:color w:val="000000" w:themeColor="text1"/>
          <w14:textFill>
            <w14:solidFill>
              <w14:schemeClr w14:val="tx1"/>
            </w14:solidFill>
          </w14:textFill>
        </w:rPr>
      </w:pPr>
      <w:bookmarkStart w:id="283" w:name="_Hlk167892259"/>
      <w:bookmarkStart w:id="284" w:name="_Hlk153455457"/>
      <w:r>
        <w:rPr>
          <w:rFonts w:hint="eastAsia"/>
          <w:color w:val="000000" w:themeColor="text1"/>
          <w14:textFill>
            <w14:solidFill>
              <w14:schemeClr w14:val="tx1"/>
            </w14:solidFill>
          </w14:textFill>
        </w:rPr>
        <w:t>债权投资减值准备本期变动情况</w:t>
      </w:r>
    </w:p>
    <w:sdt>
      <w:sdtPr>
        <w:rPr>
          <w:color w:val="000000" w:themeColor="text1"/>
          <w14:textFill>
            <w14:solidFill>
              <w14:schemeClr w14:val="tx1"/>
            </w14:solidFill>
          </w14:textFill>
        </w:rPr>
        <w:alias w:val="是否适用：减值准备本期变动情况[双击切换]"/>
        <w:tag w:val="_GBC_50b72791ac8a452f88456ab4da535bab"/>
        <w:id w:val="-172274540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83"/>
    <w:bookmarkEnd w:id="284"/>
    <w:p>
      <w:pPr>
        <w:pStyle w:val="5"/>
        <w:numPr>
          <w:ilvl w:val="3"/>
          <w:numId w:val="49"/>
        </w:numPr>
        <w:ind w:left="426" w:hanging="426"/>
        <w:rPr>
          <w:rFonts w:hint="eastAsia" w:ascii="宋体" w:hAnsi="宋体"/>
          <w:color w:val="000000" w:themeColor="text1"/>
          <w14:textFill>
            <w14:solidFill>
              <w14:schemeClr w14:val="tx1"/>
            </w14:solidFill>
          </w14:textFill>
        </w:rPr>
      </w:pPr>
      <w:bookmarkStart w:id="285" w:name="_Hlk532994191"/>
      <w:bookmarkStart w:id="286" w:name="_Hlk167892342"/>
      <w:r>
        <w:rPr>
          <w:rFonts w:hint="eastAsia" w:ascii="宋体" w:hAnsi="宋体"/>
          <w:color w:val="000000" w:themeColor="text1"/>
          <w14:textFill>
            <w14:solidFill>
              <w14:schemeClr w14:val="tx1"/>
            </w14:solidFill>
          </w14:textFill>
        </w:rPr>
        <w:t>期末重要的债权投资</w:t>
      </w:r>
    </w:p>
    <w:sdt>
      <w:sdtPr>
        <w:rPr>
          <w:color w:val="000000" w:themeColor="text1"/>
          <w14:textFill>
            <w14:solidFill>
              <w14:schemeClr w14:val="tx1"/>
            </w14:solidFill>
          </w14:textFill>
        </w:rPr>
        <w:alias w:val="是否适用：重要的债权投资[双击切换]"/>
        <w:tag w:val="_GBC_dfd6ab7a86864614a29dc0fb3c650c26"/>
        <w:id w:val="-36351620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85"/>
    <w:bookmarkEnd w:id="286"/>
    <w:p>
      <w:pPr>
        <w:pStyle w:val="5"/>
        <w:numPr>
          <w:ilvl w:val="3"/>
          <w:numId w:val="49"/>
        </w:numPr>
        <w:ind w:left="426" w:hanging="426"/>
        <w:rPr>
          <w:rFonts w:hint="eastAsia" w:ascii="宋体" w:hAnsi="宋体"/>
          <w:color w:val="000000" w:themeColor="text1"/>
          <w14:textFill>
            <w14:solidFill>
              <w14:schemeClr w14:val="tx1"/>
            </w14:solidFill>
          </w14:textFill>
        </w:rPr>
      </w:pPr>
      <w:bookmarkStart w:id="287" w:name="_Hlk10471472"/>
      <w:bookmarkStart w:id="288" w:name="_Hlk10471485"/>
      <w:r>
        <w:rPr>
          <w:rFonts w:hint="eastAsia" w:ascii="宋体" w:hAnsi="宋体"/>
          <w:color w:val="000000" w:themeColor="text1"/>
          <w14:textFill>
            <w14:solidFill>
              <w14:schemeClr w14:val="tx1"/>
            </w14:solidFill>
          </w14:textFill>
        </w:rPr>
        <w:t>减值准备计提情况</w:t>
      </w:r>
      <w:bookmarkEnd w:id="287"/>
    </w:p>
    <w:sdt>
      <w:sdtPr>
        <w:rPr>
          <w:color w:val="000000" w:themeColor="text1"/>
          <w14:textFill>
            <w14:solidFill>
              <w14:schemeClr w14:val="tx1"/>
            </w14:solidFill>
          </w14:textFill>
        </w:rPr>
        <w:alias w:val="是否适用：债权投资减值准备调节表[双击切换]"/>
        <w:tag w:val="_GBC_415a5cd43ad14136b13ac09b150da06f"/>
        <w:id w:val="86287254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各阶段划分依据和减值准备计提比例：</w:t>
      </w:r>
    </w:p>
    <w:sdt>
      <w:sdtPr>
        <w:rPr>
          <w:color w:val="000000" w:themeColor="text1"/>
          <w14:textFill>
            <w14:solidFill>
              <w14:schemeClr w14:val="tx1"/>
            </w14:solidFill>
          </w14:textFill>
        </w:rPr>
        <w:alias w:val="债权投资各阶段划分依据和减值准备计提比例"/>
        <w:tag w:val="_GBC_251143413a6c4bb19036ef59ee403126"/>
        <w:id w:val="110462350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36"/>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对本期发生损失准备变动的债权投资账面余额显著变动的情况说明：</w:t>
      </w:r>
    </w:p>
    <w:sdt>
      <w:sdtPr>
        <w:rPr>
          <w:color w:val="000000" w:themeColor="text1"/>
          <w14:textFill>
            <w14:solidFill>
              <w14:schemeClr w14:val="tx1"/>
            </w14:solidFill>
          </w14:textFill>
        </w:rPr>
        <w:alias w:val="是否适用：债权投资本期发生损失准备变动且账面余额显著变动的情况说明[双击切换]"/>
        <w:tag w:val="_GBC_c6e31a7a389c493bad1d2f0f97023edf"/>
        <w:id w:val="-1588152056"/>
        <w:placeholder>
          <w:docPart w:val="GBC22222222222222222222222222222"/>
        </w:placeholder>
      </w:sdtPr>
      <w:sdtEndPr>
        <w:rPr>
          <w:color w:val="000000" w:themeColor="text1"/>
          <w14:textFill>
            <w14:solidFill>
              <w14:schemeClr w14:val="tx1"/>
            </w14:solidFill>
          </w14:textFill>
        </w:rPr>
      </w:sdtEndPr>
      <w:sdtContent>
        <w:p>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6"/>
        <w:rPr>
          <w:color w:val="000000" w:themeColor="text1"/>
          <w14:textFill>
            <w14:solidFill>
              <w14:schemeClr w14:val="tx1"/>
            </w14:solidFill>
          </w14:textFill>
        </w:rPr>
      </w:pPr>
      <w:r>
        <w:rPr>
          <w:rFonts w:hint="eastAsia"/>
          <w:color w:val="000000" w:themeColor="text1"/>
          <w14:textFill>
            <w14:solidFill>
              <w14:schemeClr w14:val="tx1"/>
            </w14:solidFill>
          </w14:textFill>
        </w:rPr>
        <w:t>本</w:t>
      </w:r>
      <w:r>
        <w:rPr>
          <w:color w:val="000000" w:themeColor="text1"/>
          <w14:textFill>
            <w14:solidFill>
              <w14:schemeClr w14:val="tx1"/>
            </w14:solidFill>
          </w14:textFill>
        </w:rPr>
        <w:t>期减</w:t>
      </w:r>
      <w:r>
        <w:rPr>
          <w:rFonts w:hint="eastAsia"/>
          <w:color w:val="000000" w:themeColor="text1"/>
          <w14:textFill>
            <w14:solidFill>
              <w14:schemeClr w14:val="tx1"/>
            </w14:solidFill>
          </w14:textFill>
        </w:rPr>
        <w:t>值</w:t>
      </w:r>
      <w:r>
        <w:rPr>
          <w:color w:val="000000" w:themeColor="text1"/>
          <w14:textFill>
            <w14:solidFill>
              <w14:schemeClr w14:val="tx1"/>
            </w14:solidFill>
          </w14:textFill>
        </w:rPr>
        <w:t>准备计提金额以及评估金融工具的</w:t>
      </w:r>
      <w:r>
        <w:rPr>
          <w:rFonts w:hint="eastAsia"/>
          <w:color w:val="000000" w:themeColor="text1"/>
          <w14:textFill>
            <w14:solidFill>
              <w14:schemeClr w14:val="tx1"/>
            </w14:solidFill>
          </w14:textFill>
        </w:rPr>
        <w:t>信用风险是否显著增加的采用依据：</w:t>
      </w:r>
    </w:p>
    <w:sdt>
      <w:sdtPr>
        <w:rPr>
          <w:color w:val="000000" w:themeColor="text1"/>
          <w14:textFill>
            <w14:solidFill>
              <w14:schemeClr w14:val="tx1"/>
            </w14:solidFill>
          </w14:textFill>
        </w:rPr>
        <w:alias w:val="是否适用：债权投资减值准备计提金额以及评估金融工具的信用风险显著增加的采用依据[双击切换]"/>
        <w:tag w:val="_GBC_9f2bcc7ec6104c84a1b0f948b57b7e7a"/>
        <w:id w:val="-59586875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88"/>
    <w:p>
      <w:pPr>
        <w:pStyle w:val="5"/>
        <w:numPr>
          <w:ilvl w:val="3"/>
          <w:numId w:val="49"/>
        </w:numPr>
        <w:ind w:left="426" w:hanging="426"/>
        <w:rPr>
          <w:rFonts w:hint="eastAsia" w:ascii="宋体" w:hAnsi="宋体"/>
          <w:color w:val="000000" w:themeColor="text1"/>
          <w14:textFill>
            <w14:solidFill>
              <w14:schemeClr w14:val="tx1"/>
            </w14:solidFill>
          </w14:textFill>
        </w:rPr>
      </w:pPr>
      <w:bookmarkStart w:id="289" w:name="_Hlk153455555"/>
      <w:bookmarkStart w:id="290" w:name="_Hlk167892558"/>
      <w:r>
        <w:rPr>
          <w:rFonts w:hint="eastAsia" w:ascii="宋体" w:hAnsi="宋体"/>
          <w:color w:val="000000" w:themeColor="text1"/>
          <w14:textFill>
            <w14:solidFill>
              <w14:schemeClr w14:val="tx1"/>
            </w14:solidFill>
          </w14:textFill>
        </w:rPr>
        <w:t>本期实际的核销债权投资情况</w:t>
      </w:r>
    </w:p>
    <w:sdt>
      <w:sdtPr>
        <w:rPr>
          <w:color w:val="000000" w:themeColor="text1"/>
          <w14:textFill>
            <w14:solidFill>
              <w14:schemeClr w14:val="tx1"/>
            </w14:solidFill>
          </w14:textFill>
        </w:rPr>
        <w:alias w:val="是否适用：实际核销的情况[双击切换]"/>
        <w:tag w:val="_GBC_3afef6300d7c49d48b6294a7214810bd"/>
        <w:id w:val="-68520659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其中重要的债权投资</w:t>
      </w:r>
      <w:r>
        <w:rPr>
          <w:color w:val="000000" w:themeColor="text1"/>
          <w14:textFill>
            <w14:solidFill>
              <w14:schemeClr w14:val="tx1"/>
            </w14:solidFill>
          </w14:textFill>
        </w:rPr>
        <w:t>情况</w:t>
      </w:r>
      <w:r>
        <w:rPr>
          <w:rFonts w:hint="eastAsia"/>
          <w:color w:val="000000" w:themeColor="text1"/>
          <w14:textFill>
            <w14:solidFill>
              <w14:schemeClr w14:val="tx1"/>
            </w14:solidFill>
          </w14:textFill>
        </w:rPr>
        <w:t>核销情况</w:t>
      </w:r>
    </w:p>
    <w:sdt>
      <w:sdtPr>
        <w:rPr>
          <w:rFonts w:hint="eastAsia"/>
          <w:color w:val="000000" w:themeColor="text1"/>
          <w14:textFill>
            <w14:solidFill>
              <w14:schemeClr w14:val="tx1"/>
            </w14:solidFill>
          </w14:textFill>
        </w:rPr>
        <w:alias w:val="是否适用：重要的核销情况[双击切换]"/>
        <w:tag w:val="_GBC_dc0725e00c1d479dba02255be6332ac6"/>
        <w:id w:val="-1815637654"/>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p>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债权投资的核销说明：</w:t>
      </w:r>
    </w:p>
    <w:sdt>
      <w:sdtPr>
        <w:rPr>
          <w:color w:val="000000" w:themeColor="text1"/>
          <w14:textFill>
            <w14:solidFill>
              <w14:schemeClr w14:val="tx1"/>
            </w14:solidFill>
          </w14:textFill>
        </w:rPr>
        <w:alias w:val="是否适用：核销说明[双击切换]"/>
        <w:tag w:val="_GBC_de5ab370e646496a8820f55eaf66a319"/>
        <w:id w:val="-57561339"/>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89"/>
    <w:bookmarkEnd w:id="290"/>
    <w:p>
      <w:pPr>
        <w:ind w:right="210"/>
        <w:rPr>
          <w:color w:val="000000" w:themeColor="text1"/>
          <w14:textFill>
            <w14:solidFill>
              <w14:schemeClr w14:val="tx1"/>
            </w14:solidFill>
          </w14:textFill>
        </w:rPr>
      </w:pPr>
      <w:bookmarkStart w:id="291" w:name="_Hlk167892487"/>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债权投资其他说明"/>
        <w:tag w:val="_GBC_28b21821551847bca67b7c6c2e134e89"/>
        <w:id w:val="-1073039200"/>
        <w:placeholder>
          <w:docPart w:val="GBC22222222222222222222222222222"/>
        </w:placeholder>
      </w:sdtPr>
      <w:sdtEndPr>
        <w:rPr>
          <w:color w:val="000000" w:themeColor="text1"/>
          <w14:textFill>
            <w14:solidFill>
              <w14:schemeClr w14:val="tx1"/>
            </w14:solidFill>
          </w14:textFill>
        </w:rPr>
      </w:sdtEndPr>
      <w:sdtContent>
        <w:p>
          <w:pPr>
            <w:ind w:right="21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291"/>
    <w:p>
      <w:pPr>
        <w:pStyle w:val="4"/>
        <w:numPr>
          <w:ilvl w:val="0"/>
          <w:numId w:val="41"/>
        </w:numPr>
        <w:rPr>
          <w:color w:val="000000" w:themeColor="text1"/>
          <w:szCs w:val="21"/>
          <w14:textFill>
            <w14:solidFill>
              <w14:schemeClr w14:val="tx1"/>
            </w14:solidFill>
          </w14:textFill>
        </w:rPr>
      </w:pPr>
      <w:bookmarkStart w:id="292" w:name="_Hlk167892682"/>
      <w:r>
        <w:rPr>
          <w:color w:val="000000" w:themeColor="text1"/>
          <w:szCs w:val="21"/>
          <w14:textFill>
            <w14:solidFill>
              <w14:schemeClr w14:val="tx1"/>
            </w14:solidFill>
          </w14:textFill>
        </w:rPr>
        <w:t>其他债权投资</w:t>
      </w:r>
    </w:p>
    <w:p>
      <w:pPr>
        <w:pStyle w:val="5"/>
        <w:numPr>
          <w:ilvl w:val="3"/>
          <w:numId w:val="50"/>
        </w:numPr>
        <w:ind w:left="426" w:hanging="426"/>
        <w:rPr>
          <w:color w:val="000000" w:themeColor="text1"/>
          <w14:textFill>
            <w14:solidFill>
              <w14:schemeClr w14:val="tx1"/>
            </w14:solidFill>
          </w14:textFill>
        </w:rPr>
      </w:pPr>
      <w:r>
        <w:rPr>
          <w:rFonts w:hint="eastAsia"/>
          <w:color w:val="000000" w:themeColor="text1"/>
          <w14:textFill>
            <w14:solidFill>
              <w14:schemeClr w14:val="tx1"/>
            </w14:solidFill>
          </w14:textFill>
        </w:rPr>
        <w:t>其他债权投资情况</w:t>
      </w:r>
    </w:p>
    <w:sdt>
      <w:sdtPr>
        <w:rPr>
          <w:color w:val="000000" w:themeColor="text1"/>
          <w14:textFill>
            <w14:solidFill>
              <w14:schemeClr w14:val="tx1"/>
            </w14:solidFill>
          </w14:textFill>
        </w:rPr>
        <w:alias w:val="是否适用：其他债权投资情况[双击切换]"/>
        <w:tag w:val="_GBC_92529f98ed0049e0b197213d2c9b7d0a"/>
        <w:id w:val="1229655945"/>
        <w:placeholder>
          <w:docPart w:val="GBC22222222222222222222222222222"/>
        </w:placeholder>
      </w:sdtPr>
      <w:sdtEndPr>
        <w:rPr>
          <w:color w:val="000000" w:themeColor="text1"/>
          <w14:textFill>
            <w14:solidFill>
              <w14:schemeClr w14:val="tx1"/>
            </w14:solidFill>
          </w14:textFill>
        </w:rPr>
      </w:sdtEndPr>
      <w:sdtContent>
        <w:p>
          <w:pPr>
            <w:ind w:right="21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bookmarkStart w:id="293" w:name="_Hlk153455695"/>
      <w:r>
        <w:rPr>
          <w:rFonts w:hint="eastAsia"/>
          <w:color w:val="000000" w:themeColor="text1"/>
          <w14:textFill>
            <w14:solidFill>
              <w14:schemeClr w14:val="tx1"/>
            </w14:solidFill>
          </w14:textFill>
        </w:rPr>
        <w:t>其他债权投资减值准备本期变动情况</w:t>
      </w:r>
    </w:p>
    <w:sdt>
      <w:sdtPr>
        <w:rPr>
          <w:color w:val="000000" w:themeColor="text1"/>
          <w14:textFill>
            <w14:solidFill>
              <w14:schemeClr w14:val="tx1"/>
            </w14:solidFill>
          </w14:textFill>
        </w:rPr>
        <w:alias w:val="是否适用：减值准备本期变动情况[双击切换]"/>
        <w:tag w:val="_GBC_b9701012584a4eb3946302a1880256f3"/>
        <w:id w:val="132092650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92"/>
    <w:bookmarkEnd w:id="293"/>
    <w:p>
      <w:pPr>
        <w:pStyle w:val="5"/>
        <w:numPr>
          <w:ilvl w:val="3"/>
          <w:numId w:val="50"/>
        </w:numPr>
        <w:ind w:left="426" w:hanging="426"/>
        <w:rPr>
          <w:color w:val="000000" w:themeColor="text1"/>
          <w14:textFill>
            <w14:solidFill>
              <w14:schemeClr w14:val="tx1"/>
            </w14:solidFill>
          </w14:textFill>
        </w:rPr>
      </w:pPr>
      <w:bookmarkStart w:id="294" w:name="_Hlk533848078"/>
      <w:bookmarkStart w:id="295" w:name="_Hlk167892795"/>
      <w:r>
        <w:rPr>
          <w:rFonts w:hint="eastAsia"/>
          <w:color w:val="000000" w:themeColor="text1"/>
          <w14:textFill>
            <w14:solidFill>
              <w14:schemeClr w14:val="tx1"/>
            </w14:solidFill>
          </w14:textFill>
        </w:rPr>
        <w:t>期末重要的其他债权投资</w:t>
      </w:r>
    </w:p>
    <w:sdt>
      <w:sdtPr>
        <w:rPr>
          <w:color w:val="000000" w:themeColor="text1"/>
          <w14:textFill>
            <w14:solidFill>
              <w14:schemeClr w14:val="tx1"/>
            </w14:solidFill>
          </w14:textFill>
        </w:rPr>
        <w:alias w:val="是否适用：重要的其他债权投资[双击切换]"/>
        <w:tag w:val="_GBC_00805fa375c74d288e1bd8def75cea7f"/>
        <w:id w:val="-719819495"/>
        <w:placeholder>
          <w:docPart w:val="GBC22222222222222222222222222222"/>
        </w:placeholder>
      </w:sdtPr>
      <w:sdtEndPr>
        <w:rPr>
          <w:color w:val="000000" w:themeColor="text1"/>
          <w14:textFill>
            <w14:solidFill>
              <w14:schemeClr w14:val="tx1"/>
            </w14:solidFill>
          </w14:textFill>
        </w:rPr>
      </w:sdtEndPr>
      <w:sdtContent>
        <w:p>
          <w:pPr>
            <w:ind w:right="21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94"/>
    <w:bookmarkEnd w:id="295"/>
    <w:p>
      <w:pPr>
        <w:pStyle w:val="5"/>
        <w:numPr>
          <w:ilvl w:val="3"/>
          <w:numId w:val="50"/>
        </w:numPr>
        <w:ind w:left="426" w:hanging="426"/>
        <w:rPr>
          <w:color w:val="000000" w:themeColor="text1"/>
          <w14:textFill>
            <w14:solidFill>
              <w14:schemeClr w14:val="tx1"/>
            </w14:solidFill>
          </w14:textFill>
        </w:rPr>
      </w:pPr>
      <w:bookmarkStart w:id="296" w:name="_Hlk10471703"/>
      <w:bookmarkStart w:id="297" w:name="_Hlk10471716"/>
      <w:r>
        <w:rPr>
          <w:rFonts w:hint="eastAsia"/>
          <w:color w:val="000000" w:themeColor="text1"/>
          <w14:textFill>
            <w14:solidFill>
              <w14:schemeClr w14:val="tx1"/>
            </w14:solidFill>
          </w14:textFill>
        </w:rPr>
        <w:t>减值准备计提情况</w:t>
      </w:r>
      <w:bookmarkEnd w:id="296"/>
    </w:p>
    <w:sdt>
      <w:sdtPr>
        <w:rPr>
          <w:color w:val="000000" w:themeColor="text1"/>
          <w14:textFill>
            <w14:solidFill>
              <w14:schemeClr w14:val="tx1"/>
            </w14:solidFill>
          </w14:textFill>
        </w:rPr>
        <w:alias w:val="是否适用：其他债权投资减值准备调节表[双击切换]"/>
        <w:tag w:val="_GBC_038e4a0a4815442e91a9309c128001c1"/>
        <w:id w:val="-126953552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97"/>
    <w:p>
      <w:pPr>
        <w:pStyle w:val="5"/>
        <w:numPr>
          <w:ilvl w:val="3"/>
          <w:numId w:val="50"/>
        </w:numPr>
        <w:ind w:left="426" w:hanging="426"/>
        <w:rPr>
          <w:color w:val="000000" w:themeColor="text1"/>
          <w14:textFill>
            <w14:solidFill>
              <w14:schemeClr w14:val="tx1"/>
            </w14:solidFill>
          </w14:textFill>
        </w:rPr>
      </w:pPr>
      <w:bookmarkStart w:id="298" w:name="_Hlk533848073"/>
      <w:bookmarkEnd w:id="298"/>
      <w:bookmarkStart w:id="299" w:name="_Hlk153456989"/>
      <w:bookmarkStart w:id="300" w:name="_Hlk167892961"/>
      <w:r>
        <w:rPr>
          <w:rFonts w:hint="eastAsia"/>
          <w:color w:val="000000" w:themeColor="text1"/>
          <w14:textFill>
            <w14:solidFill>
              <w14:schemeClr w14:val="tx1"/>
            </w14:solidFill>
          </w14:textFill>
        </w:rPr>
        <w:t>本期实际核销的其他债权投资情况</w:t>
      </w:r>
    </w:p>
    <w:sdt>
      <w:sdtPr>
        <w:rPr>
          <w:color w:val="000000" w:themeColor="text1"/>
          <w14:textFill>
            <w14:solidFill>
              <w14:schemeClr w14:val="tx1"/>
            </w14:solidFill>
          </w14:textFill>
        </w:rPr>
        <w:alias w:val="是否适用：实际核销的情况[双击切换]"/>
        <w:tag w:val="_GBC_3f64bf41b4334743becf2e82476d4bae"/>
        <w:id w:val="81159277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其中重要的其他债权投资</w:t>
      </w:r>
      <w:r>
        <w:rPr>
          <w:color w:val="000000" w:themeColor="text1"/>
          <w14:textFill>
            <w14:solidFill>
              <w14:schemeClr w14:val="tx1"/>
            </w14:solidFill>
          </w14:textFill>
        </w:rPr>
        <w:t>情况</w:t>
      </w:r>
      <w:r>
        <w:rPr>
          <w:rFonts w:hint="eastAsia"/>
          <w:color w:val="000000" w:themeColor="text1"/>
          <w14:textFill>
            <w14:solidFill>
              <w14:schemeClr w14:val="tx1"/>
            </w14:solidFill>
          </w14:textFill>
        </w:rPr>
        <w:t>核销情况</w:t>
      </w:r>
    </w:p>
    <w:sdt>
      <w:sdtPr>
        <w:rPr>
          <w:rFonts w:hint="eastAsia"/>
          <w:color w:val="000000" w:themeColor="text1"/>
          <w14:textFill>
            <w14:solidFill>
              <w14:schemeClr w14:val="tx1"/>
            </w14:solidFill>
          </w14:textFill>
        </w:rPr>
        <w:alias w:val="是否适用：重要的核销情况[双击切换]"/>
        <w:tag w:val="_GBC_c6a24c878fc2452199cbce9e12babe90"/>
        <w:id w:val="-218517292"/>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其他债权投资的核销说明：</w:t>
      </w:r>
    </w:p>
    <w:sdt>
      <w:sdtPr>
        <w:rPr>
          <w:color w:val="000000" w:themeColor="text1"/>
          <w14:textFill>
            <w14:solidFill>
              <w14:schemeClr w14:val="tx1"/>
            </w14:solidFill>
          </w14:textFill>
        </w:rPr>
        <w:alias w:val="是否适用：核销说明[双击切换]"/>
        <w:tag w:val="_GBC_53efb454d66a4a18836780c1e0d7b273"/>
        <w:id w:val="498083021"/>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299"/>
    <w:bookmarkEnd w:id="300"/>
    <w:p>
      <w:pPr>
        <w:rPr>
          <w:color w:val="000000" w:themeColor="text1"/>
          <w14:textFill>
            <w14:solidFill>
              <w14:schemeClr w14:val="tx1"/>
            </w14:solidFill>
          </w14:textFill>
        </w:rPr>
      </w:pPr>
      <w:bookmarkStart w:id="301" w:name="_Hlk533848097"/>
      <w:bookmarkStart w:id="302" w:name="_Hlk10471761"/>
      <w:r>
        <w:rPr>
          <w:rFonts w:hint="eastAsia"/>
          <w:color w:val="000000" w:themeColor="text1"/>
          <w14:textFill>
            <w14:solidFill>
              <w14:schemeClr w14:val="tx1"/>
            </w14:solidFill>
          </w14:textFill>
        </w:rPr>
        <w:t>其他说明：</w:t>
      </w:r>
      <w:bookmarkEnd w:id="301"/>
    </w:p>
    <w:sdt>
      <w:sdtPr>
        <w:rPr>
          <w:color w:val="000000" w:themeColor="text1"/>
          <w14:textFill>
            <w14:solidFill>
              <w14:schemeClr w14:val="tx1"/>
            </w14:solidFill>
          </w14:textFill>
        </w:rPr>
        <w:alias w:val="是否适用：其他债权投资其他说明[双击切换]"/>
        <w:tag w:val="_GBC_e37f3e78626b4cd0ad52d68ae2fcdecb"/>
        <w:id w:val="19196649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02"/>
    <w:p>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长期应收款</w:t>
      </w:r>
    </w:p>
    <w:p>
      <w:pPr>
        <w:pStyle w:val="5"/>
        <w:numPr>
          <w:ilvl w:val="0"/>
          <w:numId w:val="51"/>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长期应收款情况</w:t>
      </w:r>
    </w:p>
    <w:sdt>
      <w:sdtPr>
        <w:rPr>
          <w:color w:val="000000" w:themeColor="text1"/>
          <w14:textFill>
            <w14:solidFill>
              <w14:schemeClr w14:val="tx1"/>
            </w14:solidFill>
          </w14:textFill>
        </w:rPr>
        <w:alias w:val="是否适用：长期应收款情况[双击切换]"/>
        <w:tag w:val="_GBC_03ba5a75d6d541f4a60fba2b18c9d548"/>
        <w:id w:val="43640407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应收款"/>
          <w:tag w:val="_GBC_95baf3ea634a4a60970b09906c240d55"/>
          <w:id w:val="8088262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应收款"/>
          <w:tag w:val="_GBC_fe21d7e81e5548d09e30637bd81155e1"/>
          <w:id w:val="160060795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5"/>
        <w:gridCol w:w="1603"/>
        <w:gridCol w:w="1564"/>
        <w:gridCol w:w="1544"/>
        <w:gridCol w:w="1561"/>
        <w:gridCol w:w="1564"/>
        <w:gridCol w:w="1592"/>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e80648375054a09a15bfc6f9a7fb093"/>
            <w:id w:val="-1094235807"/>
          </w:sdtPr>
          <w:sdtContent>
            <w:tc>
              <w:tcPr>
                <w:tcW w:w="1141"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9a93d1c2d6847be992e152b686ed22d"/>
            <w:id w:val="1429919979"/>
          </w:sdtPr>
          <w:sdtContent>
            <w:tc>
              <w:tcPr>
                <w:tcW w:w="1672"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f41f953b597d46848a98bb222c5ebb8e"/>
            <w:id w:val="677623183"/>
          </w:sdtPr>
          <w:sdtContent>
            <w:tc>
              <w:tcPr>
                <w:tcW w:w="1674"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e23d00708e6c434eac89cf07e5b896e2"/>
            <w:id w:val="-1524711605"/>
          </w:sdtPr>
          <w:sdtContent>
            <w:tc>
              <w:tcPr>
                <w:tcW w:w="513"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折现率区间</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141" w:type="pct"/>
            <w:vMerge w:val="continue"/>
            <w:tcBorders>
              <w:bottom w:val="single" w:color="auto" w:sz="4" w:space="0"/>
            </w:tcBorders>
            <w:vAlign w:val="center"/>
          </w:tcPr>
          <w:p>
            <w:pPr>
              <w:jc w:val="center"/>
              <w:rPr>
                <w:color w:val="000000" w:themeColor="text1"/>
                <w14:textFill>
                  <w14:solidFill>
                    <w14:schemeClr w14:val="tx1"/>
                  </w14:solidFill>
                </w14:textFill>
              </w:rPr>
            </w:pPr>
          </w:p>
        </w:tc>
        <w:sdt>
          <w:sdtPr>
            <w:tag w:val="_PLD_93de35b749ff4ac9a6b3c5ec236ed585"/>
            <w:id w:val="130451252"/>
          </w:sdtPr>
          <w:sdtContent>
            <w:tc>
              <w:tcPr>
                <w:tcW w:w="569"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eccd0387c0f24fa5a972b6cd6e1d4d30"/>
            <w:id w:val="702832957"/>
          </w:sdtPr>
          <w:sdtContent>
            <w:tc>
              <w:tcPr>
                <w:tcW w:w="555"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9016cddeb6f34d55a584d277237a8ac1"/>
            <w:id w:val="-1449004078"/>
          </w:sdtPr>
          <w:sdtContent>
            <w:tc>
              <w:tcPr>
                <w:tcW w:w="548"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db7d979714524efcab7433361aaac461"/>
            <w:id w:val="990599689"/>
          </w:sdtPr>
          <w:sdtContent>
            <w:tc>
              <w:tcPr>
                <w:tcW w:w="554"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395cf962072c462fb83f42db9e225402"/>
            <w:id w:val="1471485895"/>
          </w:sdtPr>
          <w:sdtContent>
            <w:tc>
              <w:tcPr>
                <w:tcW w:w="555"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505b96d943e341af8e22763be8ab91c7"/>
            <w:id w:val="1978642721"/>
          </w:sdtPr>
          <w:sdtContent>
            <w:tc>
              <w:tcPr>
                <w:tcW w:w="565"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c>
          <w:tcPr>
            <w:tcW w:w="513" w:type="pct"/>
            <w:vMerge w:val="continue"/>
            <w:tcBorders>
              <w:bottom w:val="single" w:color="auto" w:sz="4" w:space="0"/>
            </w:tcBorders>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141" w:type="pct"/>
            <w:vAlign w:val="center"/>
          </w:tcPr>
          <w:p>
            <w:pPr>
              <w:jc w:val="both"/>
              <w:rPr>
                <w:color w:val="000000" w:themeColor="text1"/>
                <w14:textFill>
                  <w14:solidFill>
                    <w14:schemeClr w14:val="tx1"/>
                  </w14:solidFill>
                </w14:textFill>
              </w:rPr>
            </w:pPr>
            <w:r>
              <w:rPr>
                <w:rFonts w:hint="eastAsia"/>
              </w:rPr>
              <w:t>分期收款销售商品</w:t>
            </w:r>
          </w:p>
        </w:tc>
        <w:tc>
          <w:tcPr>
            <w:tcW w:w="569" w:type="pct"/>
          </w:tcPr>
          <w:p>
            <w:pPr>
              <w:jc w:val="right"/>
            </w:pPr>
            <w:r>
              <w:t xml:space="preserve"> 21,507,371.53  </w:t>
            </w:r>
          </w:p>
        </w:tc>
        <w:tc>
          <w:tcPr>
            <w:tcW w:w="555" w:type="pct"/>
          </w:tcPr>
          <w:p>
            <w:pPr>
              <w:jc w:val="right"/>
            </w:pPr>
          </w:p>
        </w:tc>
        <w:tc>
          <w:tcPr>
            <w:tcW w:w="548" w:type="pct"/>
          </w:tcPr>
          <w:p>
            <w:pPr>
              <w:jc w:val="right"/>
            </w:pPr>
            <w:r>
              <w:t xml:space="preserve"> 21,507,371.53 </w:t>
            </w:r>
          </w:p>
        </w:tc>
        <w:tc>
          <w:tcPr>
            <w:tcW w:w="554" w:type="pct"/>
          </w:tcPr>
          <w:p>
            <w:pPr>
              <w:jc w:val="right"/>
            </w:pPr>
          </w:p>
        </w:tc>
        <w:tc>
          <w:tcPr>
            <w:tcW w:w="555" w:type="pct"/>
          </w:tcPr>
          <w:p>
            <w:pPr>
              <w:jc w:val="right"/>
            </w:pPr>
          </w:p>
        </w:tc>
        <w:tc>
          <w:tcPr>
            <w:tcW w:w="565" w:type="pct"/>
          </w:tcPr>
          <w:p>
            <w:pPr>
              <w:jc w:val="right"/>
            </w:pPr>
          </w:p>
        </w:tc>
        <w:tc>
          <w:tcPr>
            <w:tcW w:w="513" w:type="pct"/>
          </w:tcPr>
          <w:p>
            <w:pPr>
              <w:jc w:val="right"/>
            </w:pPr>
            <w:r>
              <w:t>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141" w:type="pct"/>
            <w:vAlign w:val="center"/>
          </w:tcPr>
          <w:p>
            <w:pPr>
              <w:jc w:val="both"/>
              <w:rPr>
                <w:color w:val="000000" w:themeColor="text1"/>
                <w14:textFill>
                  <w14:solidFill>
                    <w14:schemeClr w14:val="tx1"/>
                  </w14:solidFill>
                </w14:textFill>
              </w:rPr>
            </w:pPr>
            <w:r>
              <w:rPr>
                <w:rFonts w:hint="eastAsia"/>
              </w:rPr>
              <w:t>其他</w:t>
            </w:r>
          </w:p>
        </w:tc>
        <w:tc>
          <w:tcPr>
            <w:tcW w:w="569" w:type="pct"/>
          </w:tcPr>
          <w:p>
            <w:pPr>
              <w:jc w:val="right"/>
            </w:pPr>
            <w:r>
              <w:t xml:space="preserve"> 2,835,297.59 </w:t>
            </w:r>
          </w:p>
        </w:tc>
        <w:tc>
          <w:tcPr>
            <w:tcW w:w="555" w:type="pct"/>
          </w:tcPr>
          <w:p>
            <w:pPr>
              <w:jc w:val="right"/>
            </w:pPr>
            <w:r>
              <w:t xml:space="preserve"> 842,877.83 </w:t>
            </w:r>
          </w:p>
        </w:tc>
        <w:tc>
          <w:tcPr>
            <w:tcW w:w="548" w:type="pct"/>
          </w:tcPr>
          <w:p>
            <w:pPr>
              <w:jc w:val="right"/>
            </w:pPr>
            <w:r>
              <w:t xml:space="preserve"> 1,992,419.76 </w:t>
            </w:r>
          </w:p>
        </w:tc>
        <w:tc>
          <w:tcPr>
            <w:tcW w:w="554" w:type="pct"/>
          </w:tcPr>
          <w:p>
            <w:pPr>
              <w:jc w:val="right"/>
            </w:pPr>
            <w:r>
              <w:t xml:space="preserve"> 4,481,595.34 </w:t>
            </w:r>
          </w:p>
        </w:tc>
        <w:tc>
          <w:tcPr>
            <w:tcW w:w="555" w:type="pct"/>
          </w:tcPr>
          <w:p>
            <w:pPr>
              <w:jc w:val="right"/>
            </w:pPr>
            <w:r>
              <w:t xml:space="preserve"> 839,509.75 </w:t>
            </w:r>
          </w:p>
        </w:tc>
        <w:tc>
          <w:tcPr>
            <w:tcW w:w="565" w:type="pct"/>
          </w:tcPr>
          <w:p>
            <w:pPr>
              <w:jc w:val="right"/>
            </w:pPr>
            <w:r>
              <w:t xml:space="preserve"> 3,642,085.59 </w:t>
            </w:r>
          </w:p>
        </w:tc>
        <w:tc>
          <w:tcPr>
            <w:tcW w:w="513" w:type="pct"/>
          </w:tcPr>
          <w:p>
            <w:pPr>
              <w:pStyle w:val="48"/>
            </w:pPr>
            <w: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14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569" w:type="pct"/>
          </w:tcPr>
          <w:p>
            <w:pPr>
              <w:jc w:val="right"/>
            </w:pPr>
            <w:r>
              <w:t xml:space="preserve"> 24,342,669.12 </w:t>
            </w:r>
          </w:p>
        </w:tc>
        <w:tc>
          <w:tcPr>
            <w:tcW w:w="555" w:type="pct"/>
          </w:tcPr>
          <w:p>
            <w:pPr>
              <w:jc w:val="right"/>
            </w:pPr>
            <w:r>
              <w:t xml:space="preserve"> 842,877.83 </w:t>
            </w:r>
          </w:p>
        </w:tc>
        <w:tc>
          <w:tcPr>
            <w:tcW w:w="548" w:type="pct"/>
          </w:tcPr>
          <w:p>
            <w:pPr>
              <w:jc w:val="right"/>
            </w:pPr>
            <w:r>
              <w:t xml:space="preserve"> 23,499,791.29 </w:t>
            </w:r>
          </w:p>
        </w:tc>
        <w:tc>
          <w:tcPr>
            <w:tcW w:w="554" w:type="pct"/>
          </w:tcPr>
          <w:p>
            <w:pPr>
              <w:jc w:val="right"/>
            </w:pPr>
            <w:r>
              <w:t xml:space="preserve"> 4,481,595.34 </w:t>
            </w:r>
          </w:p>
        </w:tc>
        <w:tc>
          <w:tcPr>
            <w:tcW w:w="555" w:type="pct"/>
          </w:tcPr>
          <w:p>
            <w:pPr>
              <w:jc w:val="right"/>
            </w:pPr>
            <w:r>
              <w:t xml:space="preserve"> 839,509.75 </w:t>
            </w:r>
          </w:p>
        </w:tc>
        <w:tc>
          <w:tcPr>
            <w:tcW w:w="565" w:type="pct"/>
          </w:tcPr>
          <w:p>
            <w:pPr>
              <w:jc w:val="right"/>
            </w:pPr>
            <w:r>
              <w:t xml:space="preserve"> 3,642,085.59 </w:t>
            </w:r>
          </w:p>
        </w:tc>
        <w:tc>
          <w:tcPr>
            <w:tcW w:w="513"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pPr>
        <w:pStyle w:val="5"/>
        <w:numPr>
          <w:ilvl w:val="0"/>
          <w:numId w:val="51"/>
        </w:numPr>
        <w:rPr>
          <w:rFonts w:hint="eastAsia" w:ascii="宋体" w:hAnsi="宋体"/>
          <w:color w:val="000000" w:themeColor="text1"/>
          <w14:textFill>
            <w14:solidFill>
              <w14:schemeClr w14:val="tx1"/>
            </w14:solidFill>
          </w14:textFill>
        </w:rPr>
      </w:pPr>
      <w:bookmarkStart w:id="303" w:name="_Hlk153457348"/>
      <w:bookmarkStart w:id="304" w:name="_Hlk167893085"/>
      <w:r>
        <w:rPr>
          <w:rFonts w:hint="eastAsia" w:ascii="宋体" w:hAnsi="宋体"/>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按坏账计提方法分类披露[双击切换]"/>
        <w:tag w:val="_GBC_2d08b03d640f42d686453149be03e5d9"/>
        <w:id w:val="-133422155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autoSpaceDE w:val="0"/>
        <w:autoSpaceDN w:val="0"/>
        <w:adjustRightInd w:val="0"/>
        <w:ind w:left="425" w:right="105"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按坏账计提方法分类披露"/>
          <w:tag w:val="_GBC_072cde81a2304307b9344c1e1fd5b987"/>
          <w:id w:val="146045702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按坏账计提方法分类披露"/>
          <w:tag w:val="_GBC_3357ae42f7de4283a5c2edd1989a4ce9"/>
          <w:id w:val="6193455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3"/>
        <w:gridCol w:w="1448"/>
        <w:gridCol w:w="1026"/>
        <w:gridCol w:w="1181"/>
        <w:gridCol w:w="1054"/>
        <w:gridCol w:w="1448"/>
        <w:gridCol w:w="1341"/>
        <w:gridCol w:w="1054"/>
        <w:gridCol w:w="1181"/>
        <w:gridCol w:w="975"/>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sdt>
          <w:sdtPr>
            <w:tag w:val="_PLD_1d139a73888744fcacd9c87351156998"/>
            <w:id w:val="-760215507"/>
          </w:sdtPr>
          <w:sdtContent>
            <w:tc>
              <w:tcPr>
                <w:tcW w:w="725"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sdtContent>
        </w:sdt>
        <w:sdt>
          <w:sdtPr>
            <w:tag w:val="_PLD_567577d579ef47138c93c6e8d3c74be0"/>
            <w:id w:val="-417788904"/>
          </w:sdtPr>
          <w:sdtContent>
            <w:tc>
              <w:tcPr>
                <w:tcW w:w="2185" w:type="pct"/>
                <w:gridSpan w:val="5"/>
                <w:tcBorders>
                  <w:top w:val="single" w:color="auto" w:sz="4" w:space="0"/>
                  <w:left w:val="single" w:color="auto" w:sz="4" w:space="0"/>
                  <w:right w:val="single" w:color="auto" w:sz="4" w:space="0"/>
                </w:tcBorders>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677a8bc6b294dd593820e271cdd6412"/>
            <w:id w:val="999619452"/>
          </w:sdtPr>
          <w:sdtContent>
            <w:tc>
              <w:tcPr>
                <w:tcW w:w="2091" w:type="pct"/>
                <w:gridSpan w:val="5"/>
                <w:tcBorders>
                  <w:top w:val="single" w:color="auto" w:sz="4" w:space="0"/>
                  <w:left w:val="single" w:color="auto" w:sz="4" w:space="0"/>
                  <w:right w:val="single" w:color="auto" w:sz="4" w:space="0"/>
                </w:tcBorders>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trPr>
        <w:tc>
          <w:tcPr>
            <w:tcW w:w="725" w:type="pct"/>
            <w:vMerge w:val="continue"/>
            <w:tcBorders>
              <w:left w:val="single" w:color="auto" w:sz="4" w:space="0"/>
              <w:right w:val="single" w:color="auto" w:sz="4" w:space="0"/>
            </w:tcBorders>
            <w:vAlign w:val="center"/>
          </w:tcPr>
          <w:p>
            <w:pPr>
              <w:rPr>
                <w:color w:val="000000" w:themeColor="text1"/>
                <w14:textFill>
                  <w14:solidFill>
                    <w14:schemeClr w14:val="tx1"/>
                  </w14:solidFill>
                </w14:textFill>
              </w:rPr>
            </w:pPr>
          </w:p>
        </w:tc>
        <w:sdt>
          <w:sdtPr>
            <w:tag w:val="_PLD_234bbf28719848eeb7db98e55d225301"/>
            <w:id w:val="788865966"/>
          </w:sdtPr>
          <w:sdtContent>
            <w:tc>
              <w:tcPr>
                <w:tcW w:w="878"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86baf3a2bb2442d2ad99cdffb20a5910"/>
            <w:id w:val="440109498"/>
          </w:sdtPr>
          <w:sdtContent>
            <w:tc>
              <w:tcPr>
                <w:tcW w:w="793"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7cf28132dabc412dbdeb5167d04ab50a"/>
            <w:id w:val="41883492"/>
          </w:sdtPr>
          <w:sdtContent>
            <w:tc>
              <w:tcPr>
                <w:tcW w:w="514"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sdt>
          <w:sdtPr>
            <w:tag w:val="_PLD_1a7b71bdb41643a4a5381efe177e2554"/>
            <w:id w:val="-1245257646"/>
          </w:sdtPr>
          <w:sdtContent>
            <w:tc>
              <w:tcPr>
                <w:tcW w:w="850" w:type="pct"/>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f77275da27774db5806cdf5fada4c123"/>
            <w:id w:val="573700899"/>
          </w:sdtPr>
          <w:sdtContent>
            <w:tc>
              <w:tcPr>
                <w:tcW w:w="765" w:type="pct"/>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74eb65b1ec6849bab106cdd75efae98c"/>
            <w:id w:val="-393509449"/>
          </w:sdtPr>
          <w:sdtContent>
            <w:tc>
              <w:tcPr>
                <w:tcW w:w="476"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25" w:type="pct"/>
            <w:vMerge w:val="continue"/>
            <w:tcBorders>
              <w:left w:val="single" w:color="auto" w:sz="4" w:space="0"/>
              <w:bottom w:val="single" w:color="auto" w:sz="4" w:space="0"/>
              <w:right w:val="single" w:color="auto" w:sz="4" w:space="0"/>
            </w:tcBorders>
            <w:vAlign w:val="center"/>
          </w:tcPr>
          <w:p>
            <w:pPr>
              <w:rPr>
                <w:color w:val="000000" w:themeColor="text1"/>
                <w14:textFill>
                  <w14:solidFill>
                    <w14:schemeClr w14:val="tx1"/>
                  </w14:solidFill>
                </w14:textFill>
              </w:rPr>
            </w:pPr>
          </w:p>
        </w:tc>
        <w:sdt>
          <w:sdtPr>
            <w:tag w:val="_PLD_4c74babe00bb4571937133c3ced595c8"/>
            <w:id w:val="445133740"/>
          </w:sdtPr>
          <w:sdtContent>
            <w:tc>
              <w:tcPr>
                <w:tcW w:w="514"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529c7c07fe4a40c8a6f5b5199813be2d"/>
            <w:id w:val="-1811003741"/>
          </w:sdtPr>
          <w:sdtContent>
            <w:tc>
              <w:tcPr>
                <w:tcW w:w="364"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42f1a72bd68c4b72a8cde6cdc1b8613f"/>
            <w:id w:val="686108455"/>
          </w:sdtPr>
          <w:sdtContent>
            <w:tc>
              <w:tcPr>
                <w:tcW w:w="419"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a752830b82cc45e39c2dc5354bfcb683"/>
            <w:id w:val="998705520"/>
          </w:sdtPr>
          <w:sdtContent>
            <w:tc>
              <w:tcPr>
                <w:tcW w:w="374"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514" w:type="pct"/>
            <w:vMerge w:val="continue"/>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sdt>
          <w:sdtPr>
            <w:tag w:val="_PLD_93042a28c5384d07846d52135bd7e7d1"/>
            <w:id w:val="1605388285"/>
          </w:sdtPr>
          <w:sdtContent>
            <w:tc>
              <w:tcPr>
                <w:tcW w:w="476"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353de89f20d240d0a70ef38af3ea67bf"/>
            <w:id w:val="326722113"/>
          </w:sdtPr>
          <w:sdtContent>
            <w:tc>
              <w:tcPr>
                <w:tcW w:w="374"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4bfc73d30caf4a529a41c32b56ee8803"/>
            <w:id w:val="-1091925927"/>
          </w:sdtPr>
          <w:sdtContent>
            <w:tc>
              <w:tcPr>
                <w:tcW w:w="419"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51725cfa2add4096bb798d099e0405eb"/>
            <w:id w:val="701358482"/>
          </w:sdtPr>
          <w:sdtContent>
            <w:tc>
              <w:tcPr>
                <w:tcW w:w="346"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476"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25"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tc>
        <w:tc>
          <w:tcPr>
            <w:tcW w:w="514" w:type="pct"/>
            <w:tcBorders>
              <w:top w:val="single" w:color="auto" w:sz="4" w:space="0"/>
              <w:left w:val="single" w:color="auto" w:sz="4" w:space="0"/>
              <w:bottom w:val="single" w:color="auto" w:sz="4" w:space="0"/>
              <w:right w:val="single" w:color="auto" w:sz="4" w:space="0"/>
            </w:tcBorders>
          </w:tcPr>
          <w:p>
            <w:pPr>
              <w:jc w:val="right"/>
            </w:pPr>
          </w:p>
        </w:tc>
        <w:tc>
          <w:tcPr>
            <w:tcW w:w="364" w:type="pct"/>
            <w:tcBorders>
              <w:top w:val="single" w:color="auto" w:sz="4" w:space="0"/>
              <w:left w:val="single" w:color="auto" w:sz="4" w:space="0"/>
              <w:bottom w:val="single" w:color="auto" w:sz="4" w:space="0"/>
              <w:right w:val="single" w:color="auto" w:sz="4" w:space="0"/>
            </w:tcBorders>
          </w:tcPr>
          <w:p>
            <w:pPr>
              <w:jc w:val="right"/>
            </w:pPr>
          </w:p>
        </w:tc>
        <w:tc>
          <w:tcPr>
            <w:tcW w:w="419" w:type="pct"/>
            <w:tcBorders>
              <w:top w:val="single" w:color="auto" w:sz="4" w:space="0"/>
              <w:left w:val="single" w:color="auto" w:sz="4" w:space="0"/>
              <w:bottom w:val="single" w:color="auto" w:sz="4" w:space="0"/>
              <w:right w:val="single" w:color="auto" w:sz="4" w:space="0"/>
            </w:tcBorders>
          </w:tcPr>
          <w:p>
            <w:pPr>
              <w:pStyle w:val="48"/>
            </w:pPr>
          </w:p>
        </w:tc>
        <w:tc>
          <w:tcPr>
            <w:tcW w:w="374" w:type="pct"/>
            <w:tcBorders>
              <w:top w:val="single" w:color="auto" w:sz="4" w:space="0"/>
              <w:left w:val="single" w:color="auto" w:sz="4" w:space="0"/>
              <w:bottom w:val="single" w:color="auto" w:sz="4" w:space="0"/>
              <w:right w:val="single" w:color="auto" w:sz="4" w:space="0"/>
            </w:tcBorders>
          </w:tcPr>
          <w:p>
            <w:pPr>
              <w:jc w:val="right"/>
            </w:pPr>
          </w:p>
        </w:tc>
        <w:tc>
          <w:tcPr>
            <w:tcW w:w="514" w:type="pct"/>
            <w:tcBorders>
              <w:top w:val="single" w:color="auto" w:sz="4" w:space="0"/>
              <w:left w:val="single" w:color="auto" w:sz="4" w:space="0"/>
              <w:bottom w:val="single" w:color="auto" w:sz="4" w:space="0"/>
              <w:right w:val="single" w:color="auto" w:sz="4" w:space="0"/>
            </w:tcBorders>
          </w:tcPr>
          <w:p>
            <w:pPr>
              <w:jc w:val="right"/>
            </w:pPr>
          </w:p>
        </w:tc>
        <w:tc>
          <w:tcPr>
            <w:tcW w:w="476" w:type="pct"/>
            <w:tcBorders>
              <w:top w:val="single" w:color="auto" w:sz="4" w:space="0"/>
              <w:left w:val="single" w:color="auto" w:sz="4" w:space="0"/>
              <w:bottom w:val="single" w:color="auto" w:sz="4" w:space="0"/>
              <w:right w:val="single" w:color="auto" w:sz="4" w:space="0"/>
            </w:tcBorders>
          </w:tcPr>
          <w:p>
            <w:pPr>
              <w:jc w:val="right"/>
            </w:pPr>
          </w:p>
        </w:tc>
        <w:tc>
          <w:tcPr>
            <w:tcW w:w="374" w:type="pct"/>
            <w:tcBorders>
              <w:top w:val="single" w:color="auto" w:sz="4" w:space="0"/>
              <w:left w:val="single" w:color="auto" w:sz="4" w:space="0"/>
              <w:bottom w:val="single" w:color="auto" w:sz="4" w:space="0"/>
              <w:right w:val="single" w:color="auto" w:sz="4" w:space="0"/>
            </w:tcBorders>
          </w:tcPr>
          <w:p>
            <w:pPr>
              <w:jc w:val="right"/>
            </w:pPr>
          </w:p>
        </w:tc>
        <w:tc>
          <w:tcPr>
            <w:tcW w:w="419" w:type="pct"/>
            <w:tcBorders>
              <w:top w:val="single" w:color="auto" w:sz="4" w:space="0"/>
              <w:left w:val="single" w:color="auto" w:sz="4" w:space="0"/>
              <w:bottom w:val="single" w:color="auto" w:sz="4" w:space="0"/>
              <w:right w:val="single" w:color="auto" w:sz="4" w:space="0"/>
            </w:tcBorders>
          </w:tcPr>
          <w:p>
            <w:pPr>
              <w:jc w:val="right"/>
            </w:pPr>
          </w:p>
        </w:tc>
        <w:tc>
          <w:tcPr>
            <w:tcW w:w="346" w:type="pct"/>
            <w:tcBorders>
              <w:top w:val="single" w:color="auto" w:sz="4" w:space="0"/>
              <w:left w:val="single" w:color="auto" w:sz="4" w:space="0"/>
              <w:bottom w:val="single" w:color="auto" w:sz="4" w:space="0"/>
              <w:right w:val="single" w:color="auto" w:sz="4" w:space="0"/>
            </w:tcBorders>
          </w:tcPr>
          <w:p>
            <w:pPr>
              <w:jc w:val="right"/>
            </w:pPr>
          </w:p>
        </w:tc>
        <w:tc>
          <w:tcPr>
            <w:tcW w:w="476"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11"/>
            <w:tcBorders>
              <w:top w:val="single" w:color="auto" w:sz="4" w:space="0"/>
              <w:left w:val="single" w:color="auto" w:sz="4" w:space="0"/>
              <w:bottom w:val="single" w:color="auto" w:sz="4" w:space="0"/>
              <w:right w:val="single" w:color="auto" w:sz="4" w:space="0"/>
            </w:tcBorders>
          </w:tcPr>
          <w:sdt>
            <w:sdtPr>
              <w:tag w:val="_PLD_629b345ab1aa41abb30ccf92a4c7730d"/>
              <w:id w:val="428782523"/>
            </w:sdt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25"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w:t>
            </w:r>
          </w:p>
        </w:tc>
        <w:tc>
          <w:tcPr>
            <w:tcW w:w="514" w:type="pct"/>
            <w:tcBorders>
              <w:top w:val="single" w:color="auto" w:sz="4" w:space="0"/>
              <w:left w:val="single" w:color="auto" w:sz="4" w:space="0"/>
              <w:bottom w:val="single" w:color="auto" w:sz="4" w:space="0"/>
              <w:right w:val="single" w:color="auto" w:sz="4" w:space="0"/>
            </w:tcBorders>
            <w:vAlign w:val="center"/>
          </w:tcPr>
          <w:p>
            <w:pPr>
              <w:jc w:val="right"/>
            </w:pPr>
            <w:r>
              <w:t xml:space="preserve">24,342,669.12 </w:t>
            </w:r>
          </w:p>
        </w:tc>
        <w:tc>
          <w:tcPr>
            <w:tcW w:w="364" w:type="pct"/>
            <w:tcBorders>
              <w:top w:val="single" w:color="auto" w:sz="4" w:space="0"/>
              <w:left w:val="single" w:color="auto" w:sz="4" w:space="0"/>
              <w:bottom w:val="single" w:color="auto" w:sz="4" w:space="0"/>
              <w:right w:val="single" w:color="auto" w:sz="4" w:space="0"/>
            </w:tcBorders>
            <w:vAlign w:val="center"/>
          </w:tcPr>
          <w:p>
            <w:pPr>
              <w:jc w:val="right"/>
            </w:pPr>
            <w:r>
              <w:t xml:space="preserve"> 100.00 </w:t>
            </w:r>
          </w:p>
        </w:tc>
        <w:tc>
          <w:tcPr>
            <w:tcW w:w="419" w:type="pct"/>
            <w:tcBorders>
              <w:top w:val="single" w:color="auto" w:sz="4" w:space="0"/>
              <w:left w:val="single" w:color="auto" w:sz="4" w:space="0"/>
              <w:bottom w:val="single" w:color="auto" w:sz="4" w:space="0"/>
              <w:right w:val="single" w:color="auto" w:sz="4" w:space="0"/>
            </w:tcBorders>
            <w:vAlign w:val="center"/>
          </w:tcPr>
          <w:p>
            <w:pPr>
              <w:jc w:val="right"/>
            </w:pPr>
            <w:r>
              <w:t xml:space="preserve">842,877.83 </w:t>
            </w:r>
          </w:p>
        </w:tc>
        <w:tc>
          <w:tcPr>
            <w:tcW w:w="374" w:type="pct"/>
            <w:tcBorders>
              <w:top w:val="single" w:color="auto" w:sz="4" w:space="0"/>
              <w:left w:val="single" w:color="auto" w:sz="4" w:space="0"/>
              <w:bottom w:val="single" w:color="auto" w:sz="4" w:space="0"/>
              <w:right w:val="single" w:color="auto" w:sz="4" w:space="0"/>
            </w:tcBorders>
            <w:vAlign w:val="center"/>
          </w:tcPr>
          <w:p>
            <w:pPr>
              <w:jc w:val="right"/>
            </w:pPr>
            <w:r>
              <w:t xml:space="preserve"> 3.46 </w:t>
            </w:r>
          </w:p>
        </w:tc>
        <w:tc>
          <w:tcPr>
            <w:tcW w:w="514" w:type="pct"/>
            <w:tcBorders>
              <w:top w:val="single" w:color="auto" w:sz="4" w:space="0"/>
              <w:left w:val="single" w:color="auto" w:sz="4" w:space="0"/>
              <w:bottom w:val="single" w:color="auto" w:sz="4" w:space="0"/>
              <w:right w:val="single" w:color="auto" w:sz="4" w:space="0"/>
            </w:tcBorders>
            <w:vAlign w:val="center"/>
          </w:tcPr>
          <w:p>
            <w:pPr>
              <w:jc w:val="right"/>
            </w:pPr>
            <w:r>
              <w:t>23,499,791.29</w:t>
            </w:r>
          </w:p>
        </w:tc>
        <w:tc>
          <w:tcPr>
            <w:tcW w:w="476" w:type="pct"/>
            <w:tcBorders>
              <w:top w:val="single" w:color="auto" w:sz="4" w:space="0"/>
              <w:left w:val="single" w:color="auto" w:sz="4" w:space="0"/>
              <w:bottom w:val="single" w:color="auto" w:sz="4" w:space="0"/>
              <w:right w:val="single" w:color="auto" w:sz="4" w:space="0"/>
            </w:tcBorders>
            <w:vAlign w:val="center"/>
          </w:tcPr>
          <w:p>
            <w:pPr>
              <w:jc w:val="right"/>
            </w:pPr>
            <w:r>
              <w:t xml:space="preserve">4,481,595.34 </w:t>
            </w:r>
          </w:p>
        </w:tc>
        <w:tc>
          <w:tcPr>
            <w:tcW w:w="374" w:type="pct"/>
            <w:tcBorders>
              <w:top w:val="single" w:color="auto" w:sz="4" w:space="0"/>
              <w:left w:val="single" w:color="auto" w:sz="4" w:space="0"/>
              <w:bottom w:val="single" w:color="auto" w:sz="4" w:space="0"/>
              <w:right w:val="single" w:color="auto" w:sz="4" w:space="0"/>
            </w:tcBorders>
            <w:vAlign w:val="center"/>
          </w:tcPr>
          <w:p>
            <w:pPr>
              <w:jc w:val="right"/>
            </w:pPr>
            <w:r>
              <w:t xml:space="preserve"> 100.00 </w:t>
            </w:r>
          </w:p>
        </w:tc>
        <w:tc>
          <w:tcPr>
            <w:tcW w:w="419" w:type="pct"/>
            <w:tcBorders>
              <w:top w:val="single" w:color="auto" w:sz="4" w:space="0"/>
              <w:left w:val="single" w:color="auto" w:sz="4" w:space="0"/>
              <w:bottom w:val="single" w:color="auto" w:sz="4" w:space="0"/>
              <w:right w:val="single" w:color="auto" w:sz="4" w:space="0"/>
            </w:tcBorders>
            <w:vAlign w:val="center"/>
          </w:tcPr>
          <w:p>
            <w:pPr>
              <w:jc w:val="right"/>
            </w:pPr>
            <w:r>
              <w:t xml:space="preserve">839,509.75 </w:t>
            </w:r>
          </w:p>
        </w:tc>
        <w:tc>
          <w:tcPr>
            <w:tcW w:w="346" w:type="pct"/>
            <w:tcBorders>
              <w:top w:val="single" w:color="auto" w:sz="4" w:space="0"/>
              <w:left w:val="single" w:color="auto" w:sz="4" w:space="0"/>
              <w:bottom w:val="single" w:color="auto" w:sz="4" w:space="0"/>
              <w:right w:val="single" w:color="auto" w:sz="4" w:space="0"/>
            </w:tcBorders>
            <w:vAlign w:val="center"/>
          </w:tcPr>
          <w:p>
            <w:pPr>
              <w:jc w:val="right"/>
            </w:pPr>
            <w:r>
              <w:t xml:space="preserve"> 18.73 </w:t>
            </w:r>
          </w:p>
        </w:tc>
        <w:tc>
          <w:tcPr>
            <w:tcW w:w="476" w:type="pct"/>
            <w:tcBorders>
              <w:top w:val="single" w:color="auto" w:sz="4" w:space="0"/>
              <w:left w:val="single" w:color="auto" w:sz="4" w:space="0"/>
              <w:bottom w:val="single" w:color="auto" w:sz="4" w:space="0"/>
              <w:right w:val="single" w:color="auto" w:sz="4" w:space="0"/>
            </w:tcBorders>
            <w:vAlign w:val="center"/>
          </w:tcPr>
          <w:p>
            <w:pPr>
              <w:jc w:val="right"/>
            </w:pPr>
            <w:r>
              <w:t xml:space="preserve">3,642,085.59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11"/>
            <w:tcBorders>
              <w:top w:val="single" w:color="auto" w:sz="4" w:space="0"/>
              <w:left w:val="single" w:color="auto" w:sz="4" w:space="0"/>
              <w:bottom w:val="single" w:color="auto" w:sz="4" w:space="0"/>
              <w:right w:val="single" w:color="auto" w:sz="4" w:space="0"/>
            </w:tcBorders>
          </w:tcPr>
          <w:sdt>
            <w:sdtPr>
              <w:tag w:val="_PLD_f95d92b353ca4ee9915c6fd7a3bc2c67"/>
              <w:id w:val="1802580658"/>
            </w:sdt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color w:val="000000" w:themeColor="text1"/>
              <w14:textFill>
                <w14:solidFill>
                  <w14:schemeClr w14:val="tx1"/>
                </w14:solidFill>
              </w14:textFill>
            </w:rPr>
            <w:alias w:val="按组合计提坏账准备的明细-类别"/>
            <w:tag w:val="_GBC_91cdf91a6beb42fc833f67b0fda84b72"/>
            <w:id w:val="655800545"/>
          </w:sdtPr>
          <w:sdtEndPr>
            <w:rPr>
              <w:color w:val="000000" w:themeColor="text1"/>
              <w14:textFill>
                <w14:solidFill>
                  <w14:schemeClr w14:val="tx1"/>
                </w14:solidFill>
              </w14:textFill>
            </w:rPr>
          </w:sdtEndPr>
          <w:sdtContent>
            <w:tc>
              <w:tcPr>
                <w:tcW w:w="725"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color w:val="000000" w:themeColor="text1"/>
                    <w14:textFill>
                      <w14:solidFill>
                        <w14:schemeClr w14:val="tx1"/>
                      </w14:solidFill>
                    </w14:textFill>
                  </w:rPr>
                  <w:t>分期收款销售商品组合</w:t>
                </w:r>
              </w:p>
            </w:tc>
          </w:sdtContent>
        </w:sdt>
        <w:tc>
          <w:tcPr>
            <w:tcW w:w="514" w:type="pct"/>
            <w:tcBorders>
              <w:top w:val="single" w:color="auto" w:sz="4" w:space="0"/>
              <w:left w:val="single" w:color="auto" w:sz="4" w:space="0"/>
              <w:bottom w:val="single" w:color="auto" w:sz="4" w:space="0"/>
              <w:right w:val="single" w:color="auto" w:sz="4" w:space="0"/>
            </w:tcBorders>
            <w:vAlign w:val="center"/>
          </w:tcPr>
          <w:p>
            <w:pPr>
              <w:jc w:val="right"/>
            </w:pPr>
            <w:r>
              <w:t xml:space="preserve">21,507,371.53 </w:t>
            </w:r>
          </w:p>
        </w:tc>
        <w:tc>
          <w:tcPr>
            <w:tcW w:w="364" w:type="pct"/>
            <w:tcBorders>
              <w:top w:val="single" w:color="auto" w:sz="4" w:space="0"/>
              <w:left w:val="single" w:color="auto" w:sz="4" w:space="0"/>
              <w:bottom w:val="single" w:color="auto" w:sz="4" w:space="0"/>
              <w:right w:val="single" w:color="auto" w:sz="4" w:space="0"/>
            </w:tcBorders>
            <w:vAlign w:val="center"/>
          </w:tcPr>
          <w:p>
            <w:pPr>
              <w:jc w:val="right"/>
            </w:pPr>
            <w:r>
              <w:t xml:space="preserve"> 88.35 </w:t>
            </w:r>
          </w:p>
        </w:tc>
        <w:tc>
          <w:tcPr>
            <w:tcW w:w="419" w:type="pct"/>
            <w:tcBorders>
              <w:top w:val="single" w:color="auto" w:sz="4" w:space="0"/>
              <w:left w:val="single" w:color="auto" w:sz="4" w:space="0"/>
              <w:bottom w:val="single" w:color="auto" w:sz="4" w:space="0"/>
              <w:right w:val="single" w:color="auto" w:sz="4" w:space="0"/>
            </w:tcBorders>
            <w:vAlign w:val="center"/>
          </w:tcPr>
          <w:p>
            <w:pPr>
              <w:jc w:val="right"/>
            </w:pPr>
          </w:p>
        </w:tc>
        <w:tc>
          <w:tcPr>
            <w:tcW w:w="374" w:type="pct"/>
            <w:tcBorders>
              <w:top w:val="single" w:color="auto" w:sz="4" w:space="0"/>
              <w:left w:val="single" w:color="auto" w:sz="4" w:space="0"/>
              <w:bottom w:val="single" w:color="auto" w:sz="4" w:space="0"/>
              <w:right w:val="single" w:color="auto" w:sz="4" w:space="0"/>
            </w:tcBorders>
            <w:vAlign w:val="center"/>
          </w:tcPr>
          <w:p>
            <w:pPr>
              <w:jc w:val="right"/>
            </w:pPr>
          </w:p>
        </w:tc>
        <w:tc>
          <w:tcPr>
            <w:tcW w:w="514" w:type="pct"/>
            <w:tcBorders>
              <w:top w:val="single" w:color="auto" w:sz="4" w:space="0"/>
              <w:left w:val="single" w:color="auto" w:sz="4" w:space="0"/>
              <w:bottom w:val="single" w:color="auto" w:sz="4" w:space="0"/>
              <w:right w:val="single" w:color="auto" w:sz="4" w:space="0"/>
            </w:tcBorders>
            <w:vAlign w:val="center"/>
          </w:tcPr>
          <w:p>
            <w:pPr>
              <w:jc w:val="right"/>
            </w:pPr>
            <w:r>
              <w:t>21,507,371.53</w:t>
            </w:r>
          </w:p>
        </w:tc>
        <w:tc>
          <w:tcPr>
            <w:tcW w:w="476" w:type="pct"/>
            <w:tcBorders>
              <w:top w:val="single" w:color="auto" w:sz="4" w:space="0"/>
              <w:left w:val="single" w:color="auto" w:sz="4" w:space="0"/>
              <w:bottom w:val="single" w:color="auto" w:sz="4" w:space="0"/>
              <w:right w:val="single" w:color="auto" w:sz="4" w:space="0"/>
            </w:tcBorders>
            <w:vAlign w:val="center"/>
          </w:tcPr>
          <w:p>
            <w:pPr>
              <w:jc w:val="right"/>
            </w:pPr>
          </w:p>
        </w:tc>
        <w:tc>
          <w:tcPr>
            <w:tcW w:w="374" w:type="pct"/>
            <w:tcBorders>
              <w:top w:val="single" w:color="auto" w:sz="4" w:space="0"/>
              <w:left w:val="single" w:color="auto" w:sz="4" w:space="0"/>
              <w:bottom w:val="single" w:color="auto" w:sz="4" w:space="0"/>
              <w:right w:val="single" w:color="auto" w:sz="4" w:space="0"/>
            </w:tcBorders>
            <w:vAlign w:val="center"/>
          </w:tcPr>
          <w:p>
            <w:pPr>
              <w:jc w:val="right"/>
            </w:pPr>
          </w:p>
        </w:tc>
        <w:tc>
          <w:tcPr>
            <w:tcW w:w="419" w:type="pct"/>
            <w:tcBorders>
              <w:top w:val="single" w:color="auto" w:sz="4" w:space="0"/>
              <w:left w:val="single" w:color="auto" w:sz="4" w:space="0"/>
              <w:bottom w:val="single" w:color="auto" w:sz="4" w:space="0"/>
              <w:right w:val="single" w:color="auto" w:sz="4" w:space="0"/>
            </w:tcBorders>
            <w:vAlign w:val="center"/>
          </w:tcPr>
          <w:p>
            <w:pPr>
              <w:jc w:val="right"/>
            </w:pPr>
          </w:p>
        </w:tc>
        <w:tc>
          <w:tcPr>
            <w:tcW w:w="346" w:type="pct"/>
            <w:tcBorders>
              <w:top w:val="single" w:color="auto" w:sz="4" w:space="0"/>
              <w:left w:val="single" w:color="auto" w:sz="4" w:space="0"/>
              <w:bottom w:val="single" w:color="auto" w:sz="4" w:space="0"/>
              <w:right w:val="single" w:color="auto" w:sz="4" w:space="0"/>
            </w:tcBorders>
            <w:vAlign w:val="center"/>
          </w:tcPr>
          <w:p>
            <w:pPr>
              <w:jc w:val="right"/>
            </w:pPr>
          </w:p>
        </w:tc>
        <w:tc>
          <w:tcPr>
            <w:tcW w:w="476" w:type="pct"/>
            <w:tcBorders>
              <w:top w:val="single" w:color="auto" w:sz="4" w:space="0"/>
              <w:left w:val="single" w:color="auto" w:sz="4" w:space="0"/>
              <w:bottom w:val="single" w:color="auto" w:sz="4" w:space="0"/>
              <w:right w:val="single"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rPr>
              <w:color w:val="000000" w:themeColor="text1"/>
              <w14:textFill>
                <w14:solidFill>
                  <w14:schemeClr w14:val="tx1"/>
                </w14:solidFill>
              </w14:textFill>
            </w:rPr>
            <w:alias w:val="按组合计提坏账准备的明细-类别"/>
            <w:tag w:val="_GBC_91cdf91a6beb42fc833f67b0fda84b72"/>
            <w:id w:val="111182831"/>
            <w:placeholder>
              <w:docPart w:val="2DC1F87D4C3943778AF782E952D60919"/>
            </w:placeholder>
          </w:sdtPr>
          <w:sdtEndPr>
            <w:rPr>
              <w:color w:val="000000" w:themeColor="text1"/>
              <w14:textFill>
                <w14:solidFill>
                  <w14:schemeClr w14:val="tx1"/>
                </w14:solidFill>
              </w14:textFill>
            </w:rPr>
          </w:sdtEndPr>
          <w:sdtContent>
            <w:tc>
              <w:tcPr>
                <w:tcW w:w="725"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其他组合</w:t>
                </w:r>
              </w:p>
            </w:tc>
          </w:sdtContent>
        </w:sdt>
        <w:tc>
          <w:tcPr>
            <w:tcW w:w="514" w:type="pct"/>
            <w:tcBorders>
              <w:top w:val="single" w:color="auto" w:sz="4" w:space="0"/>
              <w:left w:val="single" w:color="auto" w:sz="4" w:space="0"/>
              <w:bottom w:val="single" w:color="auto" w:sz="4" w:space="0"/>
              <w:right w:val="single" w:color="auto" w:sz="4" w:space="0"/>
            </w:tcBorders>
            <w:vAlign w:val="center"/>
          </w:tcPr>
          <w:p>
            <w:pPr>
              <w:jc w:val="right"/>
            </w:pPr>
            <w:r>
              <w:t xml:space="preserve"> 2,835,297.59 </w:t>
            </w:r>
          </w:p>
        </w:tc>
        <w:tc>
          <w:tcPr>
            <w:tcW w:w="364" w:type="pct"/>
            <w:tcBorders>
              <w:top w:val="single" w:color="auto" w:sz="4" w:space="0"/>
              <w:left w:val="single" w:color="auto" w:sz="4" w:space="0"/>
              <w:bottom w:val="single" w:color="auto" w:sz="4" w:space="0"/>
              <w:right w:val="single" w:color="auto" w:sz="4" w:space="0"/>
            </w:tcBorders>
            <w:vAlign w:val="center"/>
          </w:tcPr>
          <w:p>
            <w:pPr>
              <w:jc w:val="right"/>
            </w:pPr>
            <w:r>
              <w:t xml:space="preserve"> 11.65 </w:t>
            </w:r>
          </w:p>
        </w:tc>
        <w:tc>
          <w:tcPr>
            <w:tcW w:w="419" w:type="pct"/>
            <w:tcBorders>
              <w:top w:val="single" w:color="auto" w:sz="4" w:space="0"/>
              <w:left w:val="single" w:color="auto" w:sz="4" w:space="0"/>
              <w:bottom w:val="single" w:color="auto" w:sz="4" w:space="0"/>
              <w:right w:val="single" w:color="auto" w:sz="4" w:space="0"/>
            </w:tcBorders>
            <w:vAlign w:val="center"/>
          </w:tcPr>
          <w:p>
            <w:pPr>
              <w:jc w:val="right"/>
            </w:pPr>
            <w:r>
              <w:t xml:space="preserve">842,877.83 </w:t>
            </w:r>
          </w:p>
        </w:tc>
        <w:tc>
          <w:tcPr>
            <w:tcW w:w="374" w:type="pct"/>
            <w:tcBorders>
              <w:top w:val="single" w:color="auto" w:sz="4" w:space="0"/>
              <w:left w:val="single" w:color="auto" w:sz="4" w:space="0"/>
              <w:bottom w:val="single" w:color="auto" w:sz="4" w:space="0"/>
              <w:right w:val="single" w:color="auto" w:sz="4" w:space="0"/>
            </w:tcBorders>
            <w:vAlign w:val="center"/>
          </w:tcPr>
          <w:p>
            <w:pPr>
              <w:jc w:val="right"/>
            </w:pPr>
            <w:r>
              <w:t xml:space="preserve"> 29.73 </w:t>
            </w:r>
          </w:p>
        </w:tc>
        <w:tc>
          <w:tcPr>
            <w:tcW w:w="514" w:type="pct"/>
            <w:tcBorders>
              <w:top w:val="single" w:color="auto" w:sz="4" w:space="0"/>
              <w:left w:val="single" w:color="auto" w:sz="4" w:space="0"/>
              <w:bottom w:val="single" w:color="auto" w:sz="4" w:space="0"/>
              <w:right w:val="single" w:color="auto" w:sz="4" w:space="0"/>
            </w:tcBorders>
            <w:vAlign w:val="center"/>
          </w:tcPr>
          <w:p>
            <w:pPr>
              <w:jc w:val="right"/>
            </w:pPr>
            <w:r>
              <w:t>1,992,419.76</w:t>
            </w:r>
          </w:p>
        </w:tc>
        <w:tc>
          <w:tcPr>
            <w:tcW w:w="476" w:type="pct"/>
            <w:tcBorders>
              <w:top w:val="single" w:color="auto" w:sz="4" w:space="0"/>
              <w:left w:val="single" w:color="auto" w:sz="4" w:space="0"/>
              <w:bottom w:val="single" w:color="auto" w:sz="4" w:space="0"/>
              <w:right w:val="single" w:color="auto" w:sz="4" w:space="0"/>
            </w:tcBorders>
            <w:vAlign w:val="center"/>
          </w:tcPr>
          <w:p>
            <w:pPr>
              <w:jc w:val="right"/>
            </w:pPr>
            <w:r>
              <w:t xml:space="preserve">4,481,595.34 </w:t>
            </w:r>
          </w:p>
        </w:tc>
        <w:tc>
          <w:tcPr>
            <w:tcW w:w="374" w:type="pct"/>
            <w:tcBorders>
              <w:top w:val="single" w:color="auto" w:sz="4" w:space="0"/>
              <w:left w:val="single" w:color="auto" w:sz="4" w:space="0"/>
              <w:bottom w:val="single" w:color="auto" w:sz="4" w:space="0"/>
              <w:right w:val="single" w:color="auto" w:sz="4" w:space="0"/>
            </w:tcBorders>
            <w:vAlign w:val="center"/>
          </w:tcPr>
          <w:p>
            <w:pPr>
              <w:jc w:val="right"/>
            </w:pPr>
            <w:r>
              <w:t xml:space="preserve"> 100.00 </w:t>
            </w:r>
          </w:p>
        </w:tc>
        <w:tc>
          <w:tcPr>
            <w:tcW w:w="419" w:type="pct"/>
            <w:tcBorders>
              <w:top w:val="single" w:color="auto" w:sz="4" w:space="0"/>
              <w:left w:val="single" w:color="auto" w:sz="4" w:space="0"/>
              <w:bottom w:val="single" w:color="auto" w:sz="4" w:space="0"/>
              <w:right w:val="single" w:color="auto" w:sz="4" w:space="0"/>
            </w:tcBorders>
            <w:vAlign w:val="center"/>
          </w:tcPr>
          <w:p>
            <w:pPr>
              <w:jc w:val="right"/>
            </w:pPr>
            <w:r>
              <w:t xml:space="preserve">839,509.75 </w:t>
            </w:r>
          </w:p>
        </w:tc>
        <w:tc>
          <w:tcPr>
            <w:tcW w:w="346" w:type="pct"/>
            <w:tcBorders>
              <w:top w:val="single" w:color="auto" w:sz="4" w:space="0"/>
              <w:left w:val="single" w:color="auto" w:sz="4" w:space="0"/>
              <w:bottom w:val="single" w:color="auto" w:sz="4" w:space="0"/>
              <w:right w:val="single" w:color="auto" w:sz="4" w:space="0"/>
            </w:tcBorders>
            <w:vAlign w:val="center"/>
          </w:tcPr>
          <w:p>
            <w:pPr>
              <w:jc w:val="right"/>
            </w:pPr>
            <w:r>
              <w:t xml:space="preserve"> 18.73 </w:t>
            </w:r>
          </w:p>
        </w:tc>
        <w:tc>
          <w:tcPr>
            <w:tcW w:w="476" w:type="pct"/>
            <w:tcBorders>
              <w:top w:val="single" w:color="auto" w:sz="4" w:space="0"/>
              <w:left w:val="single" w:color="auto" w:sz="4" w:space="0"/>
              <w:bottom w:val="single" w:color="auto" w:sz="4" w:space="0"/>
              <w:right w:val="single" w:color="auto" w:sz="4" w:space="0"/>
            </w:tcBorders>
            <w:vAlign w:val="center"/>
          </w:tcPr>
          <w:p>
            <w:pPr>
              <w:jc w:val="right"/>
            </w:pPr>
            <w:r>
              <w:t xml:space="preserve">3,642,085.59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25"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514" w:type="pct"/>
            <w:tcBorders>
              <w:top w:val="single" w:color="auto" w:sz="4" w:space="0"/>
              <w:left w:val="single" w:color="auto" w:sz="4" w:space="0"/>
              <w:bottom w:val="single" w:color="auto" w:sz="4" w:space="0"/>
              <w:right w:val="single" w:color="auto" w:sz="4" w:space="0"/>
            </w:tcBorders>
            <w:vAlign w:val="center"/>
          </w:tcPr>
          <w:p>
            <w:pPr>
              <w:jc w:val="right"/>
            </w:pPr>
            <w:r>
              <w:t xml:space="preserve">24,342,669.12 </w:t>
            </w:r>
          </w:p>
        </w:tc>
        <w:tc>
          <w:tcPr>
            <w:tcW w:w="364"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100.00 </w:t>
            </w:r>
          </w:p>
        </w:tc>
        <w:tc>
          <w:tcPr>
            <w:tcW w:w="419" w:type="pct"/>
            <w:tcBorders>
              <w:top w:val="single" w:color="auto" w:sz="4" w:space="0"/>
              <w:left w:val="single" w:color="auto" w:sz="4" w:space="0"/>
              <w:bottom w:val="single" w:color="auto" w:sz="4" w:space="0"/>
              <w:right w:val="single" w:color="auto" w:sz="4" w:space="0"/>
            </w:tcBorders>
            <w:vAlign w:val="center"/>
          </w:tcPr>
          <w:p>
            <w:pPr>
              <w:jc w:val="right"/>
            </w:pPr>
            <w:r>
              <w:t xml:space="preserve">842,877.83 </w:t>
            </w:r>
          </w:p>
        </w:tc>
        <w:tc>
          <w:tcPr>
            <w:tcW w:w="374"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3.46 </w:t>
            </w:r>
          </w:p>
        </w:tc>
        <w:tc>
          <w:tcPr>
            <w:tcW w:w="514" w:type="pct"/>
            <w:tcBorders>
              <w:top w:val="single" w:color="auto" w:sz="4" w:space="0"/>
              <w:left w:val="single" w:color="auto" w:sz="4" w:space="0"/>
              <w:bottom w:val="single" w:color="auto" w:sz="4" w:space="0"/>
              <w:right w:val="single" w:color="auto" w:sz="4" w:space="0"/>
            </w:tcBorders>
            <w:vAlign w:val="center"/>
          </w:tcPr>
          <w:p>
            <w:pPr>
              <w:jc w:val="right"/>
            </w:pPr>
            <w:r>
              <w:t>23,499,791.29</w:t>
            </w:r>
          </w:p>
        </w:tc>
        <w:tc>
          <w:tcPr>
            <w:tcW w:w="476" w:type="pct"/>
            <w:tcBorders>
              <w:top w:val="single" w:color="auto" w:sz="4" w:space="0"/>
              <w:left w:val="single" w:color="auto" w:sz="4" w:space="0"/>
              <w:bottom w:val="single" w:color="auto" w:sz="4" w:space="0"/>
              <w:right w:val="single" w:color="auto" w:sz="4" w:space="0"/>
            </w:tcBorders>
            <w:vAlign w:val="center"/>
          </w:tcPr>
          <w:p>
            <w:pPr>
              <w:jc w:val="right"/>
            </w:pPr>
            <w:r>
              <w:t xml:space="preserve">4,481,595.34 </w:t>
            </w:r>
          </w:p>
        </w:tc>
        <w:tc>
          <w:tcPr>
            <w:tcW w:w="374"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100.00 </w:t>
            </w:r>
          </w:p>
        </w:tc>
        <w:tc>
          <w:tcPr>
            <w:tcW w:w="419" w:type="pct"/>
            <w:tcBorders>
              <w:top w:val="single" w:color="auto" w:sz="4" w:space="0"/>
              <w:left w:val="single" w:color="auto" w:sz="4" w:space="0"/>
              <w:bottom w:val="single" w:color="auto" w:sz="4" w:space="0"/>
              <w:right w:val="single" w:color="auto" w:sz="4" w:space="0"/>
            </w:tcBorders>
            <w:vAlign w:val="center"/>
          </w:tcPr>
          <w:p>
            <w:pPr>
              <w:jc w:val="right"/>
            </w:pPr>
            <w:r>
              <w:t xml:space="preserve">839,509.75 </w:t>
            </w:r>
          </w:p>
        </w:tc>
        <w:tc>
          <w:tcPr>
            <w:tcW w:w="346"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18.73 </w:t>
            </w:r>
          </w:p>
        </w:tc>
        <w:tc>
          <w:tcPr>
            <w:tcW w:w="476" w:type="pct"/>
            <w:tcBorders>
              <w:top w:val="single" w:color="auto" w:sz="4" w:space="0"/>
              <w:left w:val="single" w:color="auto" w:sz="4" w:space="0"/>
              <w:bottom w:val="single" w:color="auto" w:sz="4" w:space="0"/>
              <w:right w:val="single" w:color="auto" w:sz="4" w:space="0"/>
            </w:tcBorders>
            <w:vAlign w:val="center"/>
          </w:tcPr>
          <w:p>
            <w:pPr>
              <w:jc w:val="right"/>
            </w:pPr>
            <w:r>
              <w:t xml:space="preserve">3,642,085.59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按单项计提坏账准备的详细情况[双击切换]"/>
        <w:tag w:val="_GBC_3a181716dae64a57965330ae4ccab91e"/>
        <w:id w:val="-90737514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按单项计提坏账准备的说明[双击切换]"/>
        <w:tag w:val="_GBC_532014e1f5ab4f9da72dafc4dafe0723"/>
        <w:id w:val="28963534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按组合计提坏账准备的详细情况[双击切换]"/>
        <w:tag w:val="_GBC_555a40ceb7d348a0a16b652ac8e1178a"/>
        <w:id w:val="-1931427368"/>
        <w:lock w:val="contentLocked"/>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pPr>
            <w:rPr>
              <w:rFonts w:ascii="Calibri" w:hAnsi="Calibri" w:cs="Times New Roman"/>
              <w:bCs w:val="0"/>
              <w:color w:val="000000" w:themeColor="text1"/>
              <w:szCs w:val="22"/>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p>
      <w:pPr>
        <w:rPr>
          <w:rFonts w:ascii="Calibri" w:hAnsi="Calibri" w:cs="Times New Roman"/>
          <w:bCs w:val="0"/>
          <w:color w:val="000000" w:themeColor="text1"/>
          <w:szCs w:val="22"/>
          <w14:textFill>
            <w14:solidFill>
              <w14:schemeClr w14:val="tx1"/>
            </w14:solidFill>
          </w14:textFill>
        </w:rPr>
      </w:pPr>
      <w:r>
        <w:rPr>
          <w:rFonts w:hint="eastAsia"/>
          <w:color w:val="000000" w:themeColor="text1"/>
          <w14:textFill>
            <w14:solidFill>
              <w14:schemeClr w14:val="tx1"/>
            </w14:solidFill>
          </w14:textFill>
        </w:rPr>
        <w:t>组合计提项目</w:t>
      </w:r>
      <w:r>
        <w:rPr>
          <w:rFonts w:hint="eastAsia" w:ascii="Calibri" w:hAnsi="Calibri" w:cs="Times New Roman"/>
          <w:color w:val="000000" w:themeColor="text1"/>
          <w:szCs w:val="22"/>
          <w14:textFill>
            <w14:solidFill>
              <w14:schemeClr w14:val="tx1"/>
            </w14:solidFill>
          </w14:textFill>
        </w:rPr>
        <w:t>：</w:t>
      </w:r>
      <w:sdt>
        <w:sdtPr>
          <w:rPr>
            <w:rFonts w:hint="eastAsia" w:ascii="Calibri" w:hAnsi="Calibri" w:cs="Times New Roman"/>
            <w:bCs w:val="0"/>
            <w:color w:val="000000" w:themeColor="text1"/>
            <w:szCs w:val="22"/>
            <w14:textFill>
              <w14:solidFill>
                <w14:schemeClr w14:val="tx1"/>
              </w14:solidFill>
            </w14:textFill>
          </w:rPr>
          <w:alias w:val="按组合计提坏账准备的明细-类别"/>
          <w:tag w:val="_GBC_12752c8a967b477c9d356eea2350bc61"/>
          <w:id w:val="-544218799"/>
          <w:placeholder>
            <w:docPart w:val="GBC22222222222222222222222222222"/>
          </w:placeholder>
          <w:comboBox>
            <w:listItem w:displayText="分期收款销售商品组合" w:value="分期收款销售商品组合"/>
            <w:listItem w:displayText="其他组合" w:value="其他组合"/>
          </w:comboBox>
        </w:sdtPr>
        <w:sdtEndPr>
          <w:rPr>
            <w:rFonts w:hint="eastAsia" w:ascii="Calibri" w:hAnsi="Calibri" w:cs="Times New Roman"/>
            <w:bCs w:val="0"/>
            <w:color w:val="000000" w:themeColor="text1"/>
            <w:szCs w:val="22"/>
            <w14:textFill>
              <w14:solidFill>
                <w14:schemeClr w14:val="tx1"/>
              </w14:solidFill>
            </w14:textFill>
          </w:rPr>
        </w:sdtEndPr>
        <w:sdtContent>
          <w:r>
            <w:rPr>
              <w:rFonts w:hint="eastAsia" w:ascii="Calibri" w:hAnsi="Calibri" w:cs="Times New Roman"/>
              <w:bCs w:val="0"/>
              <w:color w:val="000000" w:themeColor="text1"/>
              <w:szCs w:val="22"/>
              <w14:textFill>
                <w14:solidFill>
                  <w14:schemeClr w14:val="tx1"/>
                </w14:solidFill>
              </w14:textFill>
            </w:rPr>
            <w:t>分期收款销售商品组合、其他组合</w:t>
          </w:r>
        </w:sdtContent>
      </w:sdt>
    </w:p>
    <w:p>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按组合计提坏账准备的详细名称"/>
          <w:tag w:val="_GBC_df8e1703068e4d9aafeff0007af21ec6"/>
          <w:id w:val="99669019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按组合计提坏账准备的详细名称"/>
          <w:tag w:val="_GBC_9bd9f0818aee4f0986d1744f0e1addbb"/>
          <w:id w:val="10621375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3"/>
        <w:gridCol w:w="3596"/>
        <w:gridCol w:w="366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84d1156c7f04ee7ab722437b985e746"/>
            <w:id w:val="-451174067"/>
          </w:sdtPr>
          <w:sdtContent>
            <w:tc>
              <w:tcPr>
                <w:tcW w:w="1158"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445ed30ffda24bb9949937dfb76a7b9c"/>
            <w:id w:val="2050104216"/>
          </w:sdtPr>
          <w:sdtContent>
            <w:tc>
              <w:tcPr>
                <w:tcW w:w="3842"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pPr>
              <w:jc w:val="center"/>
              <w:rPr>
                <w:color w:val="000000" w:themeColor="text1"/>
                <w14:textFill>
                  <w14:solidFill>
                    <w14:schemeClr w14:val="tx1"/>
                  </w14:solidFill>
                </w14:textFill>
              </w:rPr>
            </w:pPr>
          </w:p>
        </w:tc>
        <w:sdt>
          <w:sdtPr>
            <w:tag w:val="_PLD_34d445f177f144598c531e2574542913"/>
            <w:id w:val="-469744970"/>
          </w:sdtPr>
          <w:sdtContent>
            <w:tc>
              <w:tcPr>
                <w:tcW w:w="127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0cd2c1e936b746fda5ab80b66dcb0898"/>
            <w:id w:val="-1542435282"/>
          </w:sdtPr>
          <w:sdtContent>
            <w:tc>
              <w:tcPr>
                <w:tcW w:w="129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8e5a56f26c1d4a0da7f5a7d321250ff3"/>
            <w:id w:val="-2027155197"/>
          </w:sdtPr>
          <w:sdtEndPr>
            <w:rPr>
              <w:rFonts w:hint="eastAsia"/>
            </w:rPr>
          </w:sdtEndPr>
          <w:sdtContent>
            <w:tc>
              <w:tcPr>
                <w:tcW w:w="1267"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计提比例</w:t>
                </w:r>
                <w:r>
                  <w:rPr>
                    <w:rFonts w:hint="eastAsia"/>
                    <w:color w:val="000000" w:themeColor="text1"/>
                    <w14:textFill>
                      <w14:solidFill>
                        <w14:schemeClr w14:val="tx1"/>
                      </w14:solidFill>
                    </w14:textFill>
                  </w:rPr>
                  <w:t>（%）</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bookmarkStart w:id="305" w:name="_Hlk236398540"/>
            <w:r>
              <w:rPr>
                <w:rFonts w:hint="eastAsia"/>
              </w:rPr>
              <w:t>分期收款销售商品组合</w:t>
            </w:r>
          </w:p>
        </w:tc>
        <w:tc>
          <w:tcPr>
            <w:tcW w:w="1276" w:type="pct"/>
          </w:tcPr>
          <w:p>
            <w:pPr>
              <w:jc w:val="right"/>
            </w:pPr>
            <w:r>
              <w:rPr>
                <w:rFonts w:hint="eastAsia"/>
              </w:rPr>
              <w:t>21,507,371.53</w:t>
            </w:r>
          </w:p>
        </w:tc>
        <w:tc>
          <w:tcPr>
            <w:tcW w:w="1299" w:type="pct"/>
          </w:tcPr>
          <w:p>
            <w:pPr>
              <w:jc w:val="right"/>
            </w:pPr>
          </w:p>
        </w:tc>
        <w:tc>
          <w:tcPr>
            <w:tcW w:w="1267"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其他组合</w:t>
            </w:r>
          </w:p>
        </w:tc>
        <w:tc>
          <w:tcPr>
            <w:tcW w:w="1276" w:type="pct"/>
          </w:tcPr>
          <w:p>
            <w:pPr>
              <w:jc w:val="right"/>
            </w:pPr>
            <w:r>
              <w:rPr>
                <w:rFonts w:hint="eastAsia"/>
              </w:rPr>
              <w:t xml:space="preserve"> 2,835,297.59 </w:t>
            </w:r>
          </w:p>
        </w:tc>
        <w:tc>
          <w:tcPr>
            <w:tcW w:w="1299" w:type="pct"/>
          </w:tcPr>
          <w:p>
            <w:pPr>
              <w:jc w:val="right"/>
            </w:pPr>
            <w:r>
              <w:rPr>
                <w:rFonts w:hint="eastAsia"/>
              </w:rPr>
              <w:t xml:space="preserve"> 842,877.83 </w:t>
            </w:r>
          </w:p>
        </w:tc>
        <w:tc>
          <w:tcPr>
            <w:tcW w:w="1267" w:type="pct"/>
          </w:tcPr>
          <w:p>
            <w:pPr>
              <w:jc w:val="right"/>
            </w:pPr>
            <w:r>
              <w:rPr>
                <w:rFonts w:hint="eastAsia"/>
              </w:rPr>
              <w:t xml:space="preserve"> 29.73 </w:t>
            </w:r>
          </w:p>
        </w:tc>
      </w:tr>
      <w:bookmarkEnd w:id="30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jc w:val="center"/>
              <w:rPr>
                <w:color w:val="000000" w:themeColor="text1"/>
                <w14:textFill>
                  <w14:solidFill>
                    <w14:schemeClr w14:val="tx1"/>
                  </w14:solidFill>
                </w14:textFill>
              </w:rPr>
            </w:pPr>
            <w:r>
              <w:rPr>
                <w:rFonts w:hint="eastAsia"/>
              </w:rPr>
              <w:t>合计</w:t>
            </w:r>
          </w:p>
        </w:tc>
        <w:tc>
          <w:tcPr>
            <w:tcW w:w="1276" w:type="pct"/>
          </w:tcPr>
          <w:p>
            <w:pPr>
              <w:jc w:val="right"/>
            </w:pPr>
            <w:r>
              <w:rPr>
                <w:rFonts w:hint="eastAsia"/>
              </w:rPr>
              <w:t xml:space="preserve">24,342,669.12 </w:t>
            </w:r>
          </w:p>
        </w:tc>
        <w:tc>
          <w:tcPr>
            <w:tcW w:w="1299" w:type="pct"/>
          </w:tcPr>
          <w:p>
            <w:pPr>
              <w:jc w:val="right"/>
            </w:pPr>
            <w:r>
              <w:rPr>
                <w:rFonts w:hint="eastAsia"/>
              </w:rPr>
              <w:t xml:space="preserve"> 842,877.83 </w:t>
            </w:r>
          </w:p>
        </w:tc>
        <w:tc>
          <w:tcPr>
            <w:tcW w:w="1267" w:type="pct"/>
          </w:tcPr>
          <w:p>
            <w:pPr>
              <w:jc w:val="right"/>
            </w:pPr>
            <w:r>
              <w:rPr>
                <w:rFonts w:hint="eastAsia"/>
              </w:rPr>
              <w:t xml:space="preserve">3.46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按组合计提坏账准备的的说明[双击切换]"/>
        <w:tag w:val="_GBC_aabf124bd0174536b5fe13ea3272172b"/>
        <w:id w:val="-30739592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03"/>
    <w:bookmarkEnd w:id="304"/>
    <w:p>
      <w:pPr>
        <w:rPr>
          <w:color w:val="000000" w:themeColor="text1"/>
          <w14:textFill>
            <w14:solidFill>
              <w14:schemeClr w14:val="tx1"/>
            </w14:solidFill>
          </w14:textFill>
        </w:rPr>
      </w:pPr>
      <w:bookmarkStart w:id="306" w:name="_Hlk10471933"/>
      <w:r>
        <w:rPr>
          <w:rFonts w:hint="eastAsia"/>
          <w:color w:val="000000" w:themeColor="text1"/>
          <w14:textFill>
            <w14:solidFill>
              <w14:schemeClr w14:val="tx1"/>
            </w14:solidFill>
          </w14:textFill>
        </w:rPr>
        <w:t>按预期信用损失一般模型计提坏账准备</w:t>
      </w:r>
      <w:r>
        <w:rPr>
          <w:color w:val="000000" w:themeColor="text1"/>
          <w14:textFill>
            <w14:solidFill>
              <w14:schemeClr w14:val="tx1"/>
            </w14:solidFill>
          </w14:textFill>
        </w:rPr>
        <w:t xml:space="preserve"> </w:t>
      </w:r>
    </w:p>
    <w:sdt>
      <w:sdtPr>
        <w:rPr>
          <w:color w:val="000000" w:themeColor="text1"/>
          <w14:textFill>
            <w14:solidFill>
              <w14:schemeClr w14:val="tx1"/>
            </w14:solidFill>
          </w14:textFill>
        </w:rPr>
        <w:alias w:val="是否适用：长期应收款坏账准备调节表[双击切换]"/>
        <w:tag w:val="_GBC_f7e4bed7dbb84fbcb52f2226cf465bb3"/>
        <w:id w:val="-57349980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06"/>
    <w:p>
      <w:pPr>
        <w:pStyle w:val="5"/>
        <w:numPr>
          <w:ilvl w:val="0"/>
          <w:numId w:val="51"/>
        </w:numPr>
        <w:rPr>
          <w:rFonts w:hint="eastAsia" w:ascii="宋体" w:hAnsi="宋体"/>
          <w:color w:val="000000" w:themeColor="text1"/>
          <w14:textFill>
            <w14:solidFill>
              <w14:schemeClr w14:val="tx1"/>
            </w14:solidFill>
          </w14:textFill>
        </w:rPr>
      </w:pPr>
      <w:bookmarkStart w:id="307" w:name="_Hlk154131356"/>
      <w:bookmarkStart w:id="308" w:name="_Hlk153457634"/>
      <w:bookmarkStart w:id="309" w:name="_Hlk167893254"/>
      <w:r>
        <w:rPr>
          <w:rFonts w:hint="eastAsia" w:ascii="宋体" w:hAnsi="宋体"/>
          <w:color w:val="000000" w:themeColor="text1"/>
          <w14:textFill>
            <w14:solidFill>
              <w14:schemeClr w14:val="tx1"/>
            </w14:solidFill>
          </w14:textFill>
        </w:rPr>
        <w:t>坏账准备的情况</w:t>
      </w:r>
    </w:p>
    <w:sdt>
      <w:sdtPr>
        <w:rPr>
          <w:color w:val="000000" w:themeColor="text1"/>
          <w14:textFill>
            <w14:solidFill>
              <w14:schemeClr w14:val="tx1"/>
            </w14:solidFill>
          </w14:textFill>
        </w:rPr>
        <w:alias w:val="是否适用：坏账准备情况[双击切换]"/>
        <w:tag w:val="_GBC_2514c3c2e0d44fce9a234c85b89eb697"/>
        <w:id w:val="-207072134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snapToGrid w:val="0"/>
        <w:spacing w:line="240" w:lineRule="atLeast"/>
        <w:ind w:left="425"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坏账准备情况"/>
          <w:tag w:val="_GBC_4094b744572d43c48688324c8c9f5e5f"/>
          <w:id w:val="72256473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坏账准备情况"/>
          <w:tag w:val="_GBC_a64163a2b3154a7e9f37244b29e71cdf"/>
          <w:id w:val="-209091137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306"/>
        <w:gridCol w:w="1938"/>
        <w:gridCol w:w="2104"/>
        <w:gridCol w:w="1938"/>
        <w:gridCol w:w="1943"/>
        <w:gridCol w:w="1938"/>
        <w:gridCol w:w="1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0a9bb09f4675456385e28eec38fdf1ab"/>
            <w:id w:val="-1166096109"/>
          </w:sdtPr>
          <w:sdtContent>
            <w:tc>
              <w:tcPr>
                <w:tcW w:w="818"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bde443646eb84dec9d4f8028f9b802bf"/>
            <w:id w:val="1309977477"/>
          </w:sdtPr>
          <w:sdtContent>
            <w:tc>
              <w:tcPr>
                <w:tcW w:w="687"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cb8b68cd02174377b8eb3a9850bd9677"/>
            <w:id w:val="2036384495"/>
          </w:sdtPr>
          <w:sdtContent>
            <w:tc>
              <w:tcPr>
                <w:tcW w:w="2809" w:type="pct"/>
                <w:gridSpan w:val="4"/>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tc>
          <w:tcPr>
            <w:tcW w:w="685" w:type="pct"/>
            <w:vMerge w:val="restart"/>
            <w:shd w:val="clear" w:color="auto" w:fill="FFFFFF"/>
            <w:vAlign w:val="center"/>
          </w:tcPr>
          <w:sdt>
            <w:sdtPr>
              <w:tag w:val="_PLD_71dba82991b74b42bff24787ce9dba21"/>
              <w:id w:val="-1379157582"/>
            </w:sdtPr>
            <w:sdtContent>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vMerge w:val="continue"/>
            <w:shd w:val="clear" w:color="auto" w:fill="FFFFFF"/>
          </w:tcPr>
          <w:p>
            <w:pPr>
              <w:widowControl w:val="0"/>
              <w:jc w:val="center"/>
              <w:rPr>
                <w:color w:val="000000" w:themeColor="text1"/>
                <w14:textFill>
                  <w14:solidFill>
                    <w14:schemeClr w14:val="tx1"/>
                  </w14:solidFill>
                </w14:textFill>
              </w:rPr>
            </w:pPr>
          </w:p>
        </w:tc>
        <w:tc>
          <w:tcPr>
            <w:tcW w:w="687" w:type="pct"/>
            <w:vMerge w:val="continue"/>
            <w:shd w:val="clear" w:color="auto" w:fill="FFFFFF"/>
          </w:tcPr>
          <w:p>
            <w:pPr>
              <w:widowControl w:val="0"/>
              <w:jc w:val="center"/>
              <w:rPr>
                <w:color w:val="000000" w:themeColor="text1"/>
                <w14:textFill>
                  <w14:solidFill>
                    <w14:schemeClr w14:val="tx1"/>
                  </w14:solidFill>
                </w14:textFill>
              </w:rPr>
            </w:pPr>
          </w:p>
        </w:tc>
        <w:sdt>
          <w:sdtPr>
            <w:tag w:val="_PLD_747d1f708b2e490685cc6edafd176732"/>
            <w:id w:val="1438638730"/>
          </w:sdtPr>
          <w:sdtContent>
            <w:tc>
              <w:tcPr>
                <w:tcW w:w="746" w:type="pc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tag w:val="_PLD_55a59d4ba77742cf9759fadbe07f0d4b"/>
            <w:id w:val="856003092"/>
          </w:sdtPr>
          <w:sdtContent>
            <w:tc>
              <w:tcPr>
                <w:tcW w:w="687" w:type="pct"/>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收回或转回</w:t>
                </w:r>
              </w:p>
            </w:tc>
          </w:sdtContent>
        </w:sdt>
        <w:sdt>
          <w:sdtPr>
            <w:tag w:val="_PLD_84e4915da5d84ef6a8b141653da6d134"/>
            <w:id w:val="1642005200"/>
          </w:sdtPr>
          <w:sdtContent>
            <w:tc>
              <w:tcPr>
                <w:tcW w:w="689" w:type="pct"/>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转销或核销</w:t>
                </w:r>
              </w:p>
            </w:tc>
          </w:sdtContent>
        </w:sdt>
        <w:sdt>
          <w:sdtPr>
            <w:tag w:val="_PLD_f50a0cc32e9c443295b2cc3acda22d33"/>
            <w:id w:val="533624611"/>
          </w:sdtPr>
          <w:sdtContent>
            <w:tc>
              <w:tcPr>
                <w:tcW w:w="687" w:type="pct"/>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tc>
          </w:sdtContent>
        </w:sdt>
        <w:tc>
          <w:tcPr>
            <w:tcW w:w="685" w:type="pct"/>
            <w:vMerge w:val="continue"/>
            <w:shd w:val="clear" w:color="auto" w:fill="FFFFFF"/>
          </w:tcPr>
          <w:p>
            <w:pPr>
              <w:widowControl w:val="0"/>
              <w:jc w:val="right"/>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pPr>
              <w:widowControl w:val="0"/>
            </w:pPr>
            <w:r>
              <w:rPr>
                <w:rFonts w:hint="eastAsia"/>
              </w:rPr>
              <w:t>长期应收款</w:t>
            </w:r>
          </w:p>
        </w:tc>
        <w:tc>
          <w:tcPr>
            <w:tcW w:w="687" w:type="pct"/>
          </w:tcPr>
          <w:p>
            <w:pPr>
              <w:widowControl w:val="0"/>
              <w:jc w:val="right"/>
            </w:pPr>
            <w:r>
              <w:rPr>
                <w:rFonts w:hint="eastAsia"/>
              </w:rPr>
              <w:t xml:space="preserve"> 839,509.75 </w:t>
            </w:r>
          </w:p>
        </w:tc>
        <w:tc>
          <w:tcPr>
            <w:tcW w:w="746" w:type="pct"/>
          </w:tcPr>
          <w:p>
            <w:pPr>
              <w:widowControl w:val="0"/>
              <w:jc w:val="right"/>
            </w:pPr>
            <w:r>
              <w:rPr>
                <w:rFonts w:hint="eastAsia"/>
              </w:rPr>
              <w:t xml:space="preserve"> 3,368.08 </w:t>
            </w:r>
          </w:p>
        </w:tc>
        <w:tc>
          <w:tcPr>
            <w:tcW w:w="687" w:type="pct"/>
          </w:tcPr>
          <w:p>
            <w:pPr>
              <w:widowControl w:val="0"/>
              <w:jc w:val="right"/>
            </w:pPr>
          </w:p>
        </w:tc>
        <w:tc>
          <w:tcPr>
            <w:tcW w:w="689" w:type="pct"/>
          </w:tcPr>
          <w:p>
            <w:pPr>
              <w:widowControl w:val="0"/>
              <w:jc w:val="right"/>
            </w:pPr>
          </w:p>
        </w:tc>
        <w:tc>
          <w:tcPr>
            <w:tcW w:w="687" w:type="pct"/>
          </w:tcPr>
          <w:p>
            <w:pPr>
              <w:widowControl w:val="0"/>
              <w:jc w:val="right"/>
            </w:pPr>
          </w:p>
        </w:tc>
        <w:tc>
          <w:tcPr>
            <w:tcW w:w="685" w:type="pct"/>
          </w:tcPr>
          <w:p>
            <w:pPr>
              <w:widowControl w:val="0"/>
              <w:jc w:val="right"/>
            </w:pPr>
            <w:r>
              <w:rPr>
                <w:rFonts w:hint="eastAsia"/>
              </w:rPr>
              <w:t xml:space="preserve"> 842,877.83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18" w:type="pct"/>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87" w:type="pct"/>
          </w:tcPr>
          <w:p>
            <w:pPr>
              <w:widowControl w:val="0"/>
              <w:jc w:val="right"/>
            </w:pPr>
            <w:r>
              <w:t xml:space="preserve"> 839,509.75 </w:t>
            </w:r>
          </w:p>
        </w:tc>
        <w:tc>
          <w:tcPr>
            <w:tcW w:w="746" w:type="pct"/>
          </w:tcPr>
          <w:p>
            <w:pPr>
              <w:widowControl w:val="0"/>
              <w:jc w:val="right"/>
            </w:pPr>
            <w:r>
              <w:t xml:space="preserve"> 3,368.08 </w:t>
            </w:r>
          </w:p>
        </w:tc>
        <w:tc>
          <w:tcPr>
            <w:tcW w:w="687" w:type="pct"/>
          </w:tcPr>
          <w:p>
            <w:pPr>
              <w:widowControl w:val="0"/>
              <w:jc w:val="right"/>
            </w:pPr>
          </w:p>
        </w:tc>
        <w:tc>
          <w:tcPr>
            <w:tcW w:w="689" w:type="pct"/>
          </w:tcPr>
          <w:p>
            <w:pPr>
              <w:widowControl w:val="0"/>
              <w:jc w:val="right"/>
            </w:pPr>
          </w:p>
        </w:tc>
        <w:tc>
          <w:tcPr>
            <w:tcW w:w="687" w:type="pct"/>
          </w:tcPr>
          <w:p>
            <w:pPr>
              <w:widowControl w:val="0"/>
              <w:jc w:val="right"/>
            </w:pPr>
          </w:p>
        </w:tc>
        <w:tc>
          <w:tcPr>
            <w:tcW w:w="685" w:type="pct"/>
          </w:tcPr>
          <w:p>
            <w:pPr>
              <w:widowControl w:val="0"/>
              <w:jc w:val="right"/>
            </w:pPr>
            <w:r>
              <w:t xml:space="preserve"> 842,877.83 </w:t>
            </w:r>
          </w:p>
        </w:tc>
      </w:tr>
      <w:bookmarkEnd w:id="307"/>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a29d07e52de24827baca64b0af5687bb"/>
        <w:id w:val="-69076723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坏账准备情况的说明"/>
        <w:tag w:val="_GBC_15f3ea2819374a1d81b14a1eed39f1ec"/>
        <w:id w:val="-1108189847"/>
        <w:placeholder>
          <w:docPart w:val="GBC22222222222222222222222222222"/>
        </w:placeholder>
      </w:sdtPr>
      <w:sdtEndPr>
        <w:rPr>
          <w:color w:val="000000" w:themeColor="text1"/>
          <w14:textFill>
            <w14:solidFill>
              <w14:schemeClr w14:val="tx1"/>
            </w14:solidFill>
          </w14:textFill>
        </w:rPr>
      </w:sdtEndPr>
      <w:sdtContent>
        <w:p>
          <w:pPr>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5"/>
        <w:numPr>
          <w:ilvl w:val="0"/>
          <w:numId w:val="51"/>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本期实际核销的长期应收款情况</w:t>
      </w:r>
    </w:p>
    <w:sdt>
      <w:sdtPr>
        <w:rPr>
          <w:color w:val="000000" w:themeColor="text1"/>
          <w14:textFill>
            <w14:solidFill>
              <w14:schemeClr w14:val="tx1"/>
            </w14:solidFill>
          </w14:textFill>
        </w:rPr>
        <w:alias w:val="是否适用：实际核销的情况[双击切换]"/>
        <w:tag w:val="_GBC_447ec231ca8744e2a8f9b570dfecfd28"/>
        <w:id w:val="-87384739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其中重要的长期应收款核销情况</w:t>
      </w:r>
    </w:p>
    <w:sdt>
      <w:sdtPr>
        <w:rPr>
          <w:rFonts w:hint="eastAsia"/>
          <w:color w:val="000000" w:themeColor="text1"/>
          <w14:textFill>
            <w14:solidFill>
              <w14:schemeClr w14:val="tx1"/>
            </w14:solidFill>
          </w14:textFill>
        </w:rPr>
        <w:alias w:val="是否适用：重要的核销情况[双击切换]"/>
        <w:tag w:val="_GBC_7e501e63ade7457987f62bf3d0dd5df5"/>
        <w:id w:val="9653030"/>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核销说明[双击切换]"/>
        <w:tag w:val="_GBC_81ff204464594f45b7ea7b4c6b25a65c"/>
        <w:id w:val="1162513481"/>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08"/>
    <w:bookmarkEnd w:id="309"/>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是否适用：长期应收款的其他说明[双击切换]"/>
        <w:tag w:val="_GBC_a368edfbd60c44cdaed5299529b44fa0"/>
        <w:id w:val="663982678"/>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长期股权投资</w:t>
      </w:r>
    </w:p>
    <w:p>
      <w:pPr>
        <w:pStyle w:val="5"/>
        <w:numPr>
          <w:ilvl w:val="0"/>
          <w:numId w:val="52"/>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长期股权投资情况</w:t>
      </w:r>
    </w:p>
    <w:p>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长期股权投资[双击切换]"/>
          <w:tag w:val="_GBC_bafa2cb2262c4c4ebc4eed8f4e4a81c6"/>
          <w:id w:val="1511879568"/>
          <w:lock w:val="contentLocked"/>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jc w:val="right"/>
        <w:rPr>
          <w:color w:val="000000" w:themeColor="text1"/>
          <w14:textFill>
            <w14:solidFill>
              <w14:schemeClr w14:val="tx1"/>
            </w14:solidFill>
          </w14:textFill>
        </w:rPr>
      </w:pPr>
      <w:bookmarkStart w:id="310" w:name="_Hlk106375234"/>
      <w:bookmarkStart w:id="311" w:name="_Hlk200370069"/>
      <w:bookmarkStart w:id="312" w:name="_Hlk199854611"/>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股权投资"/>
          <w:tag w:val="_GBC_63e30834d38e49658bec9056bc38e4e2"/>
          <w:id w:val="-104822165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股权投资"/>
          <w:tag w:val="_GBC_f72bca6b250e484887289a819bc62e7d"/>
          <w:id w:val="-58660634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bookmarkEnd w:id="310"/>
    <w:bookmarkEnd w:id="311"/>
    <w:bookmarkEnd w:id="312"/>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2"/>
        <w:gridCol w:w="1389"/>
        <w:gridCol w:w="710"/>
        <w:gridCol w:w="662"/>
        <w:gridCol w:w="620"/>
        <w:gridCol w:w="1541"/>
        <w:gridCol w:w="930"/>
        <w:gridCol w:w="938"/>
        <w:gridCol w:w="1051"/>
        <w:gridCol w:w="831"/>
        <w:gridCol w:w="1485"/>
        <w:gridCol w:w="1390"/>
        <w:gridCol w:w="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rPr>
              <w:sz w:val="20"/>
              <w:szCs w:val="20"/>
            </w:rPr>
            <w:tag w:val="_PLD_9e3ff129c80540828097585bec2a274a"/>
            <w:id w:val="770513764"/>
          </w:sdtPr>
          <w:sdtEndPr>
            <w:rPr>
              <w:sz w:val="20"/>
              <w:szCs w:val="20"/>
            </w:rPr>
          </w:sdtEndPr>
          <w:sdtContent>
            <w:tc>
              <w:tcPr>
                <w:tcW w:w="558" w:type="pct"/>
                <w:vMerge w:val="restart"/>
                <w:tcBorders>
                  <w:top w:val="single" w:color="auto" w:sz="4" w:space="0"/>
                  <w:left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被投资单位</w:t>
                </w:r>
              </w:p>
            </w:tc>
          </w:sdtContent>
        </w:sdt>
        <w:sdt>
          <w:sdtPr>
            <w:rPr>
              <w:sz w:val="20"/>
              <w:szCs w:val="20"/>
            </w:rPr>
            <w:tag w:val="_PLD_1d8637e24bf6498db71869cd552b60a2"/>
            <w:id w:val="117497928"/>
          </w:sdtPr>
          <w:sdtEndPr>
            <w:rPr>
              <w:sz w:val="20"/>
              <w:szCs w:val="20"/>
            </w:rPr>
          </w:sdtEndPr>
          <w:sdtContent>
            <w:tc>
              <w:tcPr>
                <w:tcW w:w="493" w:type="pct"/>
                <w:vMerge w:val="restart"/>
                <w:tcBorders>
                  <w:top w:val="single" w:color="auto" w:sz="4" w:space="0"/>
                  <w:left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期初</w:t>
                </w:r>
              </w:p>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余额（账面价值）</w:t>
                </w:r>
              </w:p>
            </w:tc>
          </w:sdtContent>
        </w:sdt>
        <w:tc>
          <w:tcPr>
            <w:tcW w:w="252" w:type="pct"/>
            <w:vMerge w:val="restart"/>
            <w:tcBorders>
              <w:top w:val="single" w:color="auto" w:sz="4" w:space="0"/>
              <w:left w:val="single" w:color="auto" w:sz="4" w:space="0"/>
              <w:right w:val="single" w:color="auto" w:sz="4" w:space="0"/>
            </w:tcBorders>
            <w:vAlign w:val="center"/>
          </w:tcPr>
          <w:sdt>
            <w:sdtPr>
              <w:rPr>
                <w:sz w:val="20"/>
                <w:szCs w:val="20"/>
              </w:rPr>
              <w:tag w:val="_PLD_f6327daa2fd7418ca2acf4b4ac38a832"/>
              <w:id w:val="-2002030933"/>
            </w:sdtPr>
            <w:sdtEndPr>
              <w:rPr>
                <w:sz w:val="20"/>
                <w:szCs w:val="20"/>
              </w:rPr>
            </w:sdtEndPr>
            <w:sdtContent>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减值准备期初余额</w:t>
                </w:r>
              </w:p>
            </w:sdtContent>
          </w:sdt>
        </w:tc>
        <w:sdt>
          <w:sdtPr>
            <w:rPr>
              <w:sz w:val="20"/>
              <w:szCs w:val="20"/>
            </w:rPr>
            <w:tag w:val="_PLD_edc952101e7b4fa483f7289f9b74dfdf"/>
            <w:id w:val="-466361721"/>
          </w:sdtPr>
          <w:sdtEndPr>
            <w:rPr>
              <w:sz w:val="20"/>
              <w:szCs w:val="20"/>
            </w:rPr>
          </w:sdtEndPr>
          <w:sdtContent>
            <w:tc>
              <w:tcPr>
                <w:tcW w:w="2859" w:type="pct"/>
                <w:gridSpan w:val="8"/>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本期增减变动</w:t>
                </w:r>
              </w:p>
            </w:tc>
          </w:sdtContent>
        </w:sdt>
        <w:sdt>
          <w:sdtPr>
            <w:rPr>
              <w:sz w:val="20"/>
              <w:szCs w:val="20"/>
            </w:rPr>
            <w:tag w:val="_PLD_44cfcec128d9419fba83c50966e49235"/>
            <w:id w:val="-1328897167"/>
          </w:sdtPr>
          <w:sdtEndPr>
            <w:rPr>
              <w:sz w:val="20"/>
              <w:szCs w:val="20"/>
            </w:rPr>
          </w:sdtEndPr>
          <w:sdtContent>
            <w:tc>
              <w:tcPr>
                <w:tcW w:w="493" w:type="pct"/>
                <w:vMerge w:val="restart"/>
                <w:tcBorders>
                  <w:top w:val="single" w:color="auto" w:sz="4" w:space="0"/>
                  <w:left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期末</w:t>
                </w:r>
              </w:p>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余额（账面价值）</w:t>
                </w:r>
              </w:p>
            </w:tc>
          </w:sdtContent>
        </w:sdt>
        <w:sdt>
          <w:sdtPr>
            <w:rPr>
              <w:sz w:val="20"/>
              <w:szCs w:val="20"/>
            </w:rPr>
            <w:tag w:val="_PLD_34a3cc0844264226a50c84165c09bb9a"/>
            <w:id w:val="2055656808"/>
          </w:sdtPr>
          <w:sdtEndPr>
            <w:rPr>
              <w:sz w:val="20"/>
              <w:szCs w:val="20"/>
            </w:rPr>
          </w:sdtEndPr>
          <w:sdtContent>
            <w:tc>
              <w:tcPr>
                <w:tcW w:w="345" w:type="pct"/>
                <w:vMerge w:val="restart"/>
                <w:tcBorders>
                  <w:top w:val="single" w:color="auto" w:sz="4" w:space="0"/>
                  <w:left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减值准备期末余额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58" w:type="pct"/>
            <w:vMerge w:val="continue"/>
            <w:tcBorders>
              <w:left w:val="single" w:color="auto" w:sz="4" w:space="0"/>
              <w:bottom w:val="single" w:color="auto" w:sz="4" w:space="0"/>
              <w:right w:val="single" w:color="auto" w:sz="4" w:space="0"/>
            </w:tcBorders>
          </w:tcPr>
          <w:p>
            <w:pPr>
              <w:jc w:val="center"/>
              <w:rPr>
                <w:color w:val="000000" w:themeColor="text1"/>
                <w:sz w:val="20"/>
                <w:szCs w:val="20"/>
                <w14:textFill>
                  <w14:solidFill>
                    <w14:schemeClr w14:val="tx1"/>
                  </w14:solidFill>
                </w14:textFill>
              </w:rPr>
            </w:pPr>
          </w:p>
        </w:tc>
        <w:tc>
          <w:tcPr>
            <w:tcW w:w="493" w:type="pct"/>
            <w:vMerge w:val="continue"/>
            <w:tcBorders>
              <w:left w:val="single" w:color="auto" w:sz="4" w:space="0"/>
              <w:bottom w:val="single" w:color="auto" w:sz="4" w:space="0"/>
              <w:right w:val="single" w:color="auto" w:sz="4" w:space="0"/>
            </w:tcBorders>
          </w:tcPr>
          <w:p>
            <w:pPr>
              <w:jc w:val="center"/>
              <w:rPr>
                <w:color w:val="000000" w:themeColor="text1"/>
                <w:sz w:val="20"/>
                <w:szCs w:val="20"/>
                <w14:textFill>
                  <w14:solidFill>
                    <w14:schemeClr w14:val="tx1"/>
                  </w14:solidFill>
                </w14:textFill>
              </w:rPr>
            </w:pPr>
          </w:p>
        </w:tc>
        <w:tc>
          <w:tcPr>
            <w:tcW w:w="252" w:type="pct"/>
            <w:vMerge w:val="continue"/>
            <w:tcBorders>
              <w:left w:val="single" w:color="auto" w:sz="4" w:space="0"/>
              <w:bottom w:val="single" w:color="auto" w:sz="4" w:space="0"/>
              <w:right w:val="single" w:color="auto" w:sz="4" w:space="0"/>
            </w:tcBorders>
          </w:tcPr>
          <w:p>
            <w:pPr>
              <w:jc w:val="center"/>
              <w:rPr>
                <w:color w:val="000000" w:themeColor="text1"/>
                <w:sz w:val="20"/>
                <w:szCs w:val="20"/>
                <w14:textFill>
                  <w14:solidFill>
                    <w14:schemeClr w14:val="tx1"/>
                  </w14:solidFill>
                </w14:textFill>
              </w:rPr>
            </w:pPr>
          </w:p>
        </w:tc>
        <w:sdt>
          <w:sdtPr>
            <w:rPr>
              <w:sz w:val="20"/>
              <w:szCs w:val="20"/>
            </w:rPr>
            <w:tag w:val="_PLD_f88446e104b7482db6830a46769bd8f6"/>
            <w:id w:val="1920677808"/>
          </w:sdtPr>
          <w:sdtEndPr>
            <w:rPr>
              <w:sz w:val="20"/>
              <w:szCs w:val="20"/>
            </w:rPr>
          </w:sdtEndPr>
          <w:sdtContent>
            <w:tc>
              <w:tcPr>
                <w:tcW w:w="235"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追加投资</w:t>
                </w:r>
              </w:p>
            </w:tc>
          </w:sdtContent>
        </w:sdt>
        <w:sdt>
          <w:sdtPr>
            <w:rPr>
              <w:sz w:val="20"/>
              <w:szCs w:val="20"/>
            </w:rPr>
            <w:tag w:val="_PLD_dc0d6646fb2e45ba8e5e07f2c6954c9f"/>
            <w:id w:val="-1490324818"/>
          </w:sdtPr>
          <w:sdtEndPr>
            <w:rPr>
              <w:sz w:val="20"/>
              <w:szCs w:val="20"/>
            </w:rPr>
          </w:sdtEndPr>
          <w:sdtContent>
            <w:tc>
              <w:tcPr>
                <w:tcW w:w="220"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减少投资</w:t>
                </w:r>
              </w:p>
            </w:tc>
          </w:sdtContent>
        </w:sdt>
        <w:sdt>
          <w:sdtPr>
            <w:rPr>
              <w:sz w:val="20"/>
              <w:szCs w:val="20"/>
            </w:rPr>
            <w:tag w:val="_PLD_098d9fcf9d5341879d534aa385508f23"/>
            <w:id w:val="-788203797"/>
          </w:sdtPr>
          <w:sdtEndPr>
            <w:rPr>
              <w:sz w:val="20"/>
              <w:szCs w:val="20"/>
            </w:rPr>
          </w:sdtEndPr>
          <w:sdtContent>
            <w:tc>
              <w:tcPr>
                <w:tcW w:w="547"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权益法下确认的投资损益</w:t>
                </w:r>
              </w:p>
            </w:tc>
          </w:sdtContent>
        </w:sdt>
        <w:sdt>
          <w:sdtPr>
            <w:rPr>
              <w:sz w:val="20"/>
              <w:szCs w:val="20"/>
            </w:rPr>
            <w:tag w:val="_PLD_b66787b3a51d435899d94dbab1edade7"/>
            <w:id w:val="7804096"/>
          </w:sdtPr>
          <w:sdtEndPr>
            <w:rPr>
              <w:sz w:val="20"/>
              <w:szCs w:val="20"/>
            </w:rPr>
          </w:sdtEndPr>
          <w:sdtContent>
            <w:tc>
              <w:tcPr>
                <w:tcW w:w="330"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其他综合收益调整</w:t>
                </w:r>
              </w:p>
            </w:tc>
          </w:sdtContent>
        </w:sdt>
        <w:sdt>
          <w:sdtPr>
            <w:rPr>
              <w:sz w:val="20"/>
              <w:szCs w:val="20"/>
            </w:rPr>
            <w:tag w:val="_PLD_59166394bf7143a6a5ce0d447326b1ac"/>
            <w:id w:val="1521433183"/>
          </w:sdtPr>
          <w:sdtEndPr>
            <w:rPr>
              <w:sz w:val="20"/>
              <w:szCs w:val="20"/>
            </w:rPr>
          </w:sdtEndPr>
          <w:sdtContent>
            <w:tc>
              <w:tcPr>
                <w:tcW w:w="33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其他权益变动</w:t>
                </w:r>
              </w:p>
            </w:tc>
          </w:sdtContent>
        </w:sdt>
        <w:sdt>
          <w:sdtPr>
            <w:rPr>
              <w:sz w:val="20"/>
              <w:szCs w:val="20"/>
            </w:rPr>
            <w:tag w:val="_PLD_cbd4cf48730a4934a58b86d2c27b6b08"/>
            <w:id w:val="-1674247807"/>
          </w:sdtPr>
          <w:sdtEndPr>
            <w:rPr>
              <w:sz w:val="20"/>
              <w:szCs w:val="20"/>
            </w:rPr>
          </w:sdtEndPr>
          <w:sdtContent>
            <w:tc>
              <w:tcPr>
                <w:tcW w:w="37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宣告发放现金股利或利润</w:t>
                </w:r>
              </w:p>
            </w:tc>
          </w:sdtContent>
        </w:sdt>
        <w:sdt>
          <w:sdtPr>
            <w:rPr>
              <w:sz w:val="20"/>
              <w:szCs w:val="20"/>
            </w:rPr>
            <w:tag w:val="_PLD_4c0a72e8e14d4b319998bc5bde635ef0"/>
            <w:id w:val="87662645"/>
          </w:sdtPr>
          <w:sdtEndPr>
            <w:rPr>
              <w:sz w:val="20"/>
              <w:szCs w:val="20"/>
            </w:rPr>
          </w:sdtEndPr>
          <w:sdtContent>
            <w:tc>
              <w:tcPr>
                <w:tcW w:w="295"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计提减值准备</w:t>
                </w:r>
              </w:p>
            </w:tc>
          </w:sdtContent>
        </w:sdt>
        <w:sdt>
          <w:sdtPr>
            <w:rPr>
              <w:sz w:val="20"/>
              <w:szCs w:val="20"/>
            </w:rPr>
            <w:tag w:val="_PLD_ea8213b5ee1442f98996b6dfc1f9a9a4"/>
            <w:id w:val="1919827202"/>
          </w:sdtPr>
          <w:sdtEndPr>
            <w:rPr>
              <w:sz w:val="20"/>
              <w:szCs w:val="20"/>
            </w:rPr>
          </w:sdtEndPr>
          <w:sdtContent>
            <w:tc>
              <w:tcPr>
                <w:tcW w:w="527"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其他</w:t>
                </w:r>
              </w:p>
            </w:tc>
          </w:sdtContent>
        </w:sdt>
        <w:tc>
          <w:tcPr>
            <w:tcW w:w="493" w:type="pct"/>
            <w:vMerge w:val="continue"/>
            <w:tcBorders>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p>
        </w:tc>
        <w:tc>
          <w:tcPr>
            <w:tcW w:w="345" w:type="pct"/>
            <w:vMerge w:val="continue"/>
            <w:tcBorders>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20"/>
              <w:szCs w:val="20"/>
            </w:rPr>
            <w:tag w:val="_PLD_8204b6b48bf546e3af5babc667d4c84c"/>
            <w:id w:val="-1162074944"/>
          </w:sdtPr>
          <w:sdtEndPr>
            <w:rPr>
              <w:sz w:val="20"/>
              <w:szCs w:val="20"/>
            </w:rPr>
          </w:sdtEndPr>
          <w:sdtContent>
            <w:tc>
              <w:tcPr>
                <w:tcW w:w="5000" w:type="pct"/>
                <w:gridSpan w:val="13"/>
                <w:tcBorders>
                  <w:top w:val="single" w:color="auto" w:sz="4" w:space="0"/>
                  <w:left w:val="single" w:color="auto" w:sz="4" w:space="0"/>
                  <w:bottom w:val="single" w:color="auto" w:sz="4" w:space="0"/>
                  <w:right w:val="single" w:color="auto" w:sz="4" w:space="0"/>
                </w:tcBorders>
              </w:tcPr>
              <w:p>
                <w:pP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一、合营企业</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tcBorders>
              <w:top w:val="single" w:color="auto" w:sz="4" w:space="0"/>
              <w:left w:val="single" w:color="auto" w:sz="4" w:space="0"/>
              <w:bottom w:val="single" w:color="auto" w:sz="4" w:space="0"/>
              <w:right w:val="single" w:color="auto" w:sz="4" w:space="0"/>
            </w:tcBorders>
          </w:tcPr>
          <w:p>
            <w:pPr>
              <w:jc w:val="both"/>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小计</w:t>
            </w:r>
          </w:p>
        </w:tc>
        <w:tc>
          <w:tcPr>
            <w:tcW w:w="49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252"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235"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220"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547"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30"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3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7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295"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527"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49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45" w:type="pct"/>
            <w:tcBorders>
              <w:top w:val="single" w:color="auto" w:sz="4" w:space="0"/>
              <w:left w:val="single" w:color="auto" w:sz="4" w:space="0"/>
              <w:bottom w:val="single" w:color="auto" w:sz="4" w:space="0"/>
              <w:right w:val="single" w:color="auto" w:sz="4" w:space="0"/>
            </w:tcBorders>
          </w:tcPr>
          <w:p>
            <w:pPr>
              <w:jc w:val="righ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20"/>
              <w:szCs w:val="20"/>
            </w:rPr>
            <w:tag w:val="_PLD_0b6a8ff5b8594d3fa9d53755249b815f"/>
            <w:id w:val="685647961"/>
          </w:sdtPr>
          <w:sdtEndPr>
            <w:rPr>
              <w:sz w:val="20"/>
              <w:szCs w:val="20"/>
            </w:rPr>
          </w:sdtEndPr>
          <w:sdtContent>
            <w:tc>
              <w:tcPr>
                <w:tcW w:w="5000" w:type="pct"/>
                <w:gridSpan w:val="13"/>
                <w:tcBorders>
                  <w:top w:val="single" w:color="auto" w:sz="4" w:space="0"/>
                  <w:left w:val="single" w:color="auto" w:sz="4" w:space="0"/>
                  <w:bottom w:val="single" w:color="auto" w:sz="4" w:space="0"/>
                  <w:right w:val="single" w:color="auto" w:sz="4" w:space="0"/>
                </w:tcBorders>
              </w:tcPr>
              <w:p>
                <w:pPr>
                  <w:jc w:val="both"/>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二、联营企业</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tcBorders>
              <w:top w:val="single" w:color="auto" w:sz="4" w:space="0"/>
              <w:left w:val="single" w:color="auto" w:sz="4" w:space="0"/>
              <w:bottom w:val="single" w:color="auto" w:sz="4" w:space="0"/>
              <w:right w:val="single" w:color="auto" w:sz="4" w:space="0"/>
            </w:tcBorders>
          </w:tcPr>
          <w:p>
            <w:pPr>
              <w:jc w:val="both"/>
              <w:rPr>
                <w:sz w:val="20"/>
                <w:szCs w:val="20"/>
              </w:rPr>
            </w:pPr>
            <w:r>
              <w:rPr>
                <w:rFonts w:hint="eastAsia"/>
                <w:sz w:val="20"/>
                <w:szCs w:val="20"/>
              </w:rPr>
              <w:t>重庆能投长寿经开区售电有限公司</w:t>
            </w:r>
          </w:p>
        </w:tc>
        <w:tc>
          <w:tcPr>
            <w:tcW w:w="493"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 xml:space="preserve">13,904,640.02 </w:t>
            </w:r>
          </w:p>
        </w:tc>
        <w:tc>
          <w:tcPr>
            <w:tcW w:w="252"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235"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220"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547"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-969,115.35</w:t>
            </w:r>
          </w:p>
        </w:tc>
        <w:tc>
          <w:tcPr>
            <w:tcW w:w="330"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3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7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295"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527"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493"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 xml:space="preserve">12,935,524.67  </w:t>
            </w:r>
          </w:p>
        </w:tc>
        <w:tc>
          <w:tcPr>
            <w:tcW w:w="345" w:type="pct"/>
            <w:tcBorders>
              <w:top w:val="single" w:color="auto" w:sz="4" w:space="0"/>
              <w:left w:val="single" w:color="auto" w:sz="4" w:space="0"/>
              <w:bottom w:val="single" w:color="auto" w:sz="4" w:space="0"/>
              <w:right w:val="single" w:color="auto" w:sz="4" w:space="0"/>
            </w:tcBorders>
          </w:tcPr>
          <w:p>
            <w:pPr>
              <w:jc w:val="righ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tcBorders>
              <w:top w:val="single" w:color="auto" w:sz="4" w:space="0"/>
              <w:left w:val="single" w:color="auto" w:sz="4" w:space="0"/>
              <w:bottom w:val="single" w:color="auto" w:sz="4" w:space="0"/>
              <w:right w:val="single" w:color="auto" w:sz="4" w:space="0"/>
            </w:tcBorders>
          </w:tcPr>
          <w:p>
            <w:pPr>
              <w:jc w:val="both"/>
              <w:rPr>
                <w:sz w:val="20"/>
                <w:szCs w:val="20"/>
              </w:rPr>
            </w:pPr>
            <w:r>
              <w:rPr>
                <w:rFonts w:hint="eastAsia"/>
                <w:sz w:val="20"/>
                <w:szCs w:val="20"/>
              </w:rPr>
              <w:t>深圳南海电气科技有限公司</w:t>
            </w:r>
          </w:p>
        </w:tc>
        <w:tc>
          <w:tcPr>
            <w:tcW w:w="493"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 xml:space="preserve"> 2,199,708.59 </w:t>
            </w:r>
          </w:p>
        </w:tc>
        <w:tc>
          <w:tcPr>
            <w:tcW w:w="252"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235"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220"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547"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 xml:space="preserve">-398,993.56 </w:t>
            </w:r>
          </w:p>
        </w:tc>
        <w:tc>
          <w:tcPr>
            <w:tcW w:w="330"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3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7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295"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527"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 xml:space="preserve"> -1,800,715.03 </w:t>
            </w:r>
          </w:p>
        </w:tc>
        <w:tc>
          <w:tcPr>
            <w:tcW w:w="493"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345" w:type="pct"/>
            <w:tcBorders>
              <w:top w:val="single" w:color="auto" w:sz="4" w:space="0"/>
              <w:left w:val="single" w:color="auto" w:sz="4" w:space="0"/>
              <w:bottom w:val="single" w:color="auto" w:sz="4" w:space="0"/>
              <w:right w:val="single" w:color="auto" w:sz="4" w:space="0"/>
            </w:tcBorders>
          </w:tcPr>
          <w:p>
            <w:pPr>
              <w:jc w:val="righ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tcBorders>
              <w:top w:val="single" w:color="auto" w:sz="4" w:space="0"/>
              <w:left w:val="single" w:color="auto" w:sz="4" w:space="0"/>
              <w:bottom w:val="single" w:color="auto" w:sz="4" w:space="0"/>
              <w:right w:val="single" w:color="auto" w:sz="4" w:space="0"/>
            </w:tcBorders>
          </w:tcPr>
          <w:p>
            <w:pPr>
              <w:jc w:val="both"/>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小计</w:t>
            </w:r>
          </w:p>
        </w:tc>
        <w:tc>
          <w:tcPr>
            <w:tcW w:w="493"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 xml:space="preserve">16,104,348.61 </w:t>
            </w:r>
          </w:p>
        </w:tc>
        <w:tc>
          <w:tcPr>
            <w:tcW w:w="252"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235"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220"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547"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-1,368,108.91</w:t>
            </w:r>
          </w:p>
        </w:tc>
        <w:tc>
          <w:tcPr>
            <w:tcW w:w="330"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3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7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295"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527"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-1,800,715.03</w:t>
            </w:r>
          </w:p>
        </w:tc>
        <w:tc>
          <w:tcPr>
            <w:tcW w:w="493"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12,935,524.67</w:t>
            </w:r>
          </w:p>
        </w:tc>
        <w:tc>
          <w:tcPr>
            <w:tcW w:w="345" w:type="pct"/>
            <w:tcBorders>
              <w:top w:val="single" w:color="auto" w:sz="4" w:space="0"/>
              <w:left w:val="single" w:color="auto" w:sz="4" w:space="0"/>
              <w:bottom w:val="single" w:color="auto" w:sz="4" w:space="0"/>
              <w:right w:val="single" w:color="auto" w:sz="4" w:space="0"/>
            </w:tcBorders>
          </w:tcPr>
          <w:p>
            <w:pPr>
              <w:jc w:val="right"/>
              <w:rPr>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0"/>
                <w:szCs w:val="20"/>
                <w14:textFill>
                  <w14:solidFill>
                    <w14:schemeClr w14:val="tx1"/>
                  </w14:solidFill>
                </w14:textFill>
              </w:rPr>
            </w:pPr>
            <w:r>
              <w:rPr>
                <w:rFonts w:hint="eastAsia"/>
                <w:color w:val="000000" w:themeColor="text1"/>
                <w:sz w:val="20"/>
                <w:szCs w:val="20"/>
                <w14:textFill>
                  <w14:solidFill>
                    <w14:schemeClr w14:val="tx1"/>
                  </w14:solidFill>
                </w14:textFill>
              </w:rPr>
              <w:t>合计</w:t>
            </w:r>
          </w:p>
        </w:tc>
        <w:tc>
          <w:tcPr>
            <w:tcW w:w="493"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 xml:space="preserve">16,104,348.61 </w:t>
            </w:r>
          </w:p>
        </w:tc>
        <w:tc>
          <w:tcPr>
            <w:tcW w:w="252"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235"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220"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p>
        </w:tc>
        <w:tc>
          <w:tcPr>
            <w:tcW w:w="547"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-1,368,108.91</w:t>
            </w:r>
          </w:p>
        </w:tc>
        <w:tc>
          <w:tcPr>
            <w:tcW w:w="330"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3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373"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295" w:type="pct"/>
            <w:tcBorders>
              <w:top w:val="single" w:color="auto" w:sz="4" w:space="0"/>
              <w:left w:val="single" w:color="auto" w:sz="4" w:space="0"/>
              <w:bottom w:val="single" w:color="auto" w:sz="4" w:space="0"/>
              <w:right w:val="single" w:color="auto" w:sz="4" w:space="0"/>
            </w:tcBorders>
          </w:tcPr>
          <w:p>
            <w:pPr>
              <w:jc w:val="right"/>
              <w:rPr>
                <w:sz w:val="20"/>
                <w:szCs w:val="20"/>
              </w:rPr>
            </w:pPr>
          </w:p>
        </w:tc>
        <w:tc>
          <w:tcPr>
            <w:tcW w:w="527" w:type="pct"/>
            <w:tcBorders>
              <w:top w:val="single" w:color="auto" w:sz="4" w:space="0"/>
              <w:left w:val="single" w:color="auto" w:sz="4" w:space="0"/>
              <w:bottom w:val="single" w:color="auto" w:sz="4" w:space="0"/>
              <w:right w:val="single" w:color="auto" w:sz="4" w:space="0"/>
            </w:tcBorders>
          </w:tcPr>
          <w:p>
            <w:pPr>
              <w:jc w:val="right"/>
              <w:rPr>
                <w:sz w:val="20"/>
                <w:szCs w:val="20"/>
              </w:rPr>
            </w:pPr>
            <w:r>
              <w:rPr>
                <w:sz w:val="20"/>
                <w:szCs w:val="20"/>
              </w:rPr>
              <w:t>-1,800,715.03</w:t>
            </w:r>
          </w:p>
        </w:tc>
        <w:tc>
          <w:tcPr>
            <w:tcW w:w="493" w:type="pct"/>
            <w:tcBorders>
              <w:top w:val="single" w:color="auto" w:sz="4" w:space="0"/>
              <w:left w:val="single" w:color="auto" w:sz="4" w:space="0"/>
              <w:bottom w:val="single" w:color="auto" w:sz="4" w:space="0"/>
              <w:right w:val="single" w:color="auto" w:sz="4" w:space="0"/>
            </w:tcBorders>
            <w:vAlign w:val="center"/>
          </w:tcPr>
          <w:p>
            <w:pPr>
              <w:jc w:val="right"/>
              <w:rPr>
                <w:sz w:val="20"/>
                <w:szCs w:val="20"/>
              </w:rPr>
            </w:pPr>
            <w:r>
              <w:rPr>
                <w:sz w:val="20"/>
                <w:szCs w:val="20"/>
              </w:rPr>
              <w:t>12,935,524.67</w:t>
            </w:r>
          </w:p>
        </w:tc>
        <w:tc>
          <w:tcPr>
            <w:tcW w:w="345" w:type="pct"/>
            <w:tcBorders>
              <w:top w:val="single" w:color="auto" w:sz="4" w:space="0"/>
              <w:left w:val="single" w:color="auto" w:sz="4" w:space="0"/>
              <w:bottom w:val="single" w:color="auto" w:sz="4" w:space="0"/>
              <w:right w:val="single" w:color="auto" w:sz="4" w:space="0"/>
            </w:tcBorders>
          </w:tcPr>
          <w:p>
            <w:pPr>
              <w:jc w:val="right"/>
              <w:rPr>
                <w:sz w:val="20"/>
                <w:szCs w:val="20"/>
              </w:rPr>
            </w:pPr>
          </w:p>
        </w:tc>
      </w:tr>
    </w:tbl>
    <w:p>
      <w:pPr>
        <w:rPr>
          <w:color w:val="000000" w:themeColor="text1"/>
          <w14:textFill>
            <w14:solidFill>
              <w14:schemeClr w14:val="tx1"/>
            </w14:solidFill>
          </w14:textFill>
        </w:rPr>
      </w:pPr>
      <w:bookmarkStart w:id="313" w:name="_Hlk167893542"/>
      <w:bookmarkStart w:id="314" w:name="_Hlk169008665"/>
      <w:r>
        <w:rPr>
          <w:rFonts w:hint="eastAsia"/>
          <w:color w:val="000000" w:themeColor="text1"/>
          <w14:textFill>
            <w14:solidFill>
              <w14:schemeClr w14:val="tx1"/>
            </w14:solidFill>
          </w14:textFill>
        </w:rPr>
        <w:t>说明：其他变动</w:t>
      </w:r>
      <w:r>
        <w:rPr>
          <w:color w:val="000000" w:themeColor="text1"/>
          <w14:textFill>
            <w14:solidFill>
              <w14:schemeClr w14:val="tx1"/>
            </w14:solidFill>
          </w14:textFill>
        </w:rPr>
        <w:t>详见“第</w:t>
      </w:r>
      <w:r>
        <w:rPr>
          <w:rFonts w:hint="eastAsia"/>
          <w:color w:val="000000" w:themeColor="text1"/>
          <w14:textFill>
            <w14:solidFill>
              <w14:schemeClr w14:val="tx1"/>
            </w14:solidFill>
          </w14:textFill>
        </w:rPr>
        <w:t>八</w:t>
      </w:r>
      <w:r>
        <w:rPr>
          <w:color w:val="000000" w:themeColor="text1"/>
          <w14:textFill>
            <w14:solidFill>
              <w14:schemeClr w14:val="tx1"/>
            </w14:solidFill>
          </w14:textFill>
        </w:rPr>
        <w:t>节.</w:t>
      </w:r>
      <w:r>
        <w:rPr>
          <w:rFonts w:hint="eastAsia"/>
          <w:color w:val="000000" w:themeColor="text1"/>
          <w14:textFill>
            <w14:solidFill>
              <w14:schemeClr w14:val="tx1"/>
            </w14:solidFill>
          </w14:textFill>
        </w:rPr>
        <w:t>九</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合并范围的变更</w:t>
      </w:r>
      <w:r>
        <w:rPr>
          <w:color w:val="000000" w:themeColor="text1"/>
          <w14:textFill>
            <w14:solidFill>
              <w14:schemeClr w14:val="tx1"/>
            </w14:solidFill>
          </w14:textFill>
        </w:rPr>
        <w:t>”。</w:t>
      </w:r>
    </w:p>
    <w:p>
      <w:pPr>
        <w:pStyle w:val="5"/>
        <w:numPr>
          <w:ilvl w:val="0"/>
          <w:numId w:val="52"/>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长期股权投资的减值测试情况</w:t>
      </w:r>
    </w:p>
    <w:sdt>
      <w:sdtPr>
        <w:rPr>
          <w:color w:val="000000" w:themeColor="text1"/>
          <w14:textFill>
            <w14:solidFill>
              <w14:schemeClr w14:val="tx1"/>
            </w14:solidFill>
          </w14:textFill>
        </w:rPr>
        <w:alias w:val="是否适用：减值测试情况[双击切换]"/>
        <w:tag w:val="_GBC_c736c8a0ce06478bb4d52ef30b7043c8"/>
        <w:id w:val="83203090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13"/>
    <w:p>
      <w:pPr>
        <w:snapToGrid w:val="0"/>
        <w:spacing w:line="240" w:lineRule="atLeast"/>
        <w:rPr>
          <w:color w:val="000000" w:themeColor="text1"/>
          <w14:textFill>
            <w14:solidFill>
              <w14:schemeClr w14:val="tx1"/>
            </w14:solidFill>
          </w14:textFill>
        </w:rPr>
      </w:pPr>
      <w:bookmarkStart w:id="315" w:name="_Hlk167893618"/>
      <w:r>
        <w:rPr>
          <w:rFonts w:hint="eastAsia"/>
          <w:color w:val="000000" w:themeColor="text1"/>
          <w14:textFill>
            <w14:solidFill>
              <w14:schemeClr w14:val="tx1"/>
            </w14:solidFill>
          </w14:textFill>
        </w:rPr>
        <w:t>其他说明</w:t>
      </w:r>
    </w:p>
    <w:p>
      <w:pPr>
        <w:snapToGrid w:val="0"/>
        <w:spacing w:line="240" w:lineRule="atLeast"/>
        <w:rPr>
          <w:color w:val="000000" w:themeColor="text1"/>
          <w14:textFill>
            <w14:solidFill>
              <w14:schemeClr w14:val="tx1"/>
            </w14:solidFill>
          </w14:textFill>
        </w:rPr>
      </w:pPr>
      <w:sdt>
        <w:sdtPr>
          <w:rPr>
            <w:color w:val="000000" w:themeColor="text1"/>
            <w14:textFill>
              <w14:solidFill>
                <w14:schemeClr w14:val="tx1"/>
              </w14:solidFill>
            </w14:textFill>
          </w:rPr>
          <w:alias w:val="长期股票投资的说明"/>
          <w:tag w:val="_GBC_de8cfc4ca45d42b88f7513c93a853186"/>
          <w:id w:val="1939019674"/>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bookmarkEnd w:id="314"/>
    <w:bookmarkEnd w:id="315"/>
    <w:p>
      <w:pPr>
        <w:pStyle w:val="4"/>
        <w:numPr>
          <w:ilvl w:val="0"/>
          <w:numId w:val="41"/>
        </w:numPr>
        <w:rPr>
          <w:color w:val="000000" w:themeColor="text1"/>
          <w:szCs w:val="21"/>
          <w14:textFill>
            <w14:solidFill>
              <w14:schemeClr w14:val="tx1"/>
            </w14:solidFill>
          </w14:textFill>
        </w:rPr>
      </w:pPr>
      <w:bookmarkStart w:id="316" w:name="_Hlk533409702"/>
      <w:bookmarkStart w:id="317" w:name="_Hlk152858292"/>
      <w:bookmarkStart w:id="318" w:name="_Hlk167895169"/>
      <w:r>
        <w:rPr>
          <w:color w:val="000000" w:themeColor="text1"/>
          <w:szCs w:val="21"/>
          <w14:textFill>
            <w14:solidFill>
              <w14:schemeClr w14:val="tx1"/>
            </w14:solidFill>
          </w14:textFill>
        </w:rPr>
        <w:t>其他权益工具投资</w:t>
      </w:r>
    </w:p>
    <w:p>
      <w:pPr>
        <w:pStyle w:val="5"/>
        <w:numPr>
          <w:ilvl w:val="3"/>
          <w:numId w:val="53"/>
        </w:numPr>
        <w:ind w:left="426" w:hanging="426"/>
        <w:rPr>
          <w:color w:val="000000" w:themeColor="text1"/>
          <w14:textFill>
            <w14:solidFill>
              <w14:schemeClr w14:val="tx1"/>
            </w14:solidFill>
          </w14:textFill>
        </w:rPr>
      </w:pPr>
      <w:bookmarkStart w:id="319" w:name="_Hlk532994936"/>
      <w:r>
        <w:rPr>
          <w:rFonts w:hint="eastAsia"/>
          <w:color w:val="000000" w:themeColor="text1"/>
          <w14:textFill>
            <w14:solidFill>
              <w14:schemeClr w14:val="tx1"/>
            </w14:solidFill>
          </w14:textFill>
        </w:rPr>
        <w:t>其他权益工具投资情况</w:t>
      </w:r>
    </w:p>
    <w:sdt>
      <w:sdtPr>
        <w:rPr>
          <w:color w:val="000000" w:themeColor="text1"/>
          <w14:textFill>
            <w14:solidFill>
              <w14:schemeClr w14:val="tx1"/>
            </w14:solidFill>
          </w14:textFill>
        </w:rPr>
        <w:alias w:val="是否适用：其他权益工具投资情况[双击切换]"/>
        <w:tag w:val="_GBC_ac87b47cf70d4820a1189b53bf53af73"/>
        <w:id w:val="-124109778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权益工具投资情况"/>
          <w:tag w:val="_GBC_9bbc2bc262694a308c04bf4f25e3f1bb"/>
          <w:id w:val="4373181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权益工具投资情况"/>
          <w:tag w:val="_GBC_c944479021b54a639f17a7b9d298ba98"/>
          <w:id w:val="6955522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bookmarkEnd w:id="316"/>
    <w:bookmarkEnd w:id="319"/>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4"/>
        <w:gridCol w:w="1448"/>
        <w:gridCol w:w="586"/>
        <w:gridCol w:w="493"/>
        <w:gridCol w:w="865"/>
        <w:gridCol w:w="1341"/>
        <w:gridCol w:w="533"/>
        <w:gridCol w:w="1448"/>
        <w:gridCol w:w="1009"/>
        <w:gridCol w:w="1431"/>
        <w:gridCol w:w="1170"/>
        <w:gridCol w:w="1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sdt>
          <w:sdtPr>
            <w:tag w:val="_PLD_3daf209c1b064e4980c71e7ae45806a6"/>
            <w:id w:val="1571619604"/>
          </w:sdtPr>
          <w:sdtContent>
            <w:tc>
              <w:tcPr>
                <w:tcW w:w="839"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d20fa0d77b4406390305b87a75671b0"/>
            <w:id w:val="1570147111"/>
          </w:sdtPr>
          <w:sdtContent>
            <w:tc>
              <w:tcPr>
                <w:tcW w:w="514"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sdt>
          <w:sdtPr>
            <w:tag w:val="_PLD_6a633ba000d144cb8770931370381fa1"/>
            <w:id w:val="-1523699001"/>
          </w:sdtPr>
          <w:sdtContent>
            <w:tc>
              <w:tcPr>
                <w:tcW w:w="1355" w:type="pct"/>
                <w:gridSpan w:val="5"/>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本期增减变动</w:t>
                </w:r>
              </w:p>
            </w:tc>
          </w:sdtContent>
        </w:sdt>
        <w:sdt>
          <w:sdtPr>
            <w:tag w:val="_PLD_d9fc41afb57d40a5826584d39a74e53d"/>
            <w:id w:val="1588963601"/>
          </w:sdtPr>
          <w:sdtContent>
            <w:tc>
              <w:tcPr>
                <w:tcW w:w="514"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sdt>
          <w:sdtPr>
            <w:tag w:val="_PLD_b3500e3451724262a7eb38ac2709c54a"/>
            <w:id w:val="1624734938"/>
          </w:sdtPr>
          <w:sdtContent>
            <w:tc>
              <w:tcPr>
                <w:tcW w:w="358"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本期确认的股利收入</w:t>
                </w:r>
              </w:p>
            </w:tc>
          </w:sdtContent>
        </w:sdt>
        <w:sdt>
          <w:sdtPr>
            <w:tag w:val="_PLD_d94045f5a1cb4092aa594c265a146180"/>
            <w:id w:val="561529492"/>
          </w:sdtPr>
          <w:sdtContent>
            <w:tc>
              <w:tcPr>
                <w:tcW w:w="508"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累计计入其他综合收益的利得</w:t>
                </w:r>
              </w:p>
            </w:tc>
          </w:sdtContent>
        </w:sdt>
        <w:sdt>
          <w:sdtPr>
            <w:tag w:val="_PLD_5f0ce8d1a2e4468abbf27c5755f10b41"/>
            <w:id w:val="-2116666981"/>
          </w:sdtPr>
          <w:sdtContent>
            <w:tc>
              <w:tcPr>
                <w:tcW w:w="415"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累计计入其他综合收益的损失</w:t>
                </w:r>
              </w:p>
            </w:tc>
          </w:sdtContent>
        </w:sdt>
        <w:sdt>
          <w:sdtPr>
            <w:tag w:val="_PLD_30dbafaa8a8b420cb3406f22958c59c0"/>
            <w:id w:val="1159663173"/>
          </w:sdtPr>
          <w:sdtContent>
            <w:tc>
              <w:tcPr>
                <w:tcW w:w="497"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指定为以公允价值计量且其变动计入其他综合收益的原因</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c>
          <w:tcPr>
            <w:tcW w:w="514"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sdt>
          <w:sdtPr>
            <w:tag w:val="_PLD_7fb134b102ea4ac69df08b1a4af24780"/>
            <w:id w:val="-1512218415"/>
          </w:sdtPr>
          <w:sdtContent>
            <w:tc>
              <w:tcPr>
                <w:tcW w:w="208"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追加投资</w:t>
                </w:r>
              </w:p>
            </w:tc>
          </w:sdtContent>
        </w:sdt>
        <w:sdt>
          <w:sdtPr>
            <w:tag w:val="_PLD_a5097fcdb0644572a784e139d5bc86f5"/>
            <w:id w:val="2102370097"/>
          </w:sdtPr>
          <w:sdtContent>
            <w:tc>
              <w:tcPr>
                <w:tcW w:w="175"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减少投资</w:t>
                </w:r>
              </w:p>
            </w:tc>
          </w:sdtContent>
        </w:sdt>
        <w:sdt>
          <w:sdtPr>
            <w:tag w:val="_PLD_500aaf3ba85d422e91cb8bed768593ce"/>
            <w:id w:val="2091582265"/>
          </w:sdtPr>
          <w:sdtContent>
            <w:tc>
              <w:tcPr>
                <w:tcW w:w="307"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本期计入其他综合收益的利得</w:t>
                </w:r>
              </w:p>
            </w:tc>
          </w:sdtContent>
        </w:sdt>
        <w:sdt>
          <w:sdtPr>
            <w:tag w:val="_PLD_9451af532fa54486a8ab06976fcedd26"/>
            <w:id w:val="-552384191"/>
          </w:sdtPr>
          <w:sdtContent>
            <w:tc>
              <w:tcPr>
                <w:tcW w:w="47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本期计入其他综合收益的损失</w:t>
                </w:r>
              </w:p>
            </w:tc>
          </w:sdtContent>
        </w:sdt>
        <w:sdt>
          <w:sdtPr>
            <w:tag w:val="_PLD_99beff4095cd487eb9318f7cff078d10"/>
            <w:id w:val="-2019603652"/>
          </w:sdtPr>
          <w:sdtContent>
            <w:tc>
              <w:tcPr>
                <w:tcW w:w="189"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tc>
          <w:tcPr>
            <w:tcW w:w="514" w:type="pct"/>
            <w:vMerge w:val="continue"/>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tc>
          <w:tcPr>
            <w:tcW w:w="358"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c>
          <w:tcPr>
            <w:tcW w:w="508"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c>
          <w:tcPr>
            <w:tcW w:w="415"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c>
          <w:tcPr>
            <w:tcW w:w="497" w:type="pct"/>
            <w:vMerge w:val="continue"/>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pct"/>
            <w:tcBorders>
              <w:top w:val="single" w:color="auto" w:sz="4" w:space="0"/>
              <w:left w:val="single" w:color="auto" w:sz="4" w:space="0"/>
              <w:bottom w:val="single" w:color="auto" w:sz="4" w:space="0"/>
              <w:right w:val="single" w:color="auto" w:sz="4" w:space="0"/>
            </w:tcBorders>
          </w:tcPr>
          <w:p>
            <w:pPr>
              <w:pStyle w:val="48"/>
            </w:pPr>
            <w:r>
              <w:t>指定为以公允价值计量且其变动计入其他综合收益的金融资产</w:t>
            </w:r>
          </w:p>
        </w:tc>
        <w:tc>
          <w:tcPr>
            <w:tcW w:w="514" w:type="pct"/>
            <w:tcBorders>
              <w:top w:val="single" w:color="auto" w:sz="4" w:space="0"/>
              <w:left w:val="single" w:color="auto" w:sz="4" w:space="0"/>
              <w:bottom w:val="single" w:color="auto" w:sz="4" w:space="0"/>
              <w:right w:val="single" w:color="auto" w:sz="4" w:space="0"/>
            </w:tcBorders>
          </w:tcPr>
          <w:p>
            <w:pPr>
              <w:jc w:val="right"/>
            </w:pPr>
            <w:r>
              <w:t xml:space="preserve"> 15,122,992.50 </w:t>
            </w:r>
          </w:p>
        </w:tc>
        <w:tc>
          <w:tcPr>
            <w:tcW w:w="208" w:type="pct"/>
            <w:tcBorders>
              <w:top w:val="single" w:color="auto" w:sz="4" w:space="0"/>
              <w:left w:val="single" w:color="auto" w:sz="4" w:space="0"/>
              <w:bottom w:val="single" w:color="auto" w:sz="4" w:space="0"/>
              <w:right w:val="single" w:color="auto" w:sz="4" w:space="0"/>
            </w:tcBorders>
          </w:tcPr>
          <w:p>
            <w:pPr>
              <w:jc w:val="right"/>
            </w:pPr>
          </w:p>
        </w:tc>
        <w:tc>
          <w:tcPr>
            <w:tcW w:w="175" w:type="pct"/>
            <w:tcBorders>
              <w:top w:val="single" w:color="auto" w:sz="4" w:space="0"/>
              <w:left w:val="single" w:color="auto" w:sz="4" w:space="0"/>
              <w:bottom w:val="single" w:color="auto" w:sz="4" w:space="0"/>
              <w:right w:val="single" w:color="auto" w:sz="4" w:space="0"/>
            </w:tcBorders>
          </w:tcPr>
          <w:p>
            <w:pPr>
              <w:jc w:val="right"/>
            </w:pPr>
          </w:p>
        </w:tc>
        <w:tc>
          <w:tcPr>
            <w:tcW w:w="307" w:type="pct"/>
            <w:tcBorders>
              <w:top w:val="single" w:color="auto" w:sz="4" w:space="0"/>
              <w:left w:val="single" w:color="auto" w:sz="4" w:space="0"/>
              <w:bottom w:val="single" w:color="auto" w:sz="4" w:space="0"/>
              <w:right w:val="single" w:color="auto" w:sz="4" w:space="0"/>
            </w:tcBorders>
          </w:tcPr>
          <w:p>
            <w:pPr>
              <w:jc w:val="right"/>
            </w:pPr>
          </w:p>
        </w:tc>
        <w:tc>
          <w:tcPr>
            <w:tcW w:w="476" w:type="pct"/>
            <w:tcBorders>
              <w:top w:val="single" w:color="auto" w:sz="4" w:space="0"/>
              <w:left w:val="single" w:color="auto" w:sz="4" w:space="0"/>
              <w:bottom w:val="single" w:color="auto" w:sz="4" w:space="0"/>
              <w:right w:val="single" w:color="auto" w:sz="4" w:space="0"/>
            </w:tcBorders>
            <w:vAlign w:val="center"/>
          </w:tcPr>
          <w:p>
            <w:pPr>
              <w:jc w:val="right"/>
            </w:pPr>
            <w:r>
              <w:t xml:space="preserve">1,710,462.60 </w:t>
            </w:r>
          </w:p>
        </w:tc>
        <w:tc>
          <w:tcPr>
            <w:tcW w:w="189" w:type="pct"/>
            <w:tcBorders>
              <w:top w:val="single" w:color="auto" w:sz="4" w:space="0"/>
              <w:left w:val="single" w:color="auto" w:sz="4" w:space="0"/>
              <w:bottom w:val="single" w:color="auto" w:sz="4" w:space="0"/>
              <w:right w:val="single" w:color="auto" w:sz="4" w:space="0"/>
            </w:tcBorders>
            <w:vAlign w:val="center"/>
          </w:tcPr>
          <w:p>
            <w:pPr>
              <w:jc w:val="right"/>
            </w:pPr>
          </w:p>
        </w:tc>
        <w:tc>
          <w:tcPr>
            <w:tcW w:w="514" w:type="pct"/>
            <w:tcBorders>
              <w:top w:val="single" w:color="auto" w:sz="4" w:space="0"/>
              <w:left w:val="single" w:color="auto" w:sz="4" w:space="0"/>
              <w:bottom w:val="single" w:color="auto" w:sz="4" w:space="0"/>
              <w:right w:val="single" w:color="auto" w:sz="4" w:space="0"/>
            </w:tcBorders>
            <w:vAlign w:val="center"/>
          </w:tcPr>
          <w:p>
            <w:pPr>
              <w:jc w:val="right"/>
            </w:pPr>
            <w:r>
              <w:t xml:space="preserve">13,412,529.90 </w:t>
            </w:r>
          </w:p>
        </w:tc>
        <w:tc>
          <w:tcPr>
            <w:tcW w:w="358" w:type="pct"/>
            <w:tcBorders>
              <w:top w:val="single" w:color="auto" w:sz="4" w:space="0"/>
              <w:left w:val="single" w:color="auto" w:sz="4" w:space="0"/>
              <w:bottom w:val="single" w:color="auto" w:sz="4" w:space="0"/>
              <w:right w:val="single" w:color="auto" w:sz="4" w:space="0"/>
            </w:tcBorders>
            <w:vAlign w:val="center"/>
          </w:tcPr>
          <w:p>
            <w:pPr>
              <w:jc w:val="right"/>
            </w:pPr>
          </w:p>
        </w:tc>
        <w:tc>
          <w:tcPr>
            <w:tcW w:w="508" w:type="pct"/>
            <w:tcBorders>
              <w:top w:val="single" w:color="auto" w:sz="4" w:space="0"/>
              <w:left w:val="single" w:color="auto" w:sz="4" w:space="0"/>
              <w:bottom w:val="single" w:color="auto" w:sz="4" w:space="0"/>
              <w:right w:val="single" w:color="auto" w:sz="4" w:space="0"/>
            </w:tcBorders>
            <w:vAlign w:val="center"/>
          </w:tcPr>
          <w:p>
            <w:pPr>
              <w:jc w:val="right"/>
            </w:pPr>
            <w:r>
              <w:t xml:space="preserve">11,136,969.90 </w:t>
            </w:r>
          </w:p>
        </w:tc>
        <w:tc>
          <w:tcPr>
            <w:tcW w:w="415" w:type="pct"/>
            <w:tcBorders>
              <w:top w:val="single" w:color="auto" w:sz="4" w:space="0"/>
              <w:left w:val="single" w:color="auto" w:sz="4" w:space="0"/>
              <w:bottom w:val="single" w:color="auto" w:sz="4" w:space="0"/>
              <w:right w:val="single" w:color="auto" w:sz="4" w:space="0"/>
            </w:tcBorders>
          </w:tcPr>
          <w:p>
            <w:pPr>
              <w:jc w:val="right"/>
            </w:pPr>
          </w:p>
        </w:tc>
        <w:tc>
          <w:tcPr>
            <w:tcW w:w="497" w:type="pct"/>
            <w:tcBorders>
              <w:top w:val="single" w:color="auto" w:sz="4" w:space="0"/>
              <w:left w:val="single" w:color="auto" w:sz="4" w:space="0"/>
              <w:bottom w:val="single" w:color="auto" w:sz="4" w:space="0"/>
              <w:right w:val="single" w:color="auto" w:sz="4" w:space="0"/>
            </w:tcBorders>
          </w:tcPr>
          <w:p>
            <w:pPr>
              <w:pStyle w:val="48"/>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514" w:type="pct"/>
            <w:tcBorders>
              <w:top w:val="single" w:color="auto" w:sz="4" w:space="0"/>
              <w:left w:val="single" w:color="auto" w:sz="4" w:space="0"/>
              <w:bottom w:val="single" w:color="auto" w:sz="4" w:space="0"/>
              <w:right w:val="single" w:color="auto" w:sz="4" w:space="0"/>
            </w:tcBorders>
          </w:tcPr>
          <w:p>
            <w:pPr>
              <w:jc w:val="right"/>
            </w:pPr>
            <w:r>
              <w:t xml:space="preserve">15,122,992.50 </w:t>
            </w:r>
          </w:p>
        </w:tc>
        <w:tc>
          <w:tcPr>
            <w:tcW w:w="208" w:type="pct"/>
            <w:tcBorders>
              <w:top w:val="single" w:color="auto" w:sz="4" w:space="0"/>
              <w:left w:val="single" w:color="auto" w:sz="4" w:space="0"/>
              <w:bottom w:val="single" w:color="auto" w:sz="4" w:space="0"/>
              <w:right w:val="single" w:color="auto" w:sz="4" w:space="0"/>
            </w:tcBorders>
          </w:tcPr>
          <w:p>
            <w:pPr>
              <w:jc w:val="right"/>
            </w:pPr>
          </w:p>
        </w:tc>
        <w:tc>
          <w:tcPr>
            <w:tcW w:w="175" w:type="pct"/>
            <w:tcBorders>
              <w:top w:val="single" w:color="auto" w:sz="4" w:space="0"/>
              <w:left w:val="single" w:color="auto" w:sz="4" w:space="0"/>
              <w:bottom w:val="single" w:color="auto" w:sz="4" w:space="0"/>
              <w:right w:val="single" w:color="auto" w:sz="4" w:space="0"/>
            </w:tcBorders>
          </w:tcPr>
          <w:p>
            <w:pPr>
              <w:jc w:val="right"/>
            </w:pPr>
          </w:p>
        </w:tc>
        <w:tc>
          <w:tcPr>
            <w:tcW w:w="307" w:type="pct"/>
            <w:tcBorders>
              <w:top w:val="single" w:color="auto" w:sz="4" w:space="0"/>
              <w:left w:val="single" w:color="auto" w:sz="4" w:space="0"/>
              <w:bottom w:val="single" w:color="auto" w:sz="4" w:space="0"/>
              <w:right w:val="single" w:color="auto" w:sz="4" w:space="0"/>
            </w:tcBorders>
          </w:tcPr>
          <w:p>
            <w:pPr>
              <w:jc w:val="right"/>
            </w:pPr>
          </w:p>
        </w:tc>
        <w:tc>
          <w:tcPr>
            <w:tcW w:w="476" w:type="pct"/>
            <w:tcBorders>
              <w:top w:val="single" w:color="auto" w:sz="4" w:space="0"/>
              <w:left w:val="single" w:color="auto" w:sz="4" w:space="0"/>
              <w:bottom w:val="single" w:color="auto" w:sz="4" w:space="0"/>
              <w:right w:val="single" w:color="auto" w:sz="4" w:space="0"/>
            </w:tcBorders>
            <w:vAlign w:val="center"/>
          </w:tcPr>
          <w:p>
            <w:pPr>
              <w:jc w:val="right"/>
            </w:pPr>
            <w:r>
              <w:t xml:space="preserve">1,710,462.60 </w:t>
            </w:r>
          </w:p>
        </w:tc>
        <w:tc>
          <w:tcPr>
            <w:tcW w:w="189" w:type="pct"/>
            <w:tcBorders>
              <w:top w:val="single" w:color="auto" w:sz="4" w:space="0"/>
              <w:left w:val="single" w:color="auto" w:sz="4" w:space="0"/>
              <w:bottom w:val="single" w:color="auto" w:sz="4" w:space="0"/>
              <w:right w:val="single" w:color="auto" w:sz="4" w:space="0"/>
            </w:tcBorders>
            <w:vAlign w:val="center"/>
          </w:tcPr>
          <w:p>
            <w:pPr>
              <w:jc w:val="right"/>
            </w:pPr>
          </w:p>
        </w:tc>
        <w:tc>
          <w:tcPr>
            <w:tcW w:w="514" w:type="pct"/>
            <w:tcBorders>
              <w:top w:val="single" w:color="auto" w:sz="4" w:space="0"/>
              <w:left w:val="single" w:color="auto" w:sz="4" w:space="0"/>
              <w:bottom w:val="single" w:color="auto" w:sz="4" w:space="0"/>
              <w:right w:val="single" w:color="auto" w:sz="4" w:space="0"/>
            </w:tcBorders>
            <w:vAlign w:val="center"/>
          </w:tcPr>
          <w:p>
            <w:pPr>
              <w:jc w:val="right"/>
            </w:pPr>
            <w:r>
              <w:t xml:space="preserve">13,412,529.90 </w:t>
            </w:r>
          </w:p>
        </w:tc>
        <w:tc>
          <w:tcPr>
            <w:tcW w:w="358" w:type="pct"/>
            <w:tcBorders>
              <w:top w:val="single" w:color="auto" w:sz="4" w:space="0"/>
              <w:left w:val="single" w:color="auto" w:sz="4" w:space="0"/>
              <w:bottom w:val="single" w:color="auto" w:sz="4" w:space="0"/>
              <w:right w:val="single" w:color="auto" w:sz="4" w:space="0"/>
            </w:tcBorders>
            <w:vAlign w:val="center"/>
          </w:tcPr>
          <w:p>
            <w:pPr>
              <w:jc w:val="right"/>
            </w:pPr>
          </w:p>
        </w:tc>
        <w:tc>
          <w:tcPr>
            <w:tcW w:w="508" w:type="pct"/>
            <w:tcBorders>
              <w:top w:val="single" w:color="auto" w:sz="4" w:space="0"/>
              <w:left w:val="single" w:color="auto" w:sz="4" w:space="0"/>
              <w:bottom w:val="single" w:color="auto" w:sz="4" w:space="0"/>
              <w:right w:val="single" w:color="auto" w:sz="4" w:space="0"/>
            </w:tcBorders>
            <w:vAlign w:val="center"/>
          </w:tcPr>
          <w:p>
            <w:pPr>
              <w:jc w:val="right"/>
            </w:pPr>
            <w:r>
              <w:t xml:space="preserve">11,136,969.90 </w:t>
            </w:r>
          </w:p>
        </w:tc>
        <w:tc>
          <w:tcPr>
            <w:tcW w:w="415" w:type="pct"/>
            <w:tcBorders>
              <w:top w:val="single" w:color="auto" w:sz="4" w:space="0"/>
              <w:left w:val="single" w:color="auto" w:sz="4" w:space="0"/>
              <w:bottom w:val="single" w:color="auto" w:sz="4" w:space="0"/>
              <w:right w:val="single" w:color="auto" w:sz="4" w:space="0"/>
            </w:tcBorders>
          </w:tcPr>
          <w:p>
            <w:pPr>
              <w:jc w:val="right"/>
            </w:pPr>
          </w:p>
        </w:tc>
        <w:tc>
          <w:tcPr>
            <w:tcW w:w="497"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bookmarkEnd w:id="317"/>
    </w:tbl>
    <w:p>
      <w:pPr>
        <w:pStyle w:val="5"/>
        <w:numPr>
          <w:ilvl w:val="3"/>
          <w:numId w:val="53"/>
        </w:numPr>
        <w:ind w:left="426" w:hanging="426"/>
        <w:rPr>
          <w:color w:val="000000" w:themeColor="text1"/>
          <w14:textFill>
            <w14:solidFill>
              <w14:schemeClr w14:val="tx1"/>
            </w14:solidFill>
          </w14:textFill>
        </w:rPr>
      </w:pPr>
      <w:bookmarkStart w:id="320" w:name="OLE_LINK93"/>
      <w:r>
        <w:rPr>
          <w:rFonts w:hint="eastAsia"/>
          <w:color w:val="000000" w:themeColor="text1"/>
          <w14:textFill>
            <w14:solidFill>
              <w14:schemeClr w14:val="tx1"/>
            </w14:solidFill>
          </w14:textFill>
        </w:rPr>
        <w:t>本期存在终止确认的情况说明</w:t>
      </w:r>
    </w:p>
    <w:bookmarkEnd w:id="320"/>
    <w:sdt>
      <w:sdtPr>
        <w:rPr>
          <w:color w:val="000000" w:themeColor="text1"/>
          <w14:textFill>
            <w14:solidFill>
              <w14:schemeClr w14:val="tx1"/>
            </w14:solidFill>
          </w14:textFill>
        </w:rPr>
        <w:alias w:val="是否适用：本期存在终止确认的情况说明[双击切换]"/>
        <w:tag w:val="_GBC_db77b2aaae65441d940bf2dc3b0e8b9b"/>
        <w:id w:val="-212183230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18"/>
    <w:p>
      <w:pPr>
        <w:rPr>
          <w:color w:val="000000" w:themeColor="text1"/>
          <w14:textFill>
            <w14:solidFill>
              <w14:schemeClr w14:val="tx1"/>
            </w14:solidFill>
          </w14:textFill>
        </w:rPr>
      </w:pPr>
      <w:bookmarkStart w:id="321" w:name="_Hlk10472110"/>
      <w:bookmarkStart w:id="322" w:name="_Hlk10472118"/>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w:t>
      </w:r>
      <w:bookmarkEnd w:id="321"/>
    </w:p>
    <w:sdt>
      <w:sdtPr>
        <w:rPr>
          <w:color w:val="000000" w:themeColor="text1"/>
          <w14:textFill>
            <w14:solidFill>
              <w14:schemeClr w14:val="tx1"/>
            </w14:solidFill>
          </w14:textFill>
        </w:rPr>
        <w:alias w:val="是否适用：其他权益工具投资其他说明[双击切换]"/>
        <w:tag w:val="_GBC_9bd79d8d324a4f4c984344781e18ee35"/>
        <w:id w:val="-139789900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22"/>
    <w:p>
      <w:pPr>
        <w:pStyle w:val="4"/>
        <w:numPr>
          <w:ilvl w:val="0"/>
          <w:numId w:val="41"/>
        </w:numPr>
        <w:rPr>
          <w:color w:val="000000" w:themeColor="text1"/>
          <w:szCs w:val="21"/>
          <w14:textFill>
            <w14:solidFill>
              <w14:schemeClr w14:val="tx1"/>
            </w14:solidFill>
          </w14:textFill>
        </w:rPr>
      </w:pPr>
      <w:bookmarkStart w:id="323" w:name="_Hlk10472259"/>
      <w:r>
        <w:rPr>
          <w:color w:val="000000" w:themeColor="text1"/>
          <w:szCs w:val="21"/>
          <w14:textFill>
            <w14:solidFill>
              <w14:schemeClr w14:val="tx1"/>
            </w14:solidFill>
          </w14:textFill>
        </w:rPr>
        <w:t>其他非流动金融资产</w:t>
      </w:r>
    </w:p>
    <w:sdt>
      <w:sdtPr>
        <w:rPr>
          <w:color w:val="000000" w:themeColor="text1"/>
          <w14:textFill>
            <w14:solidFill>
              <w14:schemeClr w14:val="tx1"/>
            </w14:solidFill>
          </w14:textFill>
        </w:rPr>
        <w:alias w:val="是否适用：其他非流动金融资产[双击切换]"/>
        <w:tag w:val="_GBC_39a16d6030db4b008bd8e70705c49dd5"/>
        <w:id w:val="-172490034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23"/>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投资性房地产</w:t>
      </w:r>
    </w:p>
    <w:p>
      <w:pPr>
        <w:rPr>
          <w:color w:val="000000" w:themeColor="text1"/>
          <w14:textFill>
            <w14:solidFill>
              <w14:schemeClr w14:val="tx1"/>
            </w14:solidFill>
          </w14:textFill>
        </w:rPr>
      </w:pPr>
      <w:r>
        <w:rPr>
          <w:color w:val="000000" w:themeColor="text1"/>
          <w14:textFill>
            <w14:solidFill>
              <w14:schemeClr w14:val="tx1"/>
            </w14:solidFill>
          </w14:textFill>
        </w:rPr>
        <w:t>投资性房地产</w:t>
      </w:r>
      <w:r>
        <w:rPr>
          <w:rFonts w:hint="eastAsia"/>
          <w:color w:val="000000" w:themeColor="text1"/>
          <w14:textFill>
            <w14:solidFill>
              <w14:schemeClr w14:val="tx1"/>
            </w14:solidFill>
          </w14:textFill>
        </w:rPr>
        <w:t>计量模式</w:t>
      </w:r>
    </w:p>
    <w:p>
      <w:pPr>
        <w:ind w:right="283"/>
        <w:rPr>
          <w:rFonts w:cstheme="minorBidi"/>
          <w:color w:val="000000" w:themeColor="text1"/>
          <w:kern w:val="2"/>
          <w14:textFill>
            <w14:solidFill>
              <w14:schemeClr w14:val="tx1"/>
            </w14:solidFill>
          </w14:textFill>
        </w:rPr>
      </w:pPr>
      <w:r>
        <w:rPr>
          <w:rFonts w:hint="eastAsia" w:cstheme="minorBidi"/>
          <w:color w:val="000000" w:themeColor="text1"/>
          <w:kern w:val="2"/>
          <w14:textFill>
            <w14:solidFill>
              <w14:schemeClr w14:val="tx1"/>
            </w14:solidFill>
          </w14:textFill>
        </w:rPr>
        <w:t>不</w:t>
      </w:r>
      <w:sdt>
        <w:sdtPr>
          <w:tag w:val="_PLD_b96b9a0d652c42729d37043ca500e287"/>
          <w:id w:val="457851087"/>
          <w:placeholder>
            <w:docPart w:val="GBC22222222222222222222222222222"/>
          </w:placeholder>
        </w:sdtPr>
        <w:sdtContent>
          <w:r>
            <w:rPr>
              <w:rFonts w:hint="eastAsia" w:cstheme="minorBidi"/>
              <w:color w:val="000000" w:themeColor="text1"/>
              <w:kern w:val="2"/>
              <w14:textFill>
                <w14:solidFill>
                  <w14:schemeClr w14:val="tx1"/>
                </w14:solidFill>
              </w14:textFill>
            </w:rPr>
            <w:t>适</w:t>
          </w:r>
        </w:sdtContent>
      </w:sdt>
      <w:r>
        <w:rPr>
          <w:rFonts w:hint="eastAsia" w:cstheme="minorBidi"/>
          <w:color w:val="000000" w:themeColor="text1"/>
          <w:kern w:val="2"/>
          <w14:textFill>
            <w14:solidFill>
              <w14:schemeClr w14:val="tx1"/>
            </w14:solidFill>
          </w14:textFill>
        </w:rPr>
        <w:t>用</w:t>
      </w:r>
    </w:p>
    <w:p>
      <w:pPr>
        <w:ind w:right="283"/>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bookmarkStart w:id="324" w:name="_Hlk167895351"/>
      <w:bookmarkEnd w:id="324"/>
      <w:bookmarkStart w:id="325" w:name="_Hlk153460290"/>
      <w:bookmarkEnd w:id="325"/>
      <w:bookmarkStart w:id="326" w:name="_Hlk167895445"/>
      <w:bookmarkEnd w:id="326"/>
      <w:bookmarkStart w:id="327" w:name="_Hlk167895546"/>
      <w:bookmarkEnd w:id="327"/>
    </w:p>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固定资产</w:t>
      </w:r>
    </w:p>
    <w:p>
      <w:pPr>
        <w:pStyle w:val="5"/>
        <w:tabs>
          <w:tab w:val="left" w:pos="588"/>
        </w:tabs>
        <w:rPr>
          <w:rFonts w:hint="eastAsia" w:ascii="宋体" w:hAnsi="宋体"/>
          <w:color w:val="000000" w:themeColor="text1"/>
          <w14:textFill>
            <w14:solidFill>
              <w14:schemeClr w14:val="tx1"/>
            </w14:solidFill>
          </w14:textFill>
        </w:rPr>
      </w:pPr>
      <w:bookmarkStart w:id="328" w:name="_Hlk10472369"/>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固定资产分类列示[双击切换]"/>
        <w:tag w:val="_GBC_73d82e583dcc4330bebfeb83abd5f5bb"/>
        <w:id w:val="-174116016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固定资产分类列示"/>
          <w:tag w:val="_GBC_1ddbfde119544f109a3b12a48ffde12d"/>
          <w:id w:val="99869411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固定资产分类列示"/>
          <w:tag w:val="_GBC_fcb83ec59024431d9f3167f55c1ae7c0"/>
          <w:id w:val="-151398493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51"/>
        <w:gridCol w:w="4458"/>
        <w:gridCol w:w="4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242dd3761084b5fa8943b910dbdbe45"/>
            <w:id w:val="1389688136"/>
          </w:sdtPr>
          <w:sdtContent>
            <w:tc>
              <w:tcPr>
                <w:tcW w:w="1828" w:type="pct"/>
                <w:vAlign w:val="center"/>
              </w:tcPr>
              <w:p>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66df388ce2f4405af4694ebf5c112ca"/>
            <w:id w:val="889763931"/>
          </w:sdtPr>
          <w:sdtContent>
            <w:tc>
              <w:tcPr>
                <w:tcW w:w="158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ca4fd9ec8b6a43259f78c36475f04e58"/>
            <w:id w:val="-364218316"/>
          </w:sdtPr>
          <w:sdtContent>
            <w:tc>
              <w:tcPr>
                <w:tcW w:w="159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固定资产</w:t>
            </w:r>
          </w:p>
        </w:tc>
        <w:tc>
          <w:tcPr>
            <w:tcW w:w="1582" w:type="pct"/>
          </w:tcPr>
          <w:p>
            <w:pPr>
              <w:tabs>
                <w:tab w:val="right" w:pos="3690"/>
                <w:tab w:val="right" w:pos="5130"/>
                <w:tab w:val="right" w:pos="6030"/>
                <w:tab w:val="right" w:pos="7650"/>
                <w:tab w:val="right" w:pos="9270"/>
              </w:tabs>
              <w:adjustRightInd w:val="0"/>
              <w:snapToGrid w:val="0"/>
              <w:jc w:val="right"/>
            </w:pPr>
            <w:r>
              <w:t xml:space="preserve"> 1,872,369,686.32 </w:t>
            </w:r>
          </w:p>
        </w:tc>
        <w:tc>
          <w:tcPr>
            <w:tcW w:w="1590" w:type="pct"/>
          </w:tcPr>
          <w:p>
            <w:pPr>
              <w:tabs>
                <w:tab w:val="right" w:pos="3690"/>
                <w:tab w:val="right" w:pos="5130"/>
                <w:tab w:val="right" w:pos="6030"/>
                <w:tab w:val="right" w:pos="7650"/>
                <w:tab w:val="right" w:pos="9270"/>
              </w:tabs>
              <w:adjustRightInd w:val="0"/>
              <w:snapToGrid w:val="0"/>
              <w:jc w:val="right"/>
            </w:pPr>
            <w:r>
              <w:t xml:space="preserve"> 1,923,504,168.59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固定资产清理</w:t>
            </w:r>
          </w:p>
        </w:tc>
        <w:tc>
          <w:tcPr>
            <w:tcW w:w="1582" w:type="pct"/>
          </w:tcPr>
          <w:p>
            <w:pPr>
              <w:tabs>
                <w:tab w:val="right" w:pos="3690"/>
                <w:tab w:val="right" w:pos="5130"/>
                <w:tab w:val="right" w:pos="6030"/>
                <w:tab w:val="right" w:pos="7650"/>
                <w:tab w:val="right" w:pos="9270"/>
              </w:tabs>
              <w:adjustRightInd w:val="0"/>
              <w:snapToGrid w:val="0"/>
              <w:jc w:val="right"/>
            </w:pPr>
          </w:p>
        </w:tc>
        <w:tc>
          <w:tcPr>
            <w:tcW w:w="1590" w:type="pct"/>
          </w:tcPr>
          <w:p>
            <w:pPr>
              <w:tabs>
                <w:tab w:val="right" w:pos="3690"/>
                <w:tab w:val="right" w:pos="5130"/>
                <w:tab w:val="right" w:pos="6030"/>
                <w:tab w:val="right" w:pos="7650"/>
                <w:tab w:val="right" w:pos="9270"/>
              </w:tabs>
              <w:adjustRightInd w:val="0"/>
              <w:snapToGri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vAlign w:val="center"/>
          </w:tcPr>
          <w:p>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82" w:type="pct"/>
          </w:tcPr>
          <w:p>
            <w:pPr>
              <w:tabs>
                <w:tab w:val="right" w:pos="3690"/>
                <w:tab w:val="right" w:pos="5130"/>
                <w:tab w:val="right" w:pos="6030"/>
                <w:tab w:val="right" w:pos="7650"/>
                <w:tab w:val="right" w:pos="9270"/>
              </w:tabs>
              <w:adjustRightInd w:val="0"/>
              <w:snapToGrid w:val="0"/>
              <w:jc w:val="right"/>
            </w:pPr>
            <w:r>
              <w:t xml:space="preserve"> 1,872,369,686.32 </w:t>
            </w:r>
          </w:p>
        </w:tc>
        <w:tc>
          <w:tcPr>
            <w:tcW w:w="1590" w:type="pct"/>
          </w:tcPr>
          <w:p>
            <w:pPr>
              <w:tabs>
                <w:tab w:val="right" w:pos="3690"/>
                <w:tab w:val="right" w:pos="5130"/>
                <w:tab w:val="right" w:pos="6030"/>
                <w:tab w:val="right" w:pos="7650"/>
                <w:tab w:val="right" w:pos="9270"/>
              </w:tabs>
              <w:adjustRightInd w:val="0"/>
              <w:snapToGrid w:val="0"/>
              <w:jc w:val="right"/>
            </w:pPr>
            <w:r>
              <w:t xml:space="preserve"> 1,923,504,168.59 </w:t>
            </w:r>
          </w:p>
        </w:tc>
      </w:tr>
      <w:bookmarkEnd w:id="328"/>
    </w:tbl>
    <w:p>
      <w:pPr>
        <w:rPr>
          <w:color w:val="000000" w:themeColor="text1"/>
          <w14:textFill>
            <w14:solidFill>
              <w14:schemeClr w14:val="tx1"/>
            </w14:solidFill>
          </w14:textFill>
        </w:rPr>
      </w:pPr>
      <w:bookmarkStart w:id="329" w:name="_Hlk10472389"/>
      <w:bookmarkStart w:id="330" w:name="_Hlk10472397"/>
      <w:r>
        <w:rPr>
          <w:rFonts w:hint="eastAsia"/>
          <w:color w:val="000000" w:themeColor="text1"/>
          <w14:textFill>
            <w14:solidFill>
              <w14:schemeClr w14:val="tx1"/>
            </w14:solidFill>
          </w14:textFill>
        </w:rPr>
        <w:t>其他说明：</w:t>
      </w:r>
      <w:bookmarkEnd w:id="329"/>
    </w:p>
    <w:p>
      <w:pPr>
        <w:rPr>
          <w:color w:val="000000" w:themeColor="text1"/>
          <w14:textFill>
            <w14:solidFill>
              <w14:schemeClr w14:val="tx1"/>
            </w14:solidFill>
          </w14:textFill>
        </w:rPr>
      </w:pPr>
      <w:sdt>
        <w:sdtPr>
          <w:rPr>
            <w:color w:val="000000" w:themeColor="text1"/>
            <w14:textFill>
              <w14:solidFill>
                <w14:schemeClr w14:val="tx1"/>
              </w14:solidFill>
            </w14:textFill>
          </w:rPr>
          <w:alias w:val="固定资产分类列示其他说明"/>
          <w:tag w:val="_GBC_9028bab58a12485bb8ef4d316280f591"/>
          <w:id w:val="-1123455449"/>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bookmarkEnd w:id="330"/>
    <w:p>
      <w:pPr>
        <w:pStyle w:val="5"/>
        <w:tabs>
          <w:tab w:val="left" w:pos="588"/>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固定资产</w:t>
      </w:r>
    </w:p>
    <w:p>
      <w:pPr>
        <w:pStyle w:val="6"/>
        <w:numPr>
          <w:ilvl w:val="0"/>
          <w:numId w:val="54"/>
        </w:numPr>
      </w:pPr>
      <w:r>
        <w:rPr>
          <w:rFonts w:hint="eastAsia"/>
        </w:rPr>
        <w:t>固定资产情况</w:t>
      </w:r>
    </w:p>
    <w:sdt>
      <w:sdtPr>
        <w:rPr>
          <w:color w:val="000000" w:themeColor="text1"/>
          <w14:textFill>
            <w14:solidFill>
              <w14:schemeClr w14:val="tx1"/>
            </w14:solidFill>
          </w14:textFill>
        </w:rPr>
        <w:alias w:val="是否适用：固定资产情况[双击切换]"/>
        <w:tag w:val="_GBC_dea1f620aab74d63b1372d831b5b450f"/>
        <w:id w:val="42384836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autoSpaceDE w:val="0"/>
        <w:autoSpaceDN w:val="0"/>
        <w:adjustRightInd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固定资产情况"/>
          <w:tag w:val="_GBC_563afa3e91c048118558af0713b1a1af"/>
          <w:id w:val="-127533079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固定资产情况"/>
          <w:tag w:val="_GBC_c5ecae448dd948eca54add973afbe77b"/>
          <w:id w:val="18730362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4127"/>
        <w:gridCol w:w="1822"/>
        <w:gridCol w:w="1822"/>
        <w:gridCol w:w="1822"/>
        <w:gridCol w:w="2227"/>
        <w:gridCol w:w="2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1741958de41447b7ac4cbd15ce893c6c"/>
            <w:id w:val="1535148748"/>
          </w:sdtPr>
          <w:sdtContent>
            <w:tc>
              <w:tcPr>
                <w:tcW w:w="148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rPr>
              <w:rFonts w:hint="eastAsia"/>
              <w:color w:val="000000" w:themeColor="text1"/>
              <w14:textFill>
                <w14:solidFill>
                  <w14:schemeClr w14:val="tx1"/>
                </w14:solidFill>
              </w14:textFill>
            </w:rPr>
            <w:alias w:val="固定资产情况明细-项目名称"/>
            <w:tag w:val="_GBC_936a8499167f477aab1a2942b2fdbdaf"/>
            <w:id w:val="539323240"/>
            <w:text/>
          </w:sdtPr>
          <w:sdtEndPr>
            <w:rPr>
              <w:rFonts w:hint="eastAsia"/>
              <w:color w:val="000000" w:themeColor="text1"/>
              <w14:textFill>
                <w14:solidFill>
                  <w14:schemeClr w14:val="tx1"/>
                </w14:solidFill>
              </w14:textFill>
            </w:rPr>
          </w:sdtEndPr>
          <w:sdtContent>
            <w:tc>
              <w:tcPr>
                <w:tcW w:w="65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房屋及建筑物</w:t>
                </w:r>
              </w:p>
            </w:tc>
          </w:sdtContent>
        </w:sdt>
        <w:sdt>
          <w:sdtPr>
            <w:rPr>
              <w:rFonts w:hint="eastAsia"/>
            </w:rPr>
            <w:alias w:val="固定资产情况明细-项目名称"/>
            <w:tag w:val="_GBC_936a8499167f477aab1a2942b2fdbdaf"/>
            <w:id w:val="-636574154"/>
            <w:text/>
          </w:sdtPr>
          <w:sdtEndPr>
            <w:rPr>
              <w:rFonts w:hint="eastAsia"/>
            </w:rPr>
          </w:sdtEndPr>
          <w:sdtContent>
            <w:tc>
              <w:tcPr>
                <w:tcW w:w="654" w:type="pct"/>
                <w:vAlign w:val="center"/>
              </w:tcPr>
              <w:p>
                <w:pPr>
                  <w:jc w:val="center"/>
                </w:pPr>
                <w:r>
                  <w:rPr>
                    <w:rFonts w:hint="eastAsia"/>
                  </w:rPr>
                  <w:t>机器设备</w:t>
                </w:r>
              </w:p>
            </w:tc>
          </w:sdtContent>
        </w:sdt>
        <w:sdt>
          <w:sdtPr>
            <w:rPr>
              <w:rFonts w:hint="eastAsia"/>
            </w:rPr>
            <w:alias w:val="固定资产情况明细-项目名称"/>
            <w:tag w:val="_GBC_936a8499167f477aab1a2942b2fdbdaf"/>
            <w:id w:val="-1238082947"/>
            <w:text/>
          </w:sdtPr>
          <w:sdtEndPr>
            <w:rPr>
              <w:rFonts w:hint="eastAsia"/>
            </w:rPr>
          </w:sdtEndPr>
          <w:sdtContent>
            <w:tc>
              <w:tcPr>
                <w:tcW w:w="654" w:type="pct"/>
                <w:vAlign w:val="center"/>
              </w:tcPr>
              <w:p>
                <w:pPr>
                  <w:jc w:val="center"/>
                </w:pPr>
                <w:r>
                  <w:rPr>
                    <w:rFonts w:hint="eastAsia"/>
                  </w:rPr>
                  <w:t>运输工具</w:t>
                </w:r>
              </w:p>
            </w:tc>
          </w:sdtContent>
        </w:sdt>
        <w:sdt>
          <w:sdtPr>
            <w:alias w:val="固定资产情况明细-项目名称"/>
            <w:tag w:val="_GBC_936a8499167f477aab1a2942b2fdbdaf"/>
            <w:id w:val="-1036427365"/>
            <w:text/>
          </w:sdtPr>
          <w:sdtContent>
            <w:tc>
              <w:tcPr>
                <w:tcW w:w="799" w:type="pct"/>
                <w:vAlign w:val="center"/>
              </w:tcPr>
              <w:p>
                <w:pPr>
                  <w:jc w:val="center"/>
                </w:pPr>
                <w:r>
                  <w:t>电子设备及办公设备</w:t>
                </w:r>
              </w:p>
            </w:tc>
          </w:sdtContent>
        </w:sdt>
        <w:sdt>
          <w:sdtPr>
            <w:tag w:val="_PLD_0b635f975b4949dbb798f88c3dcf1d8d"/>
            <w:id w:val="300429343"/>
          </w:sdtPr>
          <w:sdtContent>
            <w:tc>
              <w:tcPr>
                <w:tcW w:w="75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e1d4e79d72fd45cc925f8729ecef795c"/>
            <w:id w:val="1577865734"/>
          </w:sdtPr>
          <w:sdtContent>
            <w:tc>
              <w:tcPr>
                <w:tcW w:w="5000" w:type="pct"/>
                <w:gridSpan w:val="6"/>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一、账面原值：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期初余额</w:t>
            </w:r>
          </w:p>
        </w:tc>
        <w:tc>
          <w:tcPr>
            <w:tcW w:w="654" w:type="pct"/>
          </w:tcPr>
          <w:p>
            <w:pPr>
              <w:jc w:val="right"/>
            </w:pPr>
            <w:r>
              <w:t xml:space="preserve"> 1,259,269,421.65 </w:t>
            </w:r>
          </w:p>
        </w:tc>
        <w:tc>
          <w:tcPr>
            <w:tcW w:w="654" w:type="pct"/>
          </w:tcPr>
          <w:p>
            <w:pPr>
              <w:jc w:val="right"/>
            </w:pPr>
            <w:r>
              <w:t xml:space="preserve"> 1,315,070,597.71 </w:t>
            </w:r>
          </w:p>
        </w:tc>
        <w:tc>
          <w:tcPr>
            <w:tcW w:w="654" w:type="pct"/>
          </w:tcPr>
          <w:p>
            <w:pPr>
              <w:jc w:val="right"/>
            </w:pPr>
            <w:r>
              <w:t xml:space="preserve"> 36,841,710.23 </w:t>
            </w:r>
          </w:p>
        </w:tc>
        <w:tc>
          <w:tcPr>
            <w:tcW w:w="799" w:type="pct"/>
          </w:tcPr>
          <w:p>
            <w:pPr>
              <w:jc w:val="right"/>
            </w:pPr>
            <w:r>
              <w:t xml:space="preserve"> 42,428,528.96 </w:t>
            </w:r>
          </w:p>
        </w:tc>
        <w:tc>
          <w:tcPr>
            <w:tcW w:w="758" w:type="pct"/>
          </w:tcPr>
          <w:p>
            <w:pPr>
              <w:jc w:val="right"/>
            </w:pPr>
            <w:r>
              <w:t xml:space="preserve"> 2,653,610,258.55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本期增加金额</w:t>
            </w:r>
          </w:p>
        </w:tc>
        <w:tc>
          <w:tcPr>
            <w:tcW w:w="654" w:type="pct"/>
          </w:tcPr>
          <w:p>
            <w:pPr>
              <w:jc w:val="right"/>
            </w:pPr>
            <w:r>
              <w:t xml:space="preserve"> 25,456,841.48 </w:t>
            </w:r>
          </w:p>
        </w:tc>
        <w:tc>
          <w:tcPr>
            <w:tcW w:w="654" w:type="pct"/>
          </w:tcPr>
          <w:p>
            <w:pPr>
              <w:jc w:val="right"/>
            </w:pPr>
            <w:r>
              <w:t xml:space="preserve"> 24,783,041.83 </w:t>
            </w:r>
          </w:p>
        </w:tc>
        <w:tc>
          <w:tcPr>
            <w:tcW w:w="654" w:type="pct"/>
          </w:tcPr>
          <w:p>
            <w:pPr>
              <w:jc w:val="right"/>
            </w:pPr>
            <w:r>
              <w:t xml:space="preserve"> 7,162,623.09 </w:t>
            </w:r>
          </w:p>
        </w:tc>
        <w:tc>
          <w:tcPr>
            <w:tcW w:w="799" w:type="pct"/>
          </w:tcPr>
          <w:p>
            <w:pPr>
              <w:jc w:val="right"/>
            </w:pPr>
            <w:r>
              <w:t xml:space="preserve"> 504,040.02 </w:t>
            </w:r>
          </w:p>
        </w:tc>
        <w:tc>
          <w:tcPr>
            <w:tcW w:w="758" w:type="pct"/>
          </w:tcPr>
          <w:p>
            <w:pPr>
              <w:jc w:val="right"/>
            </w:pPr>
            <w:r>
              <w:t xml:space="preserve"> 57,906,546.42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（1）购置</w:t>
            </w:r>
          </w:p>
        </w:tc>
        <w:tc>
          <w:tcPr>
            <w:tcW w:w="654" w:type="pct"/>
          </w:tcPr>
          <w:p>
            <w:pPr>
              <w:jc w:val="right"/>
            </w:pPr>
            <w:r>
              <w:t xml:space="preserve"> 13,907,577.77 </w:t>
            </w:r>
          </w:p>
        </w:tc>
        <w:tc>
          <w:tcPr>
            <w:tcW w:w="654" w:type="pct"/>
          </w:tcPr>
          <w:p>
            <w:pPr>
              <w:jc w:val="right"/>
            </w:pPr>
            <w:r>
              <w:t xml:space="preserve"> 4,721,589.72 </w:t>
            </w:r>
          </w:p>
        </w:tc>
        <w:tc>
          <w:tcPr>
            <w:tcW w:w="654" w:type="pct"/>
          </w:tcPr>
          <w:p>
            <w:pPr>
              <w:jc w:val="right"/>
            </w:pPr>
            <w:r>
              <w:t xml:space="preserve"> 7,099,058.49 </w:t>
            </w:r>
          </w:p>
        </w:tc>
        <w:tc>
          <w:tcPr>
            <w:tcW w:w="799" w:type="pct"/>
          </w:tcPr>
          <w:p>
            <w:pPr>
              <w:jc w:val="right"/>
            </w:pPr>
            <w:r>
              <w:t xml:space="preserve"> 220,861.14 </w:t>
            </w:r>
          </w:p>
        </w:tc>
        <w:tc>
          <w:tcPr>
            <w:tcW w:w="758" w:type="pct"/>
          </w:tcPr>
          <w:p>
            <w:pPr>
              <w:jc w:val="right"/>
            </w:pPr>
            <w:r>
              <w:t xml:space="preserve"> 25,949,087.12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（2）在建工程转入</w:t>
            </w:r>
          </w:p>
        </w:tc>
        <w:tc>
          <w:tcPr>
            <w:tcW w:w="654" w:type="pct"/>
          </w:tcPr>
          <w:p>
            <w:pPr>
              <w:jc w:val="right"/>
            </w:pPr>
            <w:r>
              <w:t xml:space="preserve"> 11,549,263.71 </w:t>
            </w:r>
          </w:p>
        </w:tc>
        <w:tc>
          <w:tcPr>
            <w:tcW w:w="654" w:type="pct"/>
          </w:tcPr>
          <w:p>
            <w:pPr>
              <w:jc w:val="right"/>
            </w:pPr>
            <w:r>
              <w:t xml:space="preserve"> 20,061,452.11 </w:t>
            </w:r>
          </w:p>
        </w:tc>
        <w:tc>
          <w:tcPr>
            <w:tcW w:w="654" w:type="pct"/>
          </w:tcPr>
          <w:p>
            <w:pPr>
              <w:jc w:val="right"/>
            </w:pPr>
            <w:r>
              <w:t xml:space="preserve"> 63,564.60 </w:t>
            </w:r>
          </w:p>
        </w:tc>
        <w:tc>
          <w:tcPr>
            <w:tcW w:w="799" w:type="pct"/>
          </w:tcPr>
          <w:p>
            <w:pPr>
              <w:jc w:val="right"/>
            </w:pPr>
            <w:r>
              <w:t xml:space="preserve"> 83,250.55 </w:t>
            </w:r>
          </w:p>
        </w:tc>
        <w:tc>
          <w:tcPr>
            <w:tcW w:w="758" w:type="pct"/>
          </w:tcPr>
          <w:p>
            <w:pPr>
              <w:jc w:val="right"/>
            </w:pPr>
            <w:r>
              <w:t xml:space="preserve"> 31,757,530.97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（3）企业合并增加</w:t>
            </w:r>
          </w:p>
        </w:tc>
        <w:tc>
          <w:tcPr>
            <w:tcW w:w="654" w:type="pct"/>
          </w:tcPr>
          <w:p>
            <w:pPr>
              <w:jc w:val="right"/>
            </w:pPr>
          </w:p>
        </w:tc>
        <w:tc>
          <w:tcPr>
            <w:tcW w:w="654" w:type="pct"/>
          </w:tcPr>
          <w:p>
            <w:pPr>
              <w:jc w:val="right"/>
            </w:pPr>
          </w:p>
        </w:tc>
        <w:tc>
          <w:tcPr>
            <w:tcW w:w="654" w:type="pct"/>
          </w:tcPr>
          <w:p>
            <w:pPr>
              <w:jc w:val="right"/>
            </w:pPr>
          </w:p>
        </w:tc>
        <w:tc>
          <w:tcPr>
            <w:tcW w:w="799" w:type="pct"/>
          </w:tcPr>
          <w:p>
            <w:pPr>
              <w:jc w:val="right"/>
            </w:pPr>
            <w:r>
              <w:t xml:space="preserve"> 199,928.33 </w:t>
            </w:r>
          </w:p>
        </w:tc>
        <w:tc>
          <w:tcPr>
            <w:tcW w:w="758" w:type="pct"/>
          </w:tcPr>
          <w:p>
            <w:pPr>
              <w:jc w:val="right"/>
            </w:pPr>
            <w:r>
              <w:t xml:space="preserve"> 199,928.33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3.本期减少金额</w:t>
            </w:r>
          </w:p>
        </w:tc>
        <w:tc>
          <w:tcPr>
            <w:tcW w:w="654" w:type="pct"/>
          </w:tcPr>
          <w:p>
            <w:pPr>
              <w:jc w:val="right"/>
            </w:pPr>
          </w:p>
        </w:tc>
        <w:tc>
          <w:tcPr>
            <w:tcW w:w="654" w:type="pct"/>
          </w:tcPr>
          <w:p>
            <w:pPr>
              <w:jc w:val="right"/>
            </w:pPr>
            <w:r>
              <w:t xml:space="preserve"> 8,373,615.17 </w:t>
            </w:r>
          </w:p>
        </w:tc>
        <w:tc>
          <w:tcPr>
            <w:tcW w:w="654" w:type="pct"/>
          </w:tcPr>
          <w:p>
            <w:pPr>
              <w:jc w:val="right"/>
            </w:pPr>
            <w:r>
              <w:t xml:space="preserve"> 1,235,807.85 </w:t>
            </w:r>
          </w:p>
        </w:tc>
        <w:tc>
          <w:tcPr>
            <w:tcW w:w="799" w:type="pct"/>
          </w:tcPr>
          <w:p>
            <w:pPr>
              <w:jc w:val="right"/>
            </w:pPr>
            <w:r>
              <w:t xml:space="preserve"> 167,097.18 </w:t>
            </w:r>
          </w:p>
        </w:tc>
        <w:tc>
          <w:tcPr>
            <w:tcW w:w="758" w:type="pct"/>
          </w:tcPr>
          <w:p>
            <w:pPr>
              <w:jc w:val="right"/>
            </w:pPr>
            <w:r>
              <w:t xml:space="preserve"> 9,776,520.20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（1）处置或报废</w:t>
            </w:r>
          </w:p>
        </w:tc>
        <w:tc>
          <w:tcPr>
            <w:tcW w:w="654" w:type="pct"/>
          </w:tcPr>
          <w:p>
            <w:pPr>
              <w:jc w:val="right"/>
            </w:pPr>
          </w:p>
        </w:tc>
        <w:tc>
          <w:tcPr>
            <w:tcW w:w="654" w:type="pct"/>
          </w:tcPr>
          <w:p>
            <w:pPr>
              <w:jc w:val="right"/>
            </w:pPr>
            <w:r>
              <w:t xml:space="preserve"> 4,217,431.49 </w:t>
            </w:r>
          </w:p>
        </w:tc>
        <w:tc>
          <w:tcPr>
            <w:tcW w:w="654" w:type="pct"/>
          </w:tcPr>
          <w:p>
            <w:pPr>
              <w:jc w:val="right"/>
            </w:pPr>
            <w:r>
              <w:t xml:space="preserve"> 1,235,807.85 </w:t>
            </w:r>
          </w:p>
        </w:tc>
        <w:tc>
          <w:tcPr>
            <w:tcW w:w="799" w:type="pct"/>
          </w:tcPr>
          <w:p>
            <w:pPr>
              <w:jc w:val="right"/>
            </w:pPr>
            <w:r>
              <w:t xml:space="preserve"> 167,097.18 </w:t>
            </w:r>
          </w:p>
        </w:tc>
        <w:tc>
          <w:tcPr>
            <w:tcW w:w="758" w:type="pct"/>
          </w:tcPr>
          <w:p>
            <w:pPr>
              <w:jc w:val="right"/>
            </w:pPr>
            <w:r>
              <w:t xml:space="preserve"> 5,620,336.52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vAlign w:val="center"/>
          </w:tcPr>
          <w:p>
            <w:pPr>
              <w:ind w:firstLine="210" w:firstLineChars="100"/>
            </w:pPr>
            <w:r>
              <w:t>（</w:t>
            </w:r>
            <w:r>
              <w:rPr>
                <w:rFonts w:hint="eastAsia"/>
              </w:rPr>
              <w:t>2</w:t>
            </w:r>
            <w:r>
              <w:t>）</w:t>
            </w:r>
            <w:bookmarkStart w:id="331" w:name="OLE_LINK14"/>
            <w:r>
              <w:rPr>
                <w:rFonts w:hint="eastAsia"/>
              </w:rPr>
              <w:t>转入在建工程</w:t>
            </w:r>
            <w:bookmarkEnd w:id="331"/>
          </w:p>
        </w:tc>
        <w:tc>
          <w:tcPr>
            <w:tcW w:w="654" w:type="pct"/>
          </w:tcPr>
          <w:p>
            <w:pPr>
              <w:jc w:val="right"/>
            </w:pPr>
          </w:p>
        </w:tc>
        <w:tc>
          <w:tcPr>
            <w:tcW w:w="654" w:type="pct"/>
          </w:tcPr>
          <w:p>
            <w:pPr>
              <w:jc w:val="right"/>
            </w:pPr>
            <w:r>
              <w:t xml:space="preserve"> 4,156,183.68 </w:t>
            </w:r>
          </w:p>
        </w:tc>
        <w:tc>
          <w:tcPr>
            <w:tcW w:w="654" w:type="pct"/>
          </w:tcPr>
          <w:p>
            <w:pPr>
              <w:jc w:val="right"/>
            </w:pPr>
          </w:p>
        </w:tc>
        <w:tc>
          <w:tcPr>
            <w:tcW w:w="799" w:type="pct"/>
          </w:tcPr>
          <w:p>
            <w:pPr>
              <w:jc w:val="right"/>
            </w:pPr>
          </w:p>
        </w:tc>
        <w:tc>
          <w:tcPr>
            <w:tcW w:w="758" w:type="pct"/>
          </w:tcPr>
          <w:p>
            <w:pPr>
              <w:jc w:val="right"/>
            </w:pPr>
            <w:r>
              <w:t xml:space="preserve"> 4,156,183.68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4.期末余额</w:t>
            </w:r>
          </w:p>
        </w:tc>
        <w:tc>
          <w:tcPr>
            <w:tcW w:w="654" w:type="pct"/>
          </w:tcPr>
          <w:p>
            <w:pPr>
              <w:jc w:val="right"/>
            </w:pPr>
            <w:r>
              <w:t xml:space="preserve"> 1,284,726,263.13 </w:t>
            </w:r>
          </w:p>
        </w:tc>
        <w:tc>
          <w:tcPr>
            <w:tcW w:w="654" w:type="pct"/>
          </w:tcPr>
          <w:p>
            <w:pPr>
              <w:jc w:val="right"/>
            </w:pPr>
            <w:r>
              <w:t xml:space="preserve"> 1,331,480,024.37 </w:t>
            </w:r>
          </w:p>
        </w:tc>
        <w:tc>
          <w:tcPr>
            <w:tcW w:w="654" w:type="pct"/>
          </w:tcPr>
          <w:p>
            <w:pPr>
              <w:jc w:val="right"/>
            </w:pPr>
            <w:r>
              <w:t xml:space="preserve"> 42,768,525.47 </w:t>
            </w:r>
          </w:p>
        </w:tc>
        <w:tc>
          <w:tcPr>
            <w:tcW w:w="799" w:type="pct"/>
          </w:tcPr>
          <w:p>
            <w:pPr>
              <w:jc w:val="right"/>
            </w:pPr>
            <w:r>
              <w:t xml:space="preserve"> 42,765,471.80 </w:t>
            </w:r>
          </w:p>
        </w:tc>
        <w:tc>
          <w:tcPr>
            <w:tcW w:w="758" w:type="pct"/>
          </w:tcPr>
          <w:p>
            <w:pPr>
              <w:jc w:val="right"/>
            </w:pPr>
            <w:r>
              <w:t xml:space="preserve"> 2,701,740,284.77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3b9a984e6e834331844252acd1c6a321"/>
            <w:id w:val="160740423"/>
          </w:sdtPr>
          <w:sdtContent>
            <w:tc>
              <w:tcPr>
                <w:tcW w:w="5000" w:type="pct"/>
                <w:gridSpan w:val="6"/>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二、累计折旧</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期初余额</w:t>
            </w:r>
          </w:p>
        </w:tc>
        <w:tc>
          <w:tcPr>
            <w:tcW w:w="654" w:type="pct"/>
          </w:tcPr>
          <w:p>
            <w:pPr>
              <w:jc w:val="right"/>
            </w:pPr>
            <w:r>
              <w:t xml:space="preserve"> 253,447,243.71 </w:t>
            </w:r>
          </w:p>
        </w:tc>
        <w:tc>
          <w:tcPr>
            <w:tcW w:w="654" w:type="pct"/>
          </w:tcPr>
          <w:p>
            <w:pPr>
              <w:jc w:val="right"/>
            </w:pPr>
            <w:r>
              <w:t xml:space="preserve"> 444,095,219.48 </w:t>
            </w:r>
          </w:p>
        </w:tc>
        <w:tc>
          <w:tcPr>
            <w:tcW w:w="654" w:type="pct"/>
          </w:tcPr>
          <w:p>
            <w:pPr>
              <w:jc w:val="right"/>
            </w:pPr>
            <w:r>
              <w:t xml:space="preserve"> 11,813,323.29 </w:t>
            </w:r>
          </w:p>
        </w:tc>
        <w:tc>
          <w:tcPr>
            <w:tcW w:w="799" w:type="pct"/>
          </w:tcPr>
          <w:p>
            <w:pPr>
              <w:jc w:val="right"/>
            </w:pPr>
            <w:r>
              <w:t xml:space="preserve"> 20,750,303.48 </w:t>
            </w:r>
          </w:p>
        </w:tc>
        <w:tc>
          <w:tcPr>
            <w:tcW w:w="758" w:type="pct"/>
          </w:tcPr>
          <w:p>
            <w:pPr>
              <w:jc w:val="right"/>
            </w:pPr>
            <w:r>
              <w:t xml:space="preserve"> 730,106,089.96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本期增加金额</w:t>
            </w:r>
          </w:p>
        </w:tc>
        <w:tc>
          <w:tcPr>
            <w:tcW w:w="654" w:type="pct"/>
          </w:tcPr>
          <w:p>
            <w:pPr>
              <w:jc w:val="right"/>
            </w:pPr>
            <w:r>
              <w:t xml:space="preserve"> 30,938,052.01 </w:t>
            </w:r>
          </w:p>
        </w:tc>
        <w:tc>
          <w:tcPr>
            <w:tcW w:w="654" w:type="pct"/>
          </w:tcPr>
          <w:p>
            <w:pPr>
              <w:jc w:val="right"/>
            </w:pPr>
            <w:r>
              <w:t xml:space="preserve"> 67,047,220.35 </w:t>
            </w:r>
          </w:p>
        </w:tc>
        <w:tc>
          <w:tcPr>
            <w:tcW w:w="654" w:type="pct"/>
          </w:tcPr>
          <w:p>
            <w:pPr>
              <w:jc w:val="right"/>
            </w:pPr>
            <w:r>
              <w:t xml:space="preserve"> 3,220,764.32 </w:t>
            </w:r>
          </w:p>
        </w:tc>
        <w:tc>
          <w:tcPr>
            <w:tcW w:w="799" w:type="pct"/>
          </w:tcPr>
          <w:p>
            <w:pPr>
              <w:jc w:val="right"/>
            </w:pPr>
            <w:r>
              <w:t xml:space="preserve"> 3,605,260.85 </w:t>
            </w:r>
          </w:p>
        </w:tc>
        <w:tc>
          <w:tcPr>
            <w:tcW w:w="758" w:type="pct"/>
          </w:tcPr>
          <w:p>
            <w:pPr>
              <w:jc w:val="right"/>
            </w:pPr>
            <w:r>
              <w:t xml:space="preserve"> 104,811,297.53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（1）计提</w:t>
            </w:r>
          </w:p>
        </w:tc>
        <w:tc>
          <w:tcPr>
            <w:tcW w:w="654" w:type="pct"/>
          </w:tcPr>
          <w:p>
            <w:pPr>
              <w:jc w:val="right"/>
            </w:pPr>
            <w:r>
              <w:t xml:space="preserve"> 30,938,052.01 </w:t>
            </w:r>
          </w:p>
        </w:tc>
        <w:tc>
          <w:tcPr>
            <w:tcW w:w="654" w:type="pct"/>
          </w:tcPr>
          <w:p>
            <w:pPr>
              <w:jc w:val="right"/>
            </w:pPr>
            <w:r>
              <w:t xml:space="preserve"> 67,047,220.35 </w:t>
            </w:r>
          </w:p>
        </w:tc>
        <w:tc>
          <w:tcPr>
            <w:tcW w:w="654" w:type="pct"/>
          </w:tcPr>
          <w:p>
            <w:pPr>
              <w:jc w:val="right"/>
            </w:pPr>
            <w:r>
              <w:t xml:space="preserve"> 3,220,764.32 </w:t>
            </w:r>
          </w:p>
        </w:tc>
        <w:tc>
          <w:tcPr>
            <w:tcW w:w="799" w:type="pct"/>
          </w:tcPr>
          <w:p>
            <w:pPr>
              <w:jc w:val="right"/>
            </w:pPr>
            <w:r>
              <w:t xml:space="preserve"> 3,580,024.24 </w:t>
            </w:r>
          </w:p>
        </w:tc>
        <w:tc>
          <w:tcPr>
            <w:tcW w:w="758" w:type="pct"/>
          </w:tcPr>
          <w:p>
            <w:pPr>
              <w:jc w:val="right"/>
            </w:pPr>
            <w:r>
              <w:t xml:space="preserve"> 104,786,060.92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ind w:firstLine="210" w:firstLineChars="100"/>
            </w:pPr>
            <w:r>
              <w:t>（</w:t>
            </w:r>
            <w:r>
              <w:rPr>
                <w:rFonts w:hint="eastAsia"/>
              </w:rPr>
              <w:t>2</w:t>
            </w:r>
            <w:r>
              <w:t>）企业合并增加</w:t>
            </w:r>
          </w:p>
        </w:tc>
        <w:tc>
          <w:tcPr>
            <w:tcW w:w="654" w:type="pct"/>
          </w:tcPr>
          <w:p>
            <w:pPr>
              <w:jc w:val="right"/>
            </w:pPr>
          </w:p>
        </w:tc>
        <w:tc>
          <w:tcPr>
            <w:tcW w:w="654" w:type="pct"/>
          </w:tcPr>
          <w:p>
            <w:pPr>
              <w:jc w:val="right"/>
            </w:pPr>
          </w:p>
        </w:tc>
        <w:tc>
          <w:tcPr>
            <w:tcW w:w="654" w:type="pct"/>
          </w:tcPr>
          <w:p>
            <w:pPr>
              <w:jc w:val="right"/>
            </w:pPr>
          </w:p>
        </w:tc>
        <w:tc>
          <w:tcPr>
            <w:tcW w:w="799" w:type="pct"/>
          </w:tcPr>
          <w:p>
            <w:pPr>
              <w:jc w:val="right"/>
            </w:pPr>
            <w:r>
              <w:t xml:space="preserve"> 25,236.61 </w:t>
            </w:r>
          </w:p>
        </w:tc>
        <w:tc>
          <w:tcPr>
            <w:tcW w:w="758" w:type="pct"/>
          </w:tcPr>
          <w:p>
            <w:pPr>
              <w:jc w:val="right"/>
            </w:pPr>
            <w:r>
              <w:t xml:space="preserve"> 25,236.61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3.本期减少金额</w:t>
            </w:r>
          </w:p>
        </w:tc>
        <w:tc>
          <w:tcPr>
            <w:tcW w:w="654" w:type="pct"/>
          </w:tcPr>
          <w:p>
            <w:pPr>
              <w:jc w:val="right"/>
            </w:pPr>
          </w:p>
        </w:tc>
        <w:tc>
          <w:tcPr>
            <w:tcW w:w="654" w:type="pct"/>
          </w:tcPr>
          <w:p>
            <w:pPr>
              <w:jc w:val="right"/>
            </w:pPr>
            <w:r>
              <w:t xml:space="preserve"> 4,462,736.14 </w:t>
            </w:r>
          </w:p>
        </w:tc>
        <w:tc>
          <w:tcPr>
            <w:tcW w:w="654" w:type="pct"/>
          </w:tcPr>
          <w:p>
            <w:pPr>
              <w:jc w:val="right"/>
            </w:pPr>
            <w:r>
              <w:t xml:space="preserve"> 925,310.58 </w:t>
            </w:r>
          </w:p>
        </w:tc>
        <w:tc>
          <w:tcPr>
            <w:tcW w:w="799" w:type="pct"/>
          </w:tcPr>
          <w:p>
            <w:pPr>
              <w:jc w:val="right"/>
            </w:pPr>
            <w:r>
              <w:t xml:space="preserve"> 158,742.32 </w:t>
            </w:r>
          </w:p>
        </w:tc>
        <w:tc>
          <w:tcPr>
            <w:tcW w:w="758" w:type="pct"/>
          </w:tcPr>
          <w:p>
            <w:pPr>
              <w:jc w:val="right"/>
            </w:pPr>
            <w:r>
              <w:t xml:space="preserve"> 5,546,789.04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（1）处置或报废</w:t>
            </w:r>
          </w:p>
        </w:tc>
        <w:tc>
          <w:tcPr>
            <w:tcW w:w="654" w:type="pct"/>
          </w:tcPr>
          <w:p>
            <w:pPr>
              <w:jc w:val="right"/>
            </w:pPr>
          </w:p>
        </w:tc>
        <w:tc>
          <w:tcPr>
            <w:tcW w:w="654" w:type="pct"/>
          </w:tcPr>
          <w:p>
            <w:pPr>
              <w:jc w:val="right"/>
            </w:pPr>
            <w:r>
              <w:t xml:space="preserve"> 3,870,480.04 </w:t>
            </w:r>
          </w:p>
        </w:tc>
        <w:tc>
          <w:tcPr>
            <w:tcW w:w="654" w:type="pct"/>
          </w:tcPr>
          <w:p>
            <w:pPr>
              <w:jc w:val="right"/>
            </w:pPr>
            <w:r>
              <w:t xml:space="preserve"> 925,310.58 </w:t>
            </w:r>
          </w:p>
        </w:tc>
        <w:tc>
          <w:tcPr>
            <w:tcW w:w="799" w:type="pct"/>
          </w:tcPr>
          <w:p>
            <w:pPr>
              <w:jc w:val="right"/>
            </w:pPr>
            <w:r>
              <w:t xml:space="preserve"> 158,742.32 </w:t>
            </w:r>
          </w:p>
        </w:tc>
        <w:tc>
          <w:tcPr>
            <w:tcW w:w="758" w:type="pct"/>
          </w:tcPr>
          <w:p>
            <w:pPr>
              <w:jc w:val="right"/>
            </w:pPr>
            <w:r>
              <w:t xml:space="preserve"> 4,954,532.94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ind w:firstLine="210" w:firstLineChars="100"/>
            </w:pPr>
            <w:r>
              <w:t>（</w:t>
            </w:r>
            <w:r>
              <w:rPr>
                <w:rFonts w:hint="eastAsia"/>
              </w:rPr>
              <w:t>2</w:t>
            </w:r>
            <w:r>
              <w:t>）转入在建工程</w:t>
            </w:r>
          </w:p>
        </w:tc>
        <w:tc>
          <w:tcPr>
            <w:tcW w:w="654" w:type="pct"/>
          </w:tcPr>
          <w:p>
            <w:pPr>
              <w:jc w:val="right"/>
            </w:pPr>
          </w:p>
        </w:tc>
        <w:tc>
          <w:tcPr>
            <w:tcW w:w="654" w:type="pct"/>
          </w:tcPr>
          <w:p>
            <w:pPr>
              <w:jc w:val="right"/>
            </w:pPr>
            <w:r>
              <w:t xml:space="preserve"> 592,256.10 </w:t>
            </w:r>
          </w:p>
        </w:tc>
        <w:tc>
          <w:tcPr>
            <w:tcW w:w="654" w:type="pct"/>
          </w:tcPr>
          <w:p>
            <w:pPr>
              <w:jc w:val="right"/>
            </w:pPr>
          </w:p>
        </w:tc>
        <w:tc>
          <w:tcPr>
            <w:tcW w:w="799" w:type="pct"/>
          </w:tcPr>
          <w:p>
            <w:pPr>
              <w:jc w:val="right"/>
            </w:pPr>
          </w:p>
        </w:tc>
        <w:tc>
          <w:tcPr>
            <w:tcW w:w="758" w:type="pct"/>
          </w:tcPr>
          <w:p>
            <w:pPr>
              <w:jc w:val="right"/>
            </w:pPr>
            <w:r>
              <w:t xml:space="preserve"> 592,256.10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4.期末余额</w:t>
            </w:r>
          </w:p>
        </w:tc>
        <w:tc>
          <w:tcPr>
            <w:tcW w:w="654" w:type="pct"/>
          </w:tcPr>
          <w:p>
            <w:pPr>
              <w:jc w:val="right"/>
            </w:pPr>
            <w:r>
              <w:t xml:space="preserve"> 284,385,295.72 </w:t>
            </w:r>
          </w:p>
        </w:tc>
        <w:tc>
          <w:tcPr>
            <w:tcW w:w="654" w:type="pct"/>
          </w:tcPr>
          <w:p>
            <w:pPr>
              <w:jc w:val="right"/>
            </w:pPr>
            <w:r>
              <w:t xml:space="preserve"> 506,679,703.69 </w:t>
            </w:r>
          </w:p>
        </w:tc>
        <w:tc>
          <w:tcPr>
            <w:tcW w:w="654" w:type="pct"/>
          </w:tcPr>
          <w:p>
            <w:pPr>
              <w:jc w:val="right"/>
            </w:pPr>
            <w:r>
              <w:t xml:space="preserve"> 14,108,777.03 </w:t>
            </w:r>
          </w:p>
        </w:tc>
        <w:tc>
          <w:tcPr>
            <w:tcW w:w="799" w:type="pct"/>
          </w:tcPr>
          <w:p>
            <w:pPr>
              <w:jc w:val="right"/>
            </w:pPr>
            <w:r>
              <w:t xml:space="preserve"> 24,196,822.01 </w:t>
            </w:r>
          </w:p>
        </w:tc>
        <w:tc>
          <w:tcPr>
            <w:tcW w:w="758" w:type="pct"/>
          </w:tcPr>
          <w:p>
            <w:pPr>
              <w:jc w:val="right"/>
            </w:pPr>
            <w:r>
              <w:t xml:space="preserve"> 829,370,598.45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662c84047b6d41648e46d047cc9b134a"/>
            <w:id w:val="1758391493"/>
          </w:sdtPr>
          <w:sdtContent>
            <w:tc>
              <w:tcPr>
                <w:tcW w:w="5000" w:type="pct"/>
                <w:gridSpan w:val="6"/>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三、减值准备</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期初余额</w:t>
            </w:r>
          </w:p>
        </w:tc>
        <w:tc>
          <w:tcPr>
            <w:tcW w:w="654" w:type="pct"/>
            <w:vAlign w:val="center"/>
          </w:tcPr>
          <w:p>
            <w:pPr>
              <w:jc w:val="right"/>
            </w:pPr>
          </w:p>
        </w:tc>
        <w:tc>
          <w:tcPr>
            <w:tcW w:w="654" w:type="pct"/>
            <w:vAlign w:val="center"/>
          </w:tcPr>
          <w:p>
            <w:pPr>
              <w:jc w:val="right"/>
            </w:pPr>
          </w:p>
        </w:tc>
        <w:tc>
          <w:tcPr>
            <w:tcW w:w="654" w:type="pct"/>
            <w:vAlign w:val="center"/>
          </w:tcPr>
          <w:p>
            <w:pPr>
              <w:jc w:val="right"/>
            </w:pPr>
          </w:p>
        </w:tc>
        <w:tc>
          <w:tcPr>
            <w:tcW w:w="799" w:type="pct"/>
            <w:vAlign w:val="center"/>
          </w:tcPr>
          <w:p>
            <w:pPr>
              <w:jc w:val="right"/>
            </w:pPr>
          </w:p>
        </w:tc>
        <w:tc>
          <w:tcPr>
            <w:tcW w:w="758"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本期增加金额</w:t>
            </w:r>
          </w:p>
        </w:tc>
        <w:tc>
          <w:tcPr>
            <w:tcW w:w="654" w:type="pct"/>
            <w:vAlign w:val="center"/>
          </w:tcPr>
          <w:p>
            <w:pPr>
              <w:jc w:val="right"/>
            </w:pPr>
          </w:p>
        </w:tc>
        <w:tc>
          <w:tcPr>
            <w:tcW w:w="654" w:type="pct"/>
            <w:vAlign w:val="center"/>
          </w:tcPr>
          <w:p>
            <w:pPr>
              <w:jc w:val="right"/>
            </w:pPr>
          </w:p>
        </w:tc>
        <w:tc>
          <w:tcPr>
            <w:tcW w:w="654" w:type="pct"/>
            <w:vAlign w:val="center"/>
          </w:tcPr>
          <w:p>
            <w:pPr>
              <w:jc w:val="right"/>
            </w:pPr>
          </w:p>
        </w:tc>
        <w:tc>
          <w:tcPr>
            <w:tcW w:w="799" w:type="pct"/>
            <w:vAlign w:val="center"/>
          </w:tcPr>
          <w:p>
            <w:pPr>
              <w:jc w:val="right"/>
            </w:pPr>
          </w:p>
        </w:tc>
        <w:tc>
          <w:tcPr>
            <w:tcW w:w="758"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（1）计提</w:t>
            </w:r>
          </w:p>
        </w:tc>
        <w:tc>
          <w:tcPr>
            <w:tcW w:w="654" w:type="pct"/>
            <w:vAlign w:val="center"/>
          </w:tcPr>
          <w:p>
            <w:pPr>
              <w:jc w:val="right"/>
            </w:pPr>
          </w:p>
        </w:tc>
        <w:tc>
          <w:tcPr>
            <w:tcW w:w="654" w:type="pct"/>
            <w:vAlign w:val="center"/>
          </w:tcPr>
          <w:p>
            <w:pPr>
              <w:jc w:val="right"/>
            </w:pPr>
          </w:p>
        </w:tc>
        <w:tc>
          <w:tcPr>
            <w:tcW w:w="654" w:type="pct"/>
            <w:vAlign w:val="center"/>
          </w:tcPr>
          <w:p>
            <w:pPr>
              <w:jc w:val="right"/>
            </w:pPr>
          </w:p>
        </w:tc>
        <w:tc>
          <w:tcPr>
            <w:tcW w:w="799" w:type="pct"/>
            <w:vAlign w:val="center"/>
          </w:tcPr>
          <w:p>
            <w:pPr>
              <w:jc w:val="right"/>
            </w:pPr>
          </w:p>
        </w:tc>
        <w:tc>
          <w:tcPr>
            <w:tcW w:w="758"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3.本期减少金额</w:t>
            </w:r>
          </w:p>
        </w:tc>
        <w:tc>
          <w:tcPr>
            <w:tcW w:w="654" w:type="pct"/>
            <w:vAlign w:val="center"/>
          </w:tcPr>
          <w:p>
            <w:pPr>
              <w:jc w:val="right"/>
            </w:pPr>
          </w:p>
        </w:tc>
        <w:tc>
          <w:tcPr>
            <w:tcW w:w="654" w:type="pct"/>
            <w:vAlign w:val="center"/>
          </w:tcPr>
          <w:p>
            <w:pPr>
              <w:jc w:val="right"/>
            </w:pPr>
          </w:p>
        </w:tc>
        <w:tc>
          <w:tcPr>
            <w:tcW w:w="654" w:type="pct"/>
            <w:vAlign w:val="center"/>
          </w:tcPr>
          <w:p>
            <w:pPr>
              <w:jc w:val="right"/>
            </w:pPr>
          </w:p>
        </w:tc>
        <w:tc>
          <w:tcPr>
            <w:tcW w:w="799" w:type="pct"/>
            <w:vAlign w:val="center"/>
          </w:tcPr>
          <w:p>
            <w:pPr>
              <w:jc w:val="right"/>
            </w:pPr>
          </w:p>
        </w:tc>
        <w:tc>
          <w:tcPr>
            <w:tcW w:w="758"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（1）处置或报废</w:t>
            </w:r>
          </w:p>
        </w:tc>
        <w:tc>
          <w:tcPr>
            <w:tcW w:w="654" w:type="pct"/>
            <w:vAlign w:val="center"/>
          </w:tcPr>
          <w:p>
            <w:pPr>
              <w:jc w:val="right"/>
            </w:pPr>
          </w:p>
        </w:tc>
        <w:tc>
          <w:tcPr>
            <w:tcW w:w="654" w:type="pct"/>
            <w:vAlign w:val="center"/>
          </w:tcPr>
          <w:p>
            <w:pPr>
              <w:jc w:val="right"/>
            </w:pPr>
          </w:p>
        </w:tc>
        <w:tc>
          <w:tcPr>
            <w:tcW w:w="654" w:type="pct"/>
            <w:vAlign w:val="center"/>
          </w:tcPr>
          <w:p>
            <w:pPr>
              <w:jc w:val="right"/>
            </w:pPr>
          </w:p>
        </w:tc>
        <w:tc>
          <w:tcPr>
            <w:tcW w:w="799" w:type="pct"/>
            <w:vAlign w:val="center"/>
          </w:tcPr>
          <w:p>
            <w:pPr>
              <w:jc w:val="right"/>
            </w:pPr>
          </w:p>
        </w:tc>
        <w:tc>
          <w:tcPr>
            <w:tcW w:w="758"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4.期末余额</w:t>
            </w:r>
          </w:p>
        </w:tc>
        <w:tc>
          <w:tcPr>
            <w:tcW w:w="654" w:type="pct"/>
            <w:vAlign w:val="center"/>
          </w:tcPr>
          <w:p>
            <w:pPr>
              <w:jc w:val="right"/>
            </w:pPr>
          </w:p>
        </w:tc>
        <w:tc>
          <w:tcPr>
            <w:tcW w:w="654" w:type="pct"/>
            <w:vAlign w:val="center"/>
          </w:tcPr>
          <w:p>
            <w:pPr>
              <w:jc w:val="right"/>
            </w:pPr>
          </w:p>
        </w:tc>
        <w:tc>
          <w:tcPr>
            <w:tcW w:w="654" w:type="pct"/>
            <w:vAlign w:val="center"/>
          </w:tcPr>
          <w:p>
            <w:pPr>
              <w:jc w:val="right"/>
            </w:pPr>
          </w:p>
        </w:tc>
        <w:tc>
          <w:tcPr>
            <w:tcW w:w="799" w:type="pct"/>
            <w:vAlign w:val="center"/>
          </w:tcPr>
          <w:p>
            <w:pPr>
              <w:jc w:val="right"/>
            </w:pPr>
          </w:p>
        </w:tc>
        <w:tc>
          <w:tcPr>
            <w:tcW w:w="758"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bea29c32f5204124a483fa6e274ca7df"/>
            <w:id w:val="-1351025033"/>
          </w:sdtPr>
          <w:sdtContent>
            <w:tc>
              <w:tcPr>
                <w:tcW w:w="5000" w:type="pct"/>
                <w:gridSpan w:val="6"/>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四、账面价值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1.期末账面价值</w:t>
            </w:r>
          </w:p>
        </w:tc>
        <w:tc>
          <w:tcPr>
            <w:tcW w:w="654" w:type="pct"/>
          </w:tcPr>
          <w:p>
            <w:pPr>
              <w:jc w:val="right"/>
            </w:pPr>
            <w:r>
              <w:t xml:space="preserve"> 1,000,340,967.41 </w:t>
            </w:r>
          </w:p>
        </w:tc>
        <w:tc>
          <w:tcPr>
            <w:tcW w:w="654" w:type="pct"/>
          </w:tcPr>
          <w:p>
            <w:pPr>
              <w:jc w:val="right"/>
            </w:pPr>
            <w:r>
              <w:t xml:space="preserve"> 824,800,320.68 </w:t>
            </w:r>
          </w:p>
        </w:tc>
        <w:tc>
          <w:tcPr>
            <w:tcW w:w="654" w:type="pct"/>
          </w:tcPr>
          <w:p>
            <w:pPr>
              <w:jc w:val="right"/>
            </w:pPr>
            <w:r>
              <w:t xml:space="preserve"> 28,659,748.44 </w:t>
            </w:r>
          </w:p>
        </w:tc>
        <w:tc>
          <w:tcPr>
            <w:tcW w:w="799" w:type="pct"/>
          </w:tcPr>
          <w:p>
            <w:pPr>
              <w:jc w:val="right"/>
            </w:pPr>
            <w:r>
              <w:t xml:space="preserve"> 18,568,649.79 </w:t>
            </w:r>
          </w:p>
        </w:tc>
        <w:tc>
          <w:tcPr>
            <w:tcW w:w="758" w:type="pct"/>
          </w:tcPr>
          <w:p>
            <w:pPr>
              <w:jc w:val="right"/>
            </w:pPr>
            <w:r>
              <w:t xml:space="preserve"> 1,872,369,686.32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481"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2.期初账面价值</w:t>
            </w:r>
          </w:p>
        </w:tc>
        <w:tc>
          <w:tcPr>
            <w:tcW w:w="654" w:type="pct"/>
          </w:tcPr>
          <w:p>
            <w:pPr>
              <w:jc w:val="right"/>
            </w:pPr>
            <w:r>
              <w:t xml:space="preserve"> 1,005,822,177.94 </w:t>
            </w:r>
          </w:p>
        </w:tc>
        <w:tc>
          <w:tcPr>
            <w:tcW w:w="654" w:type="pct"/>
          </w:tcPr>
          <w:p>
            <w:pPr>
              <w:jc w:val="right"/>
            </w:pPr>
            <w:r>
              <w:t xml:space="preserve"> 870,975,378.23 </w:t>
            </w:r>
          </w:p>
        </w:tc>
        <w:tc>
          <w:tcPr>
            <w:tcW w:w="654" w:type="pct"/>
          </w:tcPr>
          <w:p>
            <w:pPr>
              <w:jc w:val="right"/>
            </w:pPr>
            <w:r>
              <w:t xml:space="preserve"> 25,028,386.94 </w:t>
            </w:r>
          </w:p>
        </w:tc>
        <w:tc>
          <w:tcPr>
            <w:tcW w:w="799" w:type="pct"/>
          </w:tcPr>
          <w:p>
            <w:pPr>
              <w:jc w:val="right"/>
            </w:pPr>
            <w:r>
              <w:t xml:space="preserve"> 21,678,225.48 </w:t>
            </w:r>
          </w:p>
        </w:tc>
        <w:tc>
          <w:tcPr>
            <w:tcW w:w="758" w:type="pct"/>
          </w:tcPr>
          <w:p>
            <w:pPr>
              <w:jc w:val="right"/>
            </w:pPr>
            <w:r>
              <w:t xml:space="preserve"> 1,923,504,168.59 </w:t>
            </w:r>
          </w:p>
        </w:tc>
      </w:tr>
    </w:tbl>
    <w:p>
      <w:pPr>
        <w:pStyle w:val="6"/>
        <w:numPr>
          <w:ilvl w:val="0"/>
          <w:numId w:val="54"/>
        </w:numPr>
      </w:pPr>
      <w:r>
        <w:rPr>
          <w:rFonts w:hint="eastAsia"/>
        </w:rPr>
        <w:t>暂时闲置的固定资产情况</w:t>
      </w:r>
    </w:p>
    <w:sdt>
      <w:sdtPr>
        <w:rPr>
          <w:color w:val="000000" w:themeColor="text1"/>
          <w14:textFill>
            <w14:solidFill>
              <w14:schemeClr w14:val="tx1"/>
            </w14:solidFill>
          </w14:textFill>
        </w:rPr>
        <w:alias w:val="是否适用：暂时闲置的固定资产情况[双击切换]"/>
        <w:tag w:val="_GBC_ca31f29118c7481f95f99a2655f8c1e1"/>
        <w:id w:val="-210409678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6"/>
        <w:numPr>
          <w:ilvl w:val="0"/>
          <w:numId w:val="54"/>
        </w:numPr>
      </w:pPr>
      <w:r>
        <w:rPr>
          <w:rFonts w:hint="eastAsia"/>
        </w:rPr>
        <w:t>通过经营租赁租出的固定资产</w:t>
      </w:r>
    </w:p>
    <w:sdt>
      <w:sdtPr>
        <w:rPr>
          <w:color w:val="000000" w:themeColor="text1"/>
          <w14:textFill>
            <w14:solidFill>
              <w14:schemeClr w14:val="tx1"/>
            </w14:solidFill>
          </w14:textFill>
        </w:rPr>
        <w:alias w:val="是否适用：通过经营租赁租出的固定资产[双击切换]"/>
        <w:tag w:val="_GBC_251e1c74f40b47869d759974b0f6a463"/>
        <w:id w:val="-82951807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通过经营租赁租出的固定资产"/>
          <w:tag w:val="_GBC_a1b158033c164dbe8e4b29749873c766"/>
          <w:id w:val="19506619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通过经营租赁租出的固定资产"/>
          <w:tag w:val="_GBC_e4a5a39e4afb42bc8f9ecc37f1fd4c4b"/>
          <w:id w:val="45645437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67"/>
        <w:gridCol w:w="7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eb604de598c4a599cc90a86ae48c29e"/>
            <w:id w:val="-12538043"/>
          </w:sdtPr>
          <w:sdtContent>
            <w:tc>
              <w:tcPr>
                <w:tcW w:w="2295"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87828bb122d64d2db1a342511bbbf1d2"/>
            <w:id w:val="1294251178"/>
          </w:sdtPr>
          <w:sdtContent>
            <w:tc>
              <w:tcPr>
                <w:tcW w:w="2705"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5" w:type="pct"/>
            <w:tcBorders>
              <w:top w:val="single" w:color="auto" w:sz="4" w:space="0"/>
              <w:left w:val="single" w:color="auto" w:sz="4" w:space="0"/>
              <w:bottom w:val="single" w:color="auto" w:sz="4" w:space="0"/>
              <w:right w:val="single" w:color="auto" w:sz="4" w:space="0"/>
            </w:tcBorders>
          </w:tcPr>
          <w:p>
            <w:pPr>
              <w:pStyle w:val="48"/>
            </w:pPr>
            <w:r>
              <w:rPr>
                <w:rFonts w:hint="eastAsia"/>
              </w:rPr>
              <w:t>房屋及建筑物</w:t>
            </w:r>
          </w:p>
        </w:tc>
        <w:tc>
          <w:tcPr>
            <w:tcW w:w="2705" w:type="pct"/>
            <w:tcBorders>
              <w:top w:val="single" w:color="auto" w:sz="4" w:space="0"/>
              <w:left w:val="single" w:color="auto" w:sz="4" w:space="0"/>
              <w:bottom w:val="single" w:color="auto" w:sz="4" w:space="0"/>
              <w:right w:val="single" w:color="auto" w:sz="4" w:space="0"/>
            </w:tcBorders>
          </w:tcPr>
          <w:p>
            <w:pPr>
              <w:jc w:val="right"/>
            </w:pPr>
            <w:r>
              <w:t>526,931.57</w:t>
            </w:r>
            <w:r>
              <w:rPr>
                <w:rFonts w:hint="eastAsi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5" w:type="pct"/>
            <w:tcBorders>
              <w:top w:val="single" w:color="auto" w:sz="4" w:space="0"/>
              <w:left w:val="single" w:color="auto" w:sz="4" w:space="0"/>
              <w:bottom w:val="single" w:color="auto" w:sz="4" w:space="0"/>
              <w:right w:val="single" w:color="auto" w:sz="4" w:space="0"/>
            </w:tcBorders>
          </w:tcPr>
          <w:p>
            <w:pPr>
              <w:jc w:val="center"/>
            </w:pPr>
            <w:r>
              <w:rPr>
                <w:rFonts w:hint="eastAsia"/>
              </w:rPr>
              <w:t>合计</w:t>
            </w:r>
          </w:p>
        </w:tc>
        <w:tc>
          <w:tcPr>
            <w:tcW w:w="2705" w:type="pct"/>
            <w:tcBorders>
              <w:top w:val="single" w:color="auto" w:sz="4" w:space="0"/>
              <w:left w:val="single" w:color="auto" w:sz="4" w:space="0"/>
              <w:bottom w:val="single" w:color="auto" w:sz="4" w:space="0"/>
              <w:right w:val="single" w:color="auto" w:sz="4" w:space="0"/>
            </w:tcBorders>
          </w:tcPr>
          <w:p>
            <w:pPr>
              <w:jc w:val="right"/>
            </w:pPr>
            <w:r>
              <w:t>526,931.57</w:t>
            </w:r>
            <w:r>
              <w:rPr>
                <w:rFonts w:hint="eastAsia"/>
              </w:rPr>
              <w:t xml:space="preserve"> </w:t>
            </w:r>
          </w:p>
        </w:tc>
      </w:tr>
    </w:tbl>
    <w:p>
      <w:pPr>
        <w:pStyle w:val="6"/>
        <w:numPr>
          <w:ilvl w:val="0"/>
          <w:numId w:val="54"/>
        </w:numPr>
      </w:pPr>
      <w:r>
        <w:rPr>
          <w:rFonts w:hint="eastAsia"/>
        </w:rPr>
        <w:t>未办妥产权证书的固定资产情况</w:t>
      </w:r>
    </w:p>
    <w:sdt>
      <w:sdtPr>
        <w:rPr>
          <w:color w:val="000000" w:themeColor="text1"/>
          <w14:textFill>
            <w14:solidFill>
              <w14:schemeClr w14:val="tx1"/>
            </w14:solidFill>
          </w14:textFill>
        </w:rPr>
        <w:alias w:val="是否适用：未办妥产权证书的固定资产情况[双击切换]"/>
        <w:tag w:val="_GBC_a26aa363313e4c8fbedf9041cd41bfc9"/>
        <w:id w:val="122133189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办妥产权证书的固定资产情况"/>
          <w:tag w:val="_GBC_b7780eb99c5c47be9731dc6ebe1dea77"/>
          <w:id w:val="-171294730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办妥产权证书的固定资产情况"/>
          <w:tag w:val="_GBC_07d37ddbabe745a3b375a7706f9047dc"/>
          <w:id w:val="-105569604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90"/>
        <w:gridCol w:w="4737"/>
        <w:gridCol w:w="4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347e8d2222c4d13aa7c3569cd05e439"/>
            <w:id w:val="1024369825"/>
          </w:sdtPr>
          <w:sdtContent>
            <w:tc>
              <w:tcPr>
                <w:tcW w:w="162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14c4b6f9d874d4c86e835843a896497"/>
            <w:id w:val="283777805"/>
          </w:sdtPr>
          <w:sdtContent>
            <w:tc>
              <w:tcPr>
                <w:tcW w:w="168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0735ea1c6b5c4a2395fde5f63b614530"/>
            <w:id w:val="383000948"/>
          </w:sdtPr>
          <w:sdtContent>
            <w:tc>
              <w:tcPr>
                <w:tcW w:w="169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未办妥产权证书的原因</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pct"/>
          </w:tcPr>
          <w:p>
            <w:pPr>
              <w:pStyle w:val="48"/>
            </w:pPr>
            <w:r>
              <w:rPr>
                <w:rFonts w:hint="eastAsia"/>
              </w:rPr>
              <w:t>房屋及建筑物</w:t>
            </w:r>
          </w:p>
        </w:tc>
        <w:tc>
          <w:tcPr>
            <w:tcW w:w="1681" w:type="pct"/>
          </w:tcPr>
          <w:p>
            <w:pPr>
              <w:jc w:val="right"/>
            </w:pPr>
            <w:r>
              <w:rPr>
                <w:rFonts w:hint="eastAsia"/>
              </w:rPr>
              <w:t xml:space="preserve"> 6,910,744.17 </w:t>
            </w:r>
          </w:p>
        </w:tc>
        <w:tc>
          <w:tcPr>
            <w:tcW w:w="1690" w:type="pct"/>
          </w:tcPr>
          <w:p>
            <w:pPr>
              <w:pStyle w:val="48"/>
            </w:pPr>
            <w:r>
              <w:rPr>
                <w:rFonts w:hint="eastAsia"/>
              </w:rPr>
              <w:t xml:space="preserve"> 正在办理中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9" w:type="pct"/>
          </w:tcPr>
          <w:p>
            <w:pPr>
              <w:jc w:val="center"/>
            </w:pPr>
            <w:r>
              <w:rPr>
                <w:rFonts w:hint="eastAsia"/>
              </w:rPr>
              <w:t>合计</w:t>
            </w:r>
          </w:p>
        </w:tc>
        <w:tc>
          <w:tcPr>
            <w:tcW w:w="1681" w:type="pct"/>
          </w:tcPr>
          <w:p>
            <w:pPr>
              <w:jc w:val="right"/>
            </w:pPr>
            <w:r>
              <w:rPr>
                <w:rFonts w:hint="eastAsia"/>
              </w:rPr>
              <w:t xml:space="preserve"> 6,910,744.17 </w:t>
            </w:r>
          </w:p>
        </w:tc>
        <w:tc>
          <w:tcPr>
            <w:tcW w:w="1690" w:type="pct"/>
          </w:tcPr>
          <w:p>
            <w:pPr>
              <w:pStyle w:val="48"/>
            </w:pPr>
          </w:p>
        </w:tc>
      </w:tr>
    </w:tbl>
    <w:p>
      <w:pPr>
        <w:pStyle w:val="6"/>
        <w:numPr>
          <w:ilvl w:val="0"/>
          <w:numId w:val="54"/>
        </w:numPr>
      </w:pPr>
      <w:bookmarkStart w:id="332" w:name="_Hlk153460880"/>
      <w:bookmarkStart w:id="333" w:name="_Hlk167957241"/>
      <w:r>
        <w:rPr>
          <w:rFonts w:hint="eastAsia"/>
        </w:rPr>
        <w:t>固定资产的减值测试情况</w:t>
      </w:r>
    </w:p>
    <w:sdt>
      <w:sdtPr>
        <w:rPr>
          <w:color w:val="000000" w:themeColor="text1"/>
          <w14:textFill>
            <w14:solidFill>
              <w14:schemeClr w14:val="tx1"/>
            </w14:solidFill>
          </w14:textFill>
        </w:rPr>
        <w:alias w:val="是否适用：减值测试情况[双击切换]"/>
        <w:tag w:val="_GBC_9a66caee6756422c9cb01da54631670e"/>
        <w:id w:val="-167132213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32"/>
    <w:bookmarkEnd w:id="333"/>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固定资产的说明[双击切换]"/>
        <w:tag w:val="_GBC_e2fd7087594d4949ada40807334de5fb"/>
        <w:id w:val="74645225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固定资产清理</w:t>
      </w:r>
    </w:p>
    <w:sdt>
      <w:sdtPr>
        <w:rPr>
          <w:color w:val="000000" w:themeColor="text1"/>
          <w14:textFill>
            <w14:solidFill>
              <w14:schemeClr w14:val="tx1"/>
            </w14:solidFill>
          </w14:textFill>
        </w:rPr>
        <w:alias w:val="是否适用：固定资产清理[双击切换]"/>
        <w:tag w:val="_GBC_d005d220fbda4cd2a58ced6d0d7a1404"/>
        <w:id w:val="-185580016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在建工程</w:t>
      </w:r>
    </w:p>
    <w:p>
      <w:pPr>
        <w:pStyle w:val="5"/>
        <w:rPr>
          <w:rFonts w:hint="eastAsia" w:ascii="宋体" w:hAnsi="宋体"/>
          <w:color w:val="000000" w:themeColor="text1"/>
          <w14:textFill>
            <w14:solidFill>
              <w14:schemeClr w14:val="tx1"/>
            </w14:solidFill>
          </w14:textFill>
        </w:rPr>
      </w:pPr>
      <w:bookmarkStart w:id="334" w:name="_Hlk10472757"/>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在建工程分类列示[双击切换]"/>
        <w:tag w:val="_GBC_bcbd4315343844fc923825dd150041e5"/>
        <w:id w:val="46979377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在建工程分类列示"/>
          <w:tag w:val="_GBC_9df8e16a6fb54a76b384d11e7a6dd52d"/>
          <w:id w:val="-189773834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在建工程分类列示"/>
          <w:tag w:val="_GBC_17b0bdb7b5f24e599fcea2e90510306a"/>
          <w:id w:val="-1916842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4974"/>
        <w:gridCol w:w="4574"/>
        <w:gridCol w:w="4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3a34a6496ee4454093b17b19ba9b805d"/>
            <w:id w:val="795496807"/>
          </w:sdtPr>
          <w:sdtContent>
            <w:tc>
              <w:tcPr>
                <w:tcW w:w="176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88973d2835334cdbb31181ad26b55912"/>
            <w:id w:val="1137076524"/>
          </w:sdtPr>
          <w:sdtContent>
            <w:tc>
              <w:tcPr>
                <w:tcW w:w="162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55f5bd8851c54b7897a165bee2df0273"/>
            <w:id w:val="95380988"/>
          </w:sdtPr>
          <w:sdtContent>
            <w:tc>
              <w:tcPr>
                <w:tcW w:w="161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764" w:type="pct"/>
          </w:tcPr>
          <w:p>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在建工程</w:t>
            </w:r>
          </w:p>
        </w:tc>
        <w:tc>
          <w:tcPr>
            <w:tcW w:w="1622" w:type="pct"/>
          </w:tcPr>
          <w:p>
            <w:pPr>
              <w:ind w:right="5"/>
              <w:jc w:val="right"/>
            </w:pPr>
            <w:r>
              <w:t xml:space="preserve"> 21,881,032.31 </w:t>
            </w:r>
          </w:p>
        </w:tc>
        <w:tc>
          <w:tcPr>
            <w:tcW w:w="1614" w:type="pct"/>
          </w:tcPr>
          <w:p>
            <w:pPr>
              <w:ind w:right="5"/>
              <w:jc w:val="right"/>
            </w:pPr>
            <w:r>
              <w:t xml:space="preserve"> 34,835,289.06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tcPr>
          <w:p>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工程物资</w:t>
            </w:r>
          </w:p>
        </w:tc>
        <w:tc>
          <w:tcPr>
            <w:tcW w:w="1622" w:type="pct"/>
          </w:tcPr>
          <w:p>
            <w:pPr>
              <w:ind w:right="5"/>
              <w:jc w:val="right"/>
            </w:pPr>
          </w:p>
        </w:tc>
        <w:tc>
          <w:tcPr>
            <w:tcW w:w="1614" w:type="pct"/>
          </w:tcPr>
          <w:p>
            <w:pPr>
              <w:ind w:right="5"/>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764" w:type="pct"/>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22" w:type="pct"/>
          </w:tcPr>
          <w:p>
            <w:pPr>
              <w:jc w:val="right"/>
            </w:pPr>
            <w:r>
              <w:t xml:space="preserve"> 21,881,032.31 </w:t>
            </w:r>
          </w:p>
        </w:tc>
        <w:tc>
          <w:tcPr>
            <w:tcW w:w="1614" w:type="pct"/>
          </w:tcPr>
          <w:p>
            <w:pPr>
              <w:ind w:right="5"/>
              <w:jc w:val="right"/>
            </w:pPr>
            <w:r>
              <w:t xml:space="preserve"> 34,835,289.06 </w:t>
            </w:r>
          </w:p>
        </w:tc>
      </w:tr>
      <w:bookmarkEnd w:id="334"/>
    </w:tbl>
    <w:p>
      <w:pPr>
        <w:rPr>
          <w:color w:val="000000" w:themeColor="text1"/>
          <w14:textFill>
            <w14:solidFill>
              <w14:schemeClr w14:val="tx1"/>
            </w14:solidFill>
          </w14:textFill>
        </w:rPr>
      </w:pPr>
      <w:bookmarkStart w:id="335" w:name="_Hlk10472837"/>
      <w:bookmarkStart w:id="336" w:name="_Hlk10472848"/>
      <w:r>
        <w:rPr>
          <w:rFonts w:hint="eastAsia"/>
          <w:color w:val="000000" w:themeColor="text1"/>
          <w14:textFill>
            <w14:solidFill>
              <w14:schemeClr w14:val="tx1"/>
            </w14:solidFill>
          </w14:textFill>
        </w:rPr>
        <w:t>其他说明：</w:t>
      </w:r>
      <w:bookmarkEnd w:id="335"/>
    </w:p>
    <w:p>
      <w:pPr>
        <w:rPr>
          <w:color w:val="000000" w:themeColor="text1"/>
          <w14:textFill>
            <w14:solidFill>
              <w14:schemeClr w14:val="tx1"/>
            </w14:solidFill>
          </w14:textFill>
        </w:rPr>
      </w:pPr>
      <w:sdt>
        <w:sdtPr>
          <w:rPr>
            <w:color w:val="000000" w:themeColor="text1"/>
            <w14:textFill>
              <w14:solidFill>
                <w14:schemeClr w14:val="tx1"/>
              </w14:solidFill>
            </w14:textFill>
          </w:rPr>
          <w:alias w:val="在建工程分类列示其他说明"/>
          <w:tag w:val="_GBC_ebe1a06b82914095a2c469c32c78af71"/>
          <w:id w:val="-734772399"/>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bookmarkEnd w:id="336"/>
    <w:p>
      <w:pPr>
        <w:pStyle w:val="5"/>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在建工程</w:t>
      </w:r>
    </w:p>
    <w:p>
      <w:pPr>
        <w:pStyle w:val="6"/>
        <w:numPr>
          <w:ilvl w:val="0"/>
          <w:numId w:val="55"/>
        </w:numPr>
      </w:pPr>
      <w:r>
        <w:rPr>
          <w:rFonts w:hint="eastAsia"/>
        </w:rPr>
        <w:t>在建工程情况</w:t>
      </w:r>
    </w:p>
    <w:sdt>
      <w:sdtPr>
        <w:rPr>
          <w:color w:val="000000" w:themeColor="text1"/>
          <w14:textFill>
            <w14:solidFill>
              <w14:schemeClr w14:val="tx1"/>
            </w14:solidFill>
          </w14:textFill>
        </w:rPr>
        <w:alias w:val="是否适用：在建工程情况[双击切换]"/>
        <w:tag w:val="_GBC_d9828cc7ad534f26902e1979f9d67530"/>
        <w:id w:val="-71343021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在建工程"/>
          <w:tag w:val="_GBC_d20598ce3f5b4d21a9055de674936a9a"/>
          <w:id w:val="-70132437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在建工程"/>
          <w:tag w:val="_GBC_9e96d736daa247dd96af144329fff105"/>
          <w:id w:val="17056704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2901"/>
        <w:gridCol w:w="1842"/>
        <w:gridCol w:w="1842"/>
        <w:gridCol w:w="1823"/>
        <w:gridCol w:w="1820"/>
        <w:gridCol w:w="1842"/>
        <w:gridCol w:w="1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27b31695edfd49cb9cafa333777d18c3"/>
            <w:id w:val="966547633"/>
          </w:sdtPr>
          <w:sdtContent>
            <w:tc>
              <w:tcPr>
                <w:tcW w:w="1041"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a5273bde7b2f4c6c8fbe3ea2d7a7eb84"/>
            <w:id w:val="-937210966"/>
          </w:sdtPr>
          <w:sdtContent>
            <w:tc>
              <w:tcPr>
                <w:tcW w:w="1976"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ac57490b080449c8b91be5a872e19f79"/>
            <w:id w:val="-36888051"/>
          </w:sdtPr>
          <w:sdtContent>
            <w:tc>
              <w:tcPr>
                <w:tcW w:w="1983"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1" w:type="pct"/>
            <w:vMerge w:val="continue"/>
            <w:vAlign w:val="center"/>
          </w:tcPr>
          <w:p>
            <w:pPr>
              <w:tabs>
                <w:tab w:val="left" w:pos="420"/>
              </w:tabs>
              <w:ind w:left="420" w:hanging="420"/>
              <w:jc w:val="center"/>
              <w:rPr>
                <w:color w:val="000000" w:themeColor="text1"/>
                <w14:textFill>
                  <w14:solidFill>
                    <w14:schemeClr w14:val="tx1"/>
                  </w14:solidFill>
                </w14:textFill>
              </w:rPr>
            </w:pPr>
          </w:p>
        </w:tc>
        <w:sdt>
          <w:sdtPr>
            <w:tag w:val="_PLD_1d60491359e245e7bc54655c8c8c15fd"/>
            <w:id w:val="-1815095445"/>
          </w:sdtPr>
          <w:sdtContent>
            <w:tc>
              <w:tcPr>
                <w:tcW w:w="661" w:type="pct"/>
                <w:vAlign w:val="center"/>
              </w:tcPr>
              <w:p>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d5d8fa5186d44c82b146ad7151830389"/>
            <w:id w:val="-2007895134"/>
          </w:sdtPr>
          <w:sdtContent>
            <w:tc>
              <w:tcPr>
                <w:tcW w:w="661" w:type="pct"/>
                <w:vAlign w:val="center"/>
              </w:tcPr>
              <w:p>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w:t>
                </w:r>
              </w:p>
            </w:tc>
          </w:sdtContent>
        </w:sdt>
        <w:sdt>
          <w:sdtPr>
            <w:tag w:val="_PLD_49aa1c2d25814b789479d76afb6fc844"/>
            <w:id w:val="-194309855"/>
          </w:sdtPr>
          <w:sdtContent>
            <w:tc>
              <w:tcPr>
                <w:tcW w:w="654" w:type="pct"/>
                <w:vAlign w:val="center"/>
              </w:tcPr>
              <w:p>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4bba2db5e5a549ecafbf4e94a7af2e35"/>
            <w:id w:val="1733422242"/>
          </w:sdtPr>
          <w:sdtContent>
            <w:tc>
              <w:tcPr>
                <w:tcW w:w="653" w:type="pct"/>
                <w:vAlign w:val="center"/>
              </w:tcPr>
              <w:p>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e054d8cd1e1b4672ae08a495b587bdce"/>
            <w:id w:val="1552192396"/>
          </w:sdtPr>
          <w:sdtContent>
            <w:tc>
              <w:tcPr>
                <w:tcW w:w="661" w:type="pct"/>
                <w:vAlign w:val="center"/>
              </w:tcPr>
              <w:p>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w:t>
                </w:r>
              </w:p>
            </w:tc>
          </w:sdtContent>
        </w:sdt>
        <w:sdt>
          <w:sdtPr>
            <w:tag w:val="_PLD_bd3055c2713a44fa9cbd3fd973d34c6a"/>
            <w:id w:val="-845779384"/>
          </w:sdtPr>
          <w:sdtContent>
            <w:tc>
              <w:tcPr>
                <w:tcW w:w="669" w:type="pct"/>
                <w:vAlign w:val="center"/>
              </w:tcPr>
              <w:p>
                <w:pPr>
                  <w:tabs>
                    <w:tab w:val="left" w:pos="420"/>
                  </w:tabs>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1" w:type="pct"/>
          </w:tcPr>
          <w:p>
            <w:pPr>
              <w:pStyle w:val="48"/>
            </w:pPr>
            <w:r>
              <w:rPr>
                <w:rFonts w:hint="eastAsia"/>
              </w:rPr>
              <w:t>长寿1号电动重卡快速充电站</w:t>
            </w:r>
          </w:p>
        </w:tc>
        <w:tc>
          <w:tcPr>
            <w:tcW w:w="661" w:type="pct"/>
          </w:tcPr>
          <w:p>
            <w:pPr>
              <w:ind w:right="105"/>
              <w:jc w:val="right"/>
            </w:pPr>
            <w:r>
              <w:t xml:space="preserve"> 8,881,808.56 </w:t>
            </w:r>
          </w:p>
        </w:tc>
        <w:tc>
          <w:tcPr>
            <w:tcW w:w="661" w:type="pct"/>
          </w:tcPr>
          <w:p>
            <w:pPr>
              <w:ind w:right="73"/>
              <w:jc w:val="right"/>
            </w:pPr>
          </w:p>
        </w:tc>
        <w:tc>
          <w:tcPr>
            <w:tcW w:w="654" w:type="pct"/>
          </w:tcPr>
          <w:p>
            <w:pPr>
              <w:ind w:right="73"/>
              <w:jc w:val="right"/>
            </w:pPr>
            <w:r>
              <w:t xml:space="preserve"> 8,881,808.56 </w:t>
            </w:r>
          </w:p>
        </w:tc>
        <w:tc>
          <w:tcPr>
            <w:tcW w:w="653" w:type="pct"/>
          </w:tcPr>
          <w:p>
            <w:pPr>
              <w:jc w:val="right"/>
            </w:pPr>
            <w:r>
              <w:t xml:space="preserve"> 25,919,911.92 </w:t>
            </w:r>
          </w:p>
        </w:tc>
        <w:tc>
          <w:tcPr>
            <w:tcW w:w="661" w:type="pct"/>
          </w:tcPr>
          <w:p>
            <w:pPr>
              <w:jc w:val="right"/>
            </w:pPr>
          </w:p>
        </w:tc>
        <w:tc>
          <w:tcPr>
            <w:tcW w:w="669" w:type="pct"/>
          </w:tcPr>
          <w:p>
            <w:pPr>
              <w:jc w:val="right"/>
            </w:pPr>
            <w:r>
              <w:t xml:space="preserve"> 25,919,911.92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1" w:type="pct"/>
          </w:tcPr>
          <w:p>
            <w:pPr>
              <w:pStyle w:val="48"/>
            </w:pPr>
            <w:r>
              <w:rPr>
                <w:rFonts w:hint="eastAsia"/>
              </w:rPr>
              <w:t>其他项目</w:t>
            </w:r>
          </w:p>
        </w:tc>
        <w:tc>
          <w:tcPr>
            <w:tcW w:w="661" w:type="pct"/>
          </w:tcPr>
          <w:p>
            <w:pPr>
              <w:ind w:right="105"/>
              <w:jc w:val="right"/>
            </w:pPr>
            <w:r>
              <w:t xml:space="preserve"> 15,159,693.66 </w:t>
            </w:r>
          </w:p>
        </w:tc>
        <w:tc>
          <w:tcPr>
            <w:tcW w:w="661" w:type="pct"/>
          </w:tcPr>
          <w:p>
            <w:pPr>
              <w:ind w:right="73"/>
              <w:jc w:val="right"/>
            </w:pPr>
            <w:r>
              <w:t xml:space="preserve"> 2,160,469.91 </w:t>
            </w:r>
          </w:p>
        </w:tc>
        <w:tc>
          <w:tcPr>
            <w:tcW w:w="654" w:type="pct"/>
          </w:tcPr>
          <w:p>
            <w:pPr>
              <w:ind w:right="73"/>
              <w:jc w:val="right"/>
            </w:pPr>
            <w:r>
              <w:t xml:space="preserve"> 12,999,223.75 </w:t>
            </w:r>
          </w:p>
        </w:tc>
        <w:tc>
          <w:tcPr>
            <w:tcW w:w="653" w:type="pct"/>
          </w:tcPr>
          <w:p>
            <w:pPr>
              <w:jc w:val="right"/>
            </w:pPr>
            <w:r>
              <w:t xml:space="preserve"> 11,075,847.05 </w:t>
            </w:r>
          </w:p>
        </w:tc>
        <w:tc>
          <w:tcPr>
            <w:tcW w:w="661" w:type="pct"/>
          </w:tcPr>
          <w:p>
            <w:pPr>
              <w:jc w:val="right"/>
            </w:pPr>
            <w:r>
              <w:t xml:space="preserve"> 2,160,469.91 </w:t>
            </w:r>
          </w:p>
        </w:tc>
        <w:tc>
          <w:tcPr>
            <w:tcW w:w="669" w:type="pct"/>
          </w:tcPr>
          <w:p>
            <w:pPr>
              <w:jc w:val="right"/>
            </w:pPr>
            <w:r>
              <w:t xml:space="preserve"> 8,915,377.14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04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61" w:type="pct"/>
          </w:tcPr>
          <w:p>
            <w:pPr>
              <w:ind w:right="105"/>
              <w:jc w:val="right"/>
            </w:pPr>
            <w:r>
              <w:t xml:space="preserve"> 24,041,502.22 </w:t>
            </w:r>
          </w:p>
        </w:tc>
        <w:tc>
          <w:tcPr>
            <w:tcW w:w="661" w:type="pct"/>
          </w:tcPr>
          <w:p>
            <w:pPr>
              <w:ind w:right="73"/>
              <w:jc w:val="right"/>
            </w:pPr>
            <w:r>
              <w:t xml:space="preserve"> 2,160,469.91 </w:t>
            </w:r>
          </w:p>
        </w:tc>
        <w:tc>
          <w:tcPr>
            <w:tcW w:w="654" w:type="pct"/>
          </w:tcPr>
          <w:p>
            <w:pPr>
              <w:ind w:right="73"/>
              <w:jc w:val="right"/>
            </w:pPr>
            <w:r>
              <w:t xml:space="preserve"> 21,881,032.31 </w:t>
            </w:r>
          </w:p>
        </w:tc>
        <w:tc>
          <w:tcPr>
            <w:tcW w:w="653" w:type="pct"/>
          </w:tcPr>
          <w:p>
            <w:pPr>
              <w:jc w:val="right"/>
            </w:pPr>
            <w:r>
              <w:t xml:space="preserve"> 36,995,758.97 </w:t>
            </w:r>
          </w:p>
        </w:tc>
        <w:tc>
          <w:tcPr>
            <w:tcW w:w="661" w:type="pct"/>
          </w:tcPr>
          <w:p>
            <w:pPr>
              <w:jc w:val="right"/>
            </w:pPr>
            <w:r>
              <w:t xml:space="preserve"> 2,160,469.91 </w:t>
            </w:r>
          </w:p>
        </w:tc>
        <w:tc>
          <w:tcPr>
            <w:tcW w:w="669" w:type="pct"/>
          </w:tcPr>
          <w:p>
            <w:pPr>
              <w:jc w:val="right"/>
            </w:pPr>
            <w:r>
              <w:t xml:space="preserve"> 34,835,289.06 </w:t>
            </w:r>
          </w:p>
        </w:tc>
      </w:tr>
    </w:tbl>
    <w:p>
      <w:pPr>
        <w:pStyle w:val="6"/>
        <w:numPr>
          <w:ilvl w:val="0"/>
          <w:numId w:val="55"/>
        </w:numPr>
      </w:pPr>
      <w:r>
        <w:rPr>
          <w:rFonts w:hint="eastAsia"/>
        </w:rPr>
        <w:t>重要在建工程项目本期变动情况</w:t>
      </w:r>
    </w:p>
    <w:sdt>
      <w:sdtPr>
        <w:rPr>
          <w:color w:val="000000" w:themeColor="text1"/>
          <w14:textFill>
            <w14:solidFill>
              <w14:schemeClr w14:val="tx1"/>
            </w14:solidFill>
          </w14:textFill>
        </w:rPr>
        <w:alias w:val="是否适用：重要在建工程项目本期变动情况[双击切换]"/>
        <w:tag w:val="_GBC_ec2dd768673145d4bb9d3c31a6fa701a"/>
        <w:id w:val="75147491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在建工程项目变动情况"/>
          <w:tag w:val="_GBC_29f36690ce0d4e8bbec5f76711e80456"/>
          <w:id w:val="132901779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在建工程项目变动情况"/>
          <w:tag w:val="_GBC_6fab639954e742c1bd6f75b3c51ecaf8"/>
          <w:id w:val="-167271636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067"/>
        <w:gridCol w:w="1382"/>
        <w:gridCol w:w="1276"/>
        <w:gridCol w:w="1522"/>
        <w:gridCol w:w="1349"/>
        <w:gridCol w:w="992"/>
        <w:gridCol w:w="1274"/>
        <w:gridCol w:w="1134"/>
        <w:gridCol w:w="566"/>
        <w:gridCol w:w="708"/>
        <w:gridCol w:w="995"/>
        <w:gridCol w:w="981"/>
        <w:gridCol w:w="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911d5911af294d4f9d2b6b16b5f6c08b"/>
            <w:id w:val="2028442466"/>
          </w:sdtPr>
          <w:sdtContent>
            <w:tc>
              <w:tcPr>
                <w:tcW w:w="383"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p>
            </w:tc>
          </w:sdtContent>
        </w:sdt>
        <w:sdt>
          <w:sdtPr>
            <w:tag w:val="_PLD_667404be40294d63b853abf58a9d185f"/>
            <w:id w:val="1753166135"/>
          </w:sdtPr>
          <w:sdtContent>
            <w:tc>
              <w:tcPr>
                <w:tcW w:w="496"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预算数</w:t>
                </w:r>
              </w:p>
            </w:tc>
          </w:sdtContent>
        </w:sdt>
        <w:sdt>
          <w:sdtPr>
            <w:tag w:val="_PLD_25c75ebdcb434964b5f5e8b512151b0b"/>
            <w:id w:val="1790467144"/>
          </w:sdtPr>
          <w:sdtContent>
            <w:tc>
              <w:tcPr>
                <w:tcW w:w="458"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0117182ae7e24536a0996423ddcfa5f0"/>
            <w:id w:val="-1956326828"/>
          </w:sdtPr>
          <w:sdtContent>
            <w:tc>
              <w:tcPr>
                <w:tcW w:w="546"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本期增加金额</w:t>
                </w:r>
              </w:p>
            </w:tc>
          </w:sdtContent>
        </w:sdt>
        <w:sdt>
          <w:sdtPr>
            <w:tag w:val="_PLD_6db4feaec90f4eeeb4ed5fb04d298657"/>
            <w:id w:val="1546103495"/>
          </w:sdtPr>
          <w:sdtContent>
            <w:tc>
              <w:tcPr>
                <w:tcW w:w="484" w:type="pct"/>
                <w:vAlign w:val="center"/>
              </w:tcPr>
              <w:p>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本期转入固定资产金额</w:t>
                </w:r>
              </w:p>
            </w:tc>
          </w:sdtContent>
        </w:sdt>
        <w:sdt>
          <w:sdtPr>
            <w:tag w:val="_PLD_1fe85c3ed6f84f6f85209149a9931055"/>
            <w:id w:val="-30189160"/>
          </w:sdtPr>
          <w:sdtContent>
            <w:tc>
              <w:tcPr>
                <w:tcW w:w="356" w:type="pct"/>
                <w:vAlign w:val="center"/>
              </w:tcPr>
              <w:p>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本期其他减少金额</w:t>
                </w:r>
              </w:p>
            </w:tc>
          </w:sdtContent>
        </w:sdt>
        <w:sdt>
          <w:sdtPr>
            <w:tag w:val="_PLD_7954fe4b89f644d29865af249dfe8c3f"/>
            <w:id w:val="1872038920"/>
          </w:sdtPr>
          <w:sdtContent>
            <w:tc>
              <w:tcPr>
                <w:tcW w:w="45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9aa12b28eda4362b90372032218ea1a"/>
            <w:id w:val="-867985932"/>
          </w:sdtPr>
          <w:sdtContent>
            <w:tc>
              <w:tcPr>
                <w:tcW w:w="40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工程累计投入占预算比例(%)</w:t>
                </w:r>
              </w:p>
            </w:tc>
          </w:sdtContent>
        </w:sdt>
        <w:sdt>
          <w:sdtPr>
            <w:tag w:val="_PLD_9e610c25eba14177abc9b359511cb935"/>
            <w:id w:val="535711353"/>
          </w:sdtPr>
          <w:sdtContent>
            <w:tc>
              <w:tcPr>
                <w:tcW w:w="20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工程进度</w:t>
                </w:r>
              </w:p>
            </w:tc>
          </w:sdtContent>
        </w:sdt>
        <w:sdt>
          <w:sdtPr>
            <w:tag w:val="_PLD_e89a95ddf6ab4a6abe2d40f64c95699a"/>
            <w:id w:val="-680669388"/>
          </w:sdtPr>
          <w:sdtContent>
            <w:tc>
              <w:tcPr>
                <w:tcW w:w="25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利息资本化累计金额</w:t>
                </w:r>
              </w:p>
            </w:tc>
          </w:sdtContent>
        </w:sdt>
        <w:sdt>
          <w:sdtPr>
            <w:tag w:val="_PLD_211048c05b944d8f9bfd1d37edfd2f6d"/>
            <w:id w:val="1588572399"/>
          </w:sdtPr>
          <w:sdtContent>
            <w:tc>
              <w:tcPr>
                <w:tcW w:w="35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其中：本期利息资本化金额</w:t>
                </w:r>
              </w:p>
            </w:tc>
          </w:sdtContent>
        </w:sdt>
        <w:sdt>
          <w:sdtPr>
            <w:tag w:val="_PLD_2cbfddfcd5e6493ba68633d99551c05f"/>
            <w:id w:val="875200813"/>
          </w:sdtPr>
          <w:sdtContent>
            <w:tc>
              <w:tcPr>
                <w:tcW w:w="35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本期利息资本化率(%)</w:t>
                </w:r>
              </w:p>
            </w:tc>
          </w:sdtContent>
        </w:sdt>
        <w:sdt>
          <w:sdtPr>
            <w:tag w:val="_PLD_39440674746d4382a4f99328187752a9"/>
            <w:id w:val="-108124467"/>
          </w:sdtPr>
          <w:sdtContent>
            <w:tc>
              <w:tcPr>
                <w:tcW w:w="24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资金来源</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383" w:type="pct"/>
          </w:tcPr>
          <w:p>
            <w:pPr>
              <w:ind w:right="105"/>
            </w:pPr>
            <w:r>
              <w:rPr>
                <w:rFonts w:hint="eastAsia"/>
              </w:rPr>
              <w:t>长寿1号电动重卡快速充电站</w:t>
            </w:r>
          </w:p>
        </w:tc>
        <w:tc>
          <w:tcPr>
            <w:tcW w:w="496" w:type="pct"/>
            <w:vAlign w:val="center"/>
          </w:tcPr>
          <w:p>
            <w:pPr>
              <w:ind w:right="105"/>
              <w:jc w:val="right"/>
            </w:pPr>
            <w:r>
              <w:rPr>
                <w:rFonts w:hint="eastAsia"/>
              </w:rPr>
              <w:t xml:space="preserve">27,283,300.00 </w:t>
            </w:r>
          </w:p>
        </w:tc>
        <w:tc>
          <w:tcPr>
            <w:tcW w:w="458" w:type="pct"/>
            <w:vAlign w:val="center"/>
          </w:tcPr>
          <w:p>
            <w:pPr>
              <w:jc w:val="right"/>
            </w:pPr>
            <w:r>
              <w:rPr>
                <w:rFonts w:hint="eastAsia"/>
              </w:rPr>
              <w:t xml:space="preserve">25,919,911.92 </w:t>
            </w:r>
          </w:p>
        </w:tc>
        <w:tc>
          <w:tcPr>
            <w:tcW w:w="546" w:type="pct"/>
            <w:vAlign w:val="center"/>
          </w:tcPr>
          <w:p>
            <w:pPr>
              <w:ind w:right="73"/>
              <w:jc w:val="right"/>
            </w:pPr>
            <w:r>
              <w:rPr>
                <w:rFonts w:hint="eastAsia"/>
              </w:rPr>
              <w:t xml:space="preserve"> -1,636,882.96 </w:t>
            </w:r>
          </w:p>
        </w:tc>
        <w:tc>
          <w:tcPr>
            <w:tcW w:w="484" w:type="pct"/>
            <w:vAlign w:val="center"/>
          </w:tcPr>
          <w:p>
            <w:pPr>
              <w:ind w:right="73"/>
              <w:jc w:val="right"/>
            </w:pPr>
            <w:r>
              <w:rPr>
                <w:rFonts w:hint="eastAsia"/>
              </w:rPr>
              <w:t xml:space="preserve">15,401,220.40 </w:t>
            </w:r>
          </w:p>
        </w:tc>
        <w:tc>
          <w:tcPr>
            <w:tcW w:w="356" w:type="pct"/>
            <w:vAlign w:val="center"/>
          </w:tcPr>
          <w:p>
            <w:pPr>
              <w:jc w:val="right"/>
            </w:pPr>
          </w:p>
        </w:tc>
        <w:tc>
          <w:tcPr>
            <w:tcW w:w="457" w:type="pct"/>
            <w:vAlign w:val="center"/>
          </w:tcPr>
          <w:p>
            <w:pPr>
              <w:jc w:val="right"/>
            </w:pPr>
            <w:r>
              <w:rPr>
                <w:rFonts w:hint="eastAsia"/>
              </w:rPr>
              <w:t xml:space="preserve">8,881,808.56 </w:t>
            </w:r>
          </w:p>
        </w:tc>
        <w:tc>
          <w:tcPr>
            <w:tcW w:w="407" w:type="pct"/>
            <w:vAlign w:val="center"/>
          </w:tcPr>
          <w:p>
            <w:pPr>
              <w:jc w:val="right"/>
            </w:pPr>
            <w:r>
              <w:rPr>
                <w:rFonts w:hint="eastAsia"/>
              </w:rPr>
              <w:t>89.00%</w:t>
            </w:r>
          </w:p>
        </w:tc>
        <w:tc>
          <w:tcPr>
            <w:tcW w:w="203" w:type="pct"/>
            <w:vAlign w:val="center"/>
          </w:tcPr>
          <w:p>
            <w:pPr>
              <w:jc w:val="right"/>
            </w:pPr>
            <w:r>
              <w:rPr>
                <w:rFonts w:hint="eastAsia"/>
              </w:rPr>
              <w:t xml:space="preserve">63.79 </w:t>
            </w:r>
          </w:p>
        </w:tc>
        <w:tc>
          <w:tcPr>
            <w:tcW w:w="254" w:type="pct"/>
            <w:vAlign w:val="center"/>
          </w:tcPr>
          <w:p>
            <w:pPr>
              <w:jc w:val="right"/>
            </w:pPr>
          </w:p>
        </w:tc>
        <w:tc>
          <w:tcPr>
            <w:tcW w:w="357" w:type="pct"/>
            <w:vAlign w:val="center"/>
          </w:tcPr>
          <w:p>
            <w:pPr>
              <w:jc w:val="right"/>
            </w:pPr>
          </w:p>
        </w:tc>
        <w:tc>
          <w:tcPr>
            <w:tcW w:w="352" w:type="pct"/>
            <w:vAlign w:val="center"/>
          </w:tcPr>
          <w:p>
            <w:pPr>
              <w:jc w:val="right"/>
            </w:pPr>
          </w:p>
        </w:tc>
        <w:tc>
          <w:tcPr>
            <w:tcW w:w="247" w:type="pct"/>
            <w:vAlign w:val="center"/>
          </w:tcPr>
          <w:p>
            <w:pPr>
              <w:jc w:val="center"/>
            </w:pPr>
            <w:r>
              <w:rPr>
                <w:rFonts w:hint="eastAsia"/>
              </w:rPr>
              <w:t>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383"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496" w:type="pct"/>
            <w:vAlign w:val="center"/>
          </w:tcPr>
          <w:p>
            <w:pPr>
              <w:ind w:right="105"/>
              <w:jc w:val="right"/>
            </w:pPr>
            <w:r>
              <w:rPr>
                <w:rFonts w:hint="eastAsia"/>
              </w:rPr>
              <w:t xml:space="preserve">27,283,300.00 </w:t>
            </w:r>
          </w:p>
        </w:tc>
        <w:tc>
          <w:tcPr>
            <w:tcW w:w="458" w:type="pct"/>
            <w:vAlign w:val="center"/>
          </w:tcPr>
          <w:p>
            <w:pPr>
              <w:jc w:val="right"/>
            </w:pPr>
            <w:r>
              <w:rPr>
                <w:rFonts w:hint="eastAsia"/>
              </w:rPr>
              <w:t xml:space="preserve">25,919,911.92 </w:t>
            </w:r>
          </w:p>
        </w:tc>
        <w:tc>
          <w:tcPr>
            <w:tcW w:w="546" w:type="pct"/>
            <w:vAlign w:val="center"/>
          </w:tcPr>
          <w:p>
            <w:pPr>
              <w:ind w:right="73"/>
              <w:jc w:val="right"/>
            </w:pPr>
            <w:r>
              <w:rPr>
                <w:rFonts w:hint="eastAsia"/>
              </w:rPr>
              <w:t xml:space="preserve"> -1,636,882.96 </w:t>
            </w:r>
          </w:p>
        </w:tc>
        <w:tc>
          <w:tcPr>
            <w:tcW w:w="484" w:type="pct"/>
            <w:vAlign w:val="center"/>
          </w:tcPr>
          <w:p>
            <w:pPr>
              <w:ind w:right="73"/>
              <w:jc w:val="right"/>
            </w:pPr>
            <w:r>
              <w:rPr>
                <w:rFonts w:hint="eastAsia"/>
              </w:rPr>
              <w:t xml:space="preserve">15,401,220.40 </w:t>
            </w:r>
          </w:p>
        </w:tc>
        <w:tc>
          <w:tcPr>
            <w:tcW w:w="356" w:type="pct"/>
            <w:vAlign w:val="center"/>
          </w:tcPr>
          <w:p>
            <w:pPr>
              <w:jc w:val="right"/>
            </w:pPr>
          </w:p>
        </w:tc>
        <w:tc>
          <w:tcPr>
            <w:tcW w:w="457" w:type="pct"/>
            <w:vAlign w:val="center"/>
          </w:tcPr>
          <w:p>
            <w:pPr>
              <w:jc w:val="right"/>
            </w:pPr>
            <w:r>
              <w:rPr>
                <w:rFonts w:hint="eastAsia"/>
              </w:rPr>
              <w:t xml:space="preserve">8,881,808.56 </w:t>
            </w:r>
          </w:p>
        </w:tc>
        <w:tc>
          <w:tcPr>
            <w:tcW w:w="407" w:type="pct"/>
          </w:tcPr>
          <w:p>
            <w:pPr>
              <w:ind w:right="17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tcPr>
            <w:tcW w:w="203" w:type="pct"/>
          </w:tcPr>
          <w:p>
            <w:pPr>
              <w:ind w:right="17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tcPr>
            <w:tcW w:w="254" w:type="pct"/>
          </w:tcPr>
          <w:p>
            <w:pPr>
              <w:jc w:val="right"/>
            </w:pPr>
          </w:p>
        </w:tc>
        <w:tc>
          <w:tcPr>
            <w:tcW w:w="357" w:type="pct"/>
          </w:tcPr>
          <w:p>
            <w:pPr>
              <w:jc w:val="right"/>
            </w:pPr>
          </w:p>
        </w:tc>
        <w:tc>
          <w:tcPr>
            <w:tcW w:w="352" w:type="pct"/>
          </w:tcPr>
          <w:p>
            <w:pPr>
              <w:ind w:right="174"/>
              <w:jc w:val="center"/>
              <w:rPr>
                <w:color w:val="000000" w:themeColor="text1"/>
                <w14:textFill>
                  <w14:solidFill>
                    <w14:schemeClr w14:val="tx1"/>
                  </w14:solidFill>
                </w14:textFill>
              </w:rPr>
            </w:pPr>
            <w:r>
              <w:rPr>
                <w:color w:val="000000" w:themeColor="text1"/>
                <w14:textFill>
                  <w14:solidFill>
                    <w14:schemeClr w14:val="tx1"/>
                  </w14:solidFill>
                </w14:textFill>
              </w:rPr>
              <w:t>/</w:t>
            </w:r>
          </w:p>
        </w:tc>
        <w:tc>
          <w:tcPr>
            <w:tcW w:w="247" w:type="pct"/>
          </w:tcPr>
          <w:p>
            <w:pPr>
              <w:ind w:right="174"/>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bl>
    <w:p>
      <w:pPr>
        <w:autoSpaceDE w:val="0"/>
        <w:autoSpaceDN w:val="0"/>
        <w:adjustRightInd w:val="0"/>
        <w:rPr>
          <w:color w:val="000000" w:themeColor="text1"/>
          <w14:textFill>
            <w14:solidFill>
              <w14:schemeClr w14:val="tx1"/>
            </w14:solidFill>
          </w14:textFill>
        </w:rPr>
      </w:pPr>
      <w:bookmarkStart w:id="337" w:name="OLE_LINK20"/>
      <w:bookmarkStart w:id="338" w:name="_Hlk167958414"/>
      <w:r>
        <w:rPr>
          <w:color w:val="000000" w:themeColor="text1"/>
          <w14:textFill>
            <w14:solidFill>
              <w14:schemeClr w14:val="tx1"/>
            </w14:solidFill>
          </w14:textFill>
        </w:rPr>
        <w:t>其他说明：本期在建工程增加额为负，主要系上期预估的工程量在本期结算时核减</w:t>
      </w:r>
      <w:r>
        <w:rPr>
          <w:rFonts w:hint="eastAsia"/>
          <w:color w:val="000000" w:themeColor="text1"/>
          <w14:textFill>
            <w14:solidFill>
              <w14:schemeClr w14:val="tx1"/>
            </w14:solidFill>
          </w14:textFill>
        </w:rPr>
        <w:t>。</w:t>
      </w:r>
    </w:p>
    <w:bookmarkEnd w:id="337"/>
    <w:p>
      <w:pPr>
        <w:pStyle w:val="6"/>
        <w:numPr>
          <w:ilvl w:val="0"/>
          <w:numId w:val="55"/>
        </w:numPr>
      </w:pPr>
      <w:r>
        <w:rPr>
          <w:rFonts w:hint="eastAsia"/>
        </w:rPr>
        <w:t>本期计提在建工程减值准备情况</w:t>
      </w:r>
    </w:p>
    <w:sdt>
      <w:sdtPr>
        <w:rPr>
          <w:color w:val="000000" w:themeColor="text1"/>
          <w14:textFill>
            <w14:solidFill>
              <w14:schemeClr w14:val="tx1"/>
            </w14:solidFill>
          </w14:textFill>
        </w:rPr>
        <w:alias w:val="是否适用：本期计提在建工程减值准备情况[双击切换]"/>
        <w:tag w:val="_GBC_7dd31cf4784347cd87139a8c2548b22d"/>
        <w:id w:val="-43159254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在建工程减值准备"/>
          <w:tag w:val="_GBC_107dff9a3ded41c0b943951a06ddd2d6"/>
          <w:id w:val="-174500169"/>
          <w:placeholder>
            <w:docPart w:val="5D1059B7883D4390AFE9AA14283C7A71"/>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在建工程减值准备"/>
          <w:tag w:val="_GBC_30946f2bb7384fd4bc7106602fa325d5"/>
          <w:id w:val="264437982"/>
          <w:placeholder>
            <w:docPart w:val="5D1059B7883D4390AFE9AA14283C7A71"/>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13" w:type="dxa"/>
          <w:bottom w:w="0" w:type="dxa"/>
          <w:right w:w="113" w:type="dxa"/>
        </w:tblCellMar>
      </w:tblPr>
      <w:tblGrid>
        <w:gridCol w:w="1971"/>
        <w:gridCol w:w="2428"/>
        <w:gridCol w:w="2425"/>
        <w:gridCol w:w="2425"/>
        <w:gridCol w:w="2425"/>
        <w:gridCol w:w="242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Height w:val="280" w:hRule="atLeast"/>
          <w:tblHeader/>
        </w:trPr>
        <w:sdt>
          <w:sdtPr>
            <w:tag w:val="_PLD_d0cd5b77392f42d68ddd5654bacd7c5f"/>
            <w:id w:val="-2066397183"/>
          </w:sdtPr>
          <w:sdtContent>
            <w:tc>
              <w:tcPr>
                <w:tcW w:w="699" w:type="pct"/>
                <w:tcBorders>
                  <w:top w:val="single" w:color="auto" w:sz="2" w:space="0"/>
                  <w:left w:val="single" w:color="auto" w:sz="2" w:space="0"/>
                  <w:bottom w:val="single" w:color="auto" w:sz="2" w:space="0"/>
                  <w:right w:val="single" w:color="auto" w:sz="2"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2f3e495c9dc946fe92842f1b270a9ad8"/>
            <w:id w:val="-1648662591"/>
          </w:sdtPr>
          <w:sdtContent>
            <w:tc>
              <w:tcPr>
                <w:tcW w:w="861" w:type="pct"/>
                <w:tcBorders>
                  <w:top w:val="single" w:color="auto" w:sz="2" w:space="0"/>
                  <w:left w:val="single" w:color="auto" w:sz="2" w:space="0"/>
                  <w:bottom w:val="single" w:color="auto" w:sz="2" w:space="0"/>
                  <w:right w:val="single" w:color="auto" w:sz="2" w:space="0"/>
                </w:tcBorders>
              </w:tcPr>
              <w:p>
                <w:pPr>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26a83f5b4f3544c6a0f6ada13b247f27"/>
            <w:id w:val="-1490781088"/>
          </w:sdtPr>
          <w:sdtContent>
            <w:tc>
              <w:tcPr>
                <w:tcW w:w="860" w:type="pct"/>
                <w:tcBorders>
                  <w:top w:val="single" w:color="auto" w:sz="2" w:space="0"/>
                  <w:left w:val="single" w:color="auto" w:sz="2" w:space="0"/>
                  <w:bottom w:val="single" w:color="auto" w:sz="2" w:space="0"/>
                  <w:right w:val="single" w:color="auto" w:sz="2" w:space="0"/>
                </w:tcBorders>
              </w:tcPr>
              <w:p>
                <w:pPr>
                  <w:jc w:val="center"/>
                  <w:rPr>
                    <w:color w:val="000000" w:themeColor="text1"/>
                    <w14:textFill>
                      <w14:solidFill>
                        <w14:schemeClr w14:val="tx1"/>
                      </w14:solidFill>
                    </w14:textFill>
                  </w:rPr>
                </w:pPr>
                <w:r>
                  <w:rPr>
                    <w:color w:val="000000" w:themeColor="text1"/>
                    <w14:textFill>
                      <w14:solidFill>
                        <w14:schemeClr w14:val="tx1"/>
                      </w14:solidFill>
                    </w14:textFill>
                  </w:rPr>
                  <w:t>本期增加</w:t>
                </w:r>
              </w:p>
            </w:tc>
          </w:sdtContent>
        </w:sdt>
        <w:sdt>
          <w:sdtPr>
            <w:tag w:val="_PLD_5d6136766ffc4e98a7ead7b27ccaba98"/>
            <w:id w:val="-1136798449"/>
          </w:sdtPr>
          <w:sdtContent>
            <w:tc>
              <w:tcPr>
                <w:tcW w:w="860" w:type="pct"/>
                <w:tcBorders>
                  <w:top w:val="single" w:color="auto" w:sz="2" w:space="0"/>
                  <w:left w:val="single" w:color="auto" w:sz="2" w:space="0"/>
                  <w:bottom w:val="single" w:color="auto" w:sz="2" w:space="0"/>
                  <w:right w:val="single" w:color="auto" w:sz="2" w:space="0"/>
                </w:tcBorders>
              </w:tcPr>
              <w:p>
                <w:pPr>
                  <w:jc w:val="center"/>
                  <w:rPr>
                    <w:color w:val="000000" w:themeColor="text1"/>
                    <w14:textFill>
                      <w14:solidFill>
                        <w14:schemeClr w14:val="tx1"/>
                      </w14:solidFill>
                    </w14:textFill>
                  </w:rPr>
                </w:pPr>
                <w:r>
                  <w:rPr>
                    <w:color w:val="000000" w:themeColor="text1"/>
                    <w14:textFill>
                      <w14:solidFill>
                        <w14:schemeClr w14:val="tx1"/>
                      </w14:solidFill>
                    </w14:textFill>
                  </w:rPr>
                  <w:t>本期减少</w:t>
                </w:r>
              </w:p>
            </w:tc>
          </w:sdtContent>
        </w:sdt>
        <w:sdt>
          <w:sdtPr>
            <w:tag w:val="_PLD_a71aa3802e724b9abc8b8383632d6de9"/>
            <w:id w:val="313834791"/>
          </w:sdtPr>
          <w:sdtContent>
            <w:tc>
              <w:tcPr>
                <w:tcW w:w="860" w:type="pct"/>
                <w:tcBorders>
                  <w:top w:val="single" w:color="auto" w:sz="2" w:space="0"/>
                  <w:left w:val="single" w:color="auto" w:sz="2" w:space="0"/>
                  <w:bottom w:val="single" w:color="auto" w:sz="2" w:space="0"/>
                  <w:right w:val="single" w:color="auto" w:sz="2"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72399486bb1a45be887548234b5f83d4"/>
            <w:id w:val="-120379646"/>
          </w:sdtPr>
          <w:sdtContent>
            <w:tc>
              <w:tcPr>
                <w:tcW w:w="860" w:type="pct"/>
                <w:tcBorders>
                  <w:top w:val="single" w:color="auto" w:sz="2" w:space="0"/>
                  <w:left w:val="single" w:color="auto" w:sz="2" w:space="0"/>
                  <w:bottom w:val="single" w:color="auto" w:sz="2" w:space="0"/>
                  <w:right w:val="single" w:color="auto" w:sz="2"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计提原因</w:t>
                </w:r>
              </w:p>
            </w:tc>
          </w:sdtContent>
        </w:sdt>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699" w:type="pct"/>
            <w:tcBorders>
              <w:top w:val="single" w:color="auto" w:sz="2" w:space="0"/>
              <w:left w:val="single" w:color="auto" w:sz="2" w:space="0"/>
              <w:bottom w:val="single" w:color="auto" w:sz="2" w:space="0"/>
              <w:right w:val="single" w:color="auto" w:sz="2" w:space="0"/>
            </w:tcBorders>
          </w:tcPr>
          <w:p>
            <w:pPr>
              <w:pStyle w:val="48"/>
            </w:pPr>
            <w:r>
              <w:rPr>
                <w:rFonts w:hint="eastAsia"/>
              </w:rPr>
              <w:t>其他项目</w:t>
            </w:r>
          </w:p>
        </w:tc>
        <w:tc>
          <w:tcPr>
            <w:tcW w:w="861" w:type="pct"/>
            <w:tcBorders>
              <w:top w:val="single" w:color="auto" w:sz="2" w:space="0"/>
              <w:left w:val="single" w:color="auto" w:sz="2" w:space="0"/>
              <w:bottom w:val="single" w:color="auto" w:sz="2" w:space="0"/>
              <w:right w:val="single" w:color="auto" w:sz="2" w:space="0"/>
            </w:tcBorders>
          </w:tcPr>
          <w:p>
            <w:pPr>
              <w:jc w:val="right"/>
            </w:pPr>
            <w:r>
              <w:rPr>
                <w:rFonts w:hint="eastAsia"/>
              </w:rPr>
              <w:t xml:space="preserve"> 2,160,469.91 </w:t>
            </w:r>
          </w:p>
        </w:tc>
        <w:tc>
          <w:tcPr>
            <w:tcW w:w="860" w:type="pct"/>
            <w:tcBorders>
              <w:top w:val="single" w:color="auto" w:sz="2" w:space="0"/>
              <w:left w:val="single" w:color="auto" w:sz="2" w:space="0"/>
              <w:bottom w:val="single" w:color="auto" w:sz="2" w:space="0"/>
              <w:right w:val="single" w:color="auto" w:sz="2" w:space="0"/>
            </w:tcBorders>
          </w:tcPr>
          <w:p>
            <w:pPr>
              <w:jc w:val="right"/>
            </w:pPr>
          </w:p>
        </w:tc>
        <w:tc>
          <w:tcPr>
            <w:tcW w:w="860" w:type="pct"/>
            <w:tcBorders>
              <w:top w:val="single" w:color="auto" w:sz="2" w:space="0"/>
              <w:left w:val="single" w:color="auto" w:sz="2" w:space="0"/>
              <w:bottom w:val="single" w:color="auto" w:sz="2" w:space="0"/>
              <w:right w:val="single" w:color="auto" w:sz="2" w:space="0"/>
            </w:tcBorders>
          </w:tcPr>
          <w:p>
            <w:pPr>
              <w:jc w:val="right"/>
            </w:pPr>
          </w:p>
        </w:tc>
        <w:tc>
          <w:tcPr>
            <w:tcW w:w="860" w:type="pct"/>
            <w:tcBorders>
              <w:top w:val="single" w:color="auto" w:sz="2" w:space="0"/>
              <w:left w:val="single" w:color="auto" w:sz="2" w:space="0"/>
              <w:bottom w:val="single" w:color="auto" w:sz="2" w:space="0"/>
              <w:right w:val="single" w:color="auto" w:sz="2" w:space="0"/>
            </w:tcBorders>
          </w:tcPr>
          <w:p>
            <w:pPr>
              <w:jc w:val="right"/>
            </w:pPr>
            <w:r>
              <w:t>2,160,469.91</w:t>
            </w:r>
          </w:p>
        </w:tc>
        <w:tc>
          <w:tcPr>
            <w:tcW w:w="860" w:type="pct"/>
            <w:tcBorders>
              <w:top w:val="single" w:color="auto" w:sz="2" w:space="0"/>
              <w:left w:val="single" w:color="auto" w:sz="2" w:space="0"/>
              <w:bottom w:val="single" w:color="auto" w:sz="2" w:space="0"/>
              <w:right w:val="single" w:color="auto" w:sz="2" w:space="0"/>
            </w:tcBorders>
          </w:tcPr>
          <w:p>
            <w:pPr>
              <w:pStyle w:val="48"/>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13" w:type="dxa"/>
            <w:bottom w:w="0" w:type="dxa"/>
            <w:right w:w="113" w:type="dxa"/>
          </w:tblCellMar>
        </w:tblPrEx>
        <w:trPr>
          <w:cantSplit/>
        </w:trPr>
        <w:tc>
          <w:tcPr>
            <w:tcW w:w="699" w:type="pct"/>
            <w:tcBorders>
              <w:top w:val="single" w:color="auto" w:sz="2" w:space="0"/>
              <w:left w:val="single" w:color="auto" w:sz="2" w:space="0"/>
              <w:bottom w:val="single" w:color="auto" w:sz="2" w:space="0"/>
              <w:right w:val="single" w:color="auto" w:sz="2"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861" w:type="pct"/>
            <w:tcBorders>
              <w:top w:val="single" w:color="auto" w:sz="2" w:space="0"/>
              <w:left w:val="single" w:color="auto" w:sz="2" w:space="0"/>
              <w:bottom w:val="single" w:color="auto" w:sz="2" w:space="0"/>
              <w:right w:val="single" w:color="auto" w:sz="2" w:space="0"/>
            </w:tcBorders>
          </w:tcPr>
          <w:p>
            <w:pPr>
              <w:jc w:val="right"/>
            </w:pPr>
            <w:r>
              <w:t>2,160,469.91</w:t>
            </w:r>
          </w:p>
        </w:tc>
        <w:tc>
          <w:tcPr>
            <w:tcW w:w="860" w:type="pct"/>
            <w:tcBorders>
              <w:top w:val="single" w:color="auto" w:sz="2" w:space="0"/>
              <w:left w:val="single" w:color="auto" w:sz="2" w:space="0"/>
              <w:bottom w:val="single" w:color="auto" w:sz="2" w:space="0"/>
              <w:right w:val="single" w:color="auto" w:sz="2" w:space="0"/>
            </w:tcBorders>
          </w:tcPr>
          <w:p>
            <w:pPr>
              <w:jc w:val="right"/>
            </w:pPr>
          </w:p>
        </w:tc>
        <w:tc>
          <w:tcPr>
            <w:tcW w:w="860" w:type="pct"/>
            <w:tcBorders>
              <w:top w:val="single" w:color="auto" w:sz="2" w:space="0"/>
              <w:left w:val="single" w:color="auto" w:sz="2" w:space="0"/>
              <w:bottom w:val="single" w:color="auto" w:sz="2" w:space="0"/>
              <w:right w:val="single" w:color="auto" w:sz="2" w:space="0"/>
            </w:tcBorders>
          </w:tcPr>
          <w:p>
            <w:pPr>
              <w:jc w:val="right"/>
            </w:pPr>
          </w:p>
        </w:tc>
        <w:tc>
          <w:tcPr>
            <w:tcW w:w="860" w:type="pct"/>
            <w:tcBorders>
              <w:top w:val="single" w:color="auto" w:sz="2" w:space="0"/>
              <w:left w:val="single" w:color="auto" w:sz="2" w:space="0"/>
              <w:bottom w:val="single" w:color="auto" w:sz="2" w:space="0"/>
              <w:right w:val="single" w:color="auto" w:sz="2" w:space="0"/>
            </w:tcBorders>
          </w:tcPr>
          <w:p>
            <w:pPr>
              <w:jc w:val="right"/>
            </w:pPr>
            <w:r>
              <w:t>2,160,469.91</w:t>
            </w:r>
          </w:p>
        </w:tc>
        <w:tc>
          <w:tcPr>
            <w:tcW w:w="860" w:type="pct"/>
            <w:tcBorders>
              <w:top w:val="single" w:color="auto" w:sz="2" w:space="0"/>
              <w:left w:val="single" w:color="auto" w:sz="2" w:space="0"/>
              <w:bottom w:val="single" w:color="auto" w:sz="2" w:space="0"/>
              <w:right w:val="single" w:color="auto" w:sz="2" w:space="0"/>
            </w:tcBorders>
          </w:tcPr>
          <w:p>
            <w:pPr>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bl>
    <w:p>
      <w:pPr>
        <w:pStyle w:val="6"/>
        <w:numPr>
          <w:ilvl w:val="0"/>
          <w:numId w:val="55"/>
        </w:numPr>
      </w:pPr>
      <w:bookmarkStart w:id="339" w:name="_Hlk153461314"/>
      <w:r>
        <w:rPr>
          <w:rFonts w:hint="eastAsia"/>
        </w:rPr>
        <w:t>在建工程的减值测试情况</w:t>
      </w:r>
    </w:p>
    <w:sdt>
      <w:sdtPr>
        <w:rPr>
          <w:color w:val="000000" w:themeColor="text1"/>
          <w14:textFill>
            <w14:solidFill>
              <w14:schemeClr w14:val="tx1"/>
            </w14:solidFill>
          </w14:textFill>
        </w:rPr>
        <w:alias w:val="是否适用：减值测试情况[双击切换]"/>
        <w:tag w:val="_GBC_f6d4bcf1dee14a709974326281981b12"/>
        <w:id w:val="-92726377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7"/>
        <w:ind w:left="105"/>
        <w:rPr>
          <w:color w:val="000000" w:themeColor="text1"/>
          <w14:textFill>
            <w14:solidFill>
              <w14:schemeClr w14:val="tx1"/>
            </w14:solidFill>
          </w14:textFill>
        </w:rPr>
      </w:pPr>
      <w:r>
        <w:rPr>
          <w:rFonts w:hint="eastAsia"/>
          <w:color w:val="000000" w:themeColor="text1"/>
          <w14:textFill>
            <w14:solidFill>
              <w14:schemeClr w14:val="tx1"/>
            </w14:solidFill>
          </w14:textFill>
        </w:rPr>
        <w:t>可收回金额按公允价值减去处置费用后的净额确定</w:t>
      </w:r>
    </w:p>
    <w:sdt>
      <w:sdtPr>
        <w:rPr>
          <w:color w:val="000000" w:themeColor="text1"/>
          <w14:textFill>
            <w14:solidFill>
              <w14:schemeClr w14:val="tx1"/>
            </w14:solidFill>
          </w14:textFill>
        </w:rPr>
        <w:alias w:val="是否适用：可收回金额按公允价值减去处置费用后的净额确定[双击切换]"/>
        <w:tag w:val="_GBC_7513394c89064aa4af7416380cac2b8b"/>
        <w:id w:val="-1709176041"/>
        <w:placeholder>
          <w:docPart w:val="1F604DE714B349B5928A67E7D0749685"/>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可收回金额按公允价值减去处置费用后的净额确定"/>
          <w:tag w:val="_GBC_9f11d805a1764b23b2b26912541faad3"/>
          <w:id w:val="-1304611171"/>
          <w:placeholder>
            <w:docPart w:val="1F604DE714B349B5928A67E7D0749685"/>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可收回金额按公允价值减去处置费用后的净额确定"/>
          <w:tag w:val="_GBC_841e4a490ebd4e15bb843e847e5e4e46"/>
          <w:id w:val="1666283510"/>
          <w:placeholder>
            <w:docPart w:val="1F604DE714B349B5928A67E7D0749685"/>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8"/>
        <w:gridCol w:w="2012"/>
        <w:gridCol w:w="2012"/>
        <w:gridCol w:w="1302"/>
        <w:gridCol w:w="1871"/>
        <w:gridCol w:w="1152"/>
        <w:gridCol w:w="3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850f9b61e4e4fe49837fe4ab2fa13c8"/>
            <w:id w:val="1778138601"/>
          </w:sdtPr>
          <w:sdtContent>
            <w:tc>
              <w:tcPr>
                <w:tcW w:w="716" w:type="pct"/>
                <w:vAlign w:val="center"/>
              </w:tcPr>
              <w:p>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b43c42dbb7842e280eb5d89d721cb3b"/>
            <w:id w:val="1821762479"/>
          </w:sdtPr>
          <w:sdtContent>
            <w:tc>
              <w:tcPr>
                <w:tcW w:w="714" w:type="pct"/>
                <w:vAlign w:val="center"/>
              </w:tcPr>
              <w:p>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e88d1d7437184c46842cbf737b5e92a1"/>
            <w:id w:val="202215405"/>
          </w:sdtPr>
          <w:sdtContent>
            <w:tc>
              <w:tcPr>
                <w:tcW w:w="714" w:type="pct"/>
                <w:vAlign w:val="center"/>
              </w:tcPr>
              <w:p>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可收回金额</w:t>
                </w:r>
              </w:p>
            </w:tc>
          </w:sdtContent>
        </w:sdt>
        <w:sdt>
          <w:sdtPr>
            <w:tag w:val="_PLD_52752a698224480aaae0922ea1ae8520"/>
            <w:id w:val="-485932836"/>
          </w:sdtPr>
          <w:sdtContent>
            <w:tc>
              <w:tcPr>
                <w:tcW w:w="462" w:type="pct"/>
                <w:vAlign w:val="center"/>
              </w:tcPr>
              <w:p>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减值金额</w:t>
                </w:r>
              </w:p>
            </w:tc>
          </w:sdtContent>
        </w:sdt>
        <w:sdt>
          <w:sdtPr>
            <w:tag w:val="_PLD_62c6da1ea7884cc08691cb3542eda7d3"/>
            <w:id w:val="-1691754892"/>
          </w:sdtPr>
          <w:sdtContent>
            <w:tc>
              <w:tcPr>
                <w:tcW w:w="664" w:type="pct"/>
                <w:vAlign w:val="center"/>
              </w:tcPr>
              <w:p>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公允价值和处置费用的确定方式</w:t>
                </w:r>
              </w:p>
            </w:tc>
          </w:sdtContent>
        </w:sdt>
        <w:sdt>
          <w:sdtPr>
            <w:tag w:val="_PLD_1e138860e9dd4867b6622ec80b8468d0"/>
            <w:id w:val="2002929559"/>
          </w:sdtPr>
          <w:sdtContent>
            <w:tc>
              <w:tcPr>
                <w:tcW w:w="409" w:type="pct"/>
                <w:vAlign w:val="center"/>
              </w:tcPr>
              <w:p>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关键参数</w:t>
                </w:r>
              </w:p>
            </w:tc>
          </w:sdtContent>
        </w:sdt>
        <w:sdt>
          <w:sdtPr>
            <w:tag w:val="_PLD_661bc66c75d64c9abb2c03d195da3c4a"/>
            <w:id w:val="-1180511336"/>
          </w:sdtPr>
          <w:sdtContent>
            <w:tc>
              <w:tcPr>
                <w:tcW w:w="1321" w:type="pct"/>
                <w:vAlign w:val="center"/>
              </w:tcPr>
              <w:p>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关键参数的确定依据</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pct"/>
            <w:vAlign w:val="center"/>
          </w:tcPr>
          <w:p>
            <w:pPr>
              <w:snapToGrid w:val="0"/>
              <w:spacing w:line="240" w:lineRule="atLeast"/>
              <w:jc w:val="both"/>
            </w:pPr>
            <w:r>
              <w:rPr>
                <w:rFonts w:hint="eastAsia"/>
              </w:rPr>
              <w:t>其他项目</w:t>
            </w:r>
          </w:p>
        </w:tc>
        <w:tc>
          <w:tcPr>
            <w:tcW w:w="714" w:type="pct"/>
            <w:vAlign w:val="center"/>
          </w:tcPr>
          <w:p>
            <w:pPr>
              <w:snapToGrid w:val="0"/>
              <w:spacing w:line="240" w:lineRule="atLeast"/>
              <w:jc w:val="right"/>
            </w:pPr>
            <w:r>
              <w:rPr>
                <w:rFonts w:hint="eastAsia"/>
              </w:rPr>
              <w:t xml:space="preserve"> 2,160,469.91 </w:t>
            </w:r>
          </w:p>
        </w:tc>
        <w:tc>
          <w:tcPr>
            <w:tcW w:w="714" w:type="pct"/>
            <w:vAlign w:val="center"/>
          </w:tcPr>
          <w:p>
            <w:pPr>
              <w:snapToGrid w:val="0"/>
              <w:spacing w:line="240" w:lineRule="atLeast"/>
              <w:jc w:val="right"/>
            </w:pPr>
            <w:r>
              <w:rPr>
                <w:rFonts w:hint="eastAsia"/>
              </w:rPr>
              <w:t xml:space="preserve"> 2,160,469.91 </w:t>
            </w:r>
          </w:p>
        </w:tc>
        <w:tc>
          <w:tcPr>
            <w:tcW w:w="462" w:type="pct"/>
          </w:tcPr>
          <w:p>
            <w:pPr>
              <w:snapToGrid w:val="0"/>
              <w:spacing w:line="240" w:lineRule="atLeast"/>
              <w:jc w:val="right"/>
            </w:pPr>
            <w:r>
              <w:rPr>
                <w:rFonts w:hint="eastAsia"/>
              </w:rPr>
              <w:t xml:space="preserve">   </w:t>
            </w:r>
          </w:p>
        </w:tc>
        <w:tc>
          <w:tcPr>
            <w:tcW w:w="664" w:type="pct"/>
            <w:vAlign w:val="center"/>
          </w:tcPr>
          <w:p>
            <w:pPr>
              <w:snapToGrid w:val="0"/>
              <w:spacing w:line="240" w:lineRule="atLeast"/>
              <w:jc w:val="both"/>
            </w:pPr>
            <w:r>
              <w:rPr>
                <w:rFonts w:hint="eastAsia"/>
              </w:rPr>
              <w:t>公允价值采用重置成本法、处置费用为与处置资产有关的费用</w:t>
            </w:r>
          </w:p>
        </w:tc>
        <w:tc>
          <w:tcPr>
            <w:tcW w:w="409" w:type="pct"/>
            <w:vAlign w:val="center"/>
          </w:tcPr>
          <w:p>
            <w:pPr>
              <w:snapToGrid w:val="0"/>
              <w:spacing w:line="240" w:lineRule="atLeast"/>
              <w:jc w:val="both"/>
            </w:pPr>
            <w:r>
              <w:rPr>
                <w:rFonts w:hint="eastAsia"/>
              </w:rPr>
              <w:t>重置成本、处置费用</w:t>
            </w:r>
          </w:p>
        </w:tc>
        <w:tc>
          <w:tcPr>
            <w:tcW w:w="1321" w:type="pct"/>
          </w:tcPr>
          <w:p>
            <w:pPr>
              <w:snapToGrid w:val="0"/>
              <w:spacing w:line="240" w:lineRule="atLeast"/>
              <w:jc w:val="both"/>
            </w:pPr>
            <w:r>
              <w:rPr>
                <w:rFonts w:hint="eastAsia"/>
              </w:rPr>
              <w:t>①重置成本：以建设工程造价、其前期及其他费用及资金成本之和估算</w:t>
            </w:r>
          </w:p>
          <w:p>
            <w:pPr>
              <w:snapToGrid w:val="0"/>
              <w:spacing w:line="240" w:lineRule="atLeast"/>
              <w:jc w:val="both"/>
            </w:pPr>
            <w:r>
              <w:rPr>
                <w:rFonts w:hint="eastAsia"/>
              </w:rPr>
              <w:t>②处置费用：包括与资产处置有关的法律费用、相关税费、搬运费以及为使资产达到可销售状态所发生的直接费用等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6" w:type="pct"/>
          </w:tcPr>
          <w:p>
            <w:pPr>
              <w:snapToGrid w:val="0"/>
              <w:spacing w:line="24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714" w:type="pct"/>
            <w:vAlign w:val="center"/>
          </w:tcPr>
          <w:p>
            <w:pPr>
              <w:snapToGrid w:val="0"/>
              <w:spacing w:line="240" w:lineRule="atLeast"/>
              <w:jc w:val="right"/>
            </w:pPr>
            <w:r>
              <w:t>2,160,469.91</w:t>
            </w:r>
          </w:p>
        </w:tc>
        <w:tc>
          <w:tcPr>
            <w:tcW w:w="714" w:type="pct"/>
            <w:vAlign w:val="center"/>
          </w:tcPr>
          <w:p>
            <w:pPr>
              <w:snapToGrid w:val="0"/>
              <w:spacing w:line="240" w:lineRule="atLeast"/>
              <w:jc w:val="right"/>
            </w:pPr>
            <w:r>
              <w:t>2,160,469.91</w:t>
            </w:r>
          </w:p>
        </w:tc>
        <w:tc>
          <w:tcPr>
            <w:tcW w:w="462" w:type="pct"/>
          </w:tcPr>
          <w:p>
            <w:pPr>
              <w:snapToGrid w:val="0"/>
              <w:spacing w:line="240" w:lineRule="atLeast"/>
              <w:jc w:val="right"/>
            </w:pPr>
          </w:p>
        </w:tc>
        <w:tc>
          <w:tcPr>
            <w:tcW w:w="664" w:type="pct"/>
          </w:tcPr>
          <w:p>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409" w:type="pct"/>
          </w:tcPr>
          <w:p>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321" w:type="pct"/>
          </w:tcPr>
          <w:p>
            <w:pPr>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pPr>
        <w:snapToGrid w:val="0"/>
        <w:spacing w:line="240" w:lineRule="atLeast"/>
        <w:rPr>
          <w:color w:val="000000" w:themeColor="text1"/>
          <w14:textFill>
            <w14:solidFill>
              <w14:schemeClr w14:val="tx1"/>
            </w14:solidFill>
          </w14:textFill>
        </w:rPr>
      </w:pPr>
    </w:p>
    <w:p>
      <w:pPr>
        <w:pStyle w:val="7"/>
        <w:ind w:left="105"/>
        <w:rPr>
          <w:color w:val="000000" w:themeColor="text1"/>
          <w14:textFill>
            <w14:solidFill>
              <w14:schemeClr w14:val="tx1"/>
            </w14:solidFill>
          </w14:textFill>
        </w:rPr>
      </w:pPr>
      <w:r>
        <w:rPr>
          <w:rFonts w:hint="eastAsia"/>
          <w:color w:val="000000" w:themeColor="text1"/>
          <w14:textFill>
            <w14:solidFill>
              <w14:schemeClr w14:val="tx1"/>
            </w14:solidFill>
          </w14:textFill>
        </w:rPr>
        <w:t>可收回金额按预计未来现金流量的现值确定</w:t>
      </w:r>
    </w:p>
    <w:sdt>
      <w:sdtPr>
        <w:rPr>
          <w:rFonts w:hint="eastAsia"/>
          <w:color w:val="000000" w:themeColor="text1"/>
          <w14:textFill>
            <w14:solidFill>
              <w14:schemeClr w14:val="tx1"/>
            </w14:solidFill>
          </w14:textFill>
        </w:rPr>
        <w:alias w:val="是否适用：可收回金额按预计未来现金流量的现值确定[双击切换]"/>
        <w:tag w:val="_GBC_d65242ae61fc4539a837823d579d5278"/>
        <w:id w:val="-441224155"/>
        <w:placeholder>
          <w:docPart w:val="1F604DE714B349B5928A67E7D0749685"/>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7"/>
        <w:rPr>
          <w:color w:val="000000" w:themeColor="text1"/>
          <w14:textFill>
            <w14:solidFill>
              <w14:schemeClr w14:val="tx1"/>
            </w14:solidFill>
          </w14:textFill>
        </w:rPr>
      </w:pPr>
      <w:r>
        <w:rPr>
          <w:rFonts w:hint="eastAsia"/>
          <w:color w:val="000000" w:themeColor="text1"/>
          <w14:textFill>
            <w14:solidFill>
              <w14:schemeClr w14:val="tx1"/>
            </w14:solidFill>
          </w14:textFill>
        </w:rPr>
        <w:t>前述信息与以前年度减值测试采用的信息或外部信息明显不一致的差异原因</w:t>
      </w:r>
    </w:p>
    <w:sdt>
      <w:sdtPr>
        <w:rPr>
          <w:color w:val="000000" w:themeColor="text1"/>
          <w14:textFill>
            <w14:solidFill>
              <w14:schemeClr w14:val="tx1"/>
            </w14:solidFill>
          </w14:textFill>
        </w:rPr>
        <w:alias w:val="是否适用：前述信息与以前年度减值测试采用的信息或外部信息明显不一致的差异原因[双击切换]"/>
        <w:tag w:val="_GBC_f1769ac510c74b92a7112b305df2c3f7"/>
        <w:id w:val="445503256"/>
        <w:placeholder>
          <w:docPart w:val="1F604DE714B349B5928A67E7D0749685"/>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7"/>
        <w:rPr>
          <w:color w:val="000000" w:themeColor="text1"/>
          <w14:textFill>
            <w14:solidFill>
              <w14:schemeClr w14:val="tx1"/>
            </w14:solidFill>
          </w14:textFill>
        </w:rPr>
      </w:pPr>
      <w:r>
        <w:rPr>
          <w:rFonts w:hint="eastAsia"/>
          <w:color w:val="000000" w:themeColor="text1"/>
          <w14:textFill>
            <w14:solidFill>
              <w14:schemeClr w14:val="tx1"/>
            </w14:solidFill>
          </w14:textFill>
        </w:rPr>
        <w:t>公司以前年度减值测试采用信息与当年实际情况明显不一致的差异原因</w:t>
      </w:r>
    </w:p>
    <w:sdt>
      <w:sdtPr>
        <w:rPr>
          <w:color w:val="000000" w:themeColor="text1"/>
          <w14:textFill>
            <w14:solidFill>
              <w14:schemeClr w14:val="tx1"/>
            </w14:solidFill>
          </w14:textFill>
        </w:rPr>
        <w:alias w:val="是否适用：公司以前年度减值测试采用信息与当年实际情况明显不一致的差异原因[双击切换]"/>
        <w:tag w:val="_GBC_06882ec4f24944798867cc8ed17af277"/>
        <w:id w:val="174775347"/>
        <w:placeholder>
          <w:docPart w:val="1F604DE714B349B5928A67E7D0749685"/>
        </w:placeholder>
      </w:sdtPr>
      <w:sdtEndPr>
        <w:rPr>
          <w:color w:val="000000" w:themeColor="text1"/>
          <w14:textFill>
            <w14:solidFill>
              <w14:schemeClr w14:val="tx1"/>
            </w14:solidFill>
          </w14:textFill>
        </w:rPr>
      </w:sdtEndPr>
      <w:sdtContent>
        <w:p>
          <w:pPr>
            <w:pStyle w:val="48"/>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38"/>
    <w:bookmarkEnd w:id="339"/>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在建工程的说明[双击切换]"/>
        <w:tag w:val="_GBC_c0ffdfbb304348758da855627ba6d858"/>
        <w:id w:val="934109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rPr>
          <w:rFonts w:hint="eastAsia" w:ascii="宋体" w:hAnsi="宋体"/>
          <w:color w:val="000000" w:themeColor="text1"/>
          <w14:textFill>
            <w14:solidFill>
              <w14:schemeClr w14:val="tx1"/>
            </w14:solidFill>
          </w14:textFill>
        </w:rPr>
      </w:pPr>
      <w:bookmarkStart w:id="340" w:name="_Hlk11683481"/>
      <w:r>
        <w:rPr>
          <w:rFonts w:hint="eastAsia" w:ascii="宋体" w:hAnsi="宋体"/>
          <w:color w:val="000000" w:themeColor="text1"/>
          <w14:textFill>
            <w14:solidFill>
              <w14:schemeClr w14:val="tx1"/>
            </w14:solidFill>
          </w14:textFill>
        </w:rPr>
        <w:t>工程物资</w:t>
      </w:r>
    </w:p>
    <w:sdt>
      <w:sdtPr>
        <w:rPr>
          <w:color w:val="000000" w:themeColor="text1"/>
          <w14:textFill>
            <w14:solidFill>
              <w14:schemeClr w14:val="tx1"/>
            </w14:solidFill>
          </w14:textFill>
        </w:rPr>
        <w:alias w:val="是否适用：工程物资[双击切换]"/>
        <w:tag w:val="_GBC_0d711628566c4b08b883151766986b20"/>
        <w:id w:val="-108152087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40"/>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生产性生物资产</w:t>
      </w:r>
    </w:p>
    <w:p>
      <w:pPr>
        <w:pStyle w:val="5"/>
        <w:numPr>
          <w:ilvl w:val="0"/>
          <w:numId w:val="56"/>
        </w:numPr>
        <w:tabs>
          <w:tab w:val="left" w:pos="602"/>
          <w:tab w:val="left" w:pos="798"/>
        </w:tabs>
        <w:rPr>
          <w:rFonts w:hint="eastAsia"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采用成本计量模式的生产性生物资产</w:t>
      </w:r>
    </w:p>
    <w:sdt>
      <w:sdtPr>
        <w:rPr>
          <w:rFonts w:hint="eastAsia"/>
          <w:color w:val="000000" w:themeColor="text1"/>
          <w14:textFill>
            <w14:solidFill>
              <w14:schemeClr w14:val="tx1"/>
            </w14:solidFill>
          </w14:textFill>
        </w:rPr>
        <w:alias w:val="是否适用：财务附注：以成本计量的生产性生物资产[双击切换]"/>
        <w:tag w:val="_GBC_fca5101d9b46492484acd605f0ade969"/>
        <w:id w:val="2116012436"/>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56"/>
        </w:numPr>
        <w:tabs>
          <w:tab w:val="left" w:pos="602"/>
          <w:tab w:val="left" w:pos="798"/>
        </w:tabs>
        <w:rPr>
          <w:rFonts w:hint="eastAsia" w:ascii="宋体" w:hAnsi="宋体"/>
          <w:color w:val="000000" w:themeColor="text1"/>
          <w:kern w:val="0"/>
          <w:szCs w:val="21"/>
          <w14:textFill>
            <w14:solidFill>
              <w14:schemeClr w14:val="tx1"/>
            </w14:solidFill>
          </w14:textFill>
        </w:rPr>
      </w:pPr>
      <w:bookmarkStart w:id="341" w:name="_Hlk153461442"/>
      <w:bookmarkStart w:id="342" w:name="_Hlk167958925"/>
      <w:r>
        <w:rPr>
          <w:rFonts w:hint="eastAsia" w:ascii="宋体" w:hAnsi="宋体"/>
          <w:color w:val="000000" w:themeColor="text1"/>
          <w:kern w:val="0"/>
          <w:szCs w:val="21"/>
          <w14:textFill>
            <w14:solidFill>
              <w14:schemeClr w14:val="tx1"/>
            </w14:solidFill>
          </w14:textFill>
        </w:rPr>
        <w:t>采用成本计量模式的生产性生物资产的减值测试情况</w:t>
      </w:r>
    </w:p>
    <w:sdt>
      <w:sdtPr>
        <w:rPr>
          <w:color w:val="000000" w:themeColor="text1"/>
          <w14:textFill>
            <w14:solidFill>
              <w14:schemeClr w14:val="tx1"/>
            </w14:solidFill>
          </w14:textFill>
        </w:rPr>
        <w:alias w:val="是否适用：减值测试情况[双击切换]"/>
        <w:tag w:val="_GBC_9e260b0f45a84f50898aaf872db0ca84"/>
        <w:id w:val="-155745701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41"/>
    <w:bookmarkEnd w:id="342"/>
    <w:p>
      <w:pPr>
        <w:pStyle w:val="5"/>
        <w:numPr>
          <w:ilvl w:val="0"/>
          <w:numId w:val="56"/>
        </w:numPr>
        <w:tabs>
          <w:tab w:val="left" w:pos="602"/>
          <w:tab w:val="left" w:pos="798"/>
        </w:tabs>
        <w:rPr>
          <w:rFonts w:hint="eastAsia"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采用公允价值计量模式的生产性生物资产</w:t>
      </w:r>
    </w:p>
    <w:sdt>
      <w:sdtPr>
        <w:rPr>
          <w:color w:val="000000" w:themeColor="text1"/>
          <w14:textFill>
            <w14:solidFill>
              <w14:schemeClr w14:val="tx1"/>
            </w14:solidFill>
          </w14:textFill>
        </w:rPr>
        <w:alias w:val="是否适用：财务附注：以公允价值计量的生产性生物资产[双击切换]"/>
        <w:tag w:val="_GBC_3a67921e606f4abca6478a1ffb759394"/>
        <w:id w:val="-58691898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生产性生物资产的说明[双击切换]"/>
        <w:tag w:val="_GBC_48247874e2c54937aabce9db1308bea7"/>
        <w:id w:val="2137516289"/>
        <w:placeholder>
          <w:docPart w:val="GBC22222222222222222222222222222"/>
        </w:placeholder>
      </w:sdtPr>
      <w:sdtEndPr>
        <w:rPr>
          <w:color w:val="000000" w:themeColor="text1"/>
          <w14:textFill>
            <w14:solidFill>
              <w14:schemeClr w14:val="tx1"/>
            </w14:solidFill>
          </w14:textFill>
        </w:rPr>
      </w:sdtEndPr>
      <w:sdtContent>
        <w:p>
          <w:pPr>
            <w:autoSpaceDE w:val="0"/>
            <w:autoSpaceDN w:val="0"/>
            <w:adjustRightInd w:val="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油气资产</w:t>
      </w:r>
    </w:p>
    <w:p>
      <w:pPr>
        <w:pStyle w:val="5"/>
        <w:numPr>
          <w:ilvl w:val="0"/>
          <w:numId w:val="57"/>
        </w:numPr>
        <w:rPr>
          <w:color w:val="000000" w:themeColor="text1"/>
          <w14:textFill>
            <w14:solidFill>
              <w14:schemeClr w14:val="tx1"/>
            </w14:solidFill>
          </w14:textFill>
        </w:rPr>
      </w:pPr>
      <w:r>
        <w:rPr>
          <w:rFonts w:hint="eastAsia"/>
          <w:color w:val="000000" w:themeColor="text1"/>
          <w14:textFill>
            <w14:solidFill>
              <w14:schemeClr w14:val="tx1"/>
            </w14:solidFill>
          </w14:textFill>
        </w:rPr>
        <w:t>油气资产情况</w:t>
      </w:r>
    </w:p>
    <w:sdt>
      <w:sdtPr>
        <w:rPr>
          <w:color w:val="000000" w:themeColor="text1"/>
          <w14:textFill>
            <w14:solidFill>
              <w14:schemeClr w14:val="tx1"/>
            </w14:solidFill>
          </w14:textFill>
        </w:rPr>
        <w:alias w:val="是否适用：油气资产[双击切换]"/>
        <w:tag w:val="_GBC_7dce41817eb749dba0d132424020d250"/>
        <w:id w:val="104540586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57"/>
        </w:numPr>
        <w:rPr>
          <w:color w:val="000000" w:themeColor="text1"/>
          <w14:textFill>
            <w14:solidFill>
              <w14:schemeClr w14:val="tx1"/>
            </w14:solidFill>
          </w14:textFill>
        </w:rPr>
      </w:pPr>
      <w:bookmarkStart w:id="343" w:name="_Hlk153461604"/>
      <w:bookmarkStart w:id="344" w:name="_Hlk167959265"/>
      <w:r>
        <w:rPr>
          <w:rFonts w:hint="eastAsia"/>
          <w:color w:val="000000" w:themeColor="text1"/>
          <w14:textFill>
            <w14:solidFill>
              <w14:schemeClr w14:val="tx1"/>
            </w14:solidFill>
          </w14:textFill>
        </w:rPr>
        <w:t>油气资产的减值测试情况</w:t>
      </w:r>
    </w:p>
    <w:sdt>
      <w:sdtPr>
        <w:rPr>
          <w:color w:val="000000" w:themeColor="text1"/>
          <w14:textFill>
            <w14:solidFill>
              <w14:schemeClr w14:val="tx1"/>
            </w14:solidFill>
          </w14:textFill>
        </w:rPr>
        <w:alias w:val="是否适用：减值测试情况[双击切换]"/>
        <w:tag w:val="_GBC_3d3afd59d9f741639537a668ab2d0ccf"/>
        <w:id w:val="-145147021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43"/>
    <w:bookmarkEnd w:id="344"/>
    <w:p>
      <w:pPr>
        <w:autoSpaceDE w:val="0"/>
        <w:autoSpaceDN w:val="0"/>
        <w:adjustRightInd w:val="0"/>
        <w:rPr>
          <w:color w:val="000000" w:themeColor="text1"/>
          <w14:textFill>
            <w14:solidFill>
              <w14:schemeClr w14:val="tx1"/>
            </w14:solidFill>
          </w14:textFill>
        </w:rPr>
      </w:pPr>
      <w:bookmarkStart w:id="345" w:name="_Hlk167959495"/>
      <w:r>
        <w:rPr>
          <w:rFonts w:hint="eastAsia"/>
          <w:color w:val="000000" w:themeColor="text1"/>
          <w14:textFill>
            <w14:solidFill>
              <w14:schemeClr w14:val="tx1"/>
            </w14:solidFill>
          </w14:textFill>
        </w:rPr>
        <w:t>其他说明：</w:t>
      </w:r>
    </w:p>
    <w:p>
      <w:pPr>
        <w:autoSpaceDE w:val="0"/>
        <w:autoSpaceDN w:val="0"/>
        <w:adjustRightInd w:val="0"/>
        <w:rPr>
          <w:color w:val="000000" w:themeColor="text1"/>
          <w14:textFill>
            <w14:solidFill>
              <w14:schemeClr w14:val="tx1"/>
            </w14:solidFill>
          </w14:textFill>
        </w:rPr>
      </w:pPr>
      <w:sdt>
        <w:sdtPr>
          <w:rPr>
            <w:color w:val="000000" w:themeColor="text1"/>
            <w14:textFill>
              <w14:solidFill>
                <w14:schemeClr w14:val="tx1"/>
              </w14:solidFill>
            </w14:textFill>
          </w:rPr>
          <w:alias w:val="油气资产的说明"/>
          <w:tag w:val="_GBC_f691a34a4bb64e549c6319049096f28b"/>
          <w:id w:val="963620390"/>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u w:val="single"/>
              <w14:textFill>
                <w14:solidFill>
                  <w14:schemeClr w14:val="tx1"/>
                </w14:solidFill>
              </w14:textFill>
            </w:rPr>
            <w:t>无</w:t>
          </w:r>
        </w:sdtContent>
      </w:sdt>
    </w:p>
    <w:bookmarkEnd w:id="345"/>
    <w:sdt>
      <w:sdtPr>
        <w:rPr>
          <w:rFonts w:hint="eastAsia" w:ascii="宋体" w:hAnsi="宋体" w:cs="宋体"/>
          <w:b w:val="0"/>
          <w:bCs/>
          <w:color w:val="000000" w:themeColor="text1"/>
          <w:kern w:val="0"/>
          <w:szCs w:val="21"/>
          <w14:textFill>
            <w14:solidFill>
              <w14:schemeClr w14:val="tx1"/>
            </w14:solidFill>
          </w14:textFill>
        </w:rPr>
        <w:alias w:val="模块:使用权资产"/>
        <w:tag w:val="_SEC_42126bf96c7241e38ff33aae0d98dae2"/>
        <w:id w:val="278456655"/>
        <w:placeholder>
          <w:docPart w:val="GBC22222222222222222222222222222"/>
        </w:placeholder>
      </w:sdtPr>
      <w:sdtEndPr>
        <w:rPr>
          <w:rFonts w:hint="eastAsia" w:ascii="Times New Roman" w:hAnsi="Times New Roman" w:cs="宋体"/>
          <w:b w:val="0"/>
          <w:bCs/>
          <w:color w:val="000000" w:themeColor="text1"/>
          <w:kern w:val="0"/>
          <w:szCs w:val="21"/>
          <w14:textFill>
            <w14:solidFill>
              <w14:schemeClr w14:val="tx1"/>
            </w14:solidFill>
          </w14:textFill>
        </w:rPr>
      </w:sdtEndPr>
      <w:sdtContent>
        <w:sdt>
          <w:sdtPr>
            <w:tag w:val="_PLD_dbf30b0808914e11a730d24190f6e581"/>
            <w:id w:val="1561980153"/>
          </w:sdtPr>
          <w:sdtConten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使用权资产</w:t>
              </w:r>
            </w:p>
          </w:sdtContent>
        </w:sdt>
        <w:p>
          <w:pPr>
            <w:pStyle w:val="5"/>
            <w:numPr>
              <w:ilvl w:val="0"/>
              <w:numId w:val="58"/>
            </w:numPr>
            <w:rPr>
              <w:color w:val="000000" w:themeColor="text1"/>
              <w14:textFill>
                <w14:solidFill>
                  <w14:schemeClr w14:val="tx1"/>
                </w14:solidFill>
              </w14:textFill>
            </w:rPr>
          </w:pPr>
          <w:r>
            <w:rPr>
              <w:rFonts w:hint="eastAsia"/>
              <w:color w:val="000000" w:themeColor="text1"/>
              <w14:textFill>
                <w14:solidFill>
                  <w14:schemeClr w14:val="tx1"/>
                </w14:solidFill>
              </w14:textFill>
            </w:rPr>
            <w:t>使用权资产情况</w:t>
          </w:r>
        </w:p>
        <w:sdt>
          <w:sdtPr>
            <w:rPr>
              <w:color w:val="000000" w:themeColor="text1"/>
              <w14:textFill>
                <w14:solidFill>
                  <w14:schemeClr w14:val="tx1"/>
                </w14:solidFill>
              </w14:textFill>
            </w:rPr>
            <w:alias w:val="是否适用：使用权资产[双击切换]"/>
            <w:tag w:val="_GBC_3ac132175b304712af4889ae3914ef7d"/>
            <w:id w:val="204617463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bookmarkStart w:id="346" w:name="_Hlk11679747"/>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autoSpaceDE w:val="0"/>
            <w:autoSpaceDN w:val="0"/>
            <w:adjustRightInd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使用权资产"/>
              <w:tag w:val="_GBC_126de13c7c92490d95bdebd7efe2d59b"/>
              <w:id w:val="143409073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使用权资产"/>
              <w:tag w:val="_GBC_bb9e8b7096ab49fc95311a6c81431e95"/>
              <w:id w:val="9552978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6"/>
            <w:gridCol w:w="2161"/>
            <w:gridCol w:w="2736"/>
            <w:gridCol w:w="2305"/>
            <w:gridCol w:w="2364"/>
            <w:gridCol w:w="2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e7cc7a86c52f4dc596615cce534e6d6a"/>
                <w:id w:val="624661291"/>
              </w:sdtPr>
              <w:sdtContent>
                <w:tc>
                  <w:tcPr>
                    <w:tcW w:w="765" w:type="pct"/>
                    <w:vAlign w:val="center"/>
                  </w:tcPr>
                  <w:p>
                    <w:pPr>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rPr>
                  <w:color w:val="000000" w:themeColor="text1"/>
                  <w14:textFill>
                    <w14:solidFill>
                      <w14:schemeClr w14:val="tx1"/>
                    </w14:solidFill>
                  </w14:textFill>
                </w:rPr>
                <w:alias w:val="使用权资产明细-项目"/>
                <w:tag w:val="_GBC_ea9ffc7b81304e04ad88fe7fcccf7ec1"/>
                <w:id w:val="1099678636"/>
              </w:sdtPr>
              <w:sdtEndPr>
                <w:rPr>
                  <w:color w:val="000000" w:themeColor="text1"/>
                  <w14:textFill>
                    <w14:solidFill>
                      <w14:schemeClr w14:val="tx1"/>
                    </w14:solidFill>
                  </w14:textFill>
                </w:rPr>
              </w:sdtEndPr>
              <w:sdtContent>
                <w:tc>
                  <w:tcPr>
                    <w:tcW w:w="767" w:type="pct"/>
                    <w:vAlign w:val="center"/>
                  </w:tcPr>
                  <w:p>
                    <w:pPr>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房屋建筑物</w:t>
                    </w:r>
                  </w:p>
                </w:tc>
              </w:sdtContent>
            </w:sdt>
            <w:sdt>
              <w:sdtPr>
                <w:alias w:val="使用权资产明细-项目"/>
                <w:tag w:val="_GBC_ea9ffc7b81304e04ad88fe7fcccf7ec1"/>
                <w:id w:val="228893860"/>
              </w:sdtPr>
              <w:sdtContent>
                <w:tc>
                  <w:tcPr>
                    <w:tcW w:w="971" w:type="pct"/>
                    <w:vAlign w:val="center"/>
                  </w:tcPr>
                  <w:p>
                    <w:pPr>
                      <w:spacing w:line="240" w:lineRule="atLeast"/>
                      <w:jc w:val="center"/>
                    </w:pPr>
                    <w:r>
                      <w:rPr>
                        <w:rFonts w:hint="eastAsia"/>
                      </w:rPr>
                      <w:t>机器设备</w:t>
                    </w:r>
                  </w:p>
                </w:tc>
              </w:sdtContent>
            </w:sdt>
            <w:sdt>
              <w:sdtPr>
                <w:alias w:val="使用权资产明细-项目"/>
                <w:tag w:val="_GBC_ea9ffc7b81304e04ad88fe7fcccf7ec1"/>
                <w:id w:val="-1947539862"/>
              </w:sdtPr>
              <w:sdtContent>
                <w:tc>
                  <w:tcPr>
                    <w:tcW w:w="818" w:type="pct"/>
                    <w:vAlign w:val="center"/>
                  </w:tcPr>
                  <w:p>
                    <w:pPr>
                      <w:spacing w:line="240" w:lineRule="atLeast"/>
                      <w:jc w:val="center"/>
                    </w:pPr>
                    <w:r>
                      <w:rPr>
                        <w:rFonts w:hint="eastAsia"/>
                      </w:rPr>
                      <w:t>运输工具</w:t>
                    </w:r>
                  </w:p>
                </w:tc>
              </w:sdtContent>
            </w:sdt>
            <w:sdt>
              <w:sdtPr>
                <w:alias w:val="使用权资产明细-项目"/>
                <w:tag w:val="_GBC_ea9ffc7b81304e04ad88fe7fcccf7ec1"/>
                <w:id w:val="-443233535"/>
              </w:sdtPr>
              <w:sdtContent>
                <w:tc>
                  <w:tcPr>
                    <w:tcW w:w="839" w:type="pct"/>
                    <w:vAlign w:val="center"/>
                  </w:tcPr>
                  <w:p>
                    <w:pPr>
                      <w:spacing w:line="240" w:lineRule="atLeast"/>
                      <w:jc w:val="center"/>
                    </w:pPr>
                    <w:r>
                      <w:rPr>
                        <w:rFonts w:hint="eastAsia"/>
                      </w:rPr>
                      <w:t>土地</w:t>
                    </w:r>
                  </w:p>
                </w:tc>
              </w:sdtContent>
            </w:sdt>
            <w:sdt>
              <w:sdtPr>
                <w:tag w:val="_PLD_8404013d36434d0f94f9d2e0e06379db"/>
                <w:id w:val="1102226358"/>
              </w:sdtPr>
              <w:sdtContent>
                <w:tc>
                  <w:tcPr>
                    <w:tcW w:w="840" w:type="pct"/>
                    <w:vAlign w:val="center"/>
                  </w:tcPr>
                  <w:p>
                    <w:pPr>
                      <w:spacing w:line="240" w:lineRule="atLeast"/>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8a1172a4974b4db489d9ace1c9b06ff9"/>
                <w:id w:val="-456562713"/>
              </w:sdtPr>
              <w:sdtContent>
                <w:tc>
                  <w:tcPr>
                    <w:tcW w:w="5000" w:type="pct"/>
                    <w:gridSpan w:val="6"/>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一、</w:t>
                    </w:r>
                    <w:r>
                      <w:rPr>
                        <w:rFonts w:hint="eastAsia"/>
                        <w:color w:val="000000" w:themeColor="text1"/>
                        <w14:textFill>
                          <w14:solidFill>
                            <w14:schemeClr w14:val="tx1"/>
                          </w14:solidFill>
                        </w14:textFill>
                      </w:rPr>
                      <w:t>账面</w:t>
                    </w:r>
                    <w:r>
                      <w:rPr>
                        <w:color w:val="000000" w:themeColor="text1"/>
                        <w14:textFill>
                          <w14:solidFill>
                            <w14:schemeClr w14:val="tx1"/>
                          </w14:solidFill>
                        </w14:textFill>
                      </w:rPr>
                      <w:t>原</w:t>
                    </w:r>
                    <w:r>
                      <w:rPr>
                        <w:rFonts w:hint="eastAsia"/>
                        <w:color w:val="000000" w:themeColor="text1"/>
                        <w14:textFill>
                          <w14:solidFill>
                            <w14:schemeClr w14:val="tx1"/>
                          </w14:solidFill>
                        </w14:textFill>
                      </w:rPr>
                      <w:t>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w:t>
                </w:r>
                <w:r>
                  <w:rPr>
                    <w:color w:val="000000" w:themeColor="text1"/>
                    <w14:textFill>
                      <w14:solidFill>
                        <w14:schemeClr w14:val="tx1"/>
                      </w14:solidFill>
                    </w14:textFill>
                  </w:rPr>
                  <w:t>初余额</w:t>
                </w:r>
              </w:p>
            </w:tc>
            <w:tc>
              <w:tcPr>
                <w:tcW w:w="767" w:type="pct"/>
              </w:tcPr>
              <w:p>
                <w:pPr>
                  <w:spacing w:line="240" w:lineRule="atLeast"/>
                  <w:ind w:firstLine="420" w:firstLineChars="200"/>
                  <w:jc w:val="right"/>
                  <w:rPr>
                    <w:color w:val="000000" w:themeColor="text1"/>
                    <w14:textFill>
                      <w14:solidFill>
                        <w14:schemeClr w14:val="tx1"/>
                      </w14:solidFill>
                    </w14:textFill>
                  </w:rPr>
                </w:pPr>
                <w:r>
                  <w:t xml:space="preserve"> 14,248,358.28 </w:t>
                </w:r>
              </w:p>
            </w:tc>
            <w:tc>
              <w:tcPr>
                <w:tcW w:w="971" w:type="pct"/>
              </w:tcPr>
              <w:p>
                <w:pPr>
                  <w:spacing w:line="240" w:lineRule="atLeast"/>
                  <w:ind w:firstLine="420" w:firstLineChars="200"/>
                  <w:jc w:val="right"/>
                  <w:rPr>
                    <w:color w:val="000000" w:themeColor="text1"/>
                    <w14:textFill>
                      <w14:solidFill>
                        <w14:schemeClr w14:val="tx1"/>
                      </w14:solidFill>
                    </w14:textFill>
                  </w:rPr>
                </w:pPr>
                <w:r>
                  <w:t xml:space="preserve"> 10,402,802.99 </w:t>
                </w:r>
              </w:p>
            </w:tc>
            <w:tc>
              <w:tcPr>
                <w:tcW w:w="818" w:type="pct"/>
              </w:tcPr>
              <w:p>
                <w:pPr>
                  <w:spacing w:line="240" w:lineRule="atLeast"/>
                  <w:ind w:firstLine="420" w:firstLineChars="200"/>
                  <w:jc w:val="right"/>
                  <w:rPr>
                    <w:color w:val="000000" w:themeColor="text1"/>
                    <w14:textFill>
                      <w14:solidFill>
                        <w14:schemeClr w14:val="tx1"/>
                      </w14:solidFill>
                    </w14:textFill>
                  </w:rPr>
                </w:pPr>
                <w:r>
                  <w:t xml:space="preserve"> 807,105.21 </w:t>
                </w:r>
              </w:p>
            </w:tc>
            <w:tc>
              <w:tcPr>
                <w:tcW w:w="839" w:type="pct"/>
              </w:tcPr>
              <w:p>
                <w:pPr>
                  <w:spacing w:line="240" w:lineRule="atLeast"/>
                  <w:ind w:firstLine="420" w:firstLineChars="200"/>
                  <w:jc w:val="right"/>
                  <w:rPr>
                    <w:color w:val="000000" w:themeColor="text1"/>
                    <w14:textFill>
                      <w14:solidFill>
                        <w14:schemeClr w14:val="tx1"/>
                      </w14:solidFill>
                    </w14:textFill>
                  </w:rPr>
                </w:pPr>
                <w:r>
                  <w:t xml:space="preserve"> 944,075.86 </w:t>
                </w:r>
              </w:p>
            </w:tc>
            <w:tc>
              <w:tcPr>
                <w:tcW w:w="840" w:type="pct"/>
              </w:tcPr>
              <w:p>
                <w:pPr>
                  <w:spacing w:line="240" w:lineRule="atLeast"/>
                  <w:jc w:val="right"/>
                  <w:rPr>
                    <w:color w:val="000000" w:themeColor="text1"/>
                    <w14:textFill>
                      <w14:solidFill>
                        <w14:schemeClr w14:val="tx1"/>
                      </w14:solidFill>
                    </w14:textFill>
                  </w:rPr>
                </w:pPr>
                <w:r>
                  <w:t xml:space="preserve"> 26,402,342.34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767" w:type="pct"/>
              </w:tcPr>
              <w:p>
                <w:pPr>
                  <w:spacing w:line="240" w:lineRule="atLeast"/>
                  <w:jc w:val="right"/>
                  <w:rPr>
                    <w:color w:val="000000" w:themeColor="text1"/>
                    <w14:textFill>
                      <w14:solidFill>
                        <w14:schemeClr w14:val="tx1"/>
                      </w14:solidFill>
                    </w14:textFill>
                  </w:rPr>
                </w:pPr>
                <w:r>
                  <w:t xml:space="preserve"> 5,218,113.60 </w:t>
                </w:r>
              </w:p>
            </w:tc>
            <w:tc>
              <w:tcPr>
                <w:tcW w:w="971" w:type="pct"/>
              </w:tcPr>
              <w:p>
                <w:pPr>
                  <w:spacing w:line="240" w:lineRule="atLeast"/>
                  <w:jc w:val="right"/>
                  <w:rPr>
                    <w:color w:val="000000" w:themeColor="text1"/>
                    <w14:textFill>
                      <w14:solidFill>
                        <w14:schemeClr w14:val="tx1"/>
                      </w14:solidFill>
                    </w14:textFill>
                  </w:rPr>
                </w:pPr>
              </w:p>
            </w:tc>
            <w:tc>
              <w:tcPr>
                <w:tcW w:w="818" w:type="pct"/>
              </w:tcPr>
              <w:p>
                <w:pPr>
                  <w:spacing w:line="240" w:lineRule="atLeast"/>
                  <w:jc w:val="right"/>
                  <w:rPr>
                    <w:color w:val="000000" w:themeColor="text1"/>
                    <w14:textFill>
                      <w14:solidFill>
                        <w14:schemeClr w14:val="tx1"/>
                      </w14:solidFill>
                    </w14:textFill>
                  </w:rPr>
                </w:pPr>
                <w:r>
                  <w:t xml:space="preserve"> 28,205.24 </w:t>
                </w:r>
              </w:p>
            </w:tc>
            <w:tc>
              <w:tcPr>
                <w:tcW w:w="839" w:type="pct"/>
              </w:tcPr>
              <w:p>
                <w:pPr>
                  <w:spacing w:line="240" w:lineRule="atLeast"/>
                  <w:jc w:val="right"/>
                  <w:rPr>
                    <w:color w:val="000000" w:themeColor="text1"/>
                    <w14:textFill>
                      <w14:solidFill>
                        <w14:schemeClr w14:val="tx1"/>
                      </w14:solidFill>
                    </w14:textFill>
                  </w:rPr>
                </w:pPr>
                <w:r>
                  <w:t xml:space="preserve"> 21,995,720.12 </w:t>
                </w:r>
              </w:p>
            </w:tc>
            <w:tc>
              <w:tcPr>
                <w:tcW w:w="840" w:type="pct"/>
              </w:tcPr>
              <w:p>
                <w:pPr>
                  <w:spacing w:line="240" w:lineRule="atLeast"/>
                  <w:jc w:val="right"/>
                  <w:rPr>
                    <w:color w:val="000000" w:themeColor="text1"/>
                    <w14:textFill>
                      <w14:solidFill>
                        <w14:schemeClr w14:val="tx1"/>
                      </w14:solidFill>
                    </w14:textFill>
                  </w:rPr>
                </w:pPr>
                <w:r>
                  <w:t xml:space="preserve"> 27,242,038.96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tcPr>
              <w:p>
                <w:pPr>
                  <w:spacing w:line="240" w:lineRule="atLeast"/>
                  <w:ind w:firstLine="210" w:firstLineChars="100"/>
                </w:pPr>
                <w:r>
                  <w:rPr>
                    <w:rFonts w:hint="eastAsia"/>
                  </w:rPr>
                  <w:t>（1）租赁</w:t>
                </w:r>
              </w:p>
            </w:tc>
            <w:tc>
              <w:tcPr>
                <w:tcW w:w="767" w:type="pct"/>
              </w:tcPr>
              <w:p>
                <w:pPr>
                  <w:spacing w:line="240" w:lineRule="atLeast"/>
                  <w:jc w:val="right"/>
                </w:pPr>
                <w:r>
                  <w:t xml:space="preserve"> 5,218,113.60 </w:t>
                </w:r>
              </w:p>
            </w:tc>
            <w:tc>
              <w:tcPr>
                <w:tcW w:w="971" w:type="pct"/>
              </w:tcPr>
              <w:p>
                <w:pPr>
                  <w:spacing w:line="240" w:lineRule="atLeast"/>
                  <w:jc w:val="right"/>
                </w:pPr>
              </w:p>
            </w:tc>
            <w:tc>
              <w:tcPr>
                <w:tcW w:w="818" w:type="pct"/>
              </w:tcPr>
              <w:p>
                <w:pPr>
                  <w:spacing w:line="240" w:lineRule="atLeast"/>
                  <w:jc w:val="right"/>
                </w:pPr>
                <w:r>
                  <w:t xml:space="preserve"> 28,205.24 </w:t>
                </w:r>
              </w:p>
            </w:tc>
            <w:tc>
              <w:tcPr>
                <w:tcW w:w="839" w:type="pct"/>
              </w:tcPr>
              <w:p>
                <w:pPr>
                  <w:spacing w:line="240" w:lineRule="atLeast"/>
                  <w:jc w:val="right"/>
                </w:pPr>
                <w:r>
                  <w:t xml:space="preserve"> 21,995,720.12 </w:t>
                </w:r>
              </w:p>
            </w:tc>
            <w:tc>
              <w:tcPr>
                <w:tcW w:w="840" w:type="pct"/>
              </w:tcPr>
              <w:p>
                <w:pPr>
                  <w:spacing w:line="240" w:lineRule="atLeast"/>
                  <w:jc w:val="right"/>
                </w:pPr>
                <w:r>
                  <w:t xml:space="preserve"> 27,242,038.96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3.本期减少</w:t>
                </w:r>
                <w:r>
                  <w:rPr>
                    <w:rFonts w:hint="eastAsia"/>
                    <w:color w:val="000000" w:themeColor="text1"/>
                    <w14:textFill>
                      <w14:solidFill>
                        <w14:schemeClr w14:val="tx1"/>
                      </w14:solidFill>
                    </w14:textFill>
                  </w:rPr>
                  <w:t>金额</w:t>
                </w:r>
              </w:p>
            </w:tc>
            <w:tc>
              <w:tcPr>
                <w:tcW w:w="767" w:type="pct"/>
              </w:tcPr>
              <w:p>
                <w:pPr>
                  <w:spacing w:line="240" w:lineRule="atLeast"/>
                  <w:jc w:val="right"/>
                  <w:rPr>
                    <w:color w:val="000000" w:themeColor="text1"/>
                    <w14:textFill>
                      <w14:solidFill>
                        <w14:schemeClr w14:val="tx1"/>
                      </w14:solidFill>
                    </w14:textFill>
                  </w:rPr>
                </w:pPr>
                <w:r>
                  <w:t xml:space="preserve"> 4,991,710.09 </w:t>
                </w:r>
              </w:p>
            </w:tc>
            <w:tc>
              <w:tcPr>
                <w:tcW w:w="971" w:type="pct"/>
              </w:tcPr>
              <w:p>
                <w:pPr>
                  <w:spacing w:line="240" w:lineRule="atLeast"/>
                  <w:jc w:val="right"/>
                  <w:rPr>
                    <w:color w:val="000000" w:themeColor="text1"/>
                    <w14:textFill>
                      <w14:solidFill>
                        <w14:schemeClr w14:val="tx1"/>
                      </w14:solidFill>
                    </w14:textFill>
                  </w:rPr>
                </w:pPr>
              </w:p>
            </w:tc>
            <w:tc>
              <w:tcPr>
                <w:tcW w:w="818" w:type="pct"/>
              </w:tcPr>
              <w:p>
                <w:pPr>
                  <w:spacing w:line="240" w:lineRule="atLeast"/>
                  <w:jc w:val="right"/>
                  <w:rPr>
                    <w:color w:val="000000" w:themeColor="text1"/>
                    <w14:textFill>
                      <w14:solidFill>
                        <w14:schemeClr w14:val="tx1"/>
                      </w14:solidFill>
                    </w14:textFill>
                  </w:rPr>
                </w:pPr>
              </w:p>
            </w:tc>
            <w:tc>
              <w:tcPr>
                <w:tcW w:w="839" w:type="pct"/>
              </w:tcPr>
              <w:p>
                <w:pPr>
                  <w:spacing w:line="240" w:lineRule="atLeast"/>
                  <w:jc w:val="right"/>
                  <w:rPr>
                    <w:color w:val="000000" w:themeColor="text1"/>
                    <w14:textFill>
                      <w14:solidFill>
                        <w14:schemeClr w14:val="tx1"/>
                      </w14:solidFill>
                    </w14:textFill>
                  </w:rPr>
                </w:pPr>
              </w:p>
            </w:tc>
            <w:tc>
              <w:tcPr>
                <w:tcW w:w="840" w:type="pct"/>
              </w:tcPr>
              <w:p>
                <w:pPr>
                  <w:spacing w:line="240" w:lineRule="atLeast"/>
                  <w:jc w:val="right"/>
                  <w:rPr>
                    <w:color w:val="000000" w:themeColor="text1"/>
                    <w14:textFill>
                      <w14:solidFill>
                        <w14:schemeClr w14:val="tx1"/>
                      </w14:solidFill>
                    </w14:textFill>
                  </w:rPr>
                </w:pPr>
                <w:r>
                  <w:t xml:space="preserve"> 4,991,710.09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tcPr>
              <w:p>
                <w:pPr>
                  <w:spacing w:line="240" w:lineRule="atLeast"/>
                  <w:ind w:firstLine="210" w:firstLineChars="100"/>
                </w:pPr>
                <w:r>
                  <w:rPr>
                    <w:rFonts w:hint="eastAsia"/>
                  </w:rPr>
                  <w:t>（1）处置</w:t>
                </w:r>
              </w:p>
            </w:tc>
            <w:tc>
              <w:tcPr>
                <w:tcW w:w="767" w:type="pct"/>
              </w:tcPr>
              <w:p>
                <w:pPr>
                  <w:spacing w:line="240" w:lineRule="atLeast"/>
                  <w:jc w:val="right"/>
                </w:pPr>
                <w:r>
                  <w:t xml:space="preserve"> 4,991,710.09 </w:t>
                </w:r>
              </w:p>
            </w:tc>
            <w:tc>
              <w:tcPr>
                <w:tcW w:w="971" w:type="pct"/>
              </w:tcPr>
              <w:p>
                <w:pPr>
                  <w:spacing w:line="240" w:lineRule="atLeast"/>
                  <w:jc w:val="right"/>
                </w:pPr>
              </w:p>
            </w:tc>
            <w:tc>
              <w:tcPr>
                <w:tcW w:w="818" w:type="pct"/>
              </w:tcPr>
              <w:p>
                <w:pPr>
                  <w:spacing w:line="240" w:lineRule="atLeast"/>
                  <w:jc w:val="right"/>
                </w:pPr>
              </w:p>
            </w:tc>
            <w:tc>
              <w:tcPr>
                <w:tcW w:w="839" w:type="pct"/>
              </w:tcPr>
              <w:p>
                <w:pPr>
                  <w:spacing w:line="240" w:lineRule="atLeast"/>
                  <w:jc w:val="right"/>
                </w:pPr>
              </w:p>
            </w:tc>
            <w:tc>
              <w:tcPr>
                <w:tcW w:w="840" w:type="pct"/>
              </w:tcPr>
              <w:p>
                <w:pPr>
                  <w:spacing w:line="240" w:lineRule="atLeast"/>
                  <w:jc w:val="right"/>
                </w:pPr>
                <w:r>
                  <w:t xml:space="preserve"> 4,991,710.09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4.期末余额</w:t>
                </w:r>
              </w:p>
            </w:tc>
            <w:tc>
              <w:tcPr>
                <w:tcW w:w="767" w:type="pct"/>
              </w:tcPr>
              <w:p>
                <w:pPr>
                  <w:spacing w:line="240" w:lineRule="atLeast"/>
                  <w:jc w:val="right"/>
                  <w:rPr>
                    <w:color w:val="000000" w:themeColor="text1"/>
                    <w14:textFill>
                      <w14:solidFill>
                        <w14:schemeClr w14:val="tx1"/>
                      </w14:solidFill>
                    </w14:textFill>
                  </w:rPr>
                </w:pPr>
                <w:r>
                  <w:t xml:space="preserve"> 14,474,761.79 </w:t>
                </w:r>
              </w:p>
            </w:tc>
            <w:tc>
              <w:tcPr>
                <w:tcW w:w="971" w:type="pct"/>
              </w:tcPr>
              <w:p>
                <w:pPr>
                  <w:spacing w:line="240" w:lineRule="atLeast"/>
                  <w:jc w:val="right"/>
                  <w:rPr>
                    <w:color w:val="000000" w:themeColor="text1"/>
                    <w14:textFill>
                      <w14:solidFill>
                        <w14:schemeClr w14:val="tx1"/>
                      </w14:solidFill>
                    </w14:textFill>
                  </w:rPr>
                </w:pPr>
                <w:r>
                  <w:t xml:space="preserve"> 10,402,802.99 </w:t>
                </w:r>
              </w:p>
            </w:tc>
            <w:tc>
              <w:tcPr>
                <w:tcW w:w="818" w:type="pct"/>
              </w:tcPr>
              <w:p>
                <w:pPr>
                  <w:spacing w:line="240" w:lineRule="atLeast"/>
                  <w:jc w:val="right"/>
                  <w:rPr>
                    <w:color w:val="000000" w:themeColor="text1"/>
                    <w14:textFill>
                      <w14:solidFill>
                        <w14:schemeClr w14:val="tx1"/>
                      </w14:solidFill>
                    </w14:textFill>
                  </w:rPr>
                </w:pPr>
                <w:r>
                  <w:t xml:space="preserve"> 835,310.45 </w:t>
                </w:r>
              </w:p>
            </w:tc>
            <w:tc>
              <w:tcPr>
                <w:tcW w:w="839" w:type="pct"/>
              </w:tcPr>
              <w:p>
                <w:pPr>
                  <w:spacing w:line="240" w:lineRule="atLeast"/>
                  <w:jc w:val="right"/>
                  <w:rPr>
                    <w:color w:val="000000" w:themeColor="text1"/>
                    <w14:textFill>
                      <w14:solidFill>
                        <w14:schemeClr w14:val="tx1"/>
                      </w14:solidFill>
                    </w14:textFill>
                  </w:rPr>
                </w:pPr>
                <w:r>
                  <w:t xml:space="preserve"> 22,939,795.98 </w:t>
                </w:r>
              </w:p>
            </w:tc>
            <w:tc>
              <w:tcPr>
                <w:tcW w:w="840" w:type="pct"/>
              </w:tcPr>
              <w:p>
                <w:pPr>
                  <w:spacing w:line="240" w:lineRule="atLeast"/>
                  <w:jc w:val="right"/>
                  <w:rPr>
                    <w:color w:val="000000" w:themeColor="text1"/>
                    <w14:textFill>
                      <w14:solidFill>
                        <w14:schemeClr w14:val="tx1"/>
                      </w14:solidFill>
                    </w14:textFill>
                  </w:rPr>
                </w:pPr>
                <w:r>
                  <w:t xml:space="preserve"> 48,652,671.21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c5fd254e7ed54ab8b2346f3d57a1cc54"/>
                <w:id w:val="1537770739"/>
              </w:sdtPr>
              <w:sdtContent>
                <w:tc>
                  <w:tcPr>
                    <w:tcW w:w="5000" w:type="pct"/>
                    <w:gridSpan w:val="6"/>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二、累计折旧</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1.期</w:t>
                </w:r>
                <w:r>
                  <w:rPr>
                    <w:color w:val="000000" w:themeColor="text1"/>
                    <w14:textFill>
                      <w14:solidFill>
                        <w14:schemeClr w14:val="tx1"/>
                      </w14:solidFill>
                    </w14:textFill>
                  </w:rPr>
                  <w:t>初余额</w:t>
                </w:r>
              </w:p>
            </w:tc>
            <w:tc>
              <w:tcPr>
                <w:tcW w:w="767" w:type="pct"/>
              </w:tcPr>
              <w:p>
                <w:pPr>
                  <w:spacing w:line="240" w:lineRule="atLeast"/>
                  <w:jc w:val="right"/>
                  <w:rPr>
                    <w:color w:val="000000" w:themeColor="text1"/>
                    <w14:textFill>
                      <w14:solidFill>
                        <w14:schemeClr w14:val="tx1"/>
                      </w14:solidFill>
                    </w14:textFill>
                  </w:rPr>
                </w:pPr>
                <w:r>
                  <w:t xml:space="preserve"> 4,749,999.25 </w:t>
                </w:r>
              </w:p>
            </w:tc>
            <w:tc>
              <w:tcPr>
                <w:tcW w:w="971" w:type="pct"/>
              </w:tcPr>
              <w:p>
                <w:pPr>
                  <w:spacing w:line="240" w:lineRule="atLeast"/>
                  <w:jc w:val="right"/>
                  <w:rPr>
                    <w:color w:val="000000" w:themeColor="text1"/>
                    <w14:textFill>
                      <w14:solidFill>
                        <w14:schemeClr w14:val="tx1"/>
                      </w14:solidFill>
                    </w14:textFill>
                  </w:rPr>
                </w:pPr>
                <w:r>
                  <w:t xml:space="preserve"> 520,140.14 </w:t>
                </w:r>
              </w:p>
            </w:tc>
            <w:tc>
              <w:tcPr>
                <w:tcW w:w="818" w:type="pct"/>
              </w:tcPr>
              <w:p>
                <w:pPr>
                  <w:spacing w:line="240" w:lineRule="atLeast"/>
                  <w:jc w:val="right"/>
                  <w:rPr>
                    <w:color w:val="000000" w:themeColor="text1"/>
                    <w14:textFill>
                      <w14:solidFill>
                        <w14:schemeClr w14:val="tx1"/>
                      </w14:solidFill>
                    </w14:textFill>
                  </w:rPr>
                </w:pPr>
                <w:r>
                  <w:t xml:space="preserve"> 545,341.25 </w:t>
                </w:r>
              </w:p>
            </w:tc>
            <w:tc>
              <w:tcPr>
                <w:tcW w:w="839" w:type="pct"/>
              </w:tcPr>
              <w:p>
                <w:pPr>
                  <w:spacing w:line="240" w:lineRule="atLeast"/>
                  <w:jc w:val="right"/>
                  <w:rPr>
                    <w:color w:val="000000" w:themeColor="text1"/>
                    <w14:textFill>
                      <w14:solidFill>
                        <w14:schemeClr w14:val="tx1"/>
                      </w14:solidFill>
                    </w14:textFill>
                  </w:rPr>
                </w:pPr>
                <w:r>
                  <w:t xml:space="preserve"> 7,408.86 </w:t>
                </w:r>
              </w:p>
            </w:tc>
            <w:tc>
              <w:tcPr>
                <w:tcW w:w="840" w:type="pct"/>
              </w:tcPr>
              <w:p>
                <w:pPr>
                  <w:spacing w:line="240" w:lineRule="atLeast"/>
                  <w:jc w:val="right"/>
                  <w:rPr>
                    <w:color w:val="000000" w:themeColor="text1"/>
                    <w14:textFill>
                      <w14:solidFill>
                        <w14:schemeClr w14:val="tx1"/>
                      </w14:solidFill>
                    </w14:textFill>
                  </w:rPr>
                </w:pPr>
                <w:r>
                  <w:t xml:space="preserve"> 5,822,889.50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767" w:type="pct"/>
              </w:tcPr>
              <w:p>
                <w:pPr>
                  <w:spacing w:line="240" w:lineRule="atLeast"/>
                  <w:jc w:val="right"/>
                  <w:rPr>
                    <w:color w:val="000000" w:themeColor="text1"/>
                    <w14:textFill>
                      <w14:solidFill>
                        <w14:schemeClr w14:val="tx1"/>
                      </w14:solidFill>
                    </w14:textFill>
                  </w:rPr>
                </w:pPr>
                <w:r>
                  <w:t xml:space="preserve"> 1,910,358.26 </w:t>
                </w:r>
              </w:p>
            </w:tc>
            <w:tc>
              <w:tcPr>
                <w:tcW w:w="971" w:type="pct"/>
              </w:tcPr>
              <w:p>
                <w:pPr>
                  <w:spacing w:line="240" w:lineRule="atLeast"/>
                  <w:jc w:val="right"/>
                  <w:rPr>
                    <w:color w:val="000000" w:themeColor="text1"/>
                    <w14:textFill>
                      <w14:solidFill>
                        <w14:schemeClr w14:val="tx1"/>
                      </w14:solidFill>
                    </w14:textFill>
                  </w:rPr>
                </w:pPr>
                <w:r>
                  <w:t xml:space="preserve"> 520,140.12 </w:t>
                </w:r>
              </w:p>
            </w:tc>
            <w:tc>
              <w:tcPr>
                <w:tcW w:w="818" w:type="pct"/>
              </w:tcPr>
              <w:p>
                <w:pPr>
                  <w:spacing w:line="240" w:lineRule="atLeast"/>
                  <w:jc w:val="right"/>
                  <w:rPr>
                    <w:color w:val="000000" w:themeColor="text1"/>
                    <w14:textFill>
                      <w14:solidFill>
                        <w14:schemeClr w14:val="tx1"/>
                      </w14:solidFill>
                    </w14:textFill>
                  </w:rPr>
                </w:pPr>
                <w:r>
                  <w:t xml:space="preserve"> 133,232.38 </w:t>
                </w:r>
              </w:p>
            </w:tc>
            <w:tc>
              <w:tcPr>
                <w:tcW w:w="839" w:type="pct"/>
              </w:tcPr>
              <w:p>
                <w:pPr>
                  <w:spacing w:line="240" w:lineRule="atLeast"/>
                  <w:jc w:val="right"/>
                  <w:rPr>
                    <w:color w:val="000000" w:themeColor="text1"/>
                    <w14:textFill>
                      <w14:solidFill>
                        <w14:schemeClr w14:val="tx1"/>
                      </w14:solidFill>
                    </w14:textFill>
                  </w:rPr>
                </w:pPr>
                <w:r>
                  <w:t xml:space="preserve"> 610,215.11 </w:t>
                </w:r>
              </w:p>
            </w:tc>
            <w:tc>
              <w:tcPr>
                <w:tcW w:w="840" w:type="pct"/>
              </w:tcPr>
              <w:p>
                <w:pPr>
                  <w:spacing w:line="240" w:lineRule="atLeast"/>
                  <w:jc w:val="right"/>
                  <w:rPr>
                    <w:color w:val="000000" w:themeColor="text1"/>
                    <w14:textFill>
                      <w14:solidFill>
                        <w14:schemeClr w14:val="tx1"/>
                      </w14:solidFill>
                    </w14:textFill>
                  </w:rPr>
                </w:pPr>
                <w:r>
                  <w:t xml:space="preserve"> 3,173,945.87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计提</w:t>
                </w:r>
              </w:p>
            </w:tc>
            <w:tc>
              <w:tcPr>
                <w:tcW w:w="767" w:type="pct"/>
              </w:tcPr>
              <w:p>
                <w:pPr>
                  <w:spacing w:line="240" w:lineRule="atLeast"/>
                  <w:jc w:val="right"/>
                  <w:rPr>
                    <w:color w:val="000000" w:themeColor="text1"/>
                    <w14:textFill>
                      <w14:solidFill>
                        <w14:schemeClr w14:val="tx1"/>
                      </w14:solidFill>
                    </w14:textFill>
                  </w:rPr>
                </w:pPr>
                <w:r>
                  <w:t xml:space="preserve"> 1,910,358.26 </w:t>
                </w:r>
              </w:p>
            </w:tc>
            <w:tc>
              <w:tcPr>
                <w:tcW w:w="971" w:type="pct"/>
              </w:tcPr>
              <w:p>
                <w:pPr>
                  <w:spacing w:line="240" w:lineRule="atLeast"/>
                  <w:jc w:val="right"/>
                  <w:rPr>
                    <w:color w:val="000000" w:themeColor="text1"/>
                    <w14:textFill>
                      <w14:solidFill>
                        <w14:schemeClr w14:val="tx1"/>
                      </w14:solidFill>
                    </w14:textFill>
                  </w:rPr>
                </w:pPr>
                <w:r>
                  <w:t xml:space="preserve"> 520,140.12 </w:t>
                </w:r>
              </w:p>
            </w:tc>
            <w:tc>
              <w:tcPr>
                <w:tcW w:w="818" w:type="pct"/>
              </w:tcPr>
              <w:p>
                <w:pPr>
                  <w:spacing w:line="240" w:lineRule="atLeast"/>
                  <w:jc w:val="right"/>
                  <w:rPr>
                    <w:color w:val="000000" w:themeColor="text1"/>
                    <w14:textFill>
                      <w14:solidFill>
                        <w14:schemeClr w14:val="tx1"/>
                      </w14:solidFill>
                    </w14:textFill>
                  </w:rPr>
                </w:pPr>
                <w:r>
                  <w:t xml:space="preserve"> 133,232.38 </w:t>
                </w:r>
              </w:p>
            </w:tc>
            <w:tc>
              <w:tcPr>
                <w:tcW w:w="839" w:type="pct"/>
              </w:tcPr>
              <w:p>
                <w:pPr>
                  <w:spacing w:line="240" w:lineRule="atLeast"/>
                  <w:jc w:val="right"/>
                  <w:rPr>
                    <w:color w:val="000000" w:themeColor="text1"/>
                    <w14:textFill>
                      <w14:solidFill>
                        <w14:schemeClr w14:val="tx1"/>
                      </w14:solidFill>
                    </w14:textFill>
                  </w:rPr>
                </w:pPr>
                <w:r>
                  <w:t xml:space="preserve"> 610,215.11 </w:t>
                </w:r>
              </w:p>
            </w:tc>
            <w:tc>
              <w:tcPr>
                <w:tcW w:w="840" w:type="pct"/>
              </w:tcPr>
              <w:p>
                <w:pPr>
                  <w:spacing w:line="240" w:lineRule="atLeast"/>
                  <w:jc w:val="right"/>
                  <w:rPr>
                    <w:color w:val="000000" w:themeColor="text1"/>
                    <w14:textFill>
                      <w14:solidFill>
                        <w14:schemeClr w14:val="tx1"/>
                      </w14:solidFill>
                    </w14:textFill>
                  </w:rPr>
                </w:pPr>
                <w:r>
                  <w:t xml:space="preserve"> 3,173,945.87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本期减少</w:t>
                </w:r>
                <w:r>
                  <w:rPr>
                    <w:rFonts w:hint="eastAsia"/>
                    <w:color w:val="000000" w:themeColor="text1"/>
                    <w14:textFill>
                      <w14:solidFill>
                        <w14:schemeClr w14:val="tx1"/>
                      </w14:solidFill>
                    </w14:textFill>
                  </w:rPr>
                  <w:t>金额</w:t>
                </w:r>
              </w:p>
            </w:tc>
            <w:tc>
              <w:tcPr>
                <w:tcW w:w="767" w:type="pct"/>
              </w:tcPr>
              <w:p>
                <w:pPr>
                  <w:spacing w:line="240" w:lineRule="atLeast"/>
                  <w:jc w:val="right"/>
                  <w:rPr>
                    <w:color w:val="000000" w:themeColor="text1"/>
                    <w14:textFill>
                      <w14:solidFill>
                        <w14:schemeClr w14:val="tx1"/>
                      </w14:solidFill>
                    </w14:textFill>
                  </w:rPr>
                </w:pPr>
                <w:r>
                  <w:t xml:space="preserve"> 1,677,088.33 </w:t>
                </w:r>
              </w:p>
            </w:tc>
            <w:tc>
              <w:tcPr>
                <w:tcW w:w="971" w:type="pct"/>
              </w:tcPr>
              <w:p>
                <w:pPr>
                  <w:spacing w:line="240" w:lineRule="atLeast"/>
                  <w:jc w:val="right"/>
                  <w:rPr>
                    <w:color w:val="000000" w:themeColor="text1"/>
                    <w14:textFill>
                      <w14:solidFill>
                        <w14:schemeClr w14:val="tx1"/>
                      </w14:solidFill>
                    </w14:textFill>
                  </w:rPr>
                </w:pPr>
              </w:p>
            </w:tc>
            <w:tc>
              <w:tcPr>
                <w:tcW w:w="818" w:type="pct"/>
              </w:tcPr>
              <w:p>
                <w:pPr>
                  <w:spacing w:line="240" w:lineRule="atLeast"/>
                  <w:jc w:val="right"/>
                  <w:rPr>
                    <w:color w:val="000000" w:themeColor="text1"/>
                    <w14:textFill>
                      <w14:solidFill>
                        <w14:schemeClr w14:val="tx1"/>
                      </w14:solidFill>
                    </w14:textFill>
                  </w:rPr>
                </w:pPr>
              </w:p>
            </w:tc>
            <w:tc>
              <w:tcPr>
                <w:tcW w:w="839" w:type="pct"/>
              </w:tcPr>
              <w:p>
                <w:pPr>
                  <w:spacing w:line="240" w:lineRule="atLeast"/>
                  <w:jc w:val="right"/>
                  <w:rPr>
                    <w:color w:val="000000" w:themeColor="text1"/>
                    <w14:textFill>
                      <w14:solidFill>
                        <w14:schemeClr w14:val="tx1"/>
                      </w14:solidFill>
                    </w14:textFill>
                  </w:rPr>
                </w:pPr>
              </w:p>
            </w:tc>
            <w:tc>
              <w:tcPr>
                <w:tcW w:w="840" w:type="pct"/>
              </w:tcPr>
              <w:p>
                <w:pPr>
                  <w:spacing w:line="240" w:lineRule="atLeast"/>
                  <w:jc w:val="right"/>
                  <w:rPr>
                    <w:color w:val="000000" w:themeColor="text1"/>
                    <w14:textFill>
                      <w14:solidFill>
                        <w14:schemeClr w14:val="tx1"/>
                      </w14:solidFill>
                    </w14:textFill>
                  </w:rPr>
                </w:pPr>
                <w:r>
                  <w:t xml:space="preserve"> 1,677,088.33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（1）处置</w:t>
                </w:r>
              </w:p>
            </w:tc>
            <w:tc>
              <w:tcPr>
                <w:tcW w:w="767" w:type="pct"/>
              </w:tcPr>
              <w:p>
                <w:pPr>
                  <w:spacing w:line="240" w:lineRule="atLeast"/>
                  <w:jc w:val="right"/>
                  <w:rPr>
                    <w:color w:val="000000" w:themeColor="text1"/>
                    <w14:textFill>
                      <w14:solidFill>
                        <w14:schemeClr w14:val="tx1"/>
                      </w14:solidFill>
                    </w14:textFill>
                  </w:rPr>
                </w:pPr>
                <w:r>
                  <w:t xml:space="preserve"> 1,677,088.33 </w:t>
                </w:r>
              </w:p>
            </w:tc>
            <w:tc>
              <w:tcPr>
                <w:tcW w:w="971" w:type="pct"/>
              </w:tcPr>
              <w:p>
                <w:pPr>
                  <w:spacing w:line="240" w:lineRule="atLeast"/>
                  <w:jc w:val="right"/>
                  <w:rPr>
                    <w:color w:val="000000" w:themeColor="text1"/>
                    <w14:textFill>
                      <w14:solidFill>
                        <w14:schemeClr w14:val="tx1"/>
                      </w14:solidFill>
                    </w14:textFill>
                  </w:rPr>
                </w:pPr>
              </w:p>
            </w:tc>
            <w:tc>
              <w:tcPr>
                <w:tcW w:w="818" w:type="pct"/>
              </w:tcPr>
              <w:p>
                <w:pPr>
                  <w:spacing w:line="240" w:lineRule="atLeast"/>
                  <w:jc w:val="right"/>
                  <w:rPr>
                    <w:color w:val="000000" w:themeColor="text1"/>
                    <w14:textFill>
                      <w14:solidFill>
                        <w14:schemeClr w14:val="tx1"/>
                      </w14:solidFill>
                    </w14:textFill>
                  </w:rPr>
                </w:pPr>
              </w:p>
            </w:tc>
            <w:tc>
              <w:tcPr>
                <w:tcW w:w="839" w:type="pct"/>
              </w:tcPr>
              <w:p>
                <w:pPr>
                  <w:spacing w:line="240" w:lineRule="atLeast"/>
                  <w:jc w:val="right"/>
                  <w:rPr>
                    <w:color w:val="000000" w:themeColor="text1"/>
                    <w14:textFill>
                      <w14:solidFill>
                        <w14:schemeClr w14:val="tx1"/>
                      </w14:solidFill>
                    </w14:textFill>
                  </w:rPr>
                </w:pPr>
              </w:p>
            </w:tc>
            <w:tc>
              <w:tcPr>
                <w:tcW w:w="840" w:type="pct"/>
              </w:tcPr>
              <w:p>
                <w:pPr>
                  <w:spacing w:line="240" w:lineRule="atLeast"/>
                  <w:jc w:val="right"/>
                  <w:rPr>
                    <w:color w:val="000000" w:themeColor="text1"/>
                    <w14:textFill>
                      <w14:solidFill>
                        <w14:schemeClr w14:val="tx1"/>
                      </w14:solidFill>
                    </w14:textFill>
                  </w:rPr>
                </w:pPr>
                <w:r>
                  <w:t xml:space="preserve"> 1,677,088.33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期末余额</w:t>
                </w:r>
              </w:p>
            </w:tc>
            <w:tc>
              <w:tcPr>
                <w:tcW w:w="767" w:type="pct"/>
              </w:tcPr>
              <w:p>
                <w:pPr>
                  <w:spacing w:line="240" w:lineRule="atLeast"/>
                  <w:jc w:val="right"/>
                  <w:rPr>
                    <w:color w:val="000000" w:themeColor="text1"/>
                    <w14:textFill>
                      <w14:solidFill>
                        <w14:schemeClr w14:val="tx1"/>
                      </w14:solidFill>
                    </w14:textFill>
                  </w:rPr>
                </w:pPr>
                <w:r>
                  <w:t xml:space="preserve"> 4,983,269.18 </w:t>
                </w:r>
              </w:p>
            </w:tc>
            <w:tc>
              <w:tcPr>
                <w:tcW w:w="971" w:type="pct"/>
              </w:tcPr>
              <w:p>
                <w:pPr>
                  <w:spacing w:line="240" w:lineRule="atLeast"/>
                  <w:jc w:val="right"/>
                  <w:rPr>
                    <w:color w:val="000000" w:themeColor="text1"/>
                    <w14:textFill>
                      <w14:solidFill>
                        <w14:schemeClr w14:val="tx1"/>
                      </w14:solidFill>
                    </w14:textFill>
                  </w:rPr>
                </w:pPr>
                <w:r>
                  <w:t xml:space="preserve"> 1,040,280.26 </w:t>
                </w:r>
              </w:p>
            </w:tc>
            <w:tc>
              <w:tcPr>
                <w:tcW w:w="818" w:type="pct"/>
              </w:tcPr>
              <w:p>
                <w:pPr>
                  <w:spacing w:line="240" w:lineRule="atLeast"/>
                  <w:jc w:val="right"/>
                  <w:rPr>
                    <w:color w:val="000000" w:themeColor="text1"/>
                    <w14:textFill>
                      <w14:solidFill>
                        <w14:schemeClr w14:val="tx1"/>
                      </w14:solidFill>
                    </w14:textFill>
                  </w:rPr>
                </w:pPr>
                <w:r>
                  <w:t xml:space="preserve"> 678,573.63 </w:t>
                </w:r>
              </w:p>
            </w:tc>
            <w:tc>
              <w:tcPr>
                <w:tcW w:w="839" w:type="pct"/>
              </w:tcPr>
              <w:p>
                <w:pPr>
                  <w:spacing w:line="240" w:lineRule="atLeast"/>
                  <w:jc w:val="right"/>
                  <w:rPr>
                    <w:color w:val="000000" w:themeColor="text1"/>
                    <w14:textFill>
                      <w14:solidFill>
                        <w14:schemeClr w14:val="tx1"/>
                      </w14:solidFill>
                    </w14:textFill>
                  </w:rPr>
                </w:pPr>
                <w:r>
                  <w:t xml:space="preserve"> 617,623.97 </w:t>
                </w:r>
              </w:p>
            </w:tc>
            <w:tc>
              <w:tcPr>
                <w:tcW w:w="840" w:type="pct"/>
              </w:tcPr>
              <w:p>
                <w:pPr>
                  <w:spacing w:line="240" w:lineRule="atLeast"/>
                  <w:jc w:val="right"/>
                  <w:rPr>
                    <w:color w:val="000000" w:themeColor="text1"/>
                    <w14:textFill>
                      <w14:solidFill>
                        <w14:schemeClr w14:val="tx1"/>
                      </w14:solidFill>
                    </w14:textFill>
                  </w:rPr>
                </w:pPr>
                <w:r>
                  <w:t xml:space="preserve"> 7,319,747.04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977579b288954e92aacbdc72b4e58579"/>
                <w:id w:val="-1092926184"/>
              </w:sdtPr>
              <w:sdtContent>
                <w:tc>
                  <w:tcPr>
                    <w:tcW w:w="5000" w:type="pct"/>
                    <w:gridSpan w:val="6"/>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三、减值准备</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1.期</w:t>
                </w:r>
                <w:r>
                  <w:rPr>
                    <w:color w:val="000000" w:themeColor="text1"/>
                    <w14:textFill>
                      <w14:solidFill>
                        <w14:schemeClr w14:val="tx1"/>
                      </w14:solidFill>
                    </w14:textFill>
                  </w:rPr>
                  <w:t>初余额</w:t>
                </w:r>
              </w:p>
            </w:tc>
            <w:tc>
              <w:tcPr>
                <w:tcW w:w="767"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971" w:type="pct"/>
              </w:tcPr>
              <w:p>
                <w:pPr>
                  <w:spacing w:line="240" w:lineRule="atLeast"/>
                  <w:jc w:val="right"/>
                  <w:rPr>
                    <w:color w:val="000000" w:themeColor="text1"/>
                    <w14:textFill>
                      <w14:solidFill>
                        <w14:schemeClr w14:val="tx1"/>
                      </w14:solidFill>
                    </w14:textFill>
                  </w:rPr>
                </w:pPr>
              </w:p>
            </w:tc>
            <w:tc>
              <w:tcPr>
                <w:tcW w:w="818" w:type="pct"/>
              </w:tcPr>
              <w:p>
                <w:pPr>
                  <w:spacing w:line="240" w:lineRule="atLeast"/>
                  <w:jc w:val="right"/>
                  <w:rPr>
                    <w:color w:val="000000" w:themeColor="text1"/>
                    <w14:textFill>
                      <w14:solidFill>
                        <w14:schemeClr w14:val="tx1"/>
                      </w14:solidFill>
                    </w14:textFill>
                  </w:rPr>
                </w:pPr>
              </w:p>
            </w:tc>
            <w:tc>
              <w:tcPr>
                <w:tcW w:w="839" w:type="pct"/>
              </w:tcPr>
              <w:p>
                <w:pPr>
                  <w:spacing w:line="240" w:lineRule="atLeast"/>
                  <w:jc w:val="right"/>
                  <w:rPr>
                    <w:color w:val="000000" w:themeColor="text1"/>
                    <w14:textFill>
                      <w14:solidFill>
                        <w14:schemeClr w14:val="tx1"/>
                      </w14:solidFill>
                    </w14:textFill>
                  </w:rPr>
                </w:pPr>
              </w:p>
            </w:tc>
            <w:tc>
              <w:tcPr>
                <w:tcW w:w="840"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767"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971" w:type="pct"/>
              </w:tcPr>
              <w:p>
                <w:pPr>
                  <w:spacing w:line="240" w:lineRule="atLeast"/>
                  <w:jc w:val="right"/>
                  <w:rPr>
                    <w:color w:val="000000" w:themeColor="text1"/>
                    <w14:textFill>
                      <w14:solidFill>
                        <w14:schemeClr w14:val="tx1"/>
                      </w14:solidFill>
                    </w14:textFill>
                  </w:rPr>
                </w:pPr>
              </w:p>
            </w:tc>
            <w:tc>
              <w:tcPr>
                <w:tcW w:w="818" w:type="pct"/>
              </w:tcPr>
              <w:p>
                <w:pPr>
                  <w:spacing w:line="240" w:lineRule="atLeast"/>
                  <w:jc w:val="right"/>
                  <w:rPr>
                    <w:color w:val="000000" w:themeColor="text1"/>
                    <w14:textFill>
                      <w14:solidFill>
                        <w14:schemeClr w14:val="tx1"/>
                      </w14:solidFill>
                    </w14:textFill>
                  </w:rPr>
                </w:pPr>
              </w:p>
            </w:tc>
            <w:tc>
              <w:tcPr>
                <w:tcW w:w="839" w:type="pct"/>
              </w:tcPr>
              <w:p>
                <w:pPr>
                  <w:spacing w:line="240" w:lineRule="atLeast"/>
                  <w:jc w:val="right"/>
                  <w:rPr>
                    <w:color w:val="000000" w:themeColor="text1"/>
                    <w14:textFill>
                      <w14:solidFill>
                        <w14:schemeClr w14:val="tx1"/>
                      </w14:solidFill>
                    </w14:textFill>
                  </w:rPr>
                </w:pPr>
              </w:p>
            </w:tc>
            <w:tc>
              <w:tcPr>
                <w:tcW w:w="840"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计提</w:t>
                </w:r>
              </w:p>
            </w:tc>
            <w:tc>
              <w:tcPr>
                <w:tcW w:w="767"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971" w:type="pct"/>
              </w:tcPr>
              <w:p>
                <w:pPr>
                  <w:spacing w:line="240" w:lineRule="atLeast"/>
                  <w:jc w:val="right"/>
                  <w:rPr>
                    <w:color w:val="000000" w:themeColor="text1"/>
                    <w14:textFill>
                      <w14:solidFill>
                        <w14:schemeClr w14:val="tx1"/>
                      </w14:solidFill>
                    </w14:textFill>
                  </w:rPr>
                </w:pPr>
              </w:p>
            </w:tc>
            <w:tc>
              <w:tcPr>
                <w:tcW w:w="818" w:type="pct"/>
              </w:tcPr>
              <w:p>
                <w:pPr>
                  <w:spacing w:line="240" w:lineRule="atLeast"/>
                  <w:jc w:val="right"/>
                  <w:rPr>
                    <w:color w:val="000000" w:themeColor="text1"/>
                    <w14:textFill>
                      <w14:solidFill>
                        <w14:schemeClr w14:val="tx1"/>
                      </w14:solidFill>
                    </w14:textFill>
                  </w:rPr>
                </w:pPr>
              </w:p>
            </w:tc>
            <w:tc>
              <w:tcPr>
                <w:tcW w:w="839" w:type="pct"/>
              </w:tcPr>
              <w:p>
                <w:pPr>
                  <w:spacing w:line="240" w:lineRule="atLeast"/>
                  <w:jc w:val="right"/>
                  <w:rPr>
                    <w:color w:val="000000" w:themeColor="text1"/>
                    <w14:textFill>
                      <w14:solidFill>
                        <w14:schemeClr w14:val="tx1"/>
                      </w14:solidFill>
                    </w14:textFill>
                  </w:rPr>
                </w:pPr>
              </w:p>
            </w:tc>
            <w:tc>
              <w:tcPr>
                <w:tcW w:w="840"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本期减少</w:t>
                </w:r>
                <w:r>
                  <w:rPr>
                    <w:rFonts w:hint="eastAsia"/>
                    <w:color w:val="000000" w:themeColor="text1"/>
                    <w14:textFill>
                      <w14:solidFill>
                        <w14:schemeClr w14:val="tx1"/>
                      </w14:solidFill>
                    </w14:textFill>
                  </w:rPr>
                  <w:t>金额</w:t>
                </w:r>
              </w:p>
            </w:tc>
            <w:tc>
              <w:tcPr>
                <w:tcW w:w="767"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971" w:type="pct"/>
              </w:tcPr>
              <w:p>
                <w:pPr>
                  <w:spacing w:line="240" w:lineRule="atLeast"/>
                  <w:jc w:val="right"/>
                  <w:rPr>
                    <w:color w:val="000000" w:themeColor="text1"/>
                    <w14:textFill>
                      <w14:solidFill>
                        <w14:schemeClr w14:val="tx1"/>
                      </w14:solidFill>
                    </w14:textFill>
                  </w:rPr>
                </w:pPr>
              </w:p>
            </w:tc>
            <w:tc>
              <w:tcPr>
                <w:tcW w:w="818" w:type="pct"/>
              </w:tcPr>
              <w:p>
                <w:pPr>
                  <w:spacing w:line="240" w:lineRule="atLeast"/>
                  <w:jc w:val="right"/>
                  <w:rPr>
                    <w:color w:val="000000" w:themeColor="text1"/>
                    <w14:textFill>
                      <w14:solidFill>
                        <w14:schemeClr w14:val="tx1"/>
                      </w14:solidFill>
                    </w14:textFill>
                  </w:rPr>
                </w:pPr>
              </w:p>
            </w:tc>
            <w:tc>
              <w:tcPr>
                <w:tcW w:w="839" w:type="pct"/>
              </w:tcPr>
              <w:p>
                <w:pPr>
                  <w:spacing w:line="240" w:lineRule="atLeast"/>
                  <w:jc w:val="right"/>
                  <w:rPr>
                    <w:color w:val="000000" w:themeColor="text1"/>
                    <w14:textFill>
                      <w14:solidFill>
                        <w14:schemeClr w14:val="tx1"/>
                      </w14:solidFill>
                    </w14:textFill>
                  </w:rPr>
                </w:pPr>
              </w:p>
            </w:tc>
            <w:tc>
              <w:tcPr>
                <w:tcW w:w="840"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（1）处置</w:t>
                </w:r>
              </w:p>
            </w:tc>
            <w:tc>
              <w:tcPr>
                <w:tcW w:w="767"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971" w:type="pct"/>
              </w:tcPr>
              <w:p>
                <w:pPr>
                  <w:spacing w:line="240" w:lineRule="atLeast"/>
                  <w:jc w:val="right"/>
                  <w:rPr>
                    <w:color w:val="000000" w:themeColor="text1"/>
                    <w14:textFill>
                      <w14:solidFill>
                        <w14:schemeClr w14:val="tx1"/>
                      </w14:solidFill>
                    </w14:textFill>
                  </w:rPr>
                </w:pPr>
              </w:p>
            </w:tc>
            <w:tc>
              <w:tcPr>
                <w:tcW w:w="818" w:type="pct"/>
              </w:tcPr>
              <w:p>
                <w:pPr>
                  <w:spacing w:line="240" w:lineRule="atLeast"/>
                  <w:jc w:val="right"/>
                  <w:rPr>
                    <w:color w:val="000000" w:themeColor="text1"/>
                    <w14:textFill>
                      <w14:solidFill>
                        <w14:schemeClr w14:val="tx1"/>
                      </w14:solidFill>
                    </w14:textFill>
                  </w:rPr>
                </w:pPr>
              </w:p>
            </w:tc>
            <w:tc>
              <w:tcPr>
                <w:tcW w:w="839" w:type="pct"/>
              </w:tcPr>
              <w:p>
                <w:pPr>
                  <w:spacing w:line="240" w:lineRule="atLeast"/>
                  <w:jc w:val="right"/>
                  <w:rPr>
                    <w:color w:val="000000" w:themeColor="text1"/>
                    <w14:textFill>
                      <w14:solidFill>
                        <w14:schemeClr w14:val="tx1"/>
                      </w14:solidFill>
                    </w14:textFill>
                  </w:rPr>
                </w:pPr>
              </w:p>
            </w:tc>
            <w:tc>
              <w:tcPr>
                <w:tcW w:w="840"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期末余额</w:t>
                </w:r>
              </w:p>
            </w:tc>
            <w:tc>
              <w:tcPr>
                <w:tcW w:w="767"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971" w:type="pct"/>
              </w:tcPr>
              <w:p>
                <w:pPr>
                  <w:spacing w:line="240" w:lineRule="atLeast"/>
                  <w:jc w:val="right"/>
                  <w:rPr>
                    <w:color w:val="000000" w:themeColor="text1"/>
                    <w14:textFill>
                      <w14:solidFill>
                        <w14:schemeClr w14:val="tx1"/>
                      </w14:solidFill>
                    </w14:textFill>
                  </w:rPr>
                </w:pPr>
              </w:p>
            </w:tc>
            <w:tc>
              <w:tcPr>
                <w:tcW w:w="818" w:type="pct"/>
              </w:tcPr>
              <w:p>
                <w:pPr>
                  <w:spacing w:line="240" w:lineRule="atLeast"/>
                  <w:jc w:val="right"/>
                  <w:rPr>
                    <w:color w:val="000000" w:themeColor="text1"/>
                    <w14:textFill>
                      <w14:solidFill>
                        <w14:schemeClr w14:val="tx1"/>
                      </w14:solidFill>
                    </w14:textFill>
                  </w:rPr>
                </w:pPr>
              </w:p>
            </w:tc>
            <w:tc>
              <w:tcPr>
                <w:tcW w:w="839" w:type="pct"/>
              </w:tcPr>
              <w:p>
                <w:pPr>
                  <w:spacing w:line="240" w:lineRule="atLeast"/>
                  <w:jc w:val="right"/>
                  <w:rPr>
                    <w:color w:val="000000" w:themeColor="text1"/>
                    <w14:textFill>
                      <w14:solidFill>
                        <w14:schemeClr w14:val="tx1"/>
                      </w14:solidFill>
                    </w14:textFill>
                  </w:rPr>
                </w:pPr>
              </w:p>
            </w:tc>
            <w:tc>
              <w:tcPr>
                <w:tcW w:w="840" w:type="pct"/>
              </w:tcPr>
              <w:p>
                <w:pPr>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a609076f16da4fedb37d9fc1d72dfd8f"/>
                <w:id w:val="-51699097"/>
              </w:sdtPr>
              <w:sdtContent>
                <w:tc>
                  <w:tcPr>
                    <w:tcW w:w="5000" w:type="pct"/>
                    <w:gridSpan w:val="6"/>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四、账面价值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1.期末账面价值</w:t>
                </w:r>
              </w:p>
            </w:tc>
            <w:tc>
              <w:tcPr>
                <w:tcW w:w="767" w:type="pct"/>
              </w:tcPr>
              <w:p>
                <w:pPr>
                  <w:spacing w:line="240" w:lineRule="atLeast"/>
                  <w:jc w:val="right"/>
                  <w:rPr>
                    <w:color w:val="000000" w:themeColor="text1"/>
                    <w14:textFill>
                      <w14:solidFill>
                        <w14:schemeClr w14:val="tx1"/>
                      </w14:solidFill>
                    </w14:textFill>
                  </w:rPr>
                </w:pPr>
                <w:r>
                  <w:t xml:space="preserve"> 9,491,492.61 </w:t>
                </w:r>
              </w:p>
            </w:tc>
            <w:tc>
              <w:tcPr>
                <w:tcW w:w="971" w:type="pct"/>
              </w:tcPr>
              <w:p>
                <w:pPr>
                  <w:spacing w:line="240" w:lineRule="atLeast"/>
                  <w:jc w:val="right"/>
                  <w:rPr>
                    <w:color w:val="000000" w:themeColor="text1"/>
                    <w14:textFill>
                      <w14:solidFill>
                        <w14:schemeClr w14:val="tx1"/>
                      </w14:solidFill>
                    </w14:textFill>
                  </w:rPr>
                </w:pPr>
                <w:r>
                  <w:t xml:space="preserve"> 9,362,522.73 </w:t>
                </w:r>
              </w:p>
            </w:tc>
            <w:tc>
              <w:tcPr>
                <w:tcW w:w="818" w:type="pct"/>
              </w:tcPr>
              <w:p>
                <w:pPr>
                  <w:spacing w:line="240" w:lineRule="atLeast"/>
                  <w:jc w:val="right"/>
                  <w:rPr>
                    <w:color w:val="000000" w:themeColor="text1"/>
                    <w14:textFill>
                      <w14:solidFill>
                        <w14:schemeClr w14:val="tx1"/>
                      </w14:solidFill>
                    </w14:textFill>
                  </w:rPr>
                </w:pPr>
                <w:r>
                  <w:t xml:space="preserve"> 156,736.82 </w:t>
                </w:r>
              </w:p>
            </w:tc>
            <w:tc>
              <w:tcPr>
                <w:tcW w:w="839" w:type="pct"/>
              </w:tcPr>
              <w:p>
                <w:pPr>
                  <w:spacing w:line="240" w:lineRule="atLeast"/>
                  <w:jc w:val="right"/>
                  <w:rPr>
                    <w:color w:val="000000" w:themeColor="text1"/>
                    <w14:textFill>
                      <w14:solidFill>
                        <w14:schemeClr w14:val="tx1"/>
                      </w14:solidFill>
                    </w14:textFill>
                  </w:rPr>
                </w:pPr>
                <w:r>
                  <w:t xml:space="preserve"> 22,322,172.01 </w:t>
                </w:r>
              </w:p>
            </w:tc>
            <w:tc>
              <w:tcPr>
                <w:tcW w:w="840" w:type="pct"/>
              </w:tcPr>
              <w:p>
                <w:pPr>
                  <w:spacing w:line="240" w:lineRule="atLeast"/>
                  <w:jc w:val="right"/>
                  <w:rPr>
                    <w:color w:val="000000" w:themeColor="text1"/>
                    <w14:textFill>
                      <w14:solidFill>
                        <w14:schemeClr w14:val="tx1"/>
                      </w14:solidFill>
                    </w14:textFill>
                  </w:rPr>
                </w:pPr>
                <w:r>
                  <w:t xml:space="preserve"> 41,332,924.17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65" w:type="pct"/>
                <w:vAlign w:val="center"/>
              </w:tcPr>
              <w:p>
                <w:pPr>
                  <w:spacing w:line="240" w:lineRule="atLeast"/>
                  <w:rPr>
                    <w:color w:val="000000" w:themeColor="text1"/>
                    <w14:textFill>
                      <w14:solidFill>
                        <w14:schemeClr w14:val="tx1"/>
                      </w14:solidFill>
                    </w14:textFill>
                  </w:rPr>
                </w:pPr>
                <w:r>
                  <w:rPr>
                    <w:color w:val="000000" w:themeColor="text1"/>
                    <w14:textFill>
                      <w14:solidFill>
                        <w14:schemeClr w14:val="tx1"/>
                      </w14:solidFill>
                    </w14:textFill>
                  </w:rPr>
                  <w:t>2.期初账面价值</w:t>
                </w:r>
              </w:p>
            </w:tc>
            <w:tc>
              <w:tcPr>
                <w:tcW w:w="767" w:type="pct"/>
              </w:tcPr>
              <w:p>
                <w:pPr>
                  <w:spacing w:line="240" w:lineRule="atLeast"/>
                  <w:jc w:val="right"/>
                  <w:rPr>
                    <w:color w:val="000000" w:themeColor="text1"/>
                    <w14:textFill>
                      <w14:solidFill>
                        <w14:schemeClr w14:val="tx1"/>
                      </w14:solidFill>
                    </w14:textFill>
                  </w:rPr>
                </w:pPr>
                <w:r>
                  <w:t xml:space="preserve"> 9,498,359.03 </w:t>
                </w:r>
              </w:p>
            </w:tc>
            <w:tc>
              <w:tcPr>
                <w:tcW w:w="971" w:type="pct"/>
              </w:tcPr>
              <w:p>
                <w:pPr>
                  <w:spacing w:line="240" w:lineRule="atLeast"/>
                  <w:jc w:val="right"/>
                  <w:rPr>
                    <w:color w:val="000000" w:themeColor="text1"/>
                    <w14:textFill>
                      <w14:solidFill>
                        <w14:schemeClr w14:val="tx1"/>
                      </w14:solidFill>
                    </w14:textFill>
                  </w:rPr>
                </w:pPr>
                <w:r>
                  <w:t xml:space="preserve"> 9,882,662.85 </w:t>
                </w:r>
              </w:p>
            </w:tc>
            <w:tc>
              <w:tcPr>
                <w:tcW w:w="818" w:type="pct"/>
              </w:tcPr>
              <w:p>
                <w:pPr>
                  <w:spacing w:line="240" w:lineRule="atLeast"/>
                  <w:jc w:val="right"/>
                  <w:rPr>
                    <w:color w:val="000000" w:themeColor="text1"/>
                    <w14:textFill>
                      <w14:solidFill>
                        <w14:schemeClr w14:val="tx1"/>
                      </w14:solidFill>
                    </w14:textFill>
                  </w:rPr>
                </w:pPr>
                <w:r>
                  <w:t xml:space="preserve"> 261,763.96 </w:t>
                </w:r>
              </w:p>
            </w:tc>
            <w:tc>
              <w:tcPr>
                <w:tcW w:w="839" w:type="pct"/>
              </w:tcPr>
              <w:p>
                <w:pPr>
                  <w:spacing w:line="240" w:lineRule="atLeast"/>
                  <w:jc w:val="right"/>
                  <w:rPr>
                    <w:color w:val="000000" w:themeColor="text1"/>
                    <w14:textFill>
                      <w14:solidFill>
                        <w14:schemeClr w14:val="tx1"/>
                      </w14:solidFill>
                    </w14:textFill>
                  </w:rPr>
                </w:pPr>
                <w:r>
                  <w:t xml:space="preserve"> 936,667.00 </w:t>
                </w:r>
              </w:p>
            </w:tc>
            <w:tc>
              <w:tcPr>
                <w:tcW w:w="840" w:type="pct"/>
              </w:tcPr>
              <w:p>
                <w:pPr>
                  <w:spacing w:line="240" w:lineRule="atLeast"/>
                  <w:jc w:val="right"/>
                  <w:rPr>
                    <w:color w:val="000000" w:themeColor="text1"/>
                    <w14:textFill>
                      <w14:solidFill>
                        <w14:schemeClr w14:val="tx1"/>
                      </w14:solidFill>
                    </w14:textFill>
                  </w:rPr>
                </w:pPr>
                <w:r>
                  <w:t xml:space="preserve"> 20,579,452.84 </w:t>
                </w:r>
              </w:p>
            </w:tc>
          </w:tr>
        </w:tbl>
        <w:p>
          <w:pPr>
            <w:autoSpaceDE w:val="0"/>
            <w:autoSpaceDN w:val="0"/>
            <w:adjustRightInd w:val="0"/>
            <w:rPr>
              <w:color w:val="000000" w:themeColor="text1"/>
              <w14:textFill>
                <w14:solidFill>
                  <w14:schemeClr w14:val="tx1"/>
                </w14:solidFill>
              </w14:textFill>
            </w:rPr>
          </w:pPr>
        </w:p>
      </w:sdtContent>
    </w:sdt>
    <w:bookmarkEnd w:id="346"/>
    <w:p>
      <w:pPr>
        <w:pStyle w:val="5"/>
        <w:numPr>
          <w:ilvl w:val="0"/>
          <w:numId w:val="58"/>
        </w:numPr>
        <w:rPr>
          <w:color w:val="000000" w:themeColor="text1"/>
          <w14:textFill>
            <w14:solidFill>
              <w14:schemeClr w14:val="tx1"/>
            </w14:solidFill>
          </w14:textFill>
        </w:rPr>
      </w:pPr>
      <w:bookmarkStart w:id="347" w:name="_Hlk153461708"/>
      <w:bookmarkStart w:id="348" w:name="_Hlk167959535"/>
      <w:r>
        <w:rPr>
          <w:rFonts w:hint="eastAsia"/>
          <w:color w:val="000000" w:themeColor="text1"/>
          <w14:textFill>
            <w14:solidFill>
              <w14:schemeClr w14:val="tx1"/>
            </w14:solidFill>
          </w14:textFill>
        </w:rPr>
        <w:t>使用权资产的减值测试情况</w:t>
      </w:r>
    </w:p>
    <w:sdt>
      <w:sdtPr>
        <w:rPr>
          <w:color w:val="000000" w:themeColor="text1"/>
          <w14:textFill>
            <w14:solidFill>
              <w14:schemeClr w14:val="tx1"/>
            </w14:solidFill>
          </w14:textFill>
        </w:rPr>
        <w:alias w:val="是否适用：减值测试情况[双击切换]"/>
        <w:tag w:val="_GBC_d79f93753a2c43fc80991be4c588d144"/>
        <w:id w:val="-25604885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47"/>
    <w:bookmarkEnd w:id="348"/>
    <w:p>
      <w:pPr>
        <w:autoSpaceDE w:val="0"/>
        <w:autoSpaceDN w:val="0"/>
        <w:adjustRightInd w:val="0"/>
        <w:rPr>
          <w:color w:val="000000" w:themeColor="text1"/>
          <w14:textFill>
            <w14:solidFill>
              <w14:schemeClr w14:val="tx1"/>
            </w14:solidFill>
          </w14:textFill>
        </w:rPr>
      </w:pPr>
      <w:bookmarkStart w:id="349" w:name="_Hlk167959640"/>
      <w:r>
        <w:rPr>
          <w:rFonts w:hint="eastAsia"/>
          <w:color w:val="000000" w:themeColor="text1"/>
          <w14:textFill>
            <w14:solidFill>
              <w14:schemeClr w14:val="tx1"/>
            </w14:solidFill>
          </w14:textFill>
        </w:rPr>
        <w:t>其他说明：</w:t>
      </w:r>
    </w:p>
    <w:p>
      <w:pPr>
        <w:rPr>
          <w:color w:val="000000" w:themeColor="text1"/>
          <w14:textFill>
            <w14:solidFill>
              <w14:schemeClr w14:val="tx1"/>
            </w14:solidFill>
          </w14:textFill>
        </w:rPr>
      </w:pPr>
      <w:sdt>
        <w:sdtPr>
          <w:rPr>
            <w:color w:val="000000" w:themeColor="text1"/>
            <w14:textFill>
              <w14:solidFill>
                <w14:schemeClr w14:val="tx1"/>
              </w14:solidFill>
            </w14:textFill>
          </w:rPr>
          <w:alias w:val="使用权资产其他说明"/>
          <w:tag w:val="_GBC_30439a7674b44ef39168f8672c6df2c9"/>
          <w:id w:val="228661809"/>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bookmarkEnd w:id="349"/>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无形资产</w:t>
      </w:r>
    </w:p>
    <w:p>
      <w:pPr>
        <w:pStyle w:val="5"/>
        <w:numPr>
          <w:ilvl w:val="0"/>
          <w:numId w:val="59"/>
        </w:numPr>
        <w:tabs>
          <w:tab w:val="left" w:pos="602"/>
        </w:tabs>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无形资产情况</w:t>
      </w:r>
    </w:p>
    <w:p>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无形资产情况[双击切换]"/>
          <w:tag w:val="_GBC_0882d05501f84259b91efc5f2eae98cf"/>
          <w:id w:val="628673018"/>
          <w:lock w:val="contentLocked"/>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无形资产情况"/>
          <w:tag w:val="_GBC_e04514c8858e489490302ba7c2e1448a"/>
          <w:id w:val="-54638354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无形资产情况"/>
          <w:tag w:val="_GBC_5ac7324577934f838e3655199c980c1c"/>
          <w:id w:val="4902213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90"/>
        <w:gridCol w:w="2262"/>
        <w:gridCol w:w="2144"/>
        <w:gridCol w:w="2147"/>
        <w:gridCol w:w="2051"/>
        <w:gridCol w:w="2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16e062da10ef4301a1526b8633f88a31"/>
            <w:id w:val="-1569100915"/>
          </w:sdtPr>
          <w:sdtContent>
            <w:tc>
              <w:tcPr>
                <w:tcW w:w="120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8b465b50cb10415c8931fdb66ee29ca3"/>
            <w:id w:val="1486589482"/>
          </w:sdtPr>
          <w:sdtContent>
            <w:tc>
              <w:tcPr>
                <w:tcW w:w="80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土地使用权</w:t>
                </w:r>
              </w:p>
            </w:tc>
          </w:sdtContent>
        </w:sdt>
        <w:sdt>
          <w:sdtPr>
            <w:tag w:val="_PLD_55a0c34977f7438f8a4e60b2ec43e654"/>
            <w:id w:val="383149802"/>
          </w:sdtPr>
          <w:sdtContent>
            <w:tc>
              <w:tcPr>
                <w:tcW w:w="76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软件</w:t>
                </w:r>
              </w:p>
            </w:tc>
          </w:sdtContent>
        </w:sdt>
        <w:sdt>
          <w:sdtPr>
            <w:tag w:val="_PLD_624f8e9465f646f5a305cf5fc59a830c"/>
            <w:id w:val="1773127047"/>
          </w:sdtPr>
          <w:sdtContent>
            <w:tc>
              <w:tcPr>
                <w:tcW w:w="76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专利权</w:t>
                </w:r>
              </w:p>
            </w:tc>
          </w:sdtContent>
        </w:sdt>
        <w:sdt>
          <w:sdtPr>
            <w:rPr>
              <w:color w:val="000000" w:themeColor="text1"/>
              <w14:textFill>
                <w14:solidFill>
                  <w14:schemeClr w14:val="tx1"/>
                </w14:solidFill>
              </w14:textFill>
            </w:rPr>
            <w:alias w:val="无形资产明细－项目"/>
            <w:tag w:val="_GBC_ee2531f58c0a420e83919cd1efe46139"/>
            <w:id w:val="1136760084"/>
          </w:sdtPr>
          <w:sdtEndPr>
            <w:rPr>
              <w:rFonts w:hint="eastAsia"/>
              <w:color w:val="000000" w:themeColor="text1"/>
              <w14:textFill>
                <w14:solidFill>
                  <w14:schemeClr w14:val="tx1"/>
                </w14:solidFill>
              </w14:textFill>
            </w:rPr>
          </w:sdtEndPr>
          <w:sdtContent>
            <w:tc>
              <w:tcPr>
                <w:tcW w:w="728"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非专利技术</w:t>
                </w:r>
              </w:p>
            </w:tc>
          </w:sdtContent>
        </w:sdt>
        <w:sdt>
          <w:sdtPr>
            <w:tag w:val="_PLD_57620ddc57e34012a99d49f2280a99e2"/>
            <w:id w:val="-2102794175"/>
          </w:sdtPr>
          <w:sdtContent>
            <w:tc>
              <w:tcPr>
                <w:tcW w:w="74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97ce5956782c457c89e9607c943b01d4"/>
            <w:id w:val="1652551635"/>
          </w:sdtPr>
          <w:sdtContent>
            <w:tc>
              <w:tcPr>
                <w:tcW w:w="5000" w:type="pct"/>
                <w:gridSpan w:val="6"/>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一、</w:t>
                </w:r>
                <w:r>
                  <w:rPr>
                    <w:rFonts w:hint="eastAsia"/>
                    <w:color w:val="000000" w:themeColor="text1"/>
                    <w14:textFill>
                      <w14:solidFill>
                        <w14:schemeClr w14:val="tx1"/>
                      </w14:solidFill>
                    </w14:textFill>
                  </w:rPr>
                  <w:t>账面原值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期</w:t>
            </w:r>
            <w:r>
              <w:rPr>
                <w:color w:val="000000" w:themeColor="text1"/>
                <w14:textFill>
                  <w14:solidFill>
                    <w14:schemeClr w14:val="tx1"/>
                  </w14:solidFill>
                </w14:textFill>
              </w:rPr>
              <w:t>初余额</w:t>
            </w:r>
          </w:p>
        </w:tc>
        <w:tc>
          <w:tcPr>
            <w:tcW w:w="803" w:type="pct"/>
          </w:tcPr>
          <w:p>
            <w:pPr>
              <w:jc w:val="right"/>
            </w:pPr>
            <w:r>
              <w:t xml:space="preserve"> 243,443,142.82 </w:t>
            </w:r>
          </w:p>
        </w:tc>
        <w:tc>
          <w:tcPr>
            <w:tcW w:w="761" w:type="pct"/>
          </w:tcPr>
          <w:p>
            <w:pPr>
              <w:jc w:val="right"/>
            </w:pPr>
            <w:r>
              <w:t xml:space="preserve"> 19,439,950.61 </w:t>
            </w:r>
          </w:p>
        </w:tc>
        <w:tc>
          <w:tcPr>
            <w:tcW w:w="762" w:type="pct"/>
          </w:tcPr>
          <w:p>
            <w:pPr>
              <w:jc w:val="right"/>
            </w:pPr>
            <w:r>
              <w:t>8,654,123.76</w:t>
            </w:r>
          </w:p>
        </w:tc>
        <w:tc>
          <w:tcPr>
            <w:tcW w:w="728" w:type="pct"/>
          </w:tcPr>
          <w:p>
            <w:pPr>
              <w:jc w:val="right"/>
            </w:pPr>
            <w:r>
              <w:t>100,000.00</w:t>
            </w:r>
          </w:p>
        </w:tc>
        <w:tc>
          <w:tcPr>
            <w:tcW w:w="743" w:type="pct"/>
          </w:tcPr>
          <w:p>
            <w:pPr>
              <w:jc w:val="right"/>
            </w:pPr>
            <w:r>
              <w:t>271,637,217.19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803" w:type="pct"/>
          </w:tcPr>
          <w:p>
            <w:pPr>
              <w:jc w:val="right"/>
            </w:pPr>
          </w:p>
        </w:tc>
        <w:tc>
          <w:tcPr>
            <w:tcW w:w="761" w:type="pct"/>
          </w:tcPr>
          <w:p>
            <w:pPr>
              <w:jc w:val="right"/>
            </w:pPr>
            <w:r>
              <w:t xml:space="preserve"> -98,178.52 </w:t>
            </w:r>
          </w:p>
        </w:tc>
        <w:tc>
          <w:tcPr>
            <w:tcW w:w="762" w:type="pct"/>
          </w:tcPr>
          <w:p>
            <w:pPr>
              <w:jc w:val="right"/>
            </w:pPr>
          </w:p>
        </w:tc>
        <w:tc>
          <w:tcPr>
            <w:tcW w:w="728" w:type="pct"/>
          </w:tcPr>
          <w:p>
            <w:pPr>
              <w:jc w:val="right"/>
            </w:pPr>
          </w:p>
        </w:tc>
        <w:tc>
          <w:tcPr>
            <w:tcW w:w="743" w:type="pct"/>
          </w:tcPr>
          <w:p>
            <w:pPr>
              <w:jc w:val="right"/>
            </w:pPr>
            <w:r>
              <w:t>-98,178.52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tcPr>
          <w:p>
            <w:pPr>
              <w:ind w:firstLine="210" w:firstLineChars="100"/>
              <w:rPr>
                <w:color w:val="000000" w:themeColor="text1"/>
                <w14:textFill>
                  <w14:solidFill>
                    <w14:schemeClr w14:val="tx1"/>
                  </w14:solidFill>
                </w14:textFill>
              </w:rPr>
            </w:pPr>
            <w:r>
              <w:rPr>
                <w:rFonts w:hint="eastAsia"/>
              </w:rPr>
              <w:t>（1）购置</w:t>
            </w:r>
          </w:p>
        </w:tc>
        <w:tc>
          <w:tcPr>
            <w:tcW w:w="803" w:type="pct"/>
          </w:tcPr>
          <w:p>
            <w:pPr>
              <w:jc w:val="right"/>
            </w:pPr>
          </w:p>
        </w:tc>
        <w:tc>
          <w:tcPr>
            <w:tcW w:w="761" w:type="pct"/>
          </w:tcPr>
          <w:p>
            <w:pPr>
              <w:jc w:val="right"/>
            </w:pPr>
            <w:r>
              <w:t xml:space="preserve"> -98,178.52 </w:t>
            </w:r>
          </w:p>
        </w:tc>
        <w:tc>
          <w:tcPr>
            <w:tcW w:w="762" w:type="pct"/>
          </w:tcPr>
          <w:p>
            <w:pPr>
              <w:jc w:val="right"/>
            </w:pPr>
          </w:p>
        </w:tc>
        <w:tc>
          <w:tcPr>
            <w:tcW w:w="728" w:type="pct"/>
          </w:tcPr>
          <w:p>
            <w:pPr>
              <w:jc w:val="right"/>
            </w:pPr>
          </w:p>
        </w:tc>
        <w:tc>
          <w:tcPr>
            <w:tcW w:w="743" w:type="pct"/>
          </w:tcPr>
          <w:p>
            <w:pPr>
              <w:jc w:val="right"/>
            </w:pPr>
            <w:r>
              <w:t>-98,178.52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tcPr>
          <w:p>
            <w:pPr>
              <w:ind w:firstLine="210" w:firstLineChars="100"/>
              <w:rPr>
                <w:color w:val="000000" w:themeColor="text1"/>
                <w14:textFill>
                  <w14:solidFill>
                    <w14:schemeClr w14:val="tx1"/>
                  </w14:solidFill>
                </w14:textFill>
              </w:rPr>
            </w:pPr>
            <w:r>
              <w:rPr>
                <w:rFonts w:hint="eastAsia"/>
              </w:rPr>
              <w:t>（2）在建工程转入</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pStyle w:val="48"/>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tcPr>
          <w:p>
            <w:pPr>
              <w:ind w:firstLine="210" w:firstLineChars="100"/>
              <w:rPr>
                <w:color w:val="000000" w:themeColor="text1"/>
                <w14:textFill>
                  <w14:solidFill>
                    <w14:schemeClr w14:val="tx1"/>
                  </w14:solidFill>
                </w14:textFill>
              </w:rPr>
            </w:pPr>
            <w:r>
              <w:rPr>
                <w:rFonts w:hint="eastAsia"/>
              </w:rPr>
              <w:t>（3）</w:t>
            </w:r>
            <w:bookmarkStart w:id="350" w:name="OLE_LINK96"/>
            <w:r>
              <w:rPr>
                <w:rFonts w:hint="eastAsia"/>
              </w:rPr>
              <w:t>企业合并增加</w:t>
            </w:r>
            <w:bookmarkEnd w:id="350"/>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3.本期减少</w:t>
            </w:r>
            <w:r>
              <w:rPr>
                <w:rFonts w:hint="eastAsia"/>
                <w:color w:val="000000" w:themeColor="text1"/>
                <w14:textFill>
                  <w14:solidFill>
                    <w14:schemeClr w14:val="tx1"/>
                  </w14:solidFill>
                </w14:textFill>
              </w:rPr>
              <w:t>金额</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（1）处置</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4.期末余额</w:t>
            </w:r>
          </w:p>
        </w:tc>
        <w:tc>
          <w:tcPr>
            <w:tcW w:w="803" w:type="pct"/>
          </w:tcPr>
          <w:p>
            <w:pPr>
              <w:jc w:val="right"/>
            </w:pPr>
            <w:r>
              <w:t xml:space="preserve"> 243,443,142.82 </w:t>
            </w:r>
          </w:p>
        </w:tc>
        <w:tc>
          <w:tcPr>
            <w:tcW w:w="761" w:type="pct"/>
          </w:tcPr>
          <w:p>
            <w:pPr>
              <w:jc w:val="right"/>
            </w:pPr>
            <w:r>
              <w:t xml:space="preserve"> 19,341,772.09 </w:t>
            </w:r>
          </w:p>
        </w:tc>
        <w:tc>
          <w:tcPr>
            <w:tcW w:w="762" w:type="pct"/>
          </w:tcPr>
          <w:p>
            <w:pPr>
              <w:jc w:val="right"/>
            </w:pPr>
            <w:r>
              <w:t>8,654,123.76</w:t>
            </w:r>
          </w:p>
        </w:tc>
        <w:tc>
          <w:tcPr>
            <w:tcW w:w="728" w:type="pct"/>
          </w:tcPr>
          <w:p>
            <w:pPr>
              <w:jc w:val="right"/>
            </w:pPr>
            <w:r>
              <w:t>100,000.00</w:t>
            </w:r>
          </w:p>
        </w:tc>
        <w:tc>
          <w:tcPr>
            <w:tcW w:w="743" w:type="pct"/>
          </w:tcPr>
          <w:p>
            <w:pPr>
              <w:jc w:val="right"/>
            </w:pPr>
            <w:r>
              <w:t>271,539,038.67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3d92ef615d3b41e5abb58e018e2db72b"/>
            <w:id w:val="-525790231"/>
          </w:sdtPr>
          <w:sdtContent>
            <w:tc>
              <w:tcPr>
                <w:tcW w:w="5000" w:type="pct"/>
                <w:gridSpan w:val="6"/>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二、累计</w:t>
                </w:r>
                <w:r>
                  <w:rPr>
                    <w:rFonts w:hint="eastAsia"/>
                    <w:color w:val="000000" w:themeColor="text1"/>
                    <w14:textFill>
                      <w14:solidFill>
                        <w14:schemeClr w14:val="tx1"/>
                      </w14:solidFill>
                    </w14:textFill>
                  </w:rPr>
                  <w:t>摊销</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1.期</w:t>
            </w:r>
            <w:r>
              <w:rPr>
                <w:color w:val="000000" w:themeColor="text1"/>
                <w14:textFill>
                  <w14:solidFill>
                    <w14:schemeClr w14:val="tx1"/>
                  </w14:solidFill>
                </w14:textFill>
              </w:rPr>
              <w:t>初余额</w:t>
            </w:r>
          </w:p>
        </w:tc>
        <w:tc>
          <w:tcPr>
            <w:tcW w:w="803" w:type="pct"/>
          </w:tcPr>
          <w:p>
            <w:pPr>
              <w:jc w:val="right"/>
            </w:pPr>
            <w:r>
              <w:t xml:space="preserve"> 39,728,054.92 </w:t>
            </w:r>
          </w:p>
        </w:tc>
        <w:tc>
          <w:tcPr>
            <w:tcW w:w="761" w:type="pct"/>
          </w:tcPr>
          <w:p>
            <w:pPr>
              <w:jc w:val="right"/>
            </w:pPr>
            <w:r>
              <w:t xml:space="preserve"> 5,182,177.57 </w:t>
            </w:r>
          </w:p>
        </w:tc>
        <w:tc>
          <w:tcPr>
            <w:tcW w:w="762" w:type="pct"/>
          </w:tcPr>
          <w:p>
            <w:pPr>
              <w:jc w:val="right"/>
            </w:pPr>
            <w:r>
              <w:t>1,606,061.80</w:t>
            </w:r>
          </w:p>
        </w:tc>
        <w:tc>
          <w:tcPr>
            <w:tcW w:w="728" w:type="pct"/>
          </w:tcPr>
          <w:p>
            <w:pPr>
              <w:jc w:val="right"/>
            </w:pPr>
            <w:r>
              <w:t xml:space="preserve"> 100,000.00 </w:t>
            </w:r>
          </w:p>
        </w:tc>
        <w:tc>
          <w:tcPr>
            <w:tcW w:w="743" w:type="pct"/>
          </w:tcPr>
          <w:p>
            <w:pPr>
              <w:jc w:val="right"/>
            </w:pPr>
            <w:r>
              <w:t>46,616,294.29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803" w:type="pct"/>
          </w:tcPr>
          <w:p>
            <w:pPr>
              <w:jc w:val="right"/>
            </w:pPr>
            <w:r>
              <w:t xml:space="preserve"> 2,704,868.88 </w:t>
            </w:r>
          </w:p>
        </w:tc>
        <w:tc>
          <w:tcPr>
            <w:tcW w:w="761" w:type="pct"/>
          </w:tcPr>
          <w:p>
            <w:pPr>
              <w:jc w:val="right"/>
            </w:pPr>
            <w:r>
              <w:t xml:space="preserve"> 1,101,148.00 </w:t>
            </w:r>
          </w:p>
        </w:tc>
        <w:tc>
          <w:tcPr>
            <w:tcW w:w="762" w:type="pct"/>
          </w:tcPr>
          <w:p>
            <w:pPr>
              <w:jc w:val="right"/>
            </w:pPr>
            <w:r>
              <w:t>457,262.34</w:t>
            </w:r>
          </w:p>
        </w:tc>
        <w:tc>
          <w:tcPr>
            <w:tcW w:w="728" w:type="pct"/>
          </w:tcPr>
          <w:p>
            <w:pPr>
              <w:jc w:val="right"/>
            </w:pPr>
          </w:p>
        </w:tc>
        <w:tc>
          <w:tcPr>
            <w:tcW w:w="743" w:type="pct"/>
          </w:tcPr>
          <w:p>
            <w:pPr>
              <w:jc w:val="right"/>
            </w:pPr>
            <w:r>
              <w:t>4,263,279.22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计提</w:t>
            </w:r>
          </w:p>
        </w:tc>
        <w:tc>
          <w:tcPr>
            <w:tcW w:w="803" w:type="pct"/>
          </w:tcPr>
          <w:p>
            <w:pPr>
              <w:jc w:val="right"/>
            </w:pPr>
            <w:r>
              <w:t xml:space="preserve"> 2,704,868.88 </w:t>
            </w:r>
          </w:p>
        </w:tc>
        <w:tc>
          <w:tcPr>
            <w:tcW w:w="761" w:type="pct"/>
          </w:tcPr>
          <w:p>
            <w:pPr>
              <w:jc w:val="right"/>
            </w:pPr>
            <w:r>
              <w:t xml:space="preserve"> 1,101,148.00 </w:t>
            </w:r>
          </w:p>
        </w:tc>
        <w:tc>
          <w:tcPr>
            <w:tcW w:w="762" w:type="pct"/>
          </w:tcPr>
          <w:p>
            <w:pPr>
              <w:jc w:val="right"/>
            </w:pPr>
            <w:r>
              <w:t>457,262.34</w:t>
            </w:r>
          </w:p>
        </w:tc>
        <w:tc>
          <w:tcPr>
            <w:tcW w:w="728" w:type="pct"/>
          </w:tcPr>
          <w:p>
            <w:pPr>
              <w:jc w:val="right"/>
            </w:pPr>
          </w:p>
        </w:tc>
        <w:tc>
          <w:tcPr>
            <w:tcW w:w="743" w:type="pct"/>
          </w:tcPr>
          <w:p>
            <w:pPr>
              <w:jc w:val="right"/>
            </w:pPr>
            <w:r>
              <w:t>4,263,279.22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tcPr>
          <w:p>
            <w:pPr>
              <w:ind w:firstLine="210" w:firstLineChars="100"/>
            </w:pPr>
            <w:r>
              <w:rPr>
                <w:rFonts w:hint="eastAsia"/>
              </w:rPr>
              <w:t>（2）</w:t>
            </w:r>
            <w:r>
              <w:t>企业合并增加</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本期减少</w:t>
            </w:r>
            <w:r>
              <w:rPr>
                <w:rFonts w:hint="eastAsia"/>
                <w:color w:val="000000" w:themeColor="text1"/>
                <w14:textFill>
                  <w14:solidFill>
                    <w14:schemeClr w14:val="tx1"/>
                  </w14:solidFill>
                </w14:textFill>
              </w:rPr>
              <w:t>金额</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（1）处置</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期末余额</w:t>
            </w:r>
          </w:p>
        </w:tc>
        <w:tc>
          <w:tcPr>
            <w:tcW w:w="803" w:type="pct"/>
          </w:tcPr>
          <w:p>
            <w:pPr>
              <w:jc w:val="right"/>
            </w:pPr>
            <w:r>
              <w:t xml:space="preserve"> 42,432,923.80 </w:t>
            </w:r>
          </w:p>
        </w:tc>
        <w:tc>
          <w:tcPr>
            <w:tcW w:w="761" w:type="pct"/>
          </w:tcPr>
          <w:p>
            <w:pPr>
              <w:jc w:val="right"/>
            </w:pPr>
            <w:r>
              <w:t xml:space="preserve"> 6,283,325.57 </w:t>
            </w:r>
          </w:p>
        </w:tc>
        <w:tc>
          <w:tcPr>
            <w:tcW w:w="762" w:type="pct"/>
          </w:tcPr>
          <w:p>
            <w:pPr>
              <w:jc w:val="right"/>
            </w:pPr>
            <w:r>
              <w:t>2,063,324.14</w:t>
            </w:r>
          </w:p>
        </w:tc>
        <w:tc>
          <w:tcPr>
            <w:tcW w:w="728" w:type="pct"/>
          </w:tcPr>
          <w:p>
            <w:pPr>
              <w:jc w:val="right"/>
            </w:pPr>
            <w:r>
              <w:t xml:space="preserve"> 100,000.00 </w:t>
            </w:r>
          </w:p>
        </w:tc>
        <w:tc>
          <w:tcPr>
            <w:tcW w:w="743" w:type="pct"/>
          </w:tcPr>
          <w:p>
            <w:pPr>
              <w:jc w:val="right"/>
            </w:pPr>
            <w:r>
              <w:t>50,879,573.51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100d3bc56cc142c1b30c3998528f8af2"/>
            <w:id w:val="302981701"/>
          </w:sdtPr>
          <w:sdtContent>
            <w:tc>
              <w:tcPr>
                <w:tcW w:w="5000" w:type="pct"/>
                <w:gridSpan w:val="6"/>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三、减值准备</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1.期</w:t>
            </w:r>
            <w:r>
              <w:rPr>
                <w:color w:val="000000" w:themeColor="text1"/>
                <w14:textFill>
                  <w14:solidFill>
                    <w14:schemeClr w14:val="tx1"/>
                  </w14:solidFill>
                </w14:textFill>
              </w:rPr>
              <w:t>初余额</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2.本期增加</w:t>
            </w:r>
            <w:r>
              <w:rPr>
                <w:rFonts w:hint="eastAsia"/>
                <w:color w:val="000000" w:themeColor="text1"/>
                <w14:textFill>
                  <w14:solidFill>
                    <w14:schemeClr w14:val="tx1"/>
                  </w14:solidFill>
                </w14:textFill>
              </w:rPr>
              <w:t>金额</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w:t>
            </w:r>
            <w:r>
              <w:rPr>
                <w:color w:val="000000" w:themeColor="text1"/>
                <w14:textFill>
                  <w14:solidFill>
                    <w14:schemeClr w14:val="tx1"/>
                  </w14:solidFill>
                </w14:textFill>
              </w:rPr>
              <w:t>计提</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本期减少</w:t>
            </w:r>
            <w:r>
              <w:rPr>
                <w:rFonts w:hint="eastAsia"/>
                <w:color w:val="000000" w:themeColor="text1"/>
                <w14:textFill>
                  <w14:solidFill>
                    <w14:schemeClr w14:val="tx1"/>
                  </w14:solidFill>
                </w14:textFill>
              </w:rPr>
              <w:t>金额</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（1）处置</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w:t>
            </w:r>
            <w:r>
              <w:rPr>
                <w:color w:val="000000" w:themeColor="text1"/>
                <w14:textFill>
                  <w14:solidFill>
                    <w14:schemeClr w14:val="tx1"/>
                  </w14:solidFill>
                </w14:textFill>
              </w:rPr>
              <w:t>期末余额</w:t>
            </w:r>
          </w:p>
        </w:tc>
        <w:tc>
          <w:tcPr>
            <w:tcW w:w="803" w:type="pct"/>
          </w:tcPr>
          <w:p>
            <w:pPr>
              <w:jc w:val="right"/>
            </w:pPr>
          </w:p>
        </w:tc>
        <w:tc>
          <w:tcPr>
            <w:tcW w:w="761" w:type="pct"/>
          </w:tcPr>
          <w:p>
            <w:pPr>
              <w:jc w:val="right"/>
            </w:pPr>
          </w:p>
        </w:tc>
        <w:tc>
          <w:tcPr>
            <w:tcW w:w="762" w:type="pct"/>
          </w:tcPr>
          <w:p>
            <w:pPr>
              <w:jc w:val="right"/>
            </w:pPr>
          </w:p>
        </w:tc>
        <w:tc>
          <w:tcPr>
            <w:tcW w:w="728" w:type="pct"/>
          </w:tcPr>
          <w:p>
            <w:pPr>
              <w:jc w:val="right"/>
            </w:pPr>
          </w:p>
        </w:tc>
        <w:tc>
          <w:tcPr>
            <w:tcW w:w="7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77aceef1b70d43c0846f7e8f529b7784"/>
            <w:id w:val="250099797"/>
          </w:sdtPr>
          <w:sdtContent>
            <w:tc>
              <w:tcPr>
                <w:tcW w:w="5000" w:type="pct"/>
                <w:gridSpan w:val="6"/>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四、账面价值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1.期末账面价值</w:t>
            </w:r>
          </w:p>
        </w:tc>
        <w:tc>
          <w:tcPr>
            <w:tcW w:w="803" w:type="pct"/>
          </w:tcPr>
          <w:p>
            <w:pPr>
              <w:jc w:val="right"/>
            </w:pPr>
            <w:r>
              <w:t xml:space="preserve"> 201,010,219.02 </w:t>
            </w:r>
          </w:p>
        </w:tc>
        <w:tc>
          <w:tcPr>
            <w:tcW w:w="761" w:type="pct"/>
          </w:tcPr>
          <w:p>
            <w:pPr>
              <w:jc w:val="right"/>
            </w:pPr>
            <w:r>
              <w:t xml:space="preserve"> 13,058,446.52 </w:t>
            </w:r>
          </w:p>
        </w:tc>
        <w:tc>
          <w:tcPr>
            <w:tcW w:w="762" w:type="pct"/>
          </w:tcPr>
          <w:p>
            <w:pPr>
              <w:jc w:val="right"/>
            </w:pPr>
            <w:r>
              <w:t>6,590,799.62</w:t>
            </w:r>
          </w:p>
        </w:tc>
        <w:tc>
          <w:tcPr>
            <w:tcW w:w="728" w:type="pct"/>
          </w:tcPr>
          <w:p>
            <w:pPr>
              <w:jc w:val="right"/>
            </w:pPr>
          </w:p>
        </w:tc>
        <w:tc>
          <w:tcPr>
            <w:tcW w:w="743" w:type="pct"/>
          </w:tcPr>
          <w:p>
            <w:pPr>
              <w:jc w:val="right"/>
            </w:pPr>
            <w:r>
              <w:t>220,659,465.16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03" w:type="pct"/>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期初</w:t>
            </w:r>
            <w:r>
              <w:rPr>
                <w:color w:val="000000" w:themeColor="text1"/>
                <w14:textFill>
                  <w14:solidFill>
                    <w14:schemeClr w14:val="tx1"/>
                  </w14:solidFill>
                </w14:textFill>
              </w:rPr>
              <w:t>账面价值</w:t>
            </w:r>
          </w:p>
        </w:tc>
        <w:tc>
          <w:tcPr>
            <w:tcW w:w="803" w:type="pct"/>
          </w:tcPr>
          <w:p>
            <w:pPr>
              <w:jc w:val="right"/>
            </w:pPr>
            <w:r>
              <w:t xml:space="preserve"> 203,715,087.90 </w:t>
            </w:r>
          </w:p>
        </w:tc>
        <w:tc>
          <w:tcPr>
            <w:tcW w:w="761" w:type="pct"/>
          </w:tcPr>
          <w:p>
            <w:pPr>
              <w:jc w:val="right"/>
            </w:pPr>
            <w:r>
              <w:t xml:space="preserve"> 14,257,773.04 </w:t>
            </w:r>
          </w:p>
        </w:tc>
        <w:tc>
          <w:tcPr>
            <w:tcW w:w="762" w:type="pct"/>
          </w:tcPr>
          <w:p>
            <w:pPr>
              <w:jc w:val="right"/>
            </w:pPr>
            <w:r>
              <w:t xml:space="preserve"> 7,048,061.96 </w:t>
            </w:r>
          </w:p>
        </w:tc>
        <w:tc>
          <w:tcPr>
            <w:tcW w:w="728" w:type="pct"/>
          </w:tcPr>
          <w:p>
            <w:pPr>
              <w:jc w:val="right"/>
            </w:pPr>
          </w:p>
        </w:tc>
        <w:tc>
          <w:tcPr>
            <w:tcW w:w="743" w:type="pct"/>
          </w:tcPr>
          <w:p>
            <w:pPr>
              <w:jc w:val="right"/>
            </w:pPr>
            <w:r>
              <w:t xml:space="preserve"> 225,020,922.90 </w:t>
            </w:r>
          </w:p>
        </w:tc>
      </w:tr>
    </w:tbl>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本期末通过公司内部研发形成的无形资产占无形资产余额的比例</w:t>
      </w:r>
      <w:sdt>
        <w:sdtPr>
          <w:rPr>
            <w:color w:val="000000" w:themeColor="text1"/>
            <w14:textFill>
              <w14:solidFill>
                <w14:schemeClr w14:val="tx1"/>
              </w14:solidFill>
            </w14:textFill>
          </w:rPr>
          <w:alias w:val="通过公司内部研发形成的无形资产占无形资产账面价值的比例"/>
          <w:tag w:val="_GBC_4eb0f3140a674bd1899e2bd836d51bbb"/>
          <w:id w:val="1501237151"/>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w:t>
      </w:r>
    </w:p>
    <w:p>
      <w:pPr>
        <w:pStyle w:val="5"/>
        <w:numPr>
          <w:ilvl w:val="0"/>
          <w:numId w:val="59"/>
        </w:numPr>
        <w:tabs>
          <w:tab w:val="left" w:pos="602"/>
        </w:tabs>
        <w:rPr>
          <w:rFonts w:hint="eastAsia" w:ascii="宋体" w:hAnsi="宋体"/>
          <w:color w:val="000000" w:themeColor="text1"/>
          <w:szCs w:val="21"/>
          <w14:textFill>
            <w14:solidFill>
              <w14:schemeClr w14:val="tx1"/>
            </w14:solidFill>
          </w14:textFill>
        </w:rPr>
      </w:pPr>
      <w:bookmarkStart w:id="351" w:name="_Hlk169705970"/>
      <w:r>
        <w:rPr>
          <w:rFonts w:hint="eastAsia" w:ascii="宋体" w:hAnsi="宋体"/>
          <w:color w:val="000000" w:themeColor="text1"/>
          <w:szCs w:val="21"/>
          <w14:textFill>
            <w14:solidFill>
              <w14:schemeClr w14:val="tx1"/>
            </w14:solidFill>
          </w14:textFill>
        </w:rPr>
        <w:t>确认为无形资产的数据资源</w:t>
      </w:r>
    </w:p>
    <w:sdt>
      <w:sdtPr>
        <w:rPr>
          <w:color w:val="000000" w:themeColor="text1"/>
          <w14:textFill>
            <w14:solidFill>
              <w14:schemeClr w14:val="tx1"/>
            </w14:solidFill>
          </w14:textFill>
        </w:rPr>
        <w:alias w:val="是否适用：确认为无形资产的数据资源[双击切换]"/>
        <w:tag w:val="_GBC_69d13d4234a148729542b163082d1cd0"/>
        <w:id w:val="-197567648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51"/>
    <w:p>
      <w:pPr>
        <w:pStyle w:val="5"/>
        <w:numPr>
          <w:ilvl w:val="0"/>
          <w:numId w:val="59"/>
        </w:numPr>
        <w:tabs>
          <w:tab w:val="left" w:pos="602"/>
        </w:tabs>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未办妥产权证书的土地使用权情况</w:t>
      </w:r>
    </w:p>
    <w:sdt>
      <w:sdtPr>
        <w:rPr>
          <w:color w:val="000000" w:themeColor="text1"/>
          <w14:textFill>
            <w14:solidFill>
              <w14:schemeClr w14:val="tx1"/>
            </w14:solidFill>
          </w14:textFill>
        </w:rPr>
        <w:alias w:val="是否适用：未办妥产权证书的土地使用权情况[双击切换]"/>
        <w:tag w:val="_GBC_e8ff0641401a44f19fe64ad31dc15c58"/>
        <w:id w:val="-149363856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59"/>
        </w:numPr>
        <w:tabs>
          <w:tab w:val="left" w:pos="602"/>
        </w:tabs>
        <w:rPr>
          <w:rFonts w:hint="eastAsia" w:ascii="宋体" w:hAnsi="宋体"/>
          <w:color w:val="000000" w:themeColor="text1"/>
          <w:szCs w:val="21"/>
          <w14:textFill>
            <w14:solidFill>
              <w14:schemeClr w14:val="tx1"/>
            </w14:solidFill>
          </w14:textFill>
        </w:rPr>
      </w:pPr>
      <w:bookmarkStart w:id="352" w:name="_Hlk153461844"/>
      <w:bookmarkStart w:id="353" w:name="_Hlk167959697"/>
      <w:r>
        <w:rPr>
          <w:rFonts w:hint="eastAsia" w:ascii="宋体" w:hAnsi="宋体"/>
          <w:color w:val="000000" w:themeColor="text1"/>
          <w:szCs w:val="21"/>
          <w14:textFill>
            <w14:solidFill>
              <w14:schemeClr w14:val="tx1"/>
            </w14:solidFill>
          </w14:textFill>
        </w:rPr>
        <w:t>无形资产的减值测试情况</w:t>
      </w:r>
    </w:p>
    <w:sdt>
      <w:sdtPr>
        <w:rPr>
          <w:color w:val="000000" w:themeColor="text1"/>
          <w14:textFill>
            <w14:solidFill>
              <w14:schemeClr w14:val="tx1"/>
            </w14:solidFill>
          </w14:textFill>
        </w:rPr>
        <w:alias w:val="是否适用：减值测试情况[双击切换]"/>
        <w:tag w:val="_GBC_6523dfc219a7467fb60857d0ff4fbd37"/>
        <w:id w:val="-205938874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52"/>
    <w:bookmarkEnd w:id="353"/>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无形资产的说明[双击切换]"/>
        <w:tag w:val="_GBC_dc3c687f3c2c457e9024304c14129458"/>
        <w:id w:val="186632024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商誉</w:t>
      </w:r>
    </w:p>
    <w:p>
      <w:pPr>
        <w:pStyle w:val="5"/>
        <w:numPr>
          <w:ilvl w:val="0"/>
          <w:numId w:val="60"/>
        </w:numPr>
        <w:tabs>
          <w:tab w:val="left" w:pos="588"/>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商誉账面原值</w:t>
      </w:r>
    </w:p>
    <w:sdt>
      <w:sdtPr>
        <w:rPr>
          <w:color w:val="000000" w:themeColor="text1"/>
          <w14:textFill>
            <w14:solidFill>
              <w14:schemeClr w14:val="tx1"/>
            </w14:solidFill>
          </w14:textFill>
        </w:rPr>
        <w:alias w:val="是否适用：商誉账面原值[双击切换]"/>
        <w:tag w:val="_GBC_e2a869d440cf4b7f9f592f3e22cea85d"/>
        <w:id w:val="-192509444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商誉"/>
          <w:tag w:val="_GBC_4797b6084eb24fe79f24d181640f3283"/>
          <w:id w:val="8559292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商誉"/>
          <w:tag w:val="_GBC_7cd9149d9bea4da8974b80b14b1c0e44"/>
          <w:id w:val="-158336862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4"/>
        <w:gridCol w:w="2571"/>
        <w:gridCol w:w="2613"/>
        <w:gridCol w:w="2609"/>
        <w:gridCol w:w="2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sdt>
          <w:sdtPr>
            <w:tag w:val="_PLD_b248be5460bf4bb299c4579815256238"/>
            <w:id w:val="99237271"/>
          </w:sdtPr>
          <w:sdtContent>
            <w:tc>
              <w:tcPr>
                <w:tcW w:w="1332" w:type="pct"/>
                <w:vMerge w:val="restar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被投资单位名称或形成商誉的事项</w:t>
                </w:r>
              </w:p>
            </w:tc>
          </w:sdtContent>
        </w:sdt>
        <w:sdt>
          <w:sdtPr>
            <w:tag w:val="_PLD_a25f69a57b624da887f74ab27a20ba0b"/>
            <w:id w:val="715701576"/>
          </w:sdtPr>
          <w:sdtContent>
            <w:tc>
              <w:tcPr>
                <w:tcW w:w="912" w:type="pct"/>
                <w:vMerge w:val="restar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c348d952dc8b438289897d2014b7d310"/>
            <w:id w:val="-834836424"/>
          </w:sdtPr>
          <w:sdtContent>
            <w:tc>
              <w:tcPr>
                <w:tcW w:w="927" w:type="pc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5560c6ea7650430a8c304ee861d4bc25"/>
            <w:id w:val="-2025234666"/>
          </w:sdtPr>
          <w:sdtContent>
            <w:tc>
              <w:tcPr>
                <w:tcW w:w="926" w:type="pc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075635973edd4d94a997d2ed78e56d8b"/>
            <w:id w:val="773052683"/>
          </w:sdtPr>
          <w:sdtContent>
            <w:tc>
              <w:tcPr>
                <w:tcW w:w="902" w:type="pct"/>
                <w:vMerge w:val="restar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332" w:type="pct"/>
            <w:vMerge w:val="continue"/>
          </w:tcPr>
          <w:p>
            <w:pPr>
              <w:autoSpaceDE w:val="0"/>
              <w:autoSpaceDN w:val="0"/>
              <w:adjustRightInd w:val="0"/>
              <w:snapToGrid w:val="0"/>
              <w:jc w:val="center"/>
              <w:rPr>
                <w:color w:val="000000" w:themeColor="text1"/>
                <w14:textFill>
                  <w14:solidFill>
                    <w14:schemeClr w14:val="tx1"/>
                  </w14:solidFill>
                </w14:textFill>
              </w:rPr>
            </w:pPr>
          </w:p>
        </w:tc>
        <w:tc>
          <w:tcPr>
            <w:tcW w:w="912" w:type="pct"/>
            <w:vMerge w:val="continue"/>
          </w:tcPr>
          <w:p>
            <w:pPr>
              <w:autoSpaceDE w:val="0"/>
              <w:autoSpaceDN w:val="0"/>
              <w:adjustRightInd w:val="0"/>
              <w:snapToGrid w:val="0"/>
              <w:jc w:val="center"/>
              <w:rPr>
                <w:color w:val="000000" w:themeColor="text1"/>
                <w14:textFill>
                  <w14:solidFill>
                    <w14:schemeClr w14:val="tx1"/>
                  </w14:solidFill>
                </w14:textFill>
              </w:rPr>
            </w:pPr>
          </w:p>
        </w:tc>
        <w:sdt>
          <w:sdtPr>
            <w:tag w:val="_PLD_1553ab7e041e4cd0bdd59c30d303dc84"/>
            <w:id w:val="-579057459"/>
          </w:sdtPr>
          <w:sdtContent>
            <w:tc>
              <w:tcPr>
                <w:tcW w:w="927" w:type="pc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企业合并形成的</w:t>
                </w:r>
              </w:p>
            </w:tc>
          </w:sdtContent>
        </w:sdt>
        <w:sdt>
          <w:sdtPr>
            <w:tag w:val="_PLD_52f6eef41a0247f195c94af6823a4b67"/>
            <w:id w:val="1100837149"/>
          </w:sdtPr>
          <w:sdtContent>
            <w:tc>
              <w:tcPr>
                <w:tcW w:w="926" w:type="pc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处置</w:t>
                </w:r>
              </w:p>
            </w:tc>
          </w:sdtContent>
        </w:sdt>
        <w:tc>
          <w:tcPr>
            <w:tcW w:w="902" w:type="pct"/>
            <w:vMerge w:val="continue"/>
          </w:tcPr>
          <w:p>
            <w:pPr>
              <w:autoSpaceDE w:val="0"/>
              <w:autoSpaceDN w:val="0"/>
              <w:adjustRightInd w:val="0"/>
              <w:snapToGrid w:val="0"/>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332" w:type="pct"/>
          </w:tcPr>
          <w:p>
            <w:pPr>
              <w:autoSpaceDE w:val="0"/>
              <w:autoSpaceDN w:val="0"/>
              <w:adjustRightInd w:val="0"/>
              <w:snapToGrid w:val="0"/>
              <w:jc w:val="both"/>
            </w:pPr>
            <w:r>
              <w:rPr>
                <w:rFonts w:hint="eastAsia"/>
              </w:rPr>
              <w:t>收购云变电气股权</w:t>
            </w:r>
          </w:p>
        </w:tc>
        <w:tc>
          <w:tcPr>
            <w:tcW w:w="912" w:type="pct"/>
          </w:tcPr>
          <w:p>
            <w:pPr>
              <w:autoSpaceDE w:val="0"/>
              <w:autoSpaceDN w:val="0"/>
              <w:adjustRightInd w:val="0"/>
              <w:snapToGrid w:val="0"/>
              <w:jc w:val="right"/>
            </w:pPr>
            <w:r>
              <w:rPr>
                <w:rFonts w:hint="eastAsia"/>
              </w:rPr>
              <w:t xml:space="preserve"> 45,542,860.20 </w:t>
            </w:r>
          </w:p>
        </w:tc>
        <w:tc>
          <w:tcPr>
            <w:tcW w:w="927" w:type="pct"/>
          </w:tcPr>
          <w:p>
            <w:pPr>
              <w:autoSpaceDE w:val="0"/>
              <w:autoSpaceDN w:val="0"/>
              <w:adjustRightInd w:val="0"/>
              <w:snapToGrid w:val="0"/>
              <w:jc w:val="right"/>
            </w:pPr>
          </w:p>
        </w:tc>
        <w:tc>
          <w:tcPr>
            <w:tcW w:w="926" w:type="pct"/>
          </w:tcPr>
          <w:p>
            <w:pPr>
              <w:autoSpaceDE w:val="0"/>
              <w:autoSpaceDN w:val="0"/>
              <w:adjustRightInd w:val="0"/>
              <w:snapToGrid w:val="0"/>
              <w:jc w:val="right"/>
            </w:pPr>
          </w:p>
        </w:tc>
        <w:tc>
          <w:tcPr>
            <w:tcW w:w="902" w:type="pct"/>
          </w:tcPr>
          <w:p>
            <w:pPr>
              <w:autoSpaceDE w:val="0"/>
              <w:autoSpaceDN w:val="0"/>
              <w:adjustRightInd w:val="0"/>
              <w:snapToGrid w:val="0"/>
              <w:jc w:val="right"/>
            </w:pPr>
            <w:r>
              <w:rPr>
                <w:rFonts w:hint="eastAsia"/>
              </w:rPr>
              <w:t xml:space="preserve"> 45,542,860.20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332" w:type="pct"/>
            <w:vAlign w:val="center"/>
          </w:tcPr>
          <w:p>
            <w:pPr>
              <w:autoSpaceDE w:val="0"/>
              <w:autoSpaceDN w:val="0"/>
              <w:adjustRightInd w:val="0"/>
              <w:snapToGrid w:val="0"/>
              <w:jc w:val="center"/>
              <w:rPr>
                <w:color w:val="000000" w:themeColor="text1"/>
                <w:u w:val="double"/>
                <w14:textFill>
                  <w14:solidFill>
                    <w14:schemeClr w14:val="tx1"/>
                  </w14:solidFill>
                </w14:textFill>
              </w:rPr>
            </w:pPr>
            <w:r>
              <w:rPr>
                <w:rFonts w:hint="eastAsia"/>
                <w:color w:val="000000" w:themeColor="text1"/>
                <w14:textFill>
                  <w14:solidFill>
                    <w14:schemeClr w14:val="tx1"/>
                  </w14:solidFill>
                </w14:textFill>
              </w:rPr>
              <w:t>合计</w:t>
            </w:r>
          </w:p>
        </w:tc>
        <w:tc>
          <w:tcPr>
            <w:tcW w:w="912" w:type="pct"/>
          </w:tcPr>
          <w:p>
            <w:pPr>
              <w:jc w:val="right"/>
            </w:pPr>
            <w:r>
              <w:t xml:space="preserve"> 45,542,860.20 </w:t>
            </w:r>
          </w:p>
        </w:tc>
        <w:tc>
          <w:tcPr>
            <w:tcW w:w="927" w:type="pct"/>
          </w:tcPr>
          <w:p>
            <w:pPr>
              <w:jc w:val="right"/>
            </w:pPr>
          </w:p>
        </w:tc>
        <w:tc>
          <w:tcPr>
            <w:tcW w:w="926" w:type="pct"/>
          </w:tcPr>
          <w:p>
            <w:pPr>
              <w:jc w:val="right"/>
            </w:pPr>
          </w:p>
        </w:tc>
        <w:tc>
          <w:tcPr>
            <w:tcW w:w="902" w:type="pct"/>
          </w:tcPr>
          <w:p>
            <w:pPr>
              <w:jc w:val="right"/>
            </w:pPr>
            <w:r>
              <w:t xml:space="preserve"> 45,542,860.20 </w:t>
            </w:r>
          </w:p>
        </w:tc>
      </w:tr>
    </w:tbl>
    <w:p>
      <w:pPr>
        <w:pStyle w:val="5"/>
        <w:numPr>
          <w:ilvl w:val="0"/>
          <w:numId w:val="60"/>
        </w:numPr>
        <w:tabs>
          <w:tab w:val="left" w:pos="588"/>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商誉减值准备</w:t>
      </w:r>
    </w:p>
    <w:sdt>
      <w:sdtPr>
        <w:rPr>
          <w:color w:val="000000" w:themeColor="text1"/>
          <w14:textFill>
            <w14:solidFill>
              <w14:schemeClr w14:val="tx1"/>
            </w14:solidFill>
          </w14:textFill>
        </w:rPr>
        <w:alias w:val="是否适用：商誉减值准备[双击切换]"/>
        <w:tag w:val="_GBC_743c9a20b5c043668f28664eb36decf8"/>
        <w:id w:val="-92727462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60"/>
        </w:numPr>
        <w:tabs>
          <w:tab w:val="left" w:pos="588"/>
        </w:tabs>
        <w:rPr>
          <w:rFonts w:hint="eastAsia" w:ascii="宋体" w:hAnsi="宋体"/>
          <w:color w:val="000000" w:themeColor="text1"/>
          <w14:textFill>
            <w14:solidFill>
              <w14:schemeClr w14:val="tx1"/>
            </w14:solidFill>
          </w14:textFill>
        </w:rPr>
      </w:pPr>
      <w:bookmarkStart w:id="354" w:name="_Hlk167959929"/>
      <w:r>
        <w:rPr>
          <w:rFonts w:hint="eastAsia" w:ascii="宋体" w:hAnsi="宋体"/>
          <w:color w:val="000000" w:themeColor="text1"/>
          <w14:textFill>
            <w14:solidFill>
              <w14:schemeClr w14:val="tx1"/>
            </w14:solidFill>
          </w14:textFill>
        </w:rPr>
        <w:t>商誉所在资产组或资产组组合的相关信息</w:t>
      </w:r>
    </w:p>
    <w:sdt>
      <w:sdtPr>
        <w:rPr>
          <w:rFonts w:hint="eastAsia"/>
          <w:color w:val="000000" w:themeColor="text1"/>
          <w14:textFill>
            <w14:solidFill>
              <w14:schemeClr w14:val="tx1"/>
            </w14:solidFill>
          </w14:textFill>
        </w:rPr>
        <w:alias w:val="是否适用：商誉所在资产组或资产组组合的相关信息[双击切换]"/>
        <w:tag w:val="_GBC_3010fdfa06fe41c1b1d500ed6edace89"/>
        <w:id w:val="540784810"/>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8"/>
        <w:gridCol w:w="4703"/>
        <w:gridCol w:w="3311"/>
        <w:gridCol w:w="4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6919452812d4aaa8936687b8bfccb67"/>
            <w:id w:val="-1349718691"/>
          </w:sdtPr>
          <w:sdtContent>
            <w:tc>
              <w:tcPr>
                <w:tcW w:w="663"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e8f1b9a6221f4972b29c49808dc79d30"/>
            <w:id w:val="2020732792"/>
          </w:sdtPr>
          <w:sdtContent>
            <w:tc>
              <w:tcPr>
                <w:tcW w:w="1669"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所属资产组或组合的构成及依据</w:t>
                </w:r>
              </w:p>
            </w:tc>
          </w:sdtContent>
        </w:sdt>
        <w:sdt>
          <w:sdtPr>
            <w:tag w:val="_PLD_96dd6bcac8ab4de3b253487e9cd88b15"/>
            <w:id w:val="1299564337"/>
          </w:sdtPr>
          <w:sdtContent>
            <w:tc>
              <w:tcPr>
                <w:tcW w:w="1175"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所属经营分部及依据</w:t>
                </w:r>
              </w:p>
            </w:tc>
          </w:sdtContent>
        </w:sdt>
        <w:sdt>
          <w:sdtPr>
            <w:tag w:val="_PLD_54f9a2ad176b44a5adce49c2dd260962"/>
            <w:id w:val="412903232"/>
          </w:sdtPr>
          <w:sdtContent>
            <w:tc>
              <w:tcPr>
                <w:tcW w:w="1493"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是否与以前年度保持一致</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Align w:val="center"/>
          </w:tcPr>
          <w:p>
            <w:pPr>
              <w:widowControl w:val="0"/>
              <w:jc w:val="both"/>
            </w:pPr>
            <w:r>
              <w:rPr>
                <w:rFonts w:hint="eastAsia"/>
              </w:rPr>
              <w:t>云变电气</w:t>
            </w:r>
          </w:p>
        </w:tc>
        <w:tc>
          <w:tcPr>
            <w:tcW w:w="1669" w:type="pct"/>
          </w:tcPr>
          <w:p>
            <w:pPr>
              <w:widowControl w:val="0"/>
              <w:jc w:val="both"/>
            </w:pPr>
            <w:r>
              <w:rPr>
                <w:rFonts w:hint="eastAsia"/>
              </w:rPr>
              <w:t xml:space="preserve">收购云变电气所形成相关商誉的资产及业务 </w:t>
            </w:r>
          </w:p>
        </w:tc>
        <w:tc>
          <w:tcPr>
            <w:tcW w:w="1175" w:type="pct"/>
          </w:tcPr>
          <w:p>
            <w:pPr>
              <w:widowControl w:val="0"/>
              <w:jc w:val="both"/>
            </w:pPr>
            <w:r>
              <w:rPr>
                <w:rFonts w:hint="eastAsia"/>
              </w:rPr>
              <w:t xml:space="preserve"> 根据营业收入实现地 </w:t>
            </w:r>
          </w:p>
        </w:tc>
        <w:tc>
          <w:tcPr>
            <w:tcW w:w="1493" w:type="pct"/>
          </w:tcPr>
          <w:p>
            <w:pPr>
              <w:widowControl w:val="0"/>
              <w:jc w:val="center"/>
              <w:rPr>
                <w:color w:val="000000" w:themeColor="text1"/>
                <w14:textFill>
                  <w14:solidFill>
                    <w14:schemeClr w14:val="tx1"/>
                  </w14:solidFill>
                </w14:textFill>
              </w:rPr>
            </w:pPr>
            <w:r>
              <w:rPr>
                <w:rFonts w:hint="eastAsia"/>
              </w:rPr>
              <w:t>是</w:t>
            </w:r>
          </w:p>
        </w:tc>
      </w:tr>
    </w:tbl>
    <w:p>
      <w:pPr>
        <w:rPr>
          <w:color w:val="000000" w:themeColor="text1"/>
          <w14:textFill>
            <w14:solidFill>
              <w14:schemeClr w14:val="tx1"/>
            </w14:solidFill>
          </w14:textFill>
        </w:rPr>
      </w:pPr>
      <w:bookmarkStart w:id="355" w:name="_Hlk153462880"/>
      <w:r>
        <w:rPr>
          <w:rFonts w:hint="eastAsia"/>
          <w:color w:val="000000" w:themeColor="text1"/>
          <w14:textFill>
            <w14:solidFill>
              <w14:schemeClr w14:val="tx1"/>
            </w14:solidFill>
          </w14:textFill>
        </w:rPr>
        <w:t>资产组或资产组组合发生变化</w:t>
      </w:r>
    </w:p>
    <w:sdt>
      <w:sdtPr>
        <w:rPr>
          <w:color w:val="000000" w:themeColor="text1"/>
          <w14:textFill>
            <w14:solidFill>
              <w14:schemeClr w14:val="tx1"/>
            </w14:solidFill>
          </w14:textFill>
        </w:rPr>
        <w:alias w:val="是否适用：资产组或资产组组合发生变化[双击切换]"/>
        <w:tag w:val="_GBC_7123d6208cbb4b6a9f652548afdc778a"/>
        <w:id w:val="166419665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8"/>
        <w:gridCol w:w="4610"/>
        <w:gridCol w:w="4754"/>
        <w:gridCol w:w="2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a2c9efbb16d456097d4175b112629f5"/>
            <w:id w:val="397026389"/>
          </w:sdtPr>
          <w:sdtContent>
            <w:tc>
              <w:tcPr>
                <w:tcW w:w="663"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ffbd967c154c49f780e65290167c8da4"/>
            <w:id w:val="764815170"/>
          </w:sdtPr>
          <w:sdtContent>
            <w:tc>
              <w:tcPr>
                <w:tcW w:w="1636"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变化前的构成</w:t>
                </w:r>
              </w:p>
            </w:tc>
          </w:sdtContent>
        </w:sdt>
        <w:sdt>
          <w:sdtPr>
            <w:tag w:val="_PLD_4046c53d92ce45af8c20e1e109447b18"/>
            <w:id w:val="1563985705"/>
          </w:sdtPr>
          <w:sdtContent>
            <w:tc>
              <w:tcPr>
                <w:tcW w:w="1687"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变化后的构成</w:t>
                </w:r>
              </w:p>
            </w:tc>
          </w:sdtContent>
        </w:sdt>
        <w:sdt>
          <w:sdtPr>
            <w:tag w:val="_PLD_ab6493bee87b4246ae99c83af870b3d0"/>
            <w:id w:val="-1800062357"/>
          </w:sdtPr>
          <w:sdtContent>
            <w:tc>
              <w:tcPr>
                <w:tcW w:w="1014" w:type="pct"/>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导致变化的客观事实及依据</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Align w:val="center"/>
          </w:tcPr>
          <w:p>
            <w:pPr>
              <w:widowControl w:val="0"/>
              <w:jc w:val="both"/>
            </w:pPr>
            <w:r>
              <w:rPr>
                <w:rFonts w:hint="eastAsia"/>
              </w:rPr>
              <w:t>云变电气</w:t>
            </w:r>
          </w:p>
        </w:tc>
        <w:tc>
          <w:tcPr>
            <w:tcW w:w="1636" w:type="pct"/>
          </w:tcPr>
          <w:p>
            <w:pPr>
              <w:widowControl w:val="0"/>
              <w:jc w:val="both"/>
            </w:pPr>
            <w:r>
              <w:rPr>
                <w:rFonts w:hint="eastAsia"/>
              </w:rPr>
              <w:t xml:space="preserve">收购云变电气所形成相关商誉的资产及业务 </w:t>
            </w:r>
          </w:p>
        </w:tc>
        <w:tc>
          <w:tcPr>
            <w:tcW w:w="1687" w:type="pct"/>
          </w:tcPr>
          <w:p>
            <w:pPr>
              <w:widowControl w:val="0"/>
              <w:jc w:val="both"/>
            </w:pPr>
            <w:r>
              <w:rPr>
                <w:rFonts w:hint="eastAsia"/>
              </w:rPr>
              <w:t xml:space="preserve"> 收购云变电气所形成相关商誉的资产及业务 </w:t>
            </w:r>
          </w:p>
        </w:tc>
        <w:tc>
          <w:tcPr>
            <w:tcW w:w="1014" w:type="pct"/>
          </w:tcPr>
          <w:p>
            <w:pPr>
              <w:widowControl w:val="0"/>
              <w:jc w:val="both"/>
            </w:pPr>
            <w:r>
              <w:rPr>
                <w:rFonts w:hint="eastAsia"/>
              </w:rPr>
              <w:t>资产组未发生变化</w:t>
            </w:r>
          </w:p>
        </w:tc>
      </w:tr>
      <w:bookmarkEnd w:id="355"/>
    </w:tbl>
    <w:p>
      <w:pPr>
        <w:rPr>
          <w:color w:val="000000" w:themeColor="text1"/>
          <w14:textFill>
            <w14:solidFill>
              <w14:schemeClr w14:val="tx1"/>
            </w14:solidFill>
          </w14:textFill>
        </w:rPr>
      </w:pPr>
      <w:bookmarkStart w:id="356" w:name="_Hlk152948734"/>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商誉所在资产组或资产组组合的相关信息其他说明[双击切换]"/>
        <w:tag w:val="_GBC_ffeac5265704403bb47e0eefe5c2d04e"/>
        <w:id w:val="203984549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56"/>
    <w:p>
      <w:pPr>
        <w:pStyle w:val="5"/>
        <w:numPr>
          <w:ilvl w:val="0"/>
          <w:numId w:val="60"/>
        </w:numPr>
        <w:tabs>
          <w:tab w:val="left" w:pos="588"/>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可收回金额的具体确定方法</w:t>
      </w:r>
    </w:p>
    <w:p>
      <w:pPr>
        <w:rPr>
          <w:color w:val="000000" w:themeColor="text1"/>
          <w14:textFill>
            <w14:solidFill>
              <w14:schemeClr w14:val="tx1"/>
            </w14:solidFill>
          </w14:textFill>
        </w:rPr>
      </w:pPr>
      <w:bookmarkStart w:id="357" w:name="_Hlk153463075"/>
      <w:r>
        <w:rPr>
          <w:rFonts w:hint="eastAsia"/>
          <w:color w:val="000000" w:themeColor="text1"/>
          <w14:textFill>
            <w14:solidFill>
              <w14:schemeClr w14:val="tx1"/>
            </w14:solidFill>
          </w14:textFill>
        </w:rPr>
        <w:t>可收回金额按公允价值减去处置费用后的净额确定</w:t>
      </w:r>
    </w:p>
    <w:sdt>
      <w:sdtPr>
        <w:rPr>
          <w:color w:val="000000" w:themeColor="text1"/>
          <w14:textFill>
            <w14:solidFill>
              <w14:schemeClr w14:val="tx1"/>
            </w14:solidFill>
          </w14:textFill>
        </w:rPr>
        <w:alias w:val="是否适用：可收回金额按公允价值减去处置费用后的净额确定[双击切换]"/>
        <w:tag w:val="_GBC_c14479181df74e309ba619055f328f4b"/>
        <w:id w:val="-190165529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可收回金额按预计未来现金流量的现值确定</w:t>
      </w:r>
    </w:p>
    <w:sdt>
      <w:sdtPr>
        <w:rPr>
          <w:rFonts w:hint="eastAsia"/>
          <w:color w:val="000000" w:themeColor="text1"/>
          <w14:textFill>
            <w14:solidFill>
              <w14:schemeClr w14:val="tx1"/>
            </w14:solidFill>
          </w14:textFill>
        </w:rPr>
        <w:alias w:val="是否适用：可收回金额按预计未来现金流量的现值确定[双击切换]"/>
        <w:tag w:val="_GBC_775cb3824be54e48866a569883927f9d"/>
        <w:id w:val="124590341"/>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前述信息与以前年度减值测试采用的信息或外部信息明显不一致的差异原因</w:t>
      </w:r>
    </w:p>
    <w:sdt>
      <w:sdtPr>
        <w:rPr>
          <w:color w:val="000000" w:themeColor="text1"/>
          <w14:textFill>
            <w14:solidFill>
              <w14:schemeClr w14:val="tx1"/>
            </w14:solidFill>
          </w14:textFill>
        </w:rPr>
        <w:alias w:val="是否适用：前述信息与以前年度减值测试采用的信息或外部信息明显不一致的差异原因[双击切换]"/>
        <w:tag w:val="_GBC_345565131261427b821f225ca476b7f0"/>
        <w:id w:val="57286154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公司以前年度减值测试采用信息与当年实际情况明显不一致的差异原因</w:t>
      </w:r>
    </w:p>
    <w:sdt>
      <w:sdtPr>
        <w:rPr>
          <w:color w:val="000000" w:themeColor="text1"/>
          <w14:textFill>
            <w14:solidFill>
              <w14:schemeClr w14:val="tx1"/>
            </w14:solidFill>
          </w14:textFill>
        </w:rPr>
        <w:alias w:val="是否适用：公司以前年度减值测试采用信息与当年实际情况明显不一致的差异原因[双击切换]"/>
        <w:tag w:val="_GBC_380768c596a145f29f00b98c2c4edba5"/>
        <w:id w:val="-129613783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57"/>
    <w:p>
      <w:pPr>
        <w:pStyle w:val="5"/>
        <w:numPr>
          <w:ilvl w:val="0"/>
          <w:numId w:val="60"/>
        </w:numPr>
        <w:tabs>
          <w:tab w:val="left" w:pos="588"/>
        </w:tabs>
        <w:rPr>
          <w:rFonts w:hint="eastAsia" w:ascii="宋体" w:hAnsi="宋体"/>
          <w:color w:val="000000" w:themeColor="text1"/>
          <w14:textFill>
            <w14:solidFill>
              <w14:schemeClr w14:val="tx1"/>
            </w14:solidFill>
          </w14:textFill>
        </w:rPr>
      </w:pPr>
      <w:bookmarkStart w:id="358" w:name="_Hlk153463443"/>
      <w:r>
        <w:rPr>
          <w:rFonts w:hint="eastAsia" w:ascii="宋体" w:hAnsi="宋体"/>
          <w:color w:val="000000" w:themeColor="text1"/>
          <w14:textFill>
            <w14:solidFill>
              <w14:schemeClr w14:val="tx1"/>
            </w14:solidFill>
          </w14:textFill>
        </w:rPr>
        <w:t>业绩承诺及对应商誉减值情况</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形成商誉时存在业绩承诺且报告期或报告期上一期间处于业绩承诺期内</w:t>
      </w:r>
    </w:p>
    <w:sdt>
      <w:sdtPr>
        <w:rPr>
          <w:color w:val="000000" w:themeColor="text1"/>
          <w14:textFill>
            <w14:solidFill>
              <w14:schemeClr w14:val="tx1"/>
            </w14:solidFill>
          </w14:textFill>
        </w:rPr>
        <w:alias w:val="是否适用：业绩承诺完成及对应商誉减值情况[双击切换]"/>
        <w:tag w:val="_GBC_f96eba4c85694a0d9c8987317df03a97"/>
        <w:id w:val="-15491921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54"/>
    <w:bookmarkEnd w:id="358"/>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商誉其他需要说明的事项[双击切换]"/>
        <w:tag w:val="_GBC_6b2c2377a4a6486b9a4ba845bd2192f6"/>
        <w:id w:val="-159940773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长期待摊费用</w:t>
      </w:r>
    </w:p>
    <w:sdt>
      <w:sdtPr>
        <w:rPr>
          <w:color w:val="000000" w:themeColor="text1"/>
          <w14:textFill>
            <w14:solidFill>
              <w14:schemeClr w14:val="tx1"/>
            </w14:solidFill>
          </w14:textFill>
        </w:rPr>
        <w:alias w:val="是否适用：长期待摊费用[双击切换]"/>
        <w:tag w:val="_GBC_9bec8f9516c84b19bae2fb8a7292063f"/>
        <w:id w:val="-25767138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待摊费用"/>
          <w:tag w:val="_GBC_aa74f67aac374e54a7768a8434ab0c08"/>
          <w:id w:val="15877264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待摊费用"/>
          <w:tag w:val="_GBC_767b9b701cf8425c9d588b0398c42e90"/>
          <w:id w:val="-128711330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9"/>
        <w:gridCol w:w="1497"/>
        <w:gridCol w:w="1497"/>
        <w:gridCol w:w="1497"/>
        <w:gridCol w:w="1520"/>
        <w:gridCol w:w="1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0e665ce568e49a5aa1c687384d611b3"/>
            <w:id w:val="-950473897"/>
          </w:sdtPr>
          <w:sdtContent>
            <w:tc>
              <w:tcPr>
                <w:tcW w:w="80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3597a5d560b48d59d41cd3dc72b1a3a"/>
            <w:id w:val="-1000188058"/>
          </w:sdtPr>
          <w:sdtContent>
            <w:tc>
              <w:tcPr>
                <w:tcW w:w="82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2edffaf8b24b489e97f2d4a6a5ec5711"/>
            <w:id w:val="1227648892"/>
          </w:sdtPr>
          <w:sdtContent>
            <w:tc>
              <w:tcPr>
                <w:tcW w:w="82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本期增加金额</w:t>
                </w:r>
              </w:p>
            </w:tc>
          </w:sdtContent>
        </w:sdt>
        <w:sdt>
          <w:sdtPr>
            <w:tag w:val="_PLD_f6bc6a07519e4f6cab5889776aa0ecbd"/>
            <w:id w:val="1225565829"/>
          </w:sdtPr>
          <w:sdtContent>
            <w:tc>
              <w:tcPr>
                <w:tcW w:w="82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本期摊销金额</w:t>
                </w:r>
              </w:p>
            </w:tc>
          </w:sdtContent>
        </w:sdt>
        <w:sdt>
          <w:sdtPr>
            <w:tag w:val="_PLD_f987bb682c974016898d37b474ce35c6"/>
            <w:id w:val="-1926262158"/>
          </w:sdtPr>
          <w:sdtContent>
            <w:tc>
              <w:tcPr>
                <w:tcW w:w="84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其他减少金额</w:t>
                </w:r>
              </w:p>
            </w:tc>
          </w:sdtContent>
        </w:sdt>
        <w:sdt>
          <w:sdtPr>
            <w:tag w:val="_PLD_dab738986fbc4bd7b942faf77cb39605"/>
            <w:id w:val="1990669000"/>
          </w:sdtPr>
          <w:sdtContent>
            <w:tc>
              <w:tcPr>
                <w:tcW w:w="87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pct"/>
          </w:tcPr>
          <w:p>
            <w:pPr>
              <w:pStyle w:val="48"/>
            </w:pPr>
            <w:r>
              <w:rPr>
                <w:rFonts w:hint="eastAsia"/>
              </w:rPr>
              <w:t>装修费</w:t>
            </w:r>
          </w:p>
        </w:tc>
        <w:tc>
          <w:tcPr>
            <w:tcW w:w="827" w:type="pct"/>
          </w:tcPr>
          <w:p>
            <w:pPr>
              <w:jc w:val="right"/>
            </w:pPr>
            <w:r>
              <w:t xml:space="preserve"> 433,476.90 </w:t>
            </w:r>
          </w:p>
        </w:tc>
        <w:tc>
          <w:tcPr>
            <w:tcW w:w="827" w:type="pct"/>
          </w:tcPr>
          <w:p>
            <w:pPr>
              <w:jc w:val="right"/>
            </w:pPr>
            <w:r>
              <w:t xml:space="preserve">  </w:t>
            </w:r>
          </w:p>
        </w:tc>
        <w:tc>
          <w:tcPr>
            <w:tcW w:w="827" w:type="pct"/>
          </w:tcPr>
          <w:p>
            <w:pPr>
              <w:jc w:val="right"/>
            </w:pPr>
            <w:r>
              <w:t xml:space="preserve"> 170,179.74 </w:t>
            </w:r>
          </w:p>
        </w:tc>
        <w:tc>
          <w:tcPr>
            <w:tcW w:w="840" w:type="pct"/>
          </w:tcPr>
          <w:p>
            <w:pPr>
              <w:jc w:val="right"/>
            </w:pPr>
          </w:p>
        </w:tc>
        <w:tc>
          <w:tcPr>
            <w:tcW w:w="878" w:type="pct"/>
          </w:tcPr>
          <w:p>
            <w:pPr>
              <w:jc w:val="right"/>
            </w:pPr>
            <w:r>
              <w:t xml:space="preserve"> 263,297.16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pct"/>
          </w:tcPr>
          <w:p>
            <w:pPr>
              <w:pStyle w:val="48"/>
            </w:pPr>
            <w:r>
              <w:rPr>
                <w:rFonts w:hint="eastAsia"/>
              </w:rPr>
              <w:t>其他</w:t>
            </w:r>
          </w:p>
        </w:tc>
        <w:tc>
          <w:tcPr>
            <w:tcW w:w="827" w:type="pct"/>
          </w:tcPr>
          <w:p>
            <w:pPr>
              <w:jc w:val="right"/>
            </w:pPr>
            <w:r>
              <w:t xml:space="preserve"> 1,639,109.52 </w:t>
            </w:r>
          </w:p>
        </w:tc>
        <w:tc>
          <w:tcPr>
            <w:tcW w:w="827" w:type="pct"/>
          </w:tcPr>
          <w:p>
            <w:pPr>
              <w:jc w:val="right"/>
            </w:pPr>
            <w:r>
              <w:t xml:space="preserve"> 47,787.61 </w:t>
            </w:r>
          </w:p>
        </w:tc>
        <w:tc>
          <w:tcPr>
            <w:tcW w:w="827" w:type="pct"/>
          </w:tcPr>
          <w:p>
            <w:pPr>
              <w:jc w:val="right"/>
            </w:pPr>
            <w:r>
              <w:t xml:space="preserve"> 255,154.07 </w:t>
            </w:r>
          </w:p>
        </w:tc>
        <w:tc>
          <w:tcPr>
            <w:tcW w:w="840" w:type="pct"/>
          </w:tcPr>
          <w:p>
            <w:pPr>
              <w:jc w:val="right"/>
            </w:pPr>
          </w:p>
        </w:tc>
        <w:tc>
          <w:tcPr>
            <w:tcW w:w="878" w:type="pct"/>
          </w:tcPr>
          <w:p>
            <w:pPr>
              <w:jc w:val="right"/>
            </w:pPr>
            <w:r>
              <w:t xml:space="preserve"> 1,431,743.06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827" w:type="pct"/>
          </w:tcPr>
          <w:p>
            <w:pPr>
              <w:jc w:val="right"/>
            </w:pPr>
            <w:r>
              <w:t xml:space="preserve"> 2,072,586.42 </w:t>
            </w:r>
          </w:p>
        </w:tc>
        <w:tc>
          <w:tcPr>
            <w:tcW w:w="827" w:type="pct"/>
          </w:tcPr>
          <w:p>
            <w:pPr>
              <w:jc w:val="right"/>
            </w:pPr>
            <w:r>
              <w:t xml:space="preserve"> 47,787.61 </w:t>
            </w:r>
          </w:p>
        </w:tc>
        <w:tc>
          <w:tcPr>
            <w:tcW w:w="827" w:type="pct"/>
          </w:tcPr>
          <w:p>
            <w:pPr>
              <w:jc w:val="right"/>
            </w:pPr>
            <w:r>
              <w:t xml:space="preserve"> 425,333.81 </w:t>
            </w:r>
          </w:p>
        </w:tc>
        <w:tc>
          <w:tcPr>
            <w:tcW w:w="840" w:type="pct"/>
          </w:tcPr>
          <w:p>
            <w:pPr>
              <w:jc w:val="right"/>
            </w:pPr>
          </w:p>
        </w:tc>
        <w:tc>
          <w:tcPr>
            <w:tcW w:w="878" w:type="pct"/>
          </w:tcPr>
          <w:p>
            <w:pPr>
              <w:jc w:val="right"/>
            </w:pPr>
            <w:r>
              <w:t xml:space="preserve"> 1,695,040.22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长期待摊费用的说明"/>
        <w:tag w:val="_GBC_5b31c466b60f433faaa37d443fae74be"/>
        <w:id w:val="166744358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递延所得税资产/ 递延所得税负债</w:t>
      </w:r>
    </w:p>
    <w:p>
      <w:pPr>
        <w:pStyle w:val="5"/>
        <w:numPr>
          <w:ilvl w:val="0"/>
          <w:numId w:val="61"/>
        </w:numPr>
        <w:tabs>
          <w:tab w:val="left" w:pos="588"/>
          <w:tab w:val="left" w:pos="616"/>
        </w:tabs>
        <w:rPr>
          <w:rFonts w:hint="eastAsia" w:ascii="宋体" w:hAnsi="宋体"/>
          <w:color w:val="000000" w:themeColor="text1"/>
          <w14:textFill>
            <w14:solidFill>
              <w14:schemeClr w14:val="tx1"/>
            </w14:solidFill>
          </w14:textFill>
        </w:rPr>
      </w:pPr>
      <w:bookmarkStart w:id="359" w:name="_Toc215903151"/>
      <w:r>
        <w:rPr>
          <w:rFonts w:hint="eastAsia" w:ascii="宋体" w:hAnsi="宋体"/>
          <w:color w:val="000000" w:themeColor="text1"/>
          <w14:textFill>
            <w14:solidFill>
              <w14:schemeClr w14:val="tx1"/>
            </w14:solidFill>
          </w14:textFill>
        </w:rPr>
        <w:t>未经抵销的递延所得税资产</w:t>
      </w:r>
    </w:p>
    <w:sdt>
      <w:sdtPr>
        <w:rPr>
          <w:color w:val="000000" w:themeColor="text1"/>
          <w14:textFill>
            <w14:solidFill>
              <w14:schemeClr w14:val="tx1"/>
            </w14:solidFill>
          </w14:textFill>
        </w:rPr>
        <w:alias w:val="是否适用：未经抵销的递延所得税资产[双击切换]"/>
        <w:tag w:val="_GBC_fc6e77974a404dc3bef5fc386ae4e1e7"/>
        <w:id w:val="149114482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已确认的递延所得税资产和递延所得税负债"/>
          <w:tag w:val="_GBC_7be724d3c6f14974914db7d02bb734f9"/>
          <w:id w:val="12215630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bookmarkEnd w:id="359"/>
      <w:sdt>
        <w:sdtPr>
          <w:rPr>
            <w:rFonts w:hint="eastAsia"/>
            <w:color w:val="000000" w:themeColor="text1"/>
            <w14:textFill>
              <w14:solidFill>
                <w14:schemeClr w14:val="tx1"/>
              </w14:solidFill>
            </w14:textFill>
          </w:rPr>
          <w:alias w:val="币种：财务附注：已确认的递延所得税资产和递延所得税负债"/>
          <w:tag w:val="_GBC_a48237f045494aa9a0ea8c2cb35b1c0f"/>
          <w:id w:val="-189718760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4"/>
        <w:gridCol w:w="1651"/>
        <w:gridCol w:w="1647"/>
        <w:gridCol w:w="1664"/>
        <w:gridCol w:w="1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e45101b3a01946f19f22657bb959574e"/>
            <w:id w:val="-221989486"/>
          </w:sdtPr>
          <w:sdtContent>
            <w:tc>
              <w:tcPr>
                <w:tcW w:w="1350" w:type="pct"/>
                <w:vMerge w:val="restart"/>
                <w:vAlign w:val="center"/>
              </w:tcPr>
              <w:p>
                <w:pPr>
                  <w:jc w:val="center"/>
                  <w:rPr>
                    <w:color w:val="000000" w:themeColor="text1"/>
                    <w14:textFill>
                      <w14:solidFill>
                        <w14:schemeClr w14:val="tx1"/>
                      </w14:solidFill>
                    </w14:textFill>
                  </w:rPr>
                </w:pPr>
                <w:bookmarkStart w:id="360" w:name="_Hlk11160621"/>
                <w:r>
                  <w:rPr>
                    <w:rFonts w:hint="eastAsia"/>
                    <w:color w:val="000000" w:themeColor="text1"/>
                    <w14:textFill>
                      <w14:solidFill>
                        <w14:schemeClr w14:val="tx1"/>
                      </w14:solidFill>
                    </w14:textFill>
                  </w:rPr>
                  <w:t>项目</w:t>
                </w:r>
              </w:p>
            </w:tc>
          </w:sdtContent>
        </w:sdt>
        <w:sdt>
          <w:sdtPr>
            <w:tag w:val="_PLD_dd892ffecd234c819059bf10f71b1910"/>
            <w:id w:val="427159752"/>
          </w:sdtPr>
          <w:sdtContent>
            <w:tc>
              <w:tcPr>
                <w:tcW w:w="1822" w:type="pct"/>
                <w:gridSpan w:val="2"/>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e855fcb002344d6ae2c74083e90b1c1"/>
            <w:id w:val="-1710715191"/>
          </w:sdtPr>
          <w:sdtContent>
            <w:tc>
              <w:tcPr>
                <w:tcW w:w="1828" w:type="pct"/>
                <w:gridSpan w:val="2"/>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vMerge w:val="continue"/>
            <w:vAlign w:val="center"/>
          </w:tcPr>
          <w:p>
            <w:pPr>
              <w:jc w:val="center"/>
              <w:rPr>
                <w:b/>
                <w:color w:val="000000" w:themeColor="text1"/>
                <w14:textFill>
                  <w14:solidFill>
                    <w14:schemeClr w14:val="tx1"/>
                  </w14:solidFill>
                </w14:textFill>
              </w:rPr>
            </w:pPr>
          </w:p>
        </w:tc>
        <w:sdt>
          <w:sdtPr>
            <w:tag w:val="_PLD_c82eb64547054aa39a1b7bfe7c532e2e"/>
            <w:id w:val="385844471"/>
          </w:sdtPr>
          <w:sdtContent>
            <w:tc>
              <w:tcPr>
                <w:tcW w:w="91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可抵扣暂时性差异</w:t>
                </w:r>
              </w:p>
            </w:tc>
          </w:sdtContent>
        </w:sdt>
        <w:sdt>
          <w:sdtPr>
            <w:tag w:val="_PLD_ad2e47975c52486d8bfc7fec079252de"/>
            <w:id w:val="1680457782"/>
          </w:sdtPr>
          <w:sdtContent>
            <w:tc>
              <w:tcPr>
                <w:tcW w:w="91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资产</w:t>
                </w:r>
              </w:p>
            </w:tc>
          </w:sdtContent>
        </w:sdt>
        <w:sdt>
          <w:sdtPr>
            <w:tag w:val="_PLD_0e0e7aabb5f8432ea9da8b4066b2e897"/>
            <w:id w:val="1233040111"/>
          </w:sdtPr>
          <w:sdtContent>
            <w:tc>
              <w:tcPr>
                <w:tcW w:w="91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可抵扣暂时性差异</w:t>
                </w:r>
              </w:p>
            </w:tc>
          </w:sdtContent>
        </w:sdt>
        <w:sdt>
          <w:sdtPr>
            <w:tag w:val="_PLD_34147e3346eb4b24b314e0dadaab6983"/>
            <w:id w:val="-809939402"/>
          </w:sdtPr>
          <w:sdtContent>
            <w:tc>
              <w:tcPr>
                <w:tcW w:w="90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资产</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pPr>
              <w:rPr>
                <w:color w:val="000000" w:themeColor="text1"/>
                <w14:textFill>
                  <w14:solidFill>
                    <w14:schemeClr w14:val="tx1"/>
                  </w14:solidFill>
                </w14:textFill>
              </w:rPr>
            </w:pPr>
            <w:r>
              <w:rPr>
                <w:rFonts w:hint="eastAsia"/>
              </w:rPr>
              <w:t>资产减值准备</w:t>
            </w:r>
          </w:p>
        </w:tc>
        <w:tc>
          <w:tcPr>
            <w:tcW w:w="912" w:type="pct"/>
          </w:tcPr>
          <w:p>
            <w:pPr>
              <w:jc w:val="right"/>
            </w:pPr>
            <w:r>
              <w:t xml:space="preserve">279,131,186.93 </w:t>
            </w:r>
          </w:p>
        </w:tc>
        <w:tc>
          <w:tcPr>
            <w:tcW w:w="910" w:type="pct"/>
          </w:tcPr>
          <w:p>
            <w:pPr>
              <w:jc w:val="right"/>
            </w:pPr>
            <w:r>
              <w:t xml:space="preserve"> 42,448,223.09 </w:t>
            </w:r>
          </w:p>
        </w:tc>
        <w:tc>
          <w:tcPr>
            <w:tcW w:w="919" w:type="pct"/>
          </w:tcPr>
          <w:p>
            <w:pPr>
              <w:jc w:val="right"/>
            </w:pPr>
            <w:r>
              <w:rPr>
                <w:rFonts w:hint="eastAsia"/>
              </w:rPr>
              <w:t>281,463,817.54</w:t>
            </w:r>
          </w:p>
        </w:tc>
        <w:tc>
          <w:tcPr>
            <w:tcW w:w="909" w:type="pct"/>
          </w:tcPr>
          <w:p>
            <w:pPr>
              <w:jc w:val="right"/>
            </w:pPr>
            <w:r>
              <w:rPr>
                <w:rFonts w:hint="eastAsia"/>
              </w:rPr>
              <w:t>42,264,249.54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Borders>
              <w:bottom w:val="single" w:color="auto" w:sz="4" w:space="0"/>
            </w:tcBorders>
          </w:tcPr>
          <w:p>
            <w:pPr>
              <w:rPr>
                <w:color w:val="000000" w:themeColor="text1"/>
                <w14:textFill>
                  <w14:solidFill>
                    <w14:schemeClr w14:val="tx1"/>
                  </w14:solidFill>
                </w14:textFill>
              </w:rPr>
            </w:pPr>
            <w:r>
              <w:rPr>
                <w:rFonts w:hint="eastAsia"/>
              </w:rPr>
              <w:t>可抵扣亏损</w:t>
            </w:r>
          </w:p>
        </w:tc>
        <w:tc>
          <w:tcPr>
            <w:tcW w:w="912" w:type="pct"/>
          </w:tcPr>
          <w:p>
            <w:pPr>
              <w:jc w:val="right"/>
            </w:pPr>
            <w:r>
              <w:t xml:space="preserve"> 76,171,865.77 </w:t>
            </w:r>
          </w:p>
        </w:tc>
        <w:tc>
          <w:tcPr>
            <w:tcW w:w="910" w:type="pct"/>
          </w:tcPr>
          <w:p>
            <w:pPr>
              <w:jc w:val="right"/>
            </w:pPr>
            <w:r>
              <w:t xml:space="preserve"> 11,510,404.39 </w:t>
            </w:r>
          </w:p>
        </w:tc>
        <w:tc>
          <w:tcPr>
            <w:tcW w:w="919" w:type="pct"/>
          </w:tcPr>
          <w:p>
            <w:pPr>
              <w:jc w:val="right"/>
            </w:pPr>
            <w:r>
              <w:t>19,666,766.80</w:t>
            </w:r>
          </w:p>
        </w:tc>
        <w:tc>
          <w:tcPr>
            <w:tcW w:w="909" w:type="pct"/>
          </w:tcPr>
          <w:p>
            <w:pPr>
              <w:jc w:val="right"/>
            </w:pPr>
            <w:r>
              <w:t>2,946,981.67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pPr>
              <w:pStyle w:val="48"/>
            </w:pPr>
            <w:r>
              <w:rPr>
                <w:rFonts w:hint="eastAsia"/>
              </w:rPr>
              <w:t>租赁负债</w:t>
            </w:r>
          </w:p>
        </w:tc>
        <w:tc>
          <w:tcPr>
            <w:tcW w:w="912" w:type="pct"/>
          </w:tcPr>
          <w:p>
            <w:pPr>
              <w:jc w:val="right"/>
            </w:pPr>
            <w:r>
              <w:t xml:space="preserve"> 41,378,964.47 </w:t>
            </w:r>
          </w:p>
        </w:tc>
        <w:tc>
          <w:tcPr>
            <w:tcW w:w="910" w:type="pct"/>
          </w:tcPr>
          <w:p>
            <w:pPr>
              <w:jc w:val="right"/>
            </w:pPr>
            <w:r>
              <w:t xml:space="preserve"> 4,008,286.19 </w:t>
            </w:r>
          </w:p>
        </w:tc>
        <w:tc>
          <w:tcPr>
            <w:tcW w:w="919" w:type="pct"/>
          </w:tcPr>
          <w:p>
            <w:pPr>
              <w:jc w:val="right"/>
            </w:pPr>
            <w:r>
              <w:rPr>
                <w:rFonts w:hint="eastAsia"/>
              </w:rPr>
              <w:t>22,208,854.09</w:t>
            </w:r>
          </w:p>
        </w:tc>
        <w:tc>
          <w:tcPr>
            <w:tcW w:w="909" w:type="pct"/>
          </w:tcPr>
          <w:p>
            <w:pPr>
              <w:jc w:val="right"/>
            </w:pPr>
            <w:r>
              <w:rPr>
                <w:rFonts w:hint="eastAsia"/>
              </w:rPr>
              <w:t>3,217,592.57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pPr>
              <w:pStyle w:val="48"/>
            </w:pPr>
            <w:r>
              <w:rPr>
                <w:rFonts w:hint="eastAsia"/>
              </w:rPr>
              <w:t>递延收益</w:t>
            </w:r>
          </w:p>
        </w:tc>
        <w:tc>
          <w:tcPr>
            <w:tcW w:w="912" w:type="pct"/>
          </w:tcPr>
          <w:p>
            <w:pPr>
              <w:jc w:val="right"/>
            </w:pPr>
            <w:r>
              <w:t xml:space="preserve"> 12,803,344.83 </w:t>
            </w:r>
          </w:p>
        </w:tc>
        <w:tc>
          <w:tcPr>
            <w:tcW w:w="910" w:type="pct"/>
          </w:tcPr>
          <w:p>
            <w:pPr>
              <w:jc w:val="right"/>
            </w:pPr>
            <w:r>
              <w:t xml:space="preserve"> 1,920,501.72 </w:t>
            </w:r>
          </w:p>
        </w:tc>
        <w:tc>
          <w:tcPr>
            <w:tcW w:w="919" w:type="pct"/>
          </w:tcPr>
          <w:p>
            <w:pPr>
              <w:jc w:val="right"/>
            </w:pPr>
            <w:r>
              <w:rPr>
                <w:rFonts w:hint="eastAsia"/>
              </w:rPr>
              <w:t>13,519,130.68</w:t>
            </w:r>
          </w:p>
        </w:tc>
        <w:tc>
          <w:tcPr>
            <w:tcW w:w="909" w:type="pct"/>
          </w:tcPr>
          <w:p>
            <w:pPr>
              <w:jc w:val="right"/>
            </w:pPr>
            <w:r>
              <w:rPr>
                <w:rFonts w:hint="eastAsia"/>
              </w:rPr>
              <w:t>2,027,869.60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pPr>
              <w:pStyle w:val="48"/>
            </w:pPr>
            <w:r>
              <w:t>内部交易未实现利润</w:t>
            </w:r>
          </w:p>
        </w:tc>
        <w:tc>
          <w:tcPr>
            <w:tcW w:w="912" w:type="pct"/>
          </w:tcPr>
          <w:p>
            <w:pPr>
              <w:jc w:val="right"/>
            </w:pPr>
            <w:r>
              <w:t>12,241,854.80</w:t>
            </w:r>
          </w:p>
        </w:tc>
        <w:tc>
          <w:tcPr>
            <w:tcW w:w="910" w:type="pct"/>
          </w:tcPr>
          <w:p>
            <w:pPr>
              <w:jc w:val="right"/>
            </w:pPr>
            <w:r>
              <w:t>1,836,278.22</w:t>
            </w:r>
          </w:p>
        </w:tc>
        <w:tc>
          <w:tcPr>
            <w:tcW w:w="919" w:type="pct"/>
          </w:tcPr>
          <w:p>
            <w:pPr>
              <w:jc w:val="right"/>
            </w:pPr>
            <w:r>
              <w:t>25,997,841.13</w:t>
            </w:r>
          </w:p>
        </w:tc>
        <w:tc>
          <w:tcPr>
            <w:tcW w:w="909" w:type="pct"/>
          </w:tcPr>
          <w:p>
            <w:pPr>
              <w:jc w:val="right"/>
            </w:pPr>
            <w:r>
              <w:t>3,899,676.17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pPr>
              <w:pStyle w:val="48"/>
            </w:pPr>
            <w:r>
              <w:rPr>
                <w:rFonts w:hint="eastAsia"/>
              </w:rPr>
              <w:t>公益性捐赠</w:t>
            </w:r>
          </w:p>
        </w:tc>
        <w:tc>
          <w:tcPr>
            <w:tcW w:w="912" w:type="pct"/>
          </w:tcPr>
          <w:p>
            <w:pPr>
              <w:jc w:val="right"/>
            </w:pPr>
            <w:r>
              <w:t xml:space="preserve"> 10,537,051.29 </w:t>
            </w:r>
          </w:p>
        </w:tc>
        <w:tc>
          <w:tcPr>
            <w:tcW w:w="910" w:type="pct"/>
          </w:tcPr>
          <w:p>
            <w:pPr>
              <w:jc w:val="right"/>
            </w:pPr>
            <w:r>
              <w:t xml:space="preserve"> 1,580,557.69 </w:t>
            </w:r>
          </w:p>
        </w:tc>
        <w:tc>
          <w:tcPr>
            <w:tcW w:w="919" w:type="pct"/>
          </w:tcPr>
          <w:p>
            <w:pPr>
              <w:jc w:val="right"/>
            </w:pPr>
            <w:r>
              <w:rPr>
                <w:rFonts w:hint="eastAsia"/>
              </w:rPr>
              <w:t>9,517,051.29</w:t>
            </w:r>
          </w:p>
        </w:tc>
        <w:tc>
          <w:tcPr>
            <w:tcW w:w="909" w:type="pct"/>
          </w:tcPr>
          <w:p>
            <w:pPr>
              <w:jc w:val="right"/>
            </w:pPr>
            <w:r>
              <w:rPr>
                <w:rFonts w:hint="eastAsia"/>
              </w:rPr>
              <w:t>1,427,557.69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tcPr>
          <w:p>
            <w:pPr>
              <w:pStyle w:val="48"/>
            </w:pPr>
            <w:r>
              <w:rPr>
                <w:rFonts w:hint="eastAsia"/>
              </w:rPr>
              <w:t>预计负债</w:t>
            </w:r>
          </w:p>
        </w:tc>
        <w:tc>
          <w:tcPr>
            <w:tcW w:w="912" w:type="pct"/>
          </w:tcPr>
          <w:p>
            <w:pPr>
              <w:jc w:val="right"/>
            </w:pPr>
            <w:r>
              <w:t xml:space="preserve"> 3,430,213.15 </w:t>
            </w:r>
          </w:p>
        </w:tc>
        <w:tc>
          <w:tcPr>
            <w:tcW w:w="910" w:type="pct"/>
          </w:tcPr>
          <w:p>
            <w:pPr>
              <w:jc w:val="right"/>
            </w:pPr>
            <w:r>
              <w:t xml:space="preserve"> 514,531.97 </w:t>
            </w:r>
          </w:p>
        </w:tc>
        <w:tc>
          <w:tcPr>
            <w:tcW w:w="919" w:type="pct"/>
          </w:tcPr>
          <w:p>
            <w:pPr>
              <w:jc w:val="right"/>
            </w:pPr>
            <w:r>
              <w:rPr>
                <w:rFonts w:hint="eastAsia"/>
              </w:rPr>
              <w:t>2,893,417.02</w:t>
            </w:r>
          </w:p>
        </w:tc>
        <w:tc>
          <w:tcPr>
            <w:tcW w:w="909" w:type="pct"/>
          </w:tcPr>
          <w:p>
            <w:pPr>
              <w:jc w:val="right"/>
            </w:pPr>
            <w:r>
              <w:rPr>
                <w:rFonts w:hint="eastAsia"/>
              </w:rPr>
              <w:t>434,012.55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5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912" w:type="pct"/>
          </w:tcPr>
          <w:p>
            <w:pPr>
              <w:jc w:val="right"/>
            </w:pPr>
            <w:r>
              <w:t xml:space="preserve">435,694,481.24 </w:t>
            </w:r>
          </w:p>
        </w:tc>
        <w:tc>
          <w:tcPr>
            <w:tcW w:w="910" w:type="pct"/>
          </w:tcPr>
          <w:p>
            <w:pPr>
              <w:jc w:val="right"/>
            </w:pPr>
            <w:r>
              <w:t xml:space="preserve"> 63,818,783.27 </w:t>
            </w:r>
          </w:p>
        </w:tc>
        <w:tc>
          <w:tcPr>
            <w:tcW w:w="919" w:type="pct"/>
          </w:tcPr>
          <w:p>
            <w:pPr>
              <w:jc w:val="right"/>
            </w:pPr>
            <w:r>
              <w:t>375,266,878.55</w:t>
            </w:r>
          </w:p>
        </w:tc>
        <w:tc>
          <w:tcPr>
            <w:tcW w:w="909" w:type="pct"/>
          </w:tcPr>
          <w:p>
            <w:pPr>
              <w:jc w:val="right"/>
            </w:pPr>
            <w:r>
              <w:t>56,217,939.79</w:t>
            </w:r>
          </w:p>
        </w:tc>
      </w:tr>
    </w:tbl>
    <w:p>
      <w:pPr>
        <w:pStyle w:val="5"/>
        <w:numPr>
          <w:ilvl w:val="0"/>
          <w:numId w:val="61"/>
        </w:numPr>
        <w:tabs>
          <w:tab w:val="left" w:pos="588"/>
          <w:tab w:val="left" w:pos="616"/>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未经抵销的递延所得税负债</w:t>
      </w:r>
    </w:p>
    <w:sdt>
      <w:sdtPr>
        <w:rPr>
          <w:color w:val="000000" w:themeColor="text1"/>
          <w14:textFill>
            <w14:solidFill>
              <w14:schemeClr w14:val="tx1"/>
            </w14:solidFill>
          </w14:textFill>
        </w:rPr>
        <w:alias w:val="是否适用：未经抵销的递延所得税负债[双击切换]"/>
        <w:tag w:val="_GBC_e9cf2825b61d4a9ca57e90c2ed017173"/>
        <w:id w:val="116134751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经抵销的递延所得税负债"/>
          <w:tag w:val="_GBC_7fa4a7048e284eb79ceb0dee5165516f"/>
          <w:id w:val="-66269743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经抵销的递延所得税负债"/>
          <w:tag w:val="_GBC_85beae3a7d624858bfe37a33da15472b"/>
          <w:id w:val="-6788820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bookmarkEnd w:id="360"/>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4"/>
        <w:gridCol w:w="1676"/>
        <w:gridCol w:w="1665"/>
        <w:gridCol w:w="1658"/>
        <w:gridCol w:w="1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66ef6111bb2d4b3792b581d6ff38c8d2"/>
            <w:id w:val="-1365438117"/>
          </w:sdtPr>
          <w:sdtContent>
            <w:tc>
              <w:tcPr>
                <w:tcW w:w="1312" w:type="pct"/>
                <w:vMerge w:val="restart"/>
                <w:vAlign w:val="center"/>
              </w:tcPr>
              <w:p>
                <w:pPr>
                  <w:jc w:val="center"/>
                  <w:rPr>
                    <w:color w:val="000000" w:themeColor="text1"/>
                    <w14:textFill>
                      <w14:solidFill>
                        <w14:schemeClr w14:val="tx1"/>
                      </w14:solidFill>
                    </w14:textFill>
                  </w:rPr>
                </w:pPr>
                <w:bookmarkStart w:id="361" w:name="_Hlk11160645"/>
                <w:r>
                  <w:rPr>
                    <w:rFonts w:hint="eastAsia"/>
                    <w:color w:val="000000" w:themeColor="text1"/>
                    <w14:textFill>
                      <w14:solidFill>
                        <w14:schemeClr w14:val="tx1"/>
                      </w14:solidFill>
                    </w14:textFill>
                  </w:rPr>
                  <w:t>项目</w:t>
                </w:r>
              </w:p>
            </w:tc>
          </w:sdtContent>
        </w:sdt>
        <w:sdt>
          <w:sdtPr>
            <w:tag w:val="_PLD_b850d4f63866495f80e69799c9ea1b37"/>
            <w:id w:val="496854921"/>
          </w:sdtPr>
          <w:sdtContent>
            <w:tc>
              <w:tcPr>
                <w:tcW w:w="1846" w:type="pct"/>
                <w:gridSpan w:val="2"/>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951c3eee882c4aaa862f620814f6ce4e"/>
            <w:id w:val="1391840526"/>
          </w:sdtPr>
          <w:sdtContent>
            <w:tc>
              <w:tcPr>
                <w:tcW w:w="1842" w:type="pct"/>
                <w:gridSpan w:val="2"/>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vMerge w:val="continue"/>
            <w:vAlign w:val="center"/>
          </w:tcPr>
          <w:p>
            <w:pPr>
              <w:jc w:val="center"/>
              <w:rPr>
                <w:b/>
                <w:color w:val="000000" w:themeColor="text1"/>
                <w14:textFill>
                  <w14:solidFill>
                    <w14:schemeClr w14:val="tx1"/>
                  </w14:solidFill>
                </w14:textFill>
              </w:rPr>
            </w:pPr>
          </w:p>
        </w:tc>
        <w:sdt>
          <w:sdtPr>
            <w:tag w:val="_PLD_f33e3c528ff14a2bac81ec99970641f6"/>
            <w:id w:val="-219127425"/>
          </w:sdtPr>
          <w:sdtContent>
            <w:tc>
              <w:tcPr>
                <w:tcW w:w="92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应纳税暂时性差异</w:t>
                </w:r>
              </w:p>
            </w:tc>
          </w:sdtContent>
        </w:sdt>
        <w:sdt>
          <w:sdtPr>
            <w:tag w:val="_PLD_0cb734f9904e4a57a5107d601b9b38d1"/>
            <w:id w:val="-1684040758"/>
          </w:sdtPr>
          <w:sdtContent>
            <w:tc>
              <w:tcPr>
                <w:tcW w:w="92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负债</w:t>
                </w:r>
              </w:p>
            </w:tc>
          </w:sdtContent>
        </w:sdt>
        <w:sdt>
          <w:sdtPr>
            <w:tag w:val="_PLD_ddf3980c66a840e782386c14bb078052"/>
            <w:id w:val="517359019"/>
          </w:sdtPr>
          <w:sdtContent>
            <w:tc>
              <w:tcPr>
                <w:tcW w:w="91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应纳税暂时性差异</w:t>
                </w:r>
              </w:p>
            </w:tc>
          </w:sdtContent>
        </w:sdt>
        <w:sdt>
          <w:sdtPr>
            <w:tag w:val="_PLD_590dc17e8304449fbff47c3b3cd45eb5"/>
            <w:id w:val="-77130090"/>
          </w:sdtPr>
          <w:sdtContent>
            <w:tc>
              <w:tcPr>
                <w:tcW w:w="92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负债</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pPr>
              <w:rPr>
                <w:color w:val="000000" w:themeColor="text1"/>
                <w14:textFill>
                  <w14:solidFill>
                    <w14:schemeClr w14:val="tx1"/>
                  </w14:solidFill>
                </w14:textFill>
              </w:rPr>
            </w:pPr>
            <w:r>
              <w:rPr>
                <w:rFonts w:hint="eastAsia"/>
              </w:rPr>
              <w:t>一次性税前扣除的固定资产折旧</w:t>
            </w:r>
          </w:p>
        </w:tc>
        <w:tc>
          <w:tcPr>
            <w:tcW w:w="926" w:type="pct"/>
            <w:vAlign w:val="center"/>
          </w:tcPr>
          <w:p>
            <w:pPr>
              <w:jc w:val="right"/>
            </w:pPr>
            <w:r>
              <w:rPr>
                <w:rFonts w:hint="eastAsia"/>
              </w:rPr>
              <w:t xml:space="preserve"> 404,289,592.93 </w:t>
            </w:r>
          </w:p>
        </w:tc>
        <w:tc>
          <w:tcPr>
            <w:tcW w:w="920" w:type="pct"/>
            <w:vAlign w:val="center"/>
          </w:tcPr>
          <w:p>
            <w:pPr>
              <w:jc w:val="right"/>
            </w:pPr>
            <w:r>
              <w:rPr>
                <w:rFonts w:hint="eastAsia"/>
              </w:rPr>
              <w:t xml:space="preserve"> 60,670,368.00 </w:t>
            </w:r>
          </w:p>
        </w:tc>
        <w:tc>
          <w:tcPr>
            <w:tcW w:w="916" w:type="pct"/>
            <w:vAlign w:val="center"/>
          </w:tcPr>
          <w:p>
            <w:pPr>
              <w:jc w:val="right"/>
            </w:pPr>
            <w:r>
              <w:rPr>
                <w:rFonts w:hint="eastAsia"/>
              </w:rPr>
              <w:t>392,841,830.80</w:t>
            </w:r>
          </w:p>
        </w:tc>
        <w:tc>
          <w:tcPr>
            <w:tcW w:w="926" w:type="pct"/>
            <w:vAlign w:val="center"/>
          </w:tcPr>
          <w:p>
            <w:pPr>
              <w:jc w:val="right"/>
            </w:pPr>
            <w:r>
              <w:rPr>
                <w:rFonts w:hint="eastAsia"/>
              </w:rPr>
              <w:t>58,944,914.71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pPr>
              <w:rPr>
                <w:color w:val="000000" w:themeColor="text1"/>
                <w14:textFill>
                  <w14:solidFill>
                    <w14:schemeClr w14:val="tx1"/>
                  </w14:solidFill>
                </w14:textFill>
              </w:rPr>
            </w:pPr>
            <w:r>
              <w:rPr>
                <w:rFonts w:hint="eastAsia"/>
              </w:rPr>
              <w:t>非同一控制下企业合并资产评估增值</w:t>
            </w:r>
          </w:p>
        </w:tc>
        <w:tc>
          <w:tcPr>
            <w:tcW w:w="926" w:type="pct"/>
            <w:vAlign w:val="center"/>
          </w:tcPr>
          <w:p>
            <w:pPr>
              <w:jc w:val="right"/>
            </w:pPr>
            <w:r>
              <w:rPr>
                <w:rFonts w:hint="eastAsia"/>
              </w:rPr>
              <w:t xml:space="preserve"> 83,118,408.80 </w:t>
            </w:r>
          </w:p>
        </w:tc>
        <w:tc>
          <w:tcPr>
            <w:tcW w:w="920" w:type="pct"/>
            <w:vAlign w:val="center"/>
          </w:tcPr>
          <w:p>
            <w:pPr>
              <w:jc w:val="right"/>
            </w:pPr>
            <w:r>
              <w:rPr>
                <w:rFonts w:hint="eastAsia"/>
              </w:rPr>
              <w:t xml:space="preserve"> 12,467,761.32 </w:t>
            </w:r>
          </w:p>
        </w:tc>
        <w:tc>
          <w:tcPr>
            <w:tcW w:w="916" w:type="pct"/>
            <w:vAlign w:val="center"/>
          </w:tcPr>
          <w:p>
            <w:pPr>
              <w:jc w:val="right"/>
            </w:pPr>
            <w:r>
              <w:rPr>
                <w:rFonts w:hint="eastAsia"/>
              </w:rPr>
              <w:t xml:space="preserve"> 85,406,668.93 </w:t>
            </w:r>
          </w:p>
        </w:tc>
        <w:tc>
          <w:tcPr>
            <w:tcW w:w="926" w:type="pct"/>
            <w:vAlign w:val="center"/>
          </w:tcPr>
          <w:p>
            <w:pPr>
              <w:jc w:val="right"/>
            </w:pPr>
            <w:r>
              <w:rPr>
                <w:rFonts w:hint="eastAsia"/>
              </w:rPr>
              <w:t xml:space="preserve"> 12,811,000.34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r>
              <w:t>使用权资产</w:t>
            </w:r>
          </w:p>
        </w:tc>
        <w:tc>
          <w:tcPr>
            <w:tcW w:w="926" w:type="pct"/>
            <w:vAlign w:val="center"/>
          </w:tcPr>
          <w:p>
            <w:pPr>
              <w:jc w:val="right"/>
            </w:pPr>
            <w:r>
              <w:t>41,332,924.17</w:t>
            </w:r>
          </w:p>
        </w:tc>
        <w:tc>
          <w:tcPr>
            <w:tcW w:w="920" w:type="pct"/>
            <w:vAlign w:val="center"/>
          </w:tcPr>
          <w:p>
            <w:pPr>
              <w:jc w:val="right"/>
            </w:pPr>
            <w:r>
              <w:t>3,963,020.55</w:t>
            </w:r>
          </w:p>
        </w:tc>
        <w:tc>
          <w:tcPr>
            <w:tcW w:w="916" w:type="pct"/>
            <w:vAlign w:val="center"/>
          </w:tcPr>
          <w:p>
            <w:pPr>
              <w:jc w:val="right"/>
            </w:pPr>
            <w:r>
              <w:t>20,579,452.84</w:t>
            </w:r>
          </w:p>
        </w:tc>
        <w:tc>
          <w:tcPr>
            <w:tcW w:w="926" w:type="pct"/>
            <w:vAlign w:val="center"/>
          </w:tcPr>
          <w:p>
            <w:pPr>
              <w:jc w:val="right"/>
            </w:pPr>
            <w:r>
              <w:t>2,944,923.53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tcPr>
          <w:p>
            <w:pPr>
              <w:rPr>
                <w:color w:val="000000" w:themeColor="text1"/>
                <w14:textFill>
                  <w14:solidFill>
                    <w14:schemeClr w14:val="tx1"/>
                  </w14:solidFill>
                </w14:textFill>
              </w:rPr>
            </w:pPr>
            <w:r>
              <w:rPr>
                <w:rFonts w:hint="eastAsia"/>
              </w:rPr>
              <w:t>其他权益工具投资公允价值变动</w:t>
            </w:r>
          </w:p>
        </w:tc>
        <w:tc>
          <w:tcPr>
            <w:tcW w:w="926" w:type="pct"/>
            <w:vAlign w:val="center"/>
          </w:tcPr>
          <w:p>
            <w:pPr>
              <w:jc w:val="right"/>
            </w:pPr>
            <w:r>
              <w:rPr>
                <w:rFonts w:hint="eastAsia"/>
              </w:rPr>
              <w:t xml:space="preserve"> 11,136,969.90 </w:t>
            </w:r>
          </w:p>
        </w:tc>
        <w:tc>
          <w:tcPr>
            <w:tcW w:w="920" w:type="pct"/>
            <w:vAlign w:val="center"/>
          </w:tcPr>
          <w:p>
            <w:pPr>
              <w:jc w:val="right"/>
            </w:pPr>
            <w:r>
              <w:rPr>
                <w:rFonts w:hint="eastAsia"/>
              </w:rPr>
              <w:t xml:space="preserve"> 1,670,545.49 </w:t>
            </w:r>
          </w:p>
        </w:tc>
        <w:tc>
          <w:tcPr>
            <w:tcW w:w="916" w:type="pct"/>
            <w:vAlign w:val="center"/>
          </w:tcPr>
          <w:p>
            <w:pPr>
              <w:jc w:val="right"/>
            </w:pPr>
            <w:r>
              <w:t xml:space="preserve">12,847,432.50 </w:t>
            </w:r>
            <w:r>
              <w:rPr>
                <w:rFonts w:hint="eastAsia"/>
              </w:rPr>
              <w:t xml:space="preserve"> </w:t>
            </w:r>
          </w:p>
        </w:tc>
        <w:tc>
          <w:tcPr>
            <w:tcW w:w="926" w:type="pct"/>
            <w:vAlign w:val="center"/>
          </w:tcPr>
          <w:p>
            <w:pPr>
              <w:jc w:val="right"/>
            </w:pPr>
            <w:r>
              <w:rPr>
                <w:rFonts w:hint="eastAsia"/>
              </w:rPr>
              <w:t xml:space="preserve"> </w:t>
            </w:r>
            <w:r>
              <w:t xml:space="preserve"> 1,927,114.88 </w:t>
            </w:r>
            <w:r>
              <w:rPr>
                <w:rFonts w:hint="eastAsi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1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926" w:type="pct"/>
            <w:vAlign w:val="center"/>
          </w:tcPr>
          <w:p>
            <w:pPr>
              <w:jc w:val="right"/>
            </w:pPr>
            <w:r>
              <w:t xml:space="preserve"> 539,877,895.80 </w:t>
            </w:r>
          </w:p>
        </w:tc>
        <w:tc>
          <w:tcPr>
            <w:tcW w:w="920" w:type="pct"/>
            <w:vAlign w:val="center"/>
          </w:tcPr>
          <w:p>
            <w:pPr>
              <w:jc w:val="right"/>
            </w:pPr>
            <w:r>
              <w:t xml:space="preserve"> 78,771,695.36 </w:t>
            </w:r>
          </w:p>
        </w:tc>
        <w:tc>
          <w:tcPr>
            <w:tcW w:w="916" w:type="pct"/>
            <w:vAlign w:val="center"/>
          </w:tcPr>
          <w:p>
            <w:pPr>
              <w:jc w:val="right"/>
            </w:pPr>
            <w:r>
              <w:t>511,675,385.07</w:t>
            </w:r>
          </w:p>
        </w:tc>
        <w:tc>
          <w:tcPr>
            <w:tcW w:w="926" w:type="pct"/>
            <w:vAlign w:val="center"/>
          </w:tcPr>
          <w:p>
            <w:pPr>
              <w:jc w:val="right"/>
            </w:pPr>
            <w:r>
              <w:t>76,627,953.46</w:t>
            </w:r>
          </w:p>
        </w:tc>
      </w:tr>
    </w:tbl>
    <w:p>
      <w:pPr>
        <w:pStyle w:val="5"/>
        <w:numPr>
          <w:ilvl w:val="0"/>
          <w:numId w:val="61"/>
        </w:numPr>
        <w:tabs>
          <w:tab w:val="left" w:pos="588"/>
          <w:tab w:val="left" w:pos="616"/>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以抵销后净额列示的递延所得税资产或负债</w:t>
      </w:r>
    </w:p>
    <w:sdt>
      <w:sdtPr>
        <w:rPr>
          <w:color w:val="000000" w:themeColor="text1"/>
          <w14:textFill>
            <w14:solidFill>
              <w14:schemeClr w14:val="tx1"/>
            </w14:solidFill>
          </w14:textFill>
        </w:rPr>
        <w:alias w:val="是否适用：以抵销后净额列示的递延所得税资产或负债[双击切换]"/>
        <w:tag w:val="_GBC_d6419a9d2dc94127a5f6aea72cb2a94d"/>
        <w:id w:val="170983894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wordWrap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互抵后的递延所得税资产及负债的组成项目"/>
          <w:tag w:val="_GBC_87248a34ce3042a5abe2f7b24ba6f68f"/>
          <w:id w:val="-3965128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互抵后的递延所得税资产及负债的组成项目"/>
          <w:tag w:val="_GBC_cd0e5c76f450471280579335020253cf"/>
          <w:id w:val="-62222918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3"/>
        <w:gridCol w:w="1676"/>
        <w:gridCol w:w="1661"/>
        <w:gridCol w:w="1689"/>
        <w:gridCol w:w="1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eec3f5c36d74a4f98b09e1d2c84ffe5"/>
            <w:id w:val="1331566913"/>
          </w:sdtPr>
          <w:sdtContent>
            <w:tc>
              <w:tcPr>
                <w:tcW w:w="1306"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063e8ff27074b43aef9fafe6a411aca"/>
            <w:id w:val="418759568"/>
          </w:sdtPr>
          <w:sdtContent>
            <w:tc>
              <w:tcPr>
                <w:tcW w:w="1844" w:type="pct"/>
                <w:gridSpan w:val="2"/>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8d734730cb60483b99071ba8eb64e1a7"/>
            <w:id w:val="-514227329"/>
          </w:sdtPr>
          <w:sdtContent>
            <w:tc>
              <w:tcPr>
                <w:tcW w:w="1850" w:type="pct"/>
                <w:gridSpan w:val="2"/>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vMerge w:val="continue"/>
            <w:tcBorders>
              <w:bottom w:val="single" w:color="auto" w:sz="4" w:space="0"/>
            </w:tcBorders>
            <w:vAlign w:val="center"/>
          </w:tcPr>
          <w:p>
            <w:pPr>
              <w:jc w:val="center"/>
              <w:rPr>
                <w:color w:val="000000" w:themeColor="text1"/>
                <w14:textFill>
                  <w14:solidFill>
                    <w14:schemeClr w14:val="tx1"/>
                  </w14:solidFill>
                </w14:textFill>
              </w:rPr>
            </w:pPr>
          </w:p>
        </w:tc>
        <w:sdt>
          <w:sdtPr>
            <w:tag w:val="_PLD_834fe5ba2d834f8f9b67482b5dbbbc14"/>
            <w:id w:val="85812369"/>
          </w:sdtPr>
          <w:sdtContent>
            <w:tc>
              <w:tcPr>
                <w:tcW w:w="926"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递延所得税资产和负债互抵金额</w:t>
                </w:r>
              </w:p>
            </w:tc>
          </w:sdtContent>
        </w:sdt>
        <w:sdt>
          <w:sdtPr>
            <w:tag w:val="_PLD_1d423a6acdc84a9b86a8f4cfef14d1bc"/>
            <w:id w:val="1929541494"/>
          </w:sdtPr>
          <w:sdtContent>
            <w:tc>
              <w:tcPr>
                <w:tcW w:w="918"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抵销后递延所得税资产或负债余额</w:t>
                </w:r>
              </w:p>
            </w:tc>
          </w:sdtContent>
        </w:sdt>
        <w:sdt>
          <w:sdtPr>
            <w:tag w:val="_PLD_7e951a92ca604006b07c34e19fd86c46"/>
            <w:id w:val="985438365"/>
          </w:sdtPr>
          <w:sdtContent>
            <w:tc>
              <w:tcPr>
                <w:tcW w:w="933"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递延所得税资产和负债互抵金额</w:t>
                </w:r>
              </w:p>
            </w:tc>
          </w:sdtContent>
        </w:sdt>
        <w:sdt>
          <w:sdtPr>
            <w:tag w:val="_PLD_357e55134bfb4d68a713600691a595cb"/>
            <w:id w:val="671380406"/>
          </w:sdtPr>
          <w:sdtContent>
            <w:tc>
              <w:tcPr>
                <w:tcW w:w="917" w:type="pct"/>
                <w:tcBorders>
                  <w:bottom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抵销后递延所得税资产或负债余额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Pr>
          <w:p>
            <w:pPr>
              <w:rPr>
                <w:color w:val="000000" w:themeColor="text1"/>
                <w14:textFill>
                  <w14:solidFill>
                    <w14:schemeClr w14:val="tx1"/>
                  </w14:solidFill>
                </w14:textFill>
              </w:rPr>
            </w:pPr>
            <w:bookmarkStart w:id="362" w:name="_Hlk200964296"/>
            <w:r>
              <w:rPr>
                <w:rFonts w:hint="eastAsia"/>
                <w:color w:val="000000" w:themeColor="text1"/>
                <w14:textFill>
                  <w14:solidFill>
                    <w14:schemeClr w14:val="tx1"/>
                  </w14:solidFill>
                </w14:textFill>
              </w:rPr>
              <w:t>递延所得税资产</w:t>
            </w:r>
          </w:p>
        </w:tc>
        <w:tc>
          <w:tcPr>
            <w:tcW w:w="926" w:type="pct"/>
          </w:tcPr>
          <w:p>
            <w:pPr>
              <w:jc w:val="right"/>
            </w:pPr>
            <w:r>
              <w:t xml:space="preserve"> 43,038,794.28 </w:t>
            </w:r>
          </w:p>
        </w:tc>
        <w:tc>
          <w:tcPr>
            <w:tcW w:w="918" w:type="pct"/>
          </w:tcPr>
          <w:p>
            <w:pPr>
              <w:jc w:val="right"/>
            </w:pPr>
            <w:r>
              <w:t xml:space="preserve"> 20,779,988.99 </w:t>
            </w:r>
          </w:p>
        </w:tc>
        <w:tc>
          <w:tcPr>
            <w:tcW w:w="933" w:type="pct"/>
          </w:tcPr>
          <w:p>
            <w:pPr>
              <w:jc w:val="right"/>
            </w:pPr>
            <w:r>
              <w:t>34,994,552.91</w:t>
            </w:r>
          </w:p>
        </w:tc>
        <w:tc>
          <w:tcPr>
            <w:tcW w:w="917" w:type="pct"/>
          </w:tcPr>
          <w:p>
            <w:pPr>
              <w:jc w:val="right"/>
            </w:pPr>
            <w:r>
              <w:t>21,223,386.88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递延所得税负债</w:t>
            </w:r>
          </w:p>
        </w:tc>
        <w:tc>
          <w:tcPr>
            <w:tcW w:w="926" w:type="pct"/>
          </w:tcPr>
          <w:p>
            <w:pPr>
              <w:jc w:val="right"/>
            </w:pPr>
            <w:r>
              <w:t xml:space="preserve"> 43,038,794.28 </w:t>
            </w:r>
          </w:p>
        </w:tc>
        <w:tc>
          <w:tcPr>
            <w:tcW w:w="918" w:type="pct"/>
          </w:tcPr>
          <w:p>
            <w:pPr>
              <w:jc w:val="right"/>
            </w:pPr>
            <w:r>
              <w:t xml:space="preserve"> 35,732,901.08 </w:t>
            </w:r>
          </w:p>
        </w:tc>
        <w:tc>
          <w:tcPr>
            <w:tcW w:w="933" w:type="pct"/>
          </w:tcPr>
          <w:p>
            <w:pPr>
              <w:jc w:val="right"/>
            </w:pPr>
            <w:r>
              <w:t>34,994,552.91</w:t>
            </w:r>
          </w:p>
        </w:tc>
        <w:tc>
          <w:tcPr>
            <w:tcW w:w="917" w:type="pct"/>
          </w:tcPr>
          <w:p>
            <w:pPr>
              <w:jc w:val="right"/>
            </w:pPr>
            <w:r>
              <w:t>41,633,400.55</w:t>
            </w:r>
          </w:p>
        </w:tc>
      </w:tr>
      <w:bookmarkEnd w:id="361"/>
      <w:bookmarkEnd w:id="362"/>
    </w:tbl>
    <w:p>
      <w:pPr>
        <w:pStyle w:val="5"/>
        <w:numPr>
          <w:ilvl w:val="0"/>
          <w:numId w:val="61"/>
        </w:numPr>
        <w:tabs>
          <w:tab w:val="left" w:pos="588"/>
          <w:tab w:val="left" w:pos="616"/>
        </w:tabs>
        <w:rPr>
          <w:rFonts w:hint="eastAsia" w:ascii="宋体" w:hAnsi="宋体"/>
          <w:color w:val="000000" w:themeColor="text1"/>
          <w14:textFill>
            <w14:solidFill>
              <w14:schemeClr w14:val="tx1"/>
            </w14:solidFill>
          </w14:textFill>
        </w:rPr>
      </w:pPr>
      <w:bookmarkStart w:id="363" w:name="_Hlk11160660"/>
      <w:r>
        <w:rPr>
          <w:rFonts w:hint="eastAsia" w:ascii="宋体" w:hAnsi="宋体"/>
          <w:color w:val="000000" w:themeColor="text1"/>
          <w14:textFill>
            <w14:solidFill>
              <w14:schemeClr w14:val="tx1"/>
            </w14:solidFill>
          </w14:textFill>
        </w:rPr>
        <w:t>未确认递延所得税资产明细</w:t>
      </w:r>
    </w:p>
    <w:sdt>
      <w:sdtPr>
        <w:rPr>
          <w:color w:val="000000" w:themeColor="text1"/>
          <w14:textFill>
            <w14:solidFill>
              <w14:schemeClr w14:val="tx1"/>
            </w14:solidFill>
          </w14:textFill>
        </w:rPr>
        <w:alias w:val="是否适用：未确认递延所得税资产明细[双击切换]"/>
        <w:tag w:val="_GBC_f210878b05204277b5f70ed9ae786ea7"/>
        <w:id w:val="152668059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确认递延所得税资产明细"/>
          <w:tag w:val="_GBC_ce13c0c07be34b60aa76bbbf1260928d"/>
          <w:id w:val="1776666928"/>
          <w:placeholder>
            <w:docPart w:val="70B03FBE92CE4FF3B83D4EEABA9B422B"/>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确认递延所得税资产明细"/>
          <w:tag w:val="_GBC_8f1c08c0092d44718e258d0b64b7bf6f"/>
          <w:id w:val="-1466494406"/>
          <w:placeholder>
            <w:docPart w:val="70B03FBE92CE4FF3B83D4EEABA9B422B"/>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8"/>
        <w:gridCol w:w="3082"/>
        <w:gridCol w:w="3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bfd226eac09b4e2fb1cc66684c879c9b"/>
            <w:id w:val="-2111116244"/>
          </w:sdtPr>
          <w:sdtContent>
            <w:tc>
              <w:tcPr>
                <w:tcW w:w="159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bba7988c74a34dcf950349beb6df1c0b"/>
            <w:id w:val="-884327396"/>
          </w:sdtPr>
          <w:sdtContent>
            <w:tc>
              <w:tcPr>
                <w:tcW w:w="170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36004da9855d4469bf16ab328077f444"/>
            <w:id w:val="1519129236"/>
          </w:sdtPr>
          <w:sdtContent>
            <w:tc>
              <w:tcPr>
                <w:tcW w:w="1701"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96" w:type="pct"/>
            <w:tcBorders>
              <w:top w:val="single" w:color="auto" w:sz="4" w:space="0"/>
              <w:left w:val="single" w:color="auto" w:sz="4" w:space="0"/>
              <w:bottom w:val="single" w:color="auto" w:sz="4" w:space="0"/>
              <w:right w:val="single"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可抵扣暂时性差异</w:t>
            </w:r>
          </w:p>
        </w:tc>
        <w:tc>
          <w:tcPr>
            <w:tcW w:w="1703" w:type="pct"/>
            <w:tcBorders>
              <w:top w:val="single" w:color="auto" w:sz="4" w:space="0"/>
              <w:left w:val="single" w:color="auto" w:sz="4" w:space="0"/>
              <w:bottom w:val="single" w:color="auto" w:sz="4" w:space="0"/>
              <w:right w:val="single" w:color="auto" w:sz="4" w:space="0"/>
            </w:tcBorders>
          </w:tcPr>
          <w:p>
            <w:pPr>
              <w:jc w:val="right"/>
            </w:pPr>
            <w:r>
              <w:t xml:space="preserve"> 125,005.45 </w:t>
            </w:r>
          </w:p>
        </w:tc>
        <w:tc>
          <w:tcPr>
            <w:tcW w:w="1701" w:type="pct"/>
            <w:tcBorders>
              <w:top w:val="single" w:color="auto" w:sz="4" w:space="0"/>
              <w:left w:val="single" w:color="auto" w:sz="4" w:space="0"/>
              <w:bottom w:val="single" w:color="auto" w:sz="4" w:space="0"/>
              <w:right w:val="single" w:color="auto" w:sz="4" w:space="0"/>
            </w:tcBorders>
          </w:tcPr>
          <w:p>
            <w:pPr>
              <w:jc w:val="right"/>
            </w:pPr>
            <w:r>
              <w:t xml:space="preserve"> 4,033.66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96" w:type="pct"/>
            <w:tcBorders>
              <w:top w:val="single" w:color="auto" w:sz="4" w:space="0"/>
              <w:left w:val="single" w:color="auto" w:sz="4" w:space="0"/>
              <w:bottom w:val="single" w:color="auto" w:sz="4" w:space="0"/>
              <w:right w:val="single"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可抵扣亏损</w:t>
            </w:r>
          </w:p>
        </w:tc>
        <w:tc>
          <w:tcPr>
            <w:tcW w:w="1703" w:type="pct"/>
            <w:tcBorders>
              <w:top w:val="single" w:color="auto" w:sz="4" w:space="0"/>
              <w:left w:val="single" w:color="auto" w:sz="4" w:space="0"/>
              <w:bottom w:val="single" w:color="auto" w:sz="4" w:space="0"/>
              <w:right w:val="single" w:color="auto" w:sz="4" w:space="0"/>
            </w:tcBorders>
          </w:tcPr>
          <w:p>
            <w:pPr>
              <w:jc w:val="right"/>
            </w:pPr>
            <w:r>
              <w:t xml:space="preserve"> 5,755,325.60 </w:t>
            </w:r>
          </w:p>
        </w:tc>
        <w:tc>
          <w:tcPr>
            <w:tcW w:w="1701" w:type="pct"/>
            <w:tcBorders>
              <w:top w:val="single" w:color="auto" w:sz="4" w:space="0"/>
              <w:left w:val="single" w:color="auto" w:sz="4" w:space="0"/>
              <w:bottom w:val="single" w:color="auto" w:sz="4" w:space="0"/>
              <w:right w:val="single" w:color="auto" w:sz="4" w:space="0"/>
            </w:tcBorders>
          </w:tcPr>
          <w:p>
            <w:pPr>
              <w:jc w:val="right"/>
            </w:pPr>
            <w:r>
              <w:t xml:space="preserve"> 2,540,454.19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9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703" w:type="pct"/>
            <w:tcBorders>
              <w:top w:val="single" w:color="auto" w:sz="4" w:space="0"/>
              <w:left w:val="single" w:color="auto" w:sz="4" w:space="0"/>
              <w:bottom w:val="single" w:color="auto" w:sz="4" w:space="0"/>
              <w:right w:val="single" w:color="auto" w:sz="4" w:space="0"/>
            </w:tcBorders>
          </w:tcPr>
          <w:p>
            <w:pPr>
              <w:jc w:val="right"/>
            </w:pPr>
            <w:r>
              <w:t xml:space="preserve"> 5,880,331.05 </w:t>
            </w:r>
          </w:p>
        </w:tc>
        <w:tc>
          <w:tcPr>
            <w:tcW w:w="1701" w:type="pct"/>
            <w:tcBorders>
              <w:top w:val="single" w:color="auto" w:sz="4" w:space="0"/>
              <w:left w:val="single" w:color="auto" w:sz="4" w:space="0"/>
              <w:bottom w:val="single" w:color="auto" w:sz="4" w:space="0"/>
              <w:right w:val="single" w:color="auto" w:sz="4" w:space="0"/>
            </w:tcBorders>
          </w:tcPr>
          <w:p>
            <w:pPr>
              <w:jc w:val="right"/>
            </w:pPr>
            <w:r>
              <w:t xml:space="preserve"> 2,544,487.85 </w:t>
            </w:r>
          </w:p>
        </w:tc>
      </w:tr>
      <w:bookmarkEnd w:id="363"/>
    </w:tbl>
    <w:p>
      <w:pPr>
        <w:pStyle w:val="5"/>
        <w:numPr>
          <w:ilvl w:val="0"/>
          <w:numId w:val="61"/>
        </w:numPr>
        <w:tabs>
          <w:tab w:val="left" w:pos="588"/>
          <w:tab w:val="left" w:pos="616"/>
        </w:tabs>
        <w:rPr>
          <w:rFonts w:hint="eastAsia" w:ascii="宋体" w:hAnsi="宋体"/>
          <w:color w:val="000000" w:themeColor="text1"/>
          <w14:textFill>
            <w14:solidFill>
              <w14:schemeClr w14:val="tx1"/>
            </w14:solidFill>
          </w14:textFill>
        </w:rPr>
      </w:pPr>
      <w:bookmarkStart w:id="364" w:name="_Hlk11160672"/>
      <w:r>
        <w:rPr>
          <w:rFonts w:hint="eastAsia" w:ascii="宋体" w:hAnsi="宋体"/>
          <w:color w:val="000000" w:themeColor="text1"/>
          <w14:textFill>
            <w14:solidFill>
              <w14:schemeClr w14:val="tx1"/>
            </w14:solidFill>
          </w14:textFill>
        </w:rPr>
        <w:t>未确认递延所得税资产的可抵扣亏损将于以下年度到期</w:t>
      </w:r>
    </w:p>
    <w:sdt>
      <w:sdtPr>
        <w:rPr>
          <w:color w:val="000000" w:themeColor="text1"/>
          <w14:textFill>
            <w14:solidFill>
              <w14:schemeClr w14:val="tx1"/>
            </w14:solidFill>
          </w14:textFill>
        </w:rPr>
        <w:alias w:val="是否适用：未确认递延所得税资产的可抵扣亏损将于以下年度到期[双击切换]"/>
        <w:tag w:val="_GBC_10d31911cedc4147b90ab71d35742bf4"/>
        <w:id w:val="35941148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ind w:right="57"/>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确认递延所得税资产的可抵扣亏损将于以下年度到期"/>
          <w:tag w:val="_GBC_e5ae9be2f02b49aa93ff11e0e7a11cca"/>
          <w:id w:val="-481151880"/>
          <w:placeholder>
            <w:docPart w:val="17B796154A4A4106AF60BF4E93A9E880"/>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确认递延所得税资产的可抵扣亏损将于以下年度到期"/>
          <w:tag w:val="_GBC_83b0fc2196304484aa53ef2b9e2e191a"/>
          <w:id w:val="1068004867"/>
          <w:placeholder>
            <w:docPart w:val="17B796154A4A4106AF60BF4E93A9E880"/>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4"/>
        <w:gridCol w:w="2286"/>
        <w:gridCol w:w="2324"/>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710a470de2b84ef593de891faad46b6b"/>
            <w:id w:val="-1428418435"/>
          </w:sdtPr>
          <w:sdtContent>
            <w:tc>
              <w:tcPr>
                <w:tcW w:w="1152"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年份</w:t>
                </w:r>
              </w:p>
            </w:tc>
          </w:sdtContent>
        </w:sdt>
        <w:sdt>
          <w:sdtPr>
            <w:tag w:val="_PLD_a6335ab4fba14ab8946b823c64f03503"/>
            <w:id w:val="-596715451"/>
          </w:sdtPr>
          <w:sdtContent>
            <w:tc>
              <w:tcPr>
                <w:tcW w:w="126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期末金额</w:t>
                </w:r>
              </w:p>
            </w:tc>
          </w:sdtContent>
        </w:sdt>
        <w:sdt>
          <w:sdtPr>
            <w:tag w:val="_PLD_7582e6645cec4513a5606c104f2d83f1"/>
            <w:id w:val="906040876"/>
          </w:sdtPr>
          <w:sdtContent>
            <w:tc>
              <w:tcPr>
                <w:tcW w:w="1284"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期初金额</w:t>
                </w:r>
              </w:p>
            </w:tc>
          </w:sdtContent>
        </w:sdt>
        <w:sdt>
          <w:sdtPr>
            <w:tag w:val="_PLD_1a030fe5a0564bed845b9b81b2eda8b8"/>
            <w:id w:val="-493718663"/>
          </w:sdtPr>
          <w:sdtContent>
            <w:tc>
              <w:tcPr>
                <w:tcW w:w="1301"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2" w:type="pct"/>
            <w:tcBorders>
              <w:top w:val="single" w:color="auto" w:sz="4" w:space="0"/>
              <w:left w:val="single" w:color="auto" w:sz="4" w:space="0"/>
              <w:bottom w:val="single" w:color="auto" w:sz="4" w:space="0"/>
              <w:right w:val="single" w:color="auto" w:sz="4" w:space="0"/>
            </w:tcBorders>
          </w:tcPr>
          <w:p>
            <w:pPr>
              <w:pStyle w:val="48"/>
            </w:pPr>
            <w:r>
              <w:rPr>
                <w:rFonts w:hint="eastAsia"/>
              </w:rPr>
              <w:t>2030年</w:t>
            </w:r>
          </w:p>
        </w:tc>
        <w:tc>
          <w:tcPr>
            <w:tcW w:w="1263" w:type="pct"/>
            <w:tcBorders>
              <w:top w:val="single" w:color="auto" w:sz="4" w:space="0"/>
              <w:left w:val="single" w:color="auto" w:sz="4" w:space="0"/>
              <w:bottom w:val="single" w:color="auto" w:sz="4" w:space="0"/>
              <w:right w:val="single" w:color="auto" w:sz="4" w:space="0"/>
            </w:tcBorders>
          </w:tcPr>
          <w:p>
            <w:pPr>
              <w:jc w:val="right"/>
            </w:pPr>
            <w:r>
              <w:t xml:space="preserve"> 2,332,704.83 </w:t>
            </w:r>
          </w:p>
        </w:tc>
        <w:tc>
          <w:tcPr>
            <w:tcW w:w="1284" w:type="pct"/>
            <w:tcBorders>
              <w:top w:val="single" w:color="auto" w:sz="4" w:space="0"/>
              <w:left w:val="single" w:color="auto" w:sz="4" w:space="0"/>
              <w:bottom w:val="single" w:color="auto" w:sz="4" w:space="0"/>
              <w:right w:val="single" w:color="auto" w:sz="4" w:space="0"/>
            </w:tcBorders>
          </w:tcPr>
          <w:p>
            <w:pPr>
              <w:jc w:val="right"/>
            </w:pPr>
            <w:r>
              <w:t xml:space="preserve"> 2,540,454.19 </w:t>
            </w:r>
          </w:p>
        </w:tc>
        <w:tc>
          <w:tcPr>
            <w:tcW w:w="1301" w:type="pct"/>
            <w:tcBorders>
              <w:top w:val="single" w:color="auto" w:sz="4" w:space="0"/>
              <w:left w:val="single" w:color="auto" w:sz="4" w:space="0"/>
              <w:bottom w:val="single" w:color="auto" w:sz="4" w:space="0"/>
              <w:right w:val="single" w:color="auto" w:sz="4" w:space="0"/>
            </w:tcBorders>
          </w:tcPr>
          <w:p>
            <w:pPr>
              <w:pStyle w:val="48"/>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2" w:type="pct"/>
            <w:tcBorders>
              <w:top w:val="single" w:color="auto" w:sz="4" w:space="0"/>
              <w:left w:val="single" w:color="auto" w:sz="4" w:space="0"/>
              <w:bottom w:val="single" w:color="auto" w:sz="4" w:space="0"/>
              <w:right w:val="single" w:color="auto" w:sz="4" w:space="0"/>
            </w:tcBorders>
          </w:tcPr>
          <w:p>
            <w:pPr>
              <w:pStyle w:val="48"/>
            </w:pPr>
            <w:r>
              <w:rPr>
                <w:rFonts w:hint="eastAsia"/>
              </w:rPr>
              <w:t>2031年</w:t>
            </w:r>
          </w:p>
        </w:tc>
        <w:tc>
          <w:tcPr>
            <w:tcW w:w="1263" w:type="pct"/>
            <w:tcBorders>
              <w:top w:val="single" w:color="auto" w:sz="4" w:space="0"/>
              <w:left w:val="single" w:color="auto" w:sz="4" w:space="0"/>
              <w:bottom w:val="single" w:color="auto" w:sz="4" w:space="0"/>
              <w:right w:val="single" w:color="auto" w:sz="4" w:space="0"/>
            </w:tcBorders>
          </w:tcPr>
          <w:p>
            <w:pPr>
              <w:jc w:val="right"/>
            </w:pPr>
            <w:r>
              <w:t xml:space="preserve"> 3,422,620.77 </w:t>
            </w:r>
          </w:p>
        </w:tc>
        <w:tc>
          <w:tcPr>
            <w:tcW w:w="1284" w:type="pct"/>
            <w:tcBorders>
              <w:top w:val="single" w:color="auto" w:sz="4" w:space="0"/>
              <w:left w:val="single" w:color="auto" w:sz="4" w:space="0"/>
              <w:bottom w:val="single" w:color="auto" w:sz="4" w:space="0"/>
              <w:right w:val="single" w:color="auto" w:sz="4" w:space="0"/>
            </w:tcBorders>
          </w:tcPr>
          <w:p>
            <w:pPr>
              <w:jc w:val="right"/>
            </w:pPr>
          </w:p>
        </w:tc>
        <w:tc>
          <w:tcPr>
            <w:tcW w:w="1301" w:type="pct"/>
            <w:tcBorders>
              <w:top w:val="single" w:color="auto" w:sz="4" w:space="0"/>
              <w:left w:val="single" w:color="auto" w:sz="4" w:space="0"/>
              <w:bottom w:val="single" w:color="auto" w:sz="4" w:space="0"/>
              <w:right w:val="single" w:color="auto" w:sz="4" w:space="0"/>
            </w:tcBorders>
          </w:tcPr>
          <w:p>
            <w:pPr>
              <w:pStyle w:val="48"/>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2" w:type="pct"/>
            <w:tcBorders>
              <w:top w:val="single" w:color="auto" w:sz="4" w:space="0"/>
              <w:left w:val="single" w:color="auto" w:sz="4" w:space="0"/>
              <w:bottom w:val="single" w:color="auto" w:sz="4" w:space="0"/>
              <w:right w:val="single" w:color="auto" w:sz="4" w:space="0"/>
            </w:tcBorders>
            <w:vAlign w:val="bottom"/>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263" w:type="pct"/>
            <w:tcBorders>
              <w:top w:val="single" w:color="auto" w:sz="4" w:space="0"/>
              <w:left w:val="single" w:color="auto" w:sz="4" w:space="0"/>
              <w:bottom w:val="single" w:color="auto" w:sz="4" w:space="0"/>
              <w:right w:val="single" w:color="auto" w:sz="4" w:space="0"/>
            </w:tcBorders>
          </w:tcPr>
          <w:p>
            <w:pPr>
              <w:jc w:val="right"/>
            </w:pPr>
            <w:r>
              <w:t xml:space="preserve"> 5,755,325.60 </w:t>
            </w:r>
          </w:p>
        </w:tc>
        <w:tc>
          <w:tcPr>
            <w:tcW w:w="1284" w:type="pct"/>
            <w:tcBorders>
              <w:top w:val="single" w:color="auto" w:sz="4" w:space="0"/>
              <w:left w:val="single" w:color="auto" w:sz="4" w:space="0"/>
              <w:bottom w:val="single" w:color="auto" w:sz="4" w:space="0"/>
              <w:right w:val="single" w:color="auto" w:sz="4" w:space="0"/>
            </w:tcBorders>
          </w:tcPr>
          <w:p>
            <w:pPr>
              <w:jc w:val="right"/>
            </w:pPr>
            <w:r>
              <w:t xml:space="preserve"> 2,540,454.19 </w:t>
            </w:r>
          </w:p>
        </w:tc>
        <w:tc>
          <w:tcPr>
            <w:tcW w:w="1301"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bookmarkEnd w:id="364"/>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递延所得税资产和递延所得税负债的说明[双击切换]"/>
        <w:tag w:val="_GBC_06478ceb6b7447a791a4a5cbf8cc7e95"/>
        <w:id w:val="94735279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bookmarkStart w:id="365" w:name="_Hlk10535308"/>
      <w:r>
        <w:rPr>
          <w:color w:val="000000" w:themeColor="text1"/>
          <w:szCs w:val="21"/>
          <w14:textFill>
            <w14:solidFill>
              <w14:schemeClr w14:val="tx1"/>
            </w14:solidFill>
          </w14:textFill>
        </w:rPr>
        <w:t>其他非流动资产</w:t>
      </w:r>
    </w:p>
    <w:sdt>
      <w:sdtPr>
        <w:rPr>
          <w:color w:val="000000" w:themeColor="text1"/>
          <w14:textFill>
            <w14:solidFill>
              <w14:schemeClr w14:val="tx1"/>
            </w14:solidFill>
          </w14:textFill>
        </w:rPr>
        <w:alias w:val="是否适用：其他非流动资产[双击切换]"/>
        <w:tag w:val="_GBC_227882aeaa9b4aa98d6af8bcac2af7a5"/>
        <w:id w:val="773529654"/>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color w:val="000000" w:themeColor="text1"/>
            <w14:textFill>
              <w14:solidFill>
                <w14:schemeClr w14:val="tx1"/>
              </w14:solidFill>
            </w14:textFill>
          </w:rPr>
          <w:alias w:val="单位：财务附注：其他非流动资产"/>
          <w:tag w:val="_GBC_5fd172528c7e4c4c8619b250ae90cdb4"/>
          <w:id w:val="2978888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非流动资产"/>
          <w:tag w:val="_GBC_4cd5c26035ba4f7384dee597c98f0cb6"/>
          <w:id w:val="-10868410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416"/>
        <w:gridCol w:w="1329"/>
        <w:gridCol w:w="1148"/>
        <w:gridCol w:w="1329"/>
        <w:gridCol w:w="1434"/>
        <w:gridCol w:w="1147"/>
        <w:gridCol w:w="14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sdt>
          <w:sdtPr>
            <w:tag w:val="_PLD_a0072e7adb6c49bb95cec91e0b7ec491"/>
            <w:id w:val="271512210"/>
          </w:sdtPr>
          <w:sdtContent>
            <w:tc>
              <w:tcPr>
                <w:tcW w:w="835"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9557fd4b49c84b3db8c9ae69c7346562"/>
            <w:id w:val="978957439"/>
          </w:sdtPr>
          <w:sdtContent>
            <w:tc>
              <w:tcPr>
                <w:tcW w:w="2071"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ad73a13c6c344aaa0bec642175f96c3"/>
            <w:id w:val="1681312782"/>
          </w:sdtPr>
          <w:sdtContent>
            <w:tc>
              <w:tcPr>
                <w:tcW w:w="2094"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5" w:type="pct"/>
            <w:vMerge w:val="continue"/>
            <w:vAlign w:val="center"/>
          </w:tcPr>
          <w:p>
            <w:pPr>
              <w:jc w:val="center"/>
              <w:rPr>
                <w:color w:val="000000" w:themeColor="text1"/>
                <w14:textFill>
                  <w14:solidFill>
                    <w14:schemeClr w14:val="tx1"/>
                  </w14:solidFill>
                </w14:textFill>
              </w:rPr>
            </w:pPr>
          </w:p>
        </w:tc>
        <w:tc>
          <w:tcPr>
            <w:tcW w:w="691" w:type="pct"/>
            <w:vAlign w:val="center"/>
          </w:tcPr>
          <w:sdt>
            <w:sdtPr>
              <w:tag w:val="_PLD_93d316b5ed8d45ea95cfce051b0f999d"/>
              <w:id w:val="-1521150774"/>
            </w:sdtPr>
            <w:sdtContent>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sdtContent>
          </w:sdt>
        </w:tc>
        <w:tc>
          <w:tcPr>
            <w:tcW w:w="690" w:type="pct"/>
            <w:vAlign w:val="center"/>
          </w:tcPr>
          <w:sdt>
            <w:sdtPr>
              <w:tag w:val="_PLD_ce9573e9b47f4859912e77c530974f87"/>
              <w:id w:val="-542140490"/>
            </w:sdtPr>
            <w:sdtContent>
              <w:p>
                <w:pPr>
                  <w:jc w:val="center"/>
                  <w:rPr>
                    <w:color w:val="000000" w:themeColor="text1"/>
                    <w14:textFill>
                      <w14:solidFill>
                        <w14:schemeClr w14:val="tx1"/>
                      </w14:solidFill>
                    </w14:textFill>
                  </w:rPr>
                </w:pPr>
                <w:r>
                  <w:rPr>
                    <w:color w:val="000000" w:themeColor="text1"/>
                    <w14:textFill>
                      <w14:solidFill>
                        <w14:schemeClr w14:val="tx1"/>
                      </w14:solidFill>
                    </w14:textFill>
                  </w:rPr>
                  <w:t>减值准备</w:t>
                </w:r>
              </w:p>
            </w:sdtContent>
          </w:sdt>
        </w:tc>
        <w:tc>
          <w:tcPr>
            <w:tcW w:w="691" w:type="pct"/>
            <w:vAlign w:val="center"/>
          </w:tcPr>
          <w:sdt>
            <w:sdtPr>
              <w:tag w:val="_PLD_4b72c2cb7df84a3a9384f2eaa1acaf3a"/>
              <w:id w:val="2061822699"/>
            </w:sdtPr>
            <w:sdtContent>
              <w:p>
                <w:pPr>
                  <w:jc w:val="center"/>
                  <w:rPr>
                    <w:color w:val="000000" w:themeColor="text1"/>
                    <w14:textFill>
                      <w14:solidFill>
                        <w14:schemeClr w14:val="tx1"/>
                      </w14:solidFill>
                    </w14:textFill>
                  </w:rPr>
                </w:pPr>
                <w:r>
                  <w:rPr>
                    <w:color w:val="000000" w:themeColor="text1"/>
                    <w14:textFill>
                      <w14:solidFill>
                        <w14:schemeClr w14:val="tx1"/>
                      </w14:solidFill>
                    </w14:textFill>
                  </w:rPr>
                  <w:t>账面价值</w:t>
                </w:r>
              </w:p>
            </w:sdtContent>
          </w:sdt>
        </w:tc>
        <w:tc>
          <w:tcPr>
            <w:tcW w:w="690" w:type="pct"/>
            <w:vAlign w:val="center"/>
          </w:tcPr>
          <w:sdt>
            <w:sdtPr>
              <w:tag w:val="_PLD_31abd03025c54702bba8f28fbcd435be"/>
              <w:id w:val="-1190829177"/>
            </w:sdtPr>
            <w:sdtContent>
              <w:p>
                <w:pPr>
                  <w:jc w:val="center"/>
                  <w:rPr>
                    <w:color w:val="000000" w:themeColor="text1"/>
                    <w14:textFill>
                      <w14:solidFill>
                        <w14:schemeClr w14:val="tx1"/>
                      </w14:solidFill>
                    </w14:textFill>
                  </w:rPr>
                </w:pPr>
                <w:r>
                  <w:rPr>
                    <w:color w:val="000000" w:themeColor="text1"/>
                    <w14:textFill>
                      <w14:solidFill>
                        <w14:schemeClr w14:val="tx1"/>
                      </w14:solidFill>
                    </w14:textFill>
                  </w:rPr>
                  <w:t>账面余额</w:t>
                </w:r>
              </w:p>
            </w:sdtContent>
          </w:sdt>
        </w:tc>
        <w:tc>
          <w:tcPr>
            <w:tcW w:w="689" w:type="pct"/>
            <w:vAlign w:val="center"/>
          </w:tcPr>
          <w:sdt>
            <w:sdtPr>
              <w:tag w:val="_PLD_5650816a035d4b9d999e9f87d1506d3b"/>
              <w:id w:val="-1814329596"/>
            </w:sdtPr>
            <w:sdtContent>
              <w:p>
                <w:pPr>
                  <w:jc w:val="center"/>
                  <w:rPr>
                    <w:color w:val="000000" w:themeColor="text1"/>
                    <w14:textFill>
                      <w14:solidFill>
                        <w14:schemeClr w14:val="tx1"/>
                      </w14:solidFill>
                    </w14:textFill>
                  </w:rPr>
                </w:pPr>
                <w:r>
                  <w:rPr>
                    <w:color w:val="000000" w:themeColor="text1"/>
                    <w14:textFill>
                      <w14:solidFill>
                        <w14:schemeClr w14:val="tx1"/>
                      </w14:solidFill>
                    </w14:textFill>
                  </w:rPr>
                  <w:t>减值准备</w:t>
                </w:r>
              </w:p>
            </w:sdtContent>
          </w:sdt>
        </w:tc>
        <w:tc>
          <w:tcPr>
            <w:tcW w:w="715" w:type="pct"/>
            <w:vAlign w:val="center"/>
          </w:tcPr>
          <w:sdt>
            <w:sdtPr>
              <w:tag w:val="_PLD_76b67d2d1c1543c0b22ec33e5ae8e28a"/>
              <w:id w:val="10356548"/>
            </w:sdtPr>
            <w:sdtContent>
              <w:p>
                <w:pPr>
                  <w:jc w:val="center"/>
                  <w:rPr>
                    <w:color w:val="000000" w:themeColor="text1"/>
                    <w14:textFill>
                      <w14:solidFill>
                        <w14:schemeClr w14:val="tx1"/>
                      </w14:solidFill>
                    </w14:textFill>
                  </w:rPr>
                </w:pPr>
                <w:r>
                  <w:rPr>
                    <w:color w:val="000000" w:themeColor="text1"/>
                    <w14:textFill>
                      <w14:solidFill>
                        <w14:schemeClr w14:val="tx1"/>
                      </w14:solidFill>
                    </w14:textFill>
                  </w:rPr>
                  <w:t>账面价值</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835" w:type="pct"/>
            <w:vAlign w:val="center"/>
          </w:tcPr>
          <w:p>
            <w:pPr>
              <w:jc w:val="both"/>
              <w:rPr>
                <w:color w:val="000000" w:themeColor="text1"/>
                <w14:textFill>
                  <w14:solidFill>
                    <w14:schemeClr w14:val="tx1"/>
                  </w14:solidFill>
                </w14:textFill>
              </w:rPr>
            </w:pPr>
            <w:r>
              <w:rPr>
                <w:color w:val="000000" w:themeColor="text1"/>
                <w14:textFill>
                  <w14:solidFill>
                    <w14:schemeClr w14:val="tx1"/>
                  </w14:solidFill>
                </w14:textFill>
              </w:rPr>
              <w:t>长期资产采购款项</w:t>
            </w:r>
          </w:p>
        </w:tc>
        <w:tc>
          <w:tcPr>
            <w:tcW w:w="691" w:type="pct"/>
            <w:vAlign w:val="center"/>
          </w:tcPr>
          <w:p>
            <w:pPr>
              <w:jc w:val="right"/>
            </w:pPr>
            <w:r>
              <w:t xml:space="preserve">7,682,705.42 </w:t>
            </w:r>
          </w:p>
        </w:tc>
        <w:tc>
          <w:tcPr>
            <w:tcW w:w="690" w:type="pct"/>
            <w:vAlign w:val="center"/>
          </w:tcPr>
          <w:p>
            <w:pPr>
              <w:jc w:val="right"/>
            </w:pPr>
          </w:p>
        </w:tc>
        <w:tc>
          <w:tcPr>
            <w:tcW w:w="691" w:type="pct"/>
            <w:vAlign w:val="center"/>
          </w:tcPr>
          <w:p>
            <w:pPr>
              <w:jc w:val="right"/>
            </w:pPr>
            <w:r>
              <w:t xml:space="preserve">7,682,705.42 </w:t>
            </w:r>
          </w:p>
        </w:tc>
        <w:tc>
          <w:tcPr>
            <w:tcW w:w="690" w:type="pct"/>
            <w:vAlign w:val="center"/>
          </w:tcPr>
          <w:p>
            <w:pPr>
              <w:jc w:val="right"/>
            </w:pPr>
            <w:r>
              <w:t xml:space="preserve">11,320,873.96 </w:t>
            </w:r>
          </w:p>
        </w:tc>
        <w:tc>
          <w:tcPr>
            <w:tcW w:w="689" w:type="pct"/>
            <w:vAlign w:val="center"/>
          </w:tcPr>
          <w:p>
            <w:pPr>
              <w:jc w:val="right"/>
            </w:pPr>
          </w:p>
        </w:tc>
        <w:tc>
          <w:tcPr>
            <w:tcW w:w="715" w:type="pct"/>
            <w:vAlign w:val="center"/>
          </w:tcPr>
          <w:p>
            <w:pPr>
              <w:jc w:val="right"/>
            </w:pPr>
            <w:r>
              <w:t xml:space="preserve">11,320,873.96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91" w:type="pct"/>
            <w:vAlign w:val="center"/>
          </w:tcPr>
          <w:p>
            <w:pPr>
              <w:jc w:val="right"/>
            </w:pPr>
            <w:r>
              <w:t xml:space="preserve">7,682,705.42 </w:t>
            </w:r>
          </w:p>
        </w:tc>
        <w:tc>
          <w:tcPr>
            <w:tcW w:w="690" w:type="pct"/>
            <w:vAlign w:val="center"/>
          </w:tcPr>
          <w:p>
            <w:pPr>
              <w:jc w:val="right"/>
            </w:pPr>
          </w:p>
        </w:tc>
        <w:tc>
          <w:tcPr>
            <w:tcW w:w="691" w:type="pct"/>
            <w:vAlign w:val="center"/>
          </w:tcPr>
          <w:p>
            <w:pPr>
              <w:jc w:val="right"/>
            </w:pPr>
            <w:r>
              <w:t xml:space="preserve">7,682,705.42 </w:t>
            </w:r>
          </w:p>
        </w:tc>
        <w:tc>
          <w:tcPr>
            <w:tcW w:w="690" w:type="pct"/>
            <w:vAlign w:val="center"/>
          </w:tcPr>
          <w:p>
            <w:pPr>
              <w:jc w:val="right"/>
            </w:pPr>
            <w:r>
              <w:t xml:space="preserve">11,320,873.96 </w:t>
            </w:r>
          </w:p>
        </w:tc>
        <w:tc>
          <w:tcPr>
            <w:tcW w:w="689" w:type="pct"/>
            <w:vAlign w:val="center"/>
          </w:tcPr>
          <w:p>
            <w:pPr>
              <w:jc w:val="right"/>
            </w:pPr>
          </w:p>
        </w:tc>
        <w:tc>
          <w:tcPr>
            <w:tcW w:w="715" w:type="pct"/>
            <w:vAlign w:val="center"/>
          </w:tcPr>
          <w:p>
            <w:pPr>
              <w:jc w:val="right"/>
            </w:pPr>
            <w:r>
              <w:t xml:space="preserve">11,320,873.96 </w:t>
            </w:r>
          </w:p>
        </w:tc>
      </w:tr>
    </w:tbl>
    <w:p>
      <w:pPr>
        <w:rPr>
          <w:color w:val="000000" w:themeColor="text1"/>
          <w14:textFill>
            <w14:solidFill>
              <w14:schemeClr w14:val="tx1"/>
            </w14:solidFill>
          </w14:textFill>
        </w:rPr>
      </w:pPr>
      <w:r>
        <w:rPr>
          <w:color w:val="000000" w:themeColor="text1"/>
          <w14:textFill>
            <w14:solidFill>
              <w14:schemeClr w14:val="tx1"/>
            </w14:solidFill>
          </w14:textFill>
        </w:rPr>
        <w:t>补偿性资产相关信息</w:t>
      </w:r>
    </w:p>
    <w:sdt>
      <w:sdtPr>
        <w:rPr>
          <w:rFonts w:hint="eastAsia" w:ascii="宋体" w:hAnsi="宋体"/>
          <w:color w:val="000000"/>
        </w:rPr>
        <w:alias w:val="是否适用：其他非流动资产补偿性资产相关信息的说明[双击切换]"/>
        <w:tag w:val="_GBC_6e520bf4c606418495473064c593a087"/>
        <w:id w:val="256257458"/>
        <w:placeholder>
          <w:docPart w:val="GBC22222222222222222222222222222"/>
        </w:placeholder>
      </w:sdtPr>
      <w:sdtEndPr>
        <w:rPr>
          <w:rFonts w:hint="eastAsia" w:ascii="宋体" w:hAnsi="宋体"/>
          <w:color w:val="000000"/>
        </w:rPr>
      </w:sdtEndPr>
      <w:sdtContent>
        <w:p>
          <w:pPr>
            <w:rPr>
              <w:color w:val="000000"/>
            </w:rPr>
          </w:pPr>
          <w:r>
            <w:rPr>
              <w:rFonts w:hint="eastAsia" w:ascii="宋体" w:hAnsi="宋体"/>
              <w:color w:val="000000"/>
            </w:rPr>
            <w:fldChar w:fldCharType="begin"/>
          </w:r>
          <w:r>
            <w:rPr>
              <w:rFonts w:hint="eastAsia" w:ascii="宋体" w:hAnsi="宋体"/>
              <w:color w:val="000000"/>
            </w:rPr>
            <w:instrText xml:space="preserve"> MACROBUTTON  SnrToggleCheckbox □适用 </w:instrText>
          </w:r>
          <w:r>
            <w:rPr>
              <w:rFonts w:hint="eastAsia" w:ascii="宋体" w:hAnsi="宋体"/>
              <w:color w:val="000000"/>
            </w:rPr>
            <w:fldChar w:fldCharType="end"/>
          </w:r>
          <w:r>
            <w:rPr>
              <w:rFonts w:hint="eastAsia" w:ascii="宋体" w:hAnsi="宋体"/>
              <w:color w:val="000000"/>
            </w:rPr>
            <w:fldChar w:fldCharType="begin"/>
          </w:r>
          <w:r>
            <w:rPr>
              <w:rFonts w:hint="eastAsia" w:ascii="宋体" w:hAnsi="宋体"/>
              <w:color w:val="000000"/>
            </w:rPr>
            <w:instrText xml:space="preserve"> MACROBUTTON  SnrToggleCheckbox √不适用 </w:instrText>
          </w:r>
          <w:r>
            <w:rPr>
              <w:rFonts w:hint="eastAsia" w:ascii="宋体" w:hAnsi="宋体"/>
              <w:color w:val="000000"/>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p>
      <w:pPr>
        <w:rPr>
          <w:color w:val="000000" w:themeColor="text1"/>
          <w14:textFill>
            <w14:solidFill>
              <w14:schemeClr w14:val="tx1"/>
            </w14:solidFill>
          </w14:textFill>
        </w:rPr>
      </w:pPr>
      <w:sdt>
        <w:sdtPr>
          <w:rPr>
            <w:color w:val="000000" w:themeColor="text1"/>
            <w14:textFill>
              <w14:solidFill>
                <w14:schemeClr w14:val="tx1"/>
              </w14:solidFill>
            </w14:textFill>
          </w:rPr>
          <w:alias w:val="其他长期资产的说明"/>
          <w:tag w:val="_GBC_c90d49970b64411f909938927f41ebe5"/>
          <w:id w:val="1554201878"/>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bookmarkEnd w:id="365"/>
    <w:p>
      <w:pPr>
        <w:pStyle w:val="4"/>
        <w:numPr>
          <w:ilvl w:val="0"/>
          <w:numId w:val="41"/>
        </w:numPr>
        <w:rPr>
          <w:color w:val="000000" w:themeColor="text1"/>
          <w:szCs w:val="21"/>
          <w14:textFill>
            <w14:solidFill>
              <w14:schemeClr w14:val="tx1"/>
            </w14:solidFill>
          </w14:textFill>
        </w:rPr>
      </w:pPr>
      <w:bookmarkStart w:id="366" w:name="_Hlk167960140"/>
      <w:r>
        <w:rPr>
          <w:color w:val="000000" w:themeColor="text1"/>
          <w:szCs w:val="21"/>
          <w14:textFill>
            <w14:solidFill>
              <w14:schemeClr w14:val="tx1"/>
            </w14:solidFill>
          </w14:textFill>
        </w:rPr>
        <w:t>所有权或使用权受限资产</w:t>
      </w:r>
    </w:p>
    <w:sdt>
      <w:sdtPr>
        <w:rPr>
          <w:color w:val="000000" w:themeColor="text1"/>
          <w14:textFill>
            <w14:solidFill>
              <w14:schemeClr w14:val="tx1"/>
            </w14:solidFill>
          </w14:textFill>
        </w:rPr>
        <w:alias w:val="是否适用：所有权或使用权受到限制的资产[双击切换]"/>
        <w:tag w:val="_GBC_006357d26b6d46ec8496596e5de014f0"/>
        <w:id w:val="-107636365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ind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所有权或使用权受到限制的资产"/>
          <w:tag w:val="_GBC_a7102ff3db4e4d8a94bd9f34e41fd91f"/>
          <w:id w:val="-64380874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所有权或使用权受到限制的资产"/>
          <w:tag w:val="_GBC_95c4fec9be7647a5baa402b14dcb9f69"/>
          <w:id w:val="-12252133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1336"/>
        <w:gridCol w:w="1216"/>
        <w:gridCol w:w="766"/>
        <w:gridCol w:w="823"/>
        <w:gridCol w:w="1336"/>
        <w:gridCol w:w="1216"/>
        <w:gridCol w:w="767"/>
        <w:gridCol w:w="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sz w:val="16"/>
              <w:szCs w:val="16"/>
            </w:rPr>
            <w:tag w:val="_PLD_1faeb04f4bf14b349ad8c59d6667b0fb"/>
            <w:id w:val="1987668536"/>
          </w:sdtPr>
          <w:sdtEndPr>
            <w:rPr>
              <w:sz w:val="16"/>
              <w:szCs w:val="16"/>
            </w:rPr>
          </w:sdtEndPr>
          <w:sdtContent>
            <w:tc>
              <w:tcPr>
                <w:tcW w:w="822" w:type="dxa"/>
                <w:vMerge w:val="restart"/>
                <w:vAlign w:val="center"/>
              </w:tcPr>
              <w:p>
                <w:pPr>
                  <w:widowControl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项目</w:t>
                </w:r>
              </w:p>
            </w:tc>
          </w:sdtContent>
        </w:sdt>
        <w:sdt>
          <w:sdtPr>
            <w:rPr>
              <w:sz w:val="16"/>
              <w:szCs w:val="16"/>
            </w:rPr>
            <w:tag w:val="_PLD_c2f91c04994b44019d90769d6b563b17"/>
            <w:id w:val="1384286184"/>
          </w:sdtPr>
          <w:sdtEndPr>
            <w:rPr>
              <w:sz w:val="16"/>
              <w:szCs w:val="16"/>
            </w:rPr>
          </w:sdtEndPr>
          <w:sdtContent>
            <w:tc>
              <w:tcPr>
                <w:tcW w:w="4141" w:type="dxa"/>
                <w:gridSpan w:val="4"/>
                <w:vAlign w:val="center"/>
              </w:tcPr>
              <w:p>
                <w:pPr>
                  <w:widowControl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期末</w:t>
                </w:r>
              </w:p>
            </w:tc>
          </w:sdtContent>
        </w:sdt>
        <w:sdt>
          <w:sdtPr>
            <w:rPr>
              <w:sz w:val="16"/>
              <w:szCs w:val="16"/>
            </w:rPr>
            <w:tag w:val="_PLD_a4db33e8a01e48af856e896d9a21aa2b"/>
            <w:id w:val="659656164"/>
          </w:sdtPr>
          <w:sdtEndPr>
            <w:rPr>
              <w:sz w:val="16"/>
              <w:szCs w:val="16"/>
            </w:rPr>
          </w:sdtEndPr>
          <w:sdtContent>
            <w:tc>
              <w:tcPr>
                <w:tcW w:w="4086" w:type="dxa"/>
                <w:gridSpan w:val="4"/>
                <w:vAlign w:val="center"/>
              </w:tcPr>
              <w:p>
                <w:pPr>
                  <w:widowControl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期初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22" w:type="dxa"/>
            <w:vMerge w:val="continue"/>
          </w:tcPr>
          <w:p>
            <w:pPr>
              <w:widowControl w:val="0"/>
              <w:jc w:val="both"/>
              <w:rPr>
                <w:color w:val="000000" w:themeColor="text1"/>
                <w:sz w:val="16"/>
                <w:szCs w:val="16"/>
                <w14:textFill>
                  <w14:solidFill>
                    <w14:schemeClr w14:val="tx1"/>
                  </w14:solidFill>
                </w14:textFill>
              </w:rPr>
            </w:pPr>
          </w:p>
        </w:tc>
        <w:sdt>
          <w:sdtPr>
            <w:rPr>
              <w:sz w:val="16"/>
              <w:szCs w:val="16"/>
            </w:rPr>
            <w:tag w:val="_PLD_4ba4c960e2ab4b31a1704a41594547f5"/>
            <w:id w:val="-1337153841"/>
          </w:sdtPr>
          <w:sdtEndPr>
            <w:rPr>
              <w:sz w:val="16"/>
              <w:szCs w:val="16"/>
            </w:rPr>
          </w:sdtEndPr>
          <w:sdtContent>
            <w:tc>
              <w:tcPr>
                <w:tcW w:w="1336" w:type="dxa"/>
              </w:tcPr>
              <w:p>
                <w:pPr>
                  <w:widowControl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账面余额</w:t>
                </w:r>
              </w:p>
            </w:tc>
          </w:sdtContent>
        </w:sdt>
        <w:sdt>
          <w:sdtPr>
            <w:rPr>
              <w:sz w:val="16"/>
              <w:szCs w:val="16"/>
            </w:rPr>
            <w:tag w:val="_PLD_73e1cd74d6d14f48b88c0ac46580634a"/>
            <w:id w:val="-1433272058"/>
          </w:sdtPr>
          <w:sdtEndPr>
            <w:rPr>
              <w:sz w:val="16"/>
              <w:szCs w:val="16"/>
            </w:rPr>
          </w:sdtEndPr>
          <w:sdtContent>
            <w:tc>
              <w:tcPr>
                <w:tcW w:w="1216" w:type="dxa"/>
              </w:tcPr>
              <w:p>
                <w:pPr>
                  <w:widowControl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账面价值</w:t>
                </w:r>
              </w:p>
            </w:tc>
          </w:sdtContent>
        </w:sdt>
        <w:sdt>
          <w:sdtPr>
            <w:rPr>
              <w:sz w:val="16"/>
              <w:szCs w:val="16"/>
            </w:rPr>
            <w:tag w:val="_PLD_7e2b8d1452f04530979fb1795878387b"/>
            <w:id w:val="-1855259062"/>
          </w:sdtPr>
          <w:sdtEndPr>
            <w:rPr>
              <w:sz w:val="16"/>
              <w:szCs w:val="16"/>
            </w:rPr>
          </w:sdtEndPr>
          <w:sdtContent>
            <w:tc>
              <w:tcPr>
                <w:tcW w:w="766" w:type="dxa"/>
              </w:tcPr>
              <w:p>
                <w:pPr>
                  <w:widowControl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受限类型</w:t>
                </w:r>
              </w:p>
            </w:tc>
          </w:sdtContent>
        </w:sdt>
        <w:sdt>
          <w:sdtPr>
            <w:rPr>
              <w:sz w:val="16"/>
              <w:szCs w:val="16"/>
            </w:rPr>
            <w:tag w:val="_PLD_85649273a58f4daebca471b337c689b7"/>
            <w:id w:val="-878712702"/>
          </w:sdtPr>
          <w:sdtEndPr>
            <w:rPr>
              <w:sz w:val="16"/>
              <w:szCs w:val="16"/>
            </w:rPr>
          </w:sdtEndPr>
          <w:sdtContent>
            <w:tc>
              <w:tcPr>
                <w:tcW w:w="823" w:type="dxa"/>
              </w:tcPr>
              <w:p>
                <w:pPr>
                  <w:widowControl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受限情况</w:t>
                </w:r>
              </w:p>
            </w:tc>
          </w:sdtContent>
        </w:sdt>
        <w:sdt>
          <w:sdtPr>
            <w:rPr>
              <w:sz w:val="16"/>
              <w:szCs w:val="16"/>
            </w:rPr>
            <w:tag w:val="_PLD_185f68e2333346e5b0c53a9ec276e404"/>
            <w:id w:val="1076711737"/>
          </w:sdtPr>
          <w:sdtEndPr>
            <w:rPr>
              <w:sz w:val="16"/>
              <w:szCs w:val="16"/>
            </w:rPr>
          </w:sdtEndPr>
          <w:sdtContent>
            <w:tc>
              <w:tcPr>
                <w:tcW w:w="1336" w:type="dxa"/>
              </w:tcPr>
              <w:p>
                <w:pPr>
                  <w:widowControl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账面余额</w:t>
                </w:r>
              </w:p>
            </w:tc>
          </w:sdtContent>
        </w:sdt>
        <w:sdt>
          <w:sdtPr>
            <w:rPr>
              <w:sz w:val="16"/>
              <w:szCs w:val="16"/>
            </w:rPr>
            <w:tag w:val="_PLD_c92ffe9b652b42a095b39310603e580a"/>
            <w:id w:val="1286777613"/>
          </w:sdtPr>
          <w:sdtEndPr>
            <w:rPr>
              <w:sz w:val="16"/>
              <w:szCs w:val="16"/>
            </w:rPr>
          </w:sdtEndPr>
          <w:sdtContent>
            <w:tc>
              <w:tcPr>
                <w:tcW w:w="1216" w:type="dxa"/>
              </w:tcPr>
              <w:p>
                <w:pPr>
                  <w:widowControl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账面价值</w:t>
                </w:r>
              </w:p>
            </w:tc>
          </w:sdtContent>
        </w:sdt>
        <w:sdt>
          <w:sdtPr>
            <w:rPr>
              <w:sz w:val="16"/>
              <w:szCs w:val="16"/>
            </w:rPr>
            <w:tag w:val="_PLD_8acb0a1b50e14924933495ec38dd30e1"/>
            <w:id w:val="1873189947"/>
          </w:sdtPr>
          <w:sdtEndPr>
            <w:rPr>
              <w:sz w:val="16"/>
              <w:szCs w:val="16"/>
            </w:rPr>
          </w:sdtEndPr>
          <w:sdtContent>
            <w:tc>
              <w:tcPr>
                <w:tcW w:w="767" w:type="dxa"/>
              </w:tcPr>
              <w:p>
                <w:pPr>
                  <w:widowControl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受限类型</w:t>
                </w:r>
              </w:p>
            </w:tc>
          </w:sdtContent>
        </w:sdt>
        <w:sdt>
          <w:sdtPr>
            <w:rPr>
              <w:sz w:val="16"/>
              <w:szCs w:val="16"/>
            </w:rPr>
            <w:tag w:val="_PLD_6297a0a81c884eab9519ec385b0b6dbe"/>
            <w:id w:val="-431354789"/>
          </w:sdtPr>
          <w:sdtEndPr>
            <w:rPr>
              <w:sz w:val="16"/>
              <w:szCs w:val="16"/>
            </w:rPr>
          </w:sdtEndPr>
          <w:sdtContent>
            <w:tc>
              <w:tcPr>
                <w:tcW w:w="767" w:type="dxa"/>
              </w:tcPr>
              <w:p>
                <w:pPr>
                  <w:widowControl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受限情况</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pPr>
              <w:widowControl w:val="0"/>
              <w:jc w:val="both"/>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货币资金</w:t>
            </w:r>
          </w:p>
        </w:tc>
        <w:tc>
          <w:tcPr>
            <w:tcW w:w="1336" w:type="dxa"/>
            <w:vAlign w:val="center"/>
          </w:tcPr>
          <w:p>
            <w:pPr>
              <w:widowControl w:val="0"/>
              <w:jc w:val="right"/>
              <w:rPr>
                <w:sz w:val="16"/>
                <w:szCs w:val="16"/>
              </w:rPr>
            </w:pPr>
            <w:r>
              <w:rPr>
                <w:rFonts w:hint="eastAsia"/>
                <w:sz w:val="16"/>
                <w:szCs w:val="16"/>
              </w:rPr>
              <w:t xml:space="preserve"> 146,519,587.26 </w:t>
            </w:r>
          </w:p>
        </w:tc>
        <w:tc>
          <w:tcPr>
            <w:tcW w:w="1216" w:type="dxa"/>
            <w:vAlign w:val="center"/>
          </w:tcPr>
          <w:p>
            <w:pPr>
              <w:widowControl w:val="0"/>
              <w:jc w:val="right"/>
              <w:rPr>
                <w:sz w:val="16"/>
                <w:szCs w:val="16"/>
              </w:rPr>
            </w:pPr>
            <w:r>
              <w:rPr>
                <w:rFonts w:hint="eastAsia"/>
                <w:sz w:val="16"/>
                <w:szCs w:val="16"/>
              </w:rPr>
              <w:t xml:space="preserve">146,519,587.26 </w:t>
            </w:r>
          </w:p>
        </w:tc>
        <w:tc>
          <w:tcPr>
            <w:tcW w:w="766" w:type="dxa"/>
            <w:vAlign w:val="center"/>
          </w:tcPr>
          <w:p>
            <w:pPr>
              <w:widowControl w:val="0"/>
              <w:jc w:val="both"/>
              <w:rPr>
                <w:color w:val="000000" w:themeColor="text1"/>
                <w:sz w:val="16"/>
                <w:szCs w:val="16"/>
                <w14:textFill>
                  <w14:solidFill>
                    <w14:schemeClr w14:val="tx1"/>
                  </w14:solidFill>
                </w14:textFill>
              </w:rPr>
            </w:pPr>
            <w:r>
              <w:rPr>
                <w:rFonts w:hint="eastAsia"/>
                <w:sz w:val="16"/>
                <w:szCs w:val="16"/>
              </w:rPr>
              <w:t>质押</w:t>
            </w:r>
          </w:p>
        </w:tc>
        <w:tc>
          <w:tcPr>
            <w:tcW w:w="823" w:type="dxa"/>
            <w:vAlign w:val="center"/>
          </w:tcPr>
          <w:p>
            <w:pPr>
              <w:widowControl w:val="0"/>
              <w:jc w:val="both"/>
              <w:rPr>
                <w:sz w:val="16"/>
                <w:szCs w:val="16"/>
              </w:rPr>
            </w:pPr>
            <w:r>
              <w:rPr>
                <w:rFonts w:hint="eastAsia"/>
                <w:sz w:val="16"/>
                <w:szCs w:val="16"/>
              </w:rPr>
              <w:t>票据保证金、保函保证金、信用证保证金</w:t>
            </w:r>
          </w:p>
        </w:tc>
        <w:tc>
          <w:tcPr>
            <w:tcW w:w="1336" w:type="dxa"/>
            <w:vAlign w:val="center"/>
          </w:tcPr>
          <w:p>
            <w:pPr>
              <w:widowControl w:val="0"/>
              <w:jc w:val="right"/>
              <w:rPr>
                <w:sz w:val="16"/>
                <w:szCs w:val="16"/>
              </w:rPr>
            </w:pPr>
            <w:r>
              <w:rPr>
                <w:rFonts w:hint="eastAsia"/>
                <w:sz w:val="16"/>
                <w:szCs w:val="16"/>
              </w:rPr>
              <w:t xml:space="preserve"> 179,775,008.90 </w:t>
            </w:r>
          </w:p>
        </w:tc>
        <w:tc>
          <w:tcPr>
            <w:tcW w:w="1216" w:type="dxa"/>
            <w:vAlign w:val="center"/>
          </w:tcPr>
          <w:p>
            <w:pPr>
              <w:widowControl w:val="0"/>
              <w:jc w:val="right"/>
              <w:rPr>
                <w:sz w:val="16"/>
                <w:szCs w:val="16"/>
              </w:rPr>
            </w:pPr>
            <w:r>
              <w:rPr>
                <w:rFonts w:hint="eastAsia"/>
                <w:sz w:val="16"/>
                <w:szCs w:val="16"/>
              </w:rPr>
              <w:t xml:space="preserve">179,775,008.90 </w:t>
            </w:r>
          </w:p>
        </w:tc>
        <w:tc>
          <w:tcPr>
            <w:tcW w:w="767" w:type="dxa"/>
            <w:vAlign w:val="center"/>
          </w:tcPr>
          <w:p>
            <w:pPr>
              <w:widowControl w:val="0"/>
              <w:jc w:val="both"/>
              <w:rPr>
                <w:color w:val="000000" w:themeColor="text1"/>
                <w:sz w:val="16"/>
                <w:szCs w:val="16"/>
                <w14:textFill>
                  <w14:solidFill>
                    <w14:schemeClr w14:val="tx1"/>
                  </w14:solidFill>
                </w14:textFill>
              </w:rPr>
            </w:pPr>
            <w:r>
              <w:rPr>
                <w:rFonts w:hint="eastAsia"/>
                <w:sz w:val="16"/>
                <w:szCs w:val="16"/>
              </w:rPr>
              <w:t>质押</w:t>
            </w:r>
          </w:p>
        </w:tc>
        <w:tc>
          <w:tcPr>
            <w:tcW w:w="767" w:type="dxa"/>
            <w:vAlign w:val="center"/>
          </w:tcPr>
          <w:p>
            <w:pPr>
              <w:widowControl w:val="0"/>
              <w:jc w:val="both"/>
              <w:rPr>
                <w:sz w:val="16"/>
                <w:szCs w:val="16"/>
              </w:rPr>
            </w:pPr>
            <w:r>
              <w:rPr>
                <w:rFonts w:hint="eastAsia"/>
                <w:sz w:val="16"/>
                <w:szCs w:val="16"/>
              </w:rPr>
              <w:t>票据保证金及保函保证金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tcPr>
          <w:p>
            <w:pPr>
              <w:widowControl w:val="0"/>
              <w:jc w:val="both"/>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固定资产</w:t>
            </w:r>
          </w:p>
        </w:tc>
        <w:tc>
          <w:tcPr>
            <w:tcW w:w="1336" w:type="dxa"/>
            <w:vAlign w:val="center"/>
          </w:tcPr>
          <w:p>
            <w:pPr>
              <w:widowControl w:val="0"/>
              <w:jc w:val="right"/>
              <w:rPr>
                <w:sz w:val="16"/>
                <w:szCs w:val="16"/>
              </w:rPr>
            </w:pPr>
            <w:r>
              <w:rPr>
                <w:rFonts w:hint="eastAsia"/>
                <w:sz w:val="16"/>
                <w:szCs w:val="16"/>
              </w:rPr>
              <w:t xml:space="preserve"> 936,362,908.27 </w:t>
            </w:r>
          </w:p>
        </w:tc>
        <w:tc>
          <w:tcPr>
            <w:tcW w:w="1216" w:type="dxa"/>
            <w:vAlign w:val="center"/>
          </w:tcPr>
          <w:p>
            <w:pPr>
              <w:widowControl w:val="0"/>
              <w:jc w:val="right"/>
              <w:rPr>
                <w:sz w:val="16"/>
                <w:szCs w:val="16"/>
              </w:rPr>
            </w:pPr>
            <w:r>
              <w:rPr>
                <w:rFonts w:hint="eastAsia"/>
                <w:sz w:val="16"/>
                <w:szCs w:val="16"/>
              </w:rPr>
              <w:t xml:space="preserve">682,363,261.01 </w:t>
            </w:r>
          </w:p>
        </w:tc>
        <w:tc>
          <w:tcPr>
            <w:tcW w:w="766" w:type="dxa"/>
            <w:vAlign w:val="center"/>
          </w:tcPr>
          <w:p>
            <w:pPr>
              <w:widowControl w:val="0"/>
              <w:jc w:val="both"/>
              <w:rPr>
                <w:color w:val="000000" w:themeColor="text1"/>
                <w:sz w:val="16"/>
                <w:szCs w:val="16"/>
                <w14:textFill>
                  <w14:solidFill>
                    <w14:schemeClr w14:val="tx1"/>
                  </w14:solidFill>
                </w14:textFill>
              </w:rPr>
            </w:pPr>
            <w:r>
              <w:rPr>
                <w:rFonts w:hint="eastAsia"/>
                <w:sz w:val="16"/>
                <w:szCs w:val="16"/>
              </w:rPr>
              <w:t>抵押</w:t>
            </w:r>
          </w:p>
        </w:tc>
        <w:tc>
          <w:tcPr>
            <w:tcW w:w="823" w:type="dxa"/>
            <w:vAlign w:val="center"/>
          </w:tcPr>
          <w:p>
            <w:pPr>
              <w:widowControl w:val="0"/>
              <w:jc w:val="both"/>
              <w:rPr>
                <w:sz w:val="16"/>
                <w:szCs w:val="16"/>
              </w:rPr>
            </w:pPr>
            <w:r>
              <w:rPr>
                <w:rFonts w:hint="eastAsia"/>
                <w:sz w:val="16"/>
                <w:szCs w:val="16"/>
              </w:rPr>
              <w:t>借款抵押</w:t>
            </w:r>
          </w:p>
        </w:tc>
        <w:tc>
          <w:tcPr>
            <w:tcW w:w="1336" w:type="dxa"/>
            <w:vAlign w:val="center"/>
          </w:tcPr>
          <w:p>
            <w:pPr>
              <w:widowControl w:val="0"/>
              <w:jc w:val="right"/>
              <w:rPr>
                <w:sz w:val="16"/>
                <w:szCs w:val="16"/>
              </w:rPr>
            </w:pPr>
            <w:r>
              <w:rPr>
                <w:rFonts w:hint="eastAsia"/>
                <w:sz w:val="16"/>
                <w:szCs w:val="16"/>
              </w:rPr>
              <w:t xml:space="preserve"> 941,362,831.33 </w:t>
            </w:r>
          </w:p>
        </w:tc>
        <w:tc>
          <w:tcPr>
            <w:tcW w:w="1216" w:type="dxa"/>
            <w:vAlign w:val="center"/>
          </w:tcPr>
          <w:p>
            <w:pPr>
              <w:widowControl w:val="0"/>
              <w:jc w:val="right"/>
              <w:rPr>
                <w:sz w:val="16"/>
                <w:szCs w:val="16"/>
              </w:rPr>
            </w:pPr>
            <w:r>
              <w:rPr>
                <w:rFonts w:hint="eastAsia"/>
                <w:sz w:val="16"/>
                <w:szCs w:val="16"/>
              </w:rPr>
              <w:t xml:space="preserve">725,586,130.84 </w:t>
            </w:r>
          </w:p>
        </w:tc>
        <w:tc>
          <w:tcPr>
            <w:tcW w:w="767" w:type="dxa"/>
            <w:vAlign w:val="center"/>
          </w:tcPr>
          <w:p>
            <w:pPr>
              <w:widowControl w:val="0"/>
              <w:jc w:val="both"/>
              <w:rPr>
                <w:color w:val="000000" w:themeColor="text1"/>
                <w:sz w:val="16"/>
                <w:szCs w:val="16"/>
                <w14:textFill>
                  <w14:solidFill>
                    <w14:schemeClr w14:val="tx1"/>
                  </w14:solidFill>
                </w14:textFill>
              </w:rPr>
            </w:pPr>
            <w:r>
              <w:rPr>
                <w:rFonts w:hint="eastAsia"/>
                <w:sz w:val="16"/>
                <w:szCs w:val="16"/>
              </w:rPr>
              <w:t>抵押</w:t>
            </w:r>
          </w:p>
        </w:tc>
        <w:tc>
          <w:tcPr>
            <w:tcW w:w="767" w:type="dxa"/>
            <w:vAlign w:val="center"/>
          </w:tcPr>
          <w:p>
            <w:pPr>
              <w:widowControl w:val="0"/>
              <w:jc w:val="both"/>
              <w:rPr>
                <w:sz w:val="16"/>
                <w:szCs w:val="16"/>
              </w:rPr>
            </w:pPr>
            <w:r>
              <w:rPr>
                <w:rFonts w:hint="eastAsia"/>
                <w:sz w:val="16"/>
                <w:szCs w:val="16"/>
              </w:rPr>
              <w:t>借款抵押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tcBorders>
              <w:bottom w:val="single" w:color="auto" w:sz="4" w:space="0"/>
            </w:tcBorders>
          </w:tcPr>
          <w:p>
            <w:pPr>
              <w:widowControl w:val="0"/>
              <w:jc w:val="both"/>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无形资产</w:t>
            </w:r>
          </w:p>
        </w:tc>
        <w:tc>
          <w:tcPr>
            <w:tcW w:w="1336" w:type="dxa"/>
            <w:vAlign w:val="center"/>
          </w:tcPr>
          <w:p>
            <w:pPr>
              <w:widowControl w:val="0"/>
              <w:jc w:val="right"/>
              <w:rPr>
                <w:sz w:val="16"/>
                <w:szCs w:val="16"/>
              </w:rPr>
            </w:pPr>
            <w:r>
              <w:rPr>
                <w:rFonts w:hint="eastAsia"/>
                <w:sz w:val="16"/>
                <w:szCs w:val="16"/>
              </w:rPr>
              <w:t xml:space="preserve"> 53,477,021.12 </w:t>
            </w:r>
          </w:p>
        </w:tc>
        <w:tc>
          <w:tcPr>
            <w:tcW w:w="1216" w:type="dxa"/>
            <w:vAlign w:val="center"/>
          </w:tcPr>
          <w:p>
            <w:pPr>
              <w:widowControl w:val="0"/>
              <w:jc w:val="right"/>
              <w:rPr>
                <w:sz w:val="16"/>
                <w:szCs w:val="16"/>
              </w:rPr>
            </w:pPr>
            <w:r>
              <w:rPr>
                <w:rFonts w:hint="eastAsia"/>
                <w:sz w:val="16"/>
                <w:szCs w:val="16"/>
              </w:rPr>
              <w:t xml:space="preserve"> 49,999,574.94 </w:t>
            </w:r>
          </w:p>
        </w:tc>
        <w:tc>
          <w:tcPr>
            <w:tcW w:w="766" w:type="dxa"/>
            <w:vAlign w:val="center"/>
          </w:tcPr>
          <w:p>
            <w:pPr>
              <w:widowControl w:val="0"/>
              <w:jc w:val="both"/>
              <w:rPr>
                <w:color w:val="000000" w:themeColor="text1"/>
                <w:sz w:val="16"/>
                <w:szCs w:val="16"/>
                <w14:textFill>
                  <w14:solidFill>
                    <w14:schemeClr w14:val="tx1"/>
                  </w14:solidFill>
                </w14:textFill>
              </w:rPr>
            </w:pPr>
            <w:r>
              <w:rPr>
                <w:rFonts w:hint="eastAsia"/>
                <w:sz w:val="16"/>
                <w:szCs w:val="16"/>
              </w:rPr>
              <w:t>抵押</w:t>
            </w:r>
          </w:p>
        </w:tc>
        <w:tc>
          <w:tcPr>
            <w:tcW w:w="823" w:type="dxa"/>
            <w:vAlign w:val="center"/>
          </w:tcPr>
          <w:p>
            <w:pPr>
              <w:widowControl w:val="0"/>
              <w:jc w:val="both"/>
              <w:rPr>
                <w:sz w:val="16"/>
                <w:szCs w:val="16"/>
              </w:rPr>
            </w:pPr>
            <w:r>
              <w:rPr>
                <w:rFonts w:hint="eastAsia"/>
                <w:sz w:val="16"/>
                <w:szCs w:val="16"/>
              </w:rPr>
              <w:t>借款抵押</w:t>
            </w:r>
          </w:p>
        </w:tc>
        <w:tc>
          <w:tcPr>
            <w:tcW w:w="1336" w:type="dxa"/>
            <w:vAlign w:val="center"/>
          </w:tcPr>
          <w:p>
            <w:pPr>
              <w:widowControl w:val="0"/>
              <w:jc w:val="right"/>
              <w:rPr>
                <w:sz w:val="16"/>
                <w:szCs w:val="16"/>
              </w:rPr>
            </w:pPr>
            <w:r>
              <w:rPr>
                <w:rFonts w:hint="eastAsia"/>
                <w:sz w:val="16"/>
                <w:szCs w:val="16"/>
              </w:rPr>
              <w:t xml:space="preserve"> 53,477,021.12 </w:t>
            </w:r>
          </w:p>
        </w:tc>
        <w:tc>
          <w:tcPr>
            <w:tcW w:w="1216" w:type="dxa"/>
            <w:vAlign w:val="center"/>
          </w:tcPr>
          <w:p>
            <w:pPr>
              <w:widowControl w:val="0"/>
              <w:jc w:val="right"/>
              <w:rPr>
                <w:sz w:val="16"/>
                <w:szCs w:val="16"/>
              </w:rPr>
            </w:pPr>
            <w:r>
              <w:rPr>
                <w:rFonts w:hint="eastAsia"/>
                <w:sz w:val="16"/>
                <w:szCs w:val="16"/>
              </w:rPr>
              <w:t xml:space="preserve"> 50,533,585.44 </w:t>
            </w:r>
          </w:p>
        </w:tc>
        <w:tc>
          <w:tcPr>
            <w:tcW w:w="767" w:type="dxa"/>
            <w:vAlign w:val="center"/>
          </w:tcPr>
          <w:p>
            <w:pPr>
              <w:widowControl w:val="0"/>
              <w:jc w:val="both"/>
              <w:rPr>
                <w:color w:val="000000" w:themeColor="text1"/>
                <w:sz w:val="16"/>
                <w:szCs w:val="16"/>
                <w14:textFill>
                  <w14:solidFill>
                    <w14:schemeClr w14:val="tx1"/>
                  </w14:solidFill>
                </w14:textFill>
              </w:rPr>
            </w:pPr>
            <w:r>
              <w:rPr>
                <w:rFonts w:hint="eastAsia"/>
                <w:sz w:val="16"/>
                <w:szCs w:val="16"/>
              </w:rPr>
              <w:t>抵押</w:t>
            </w:r>
          </w:p>
        </w:tc>
        <w:tc>
          <w:tcPr>
            <w:tcW w:w="767" w:type="dxa"/>
            <w:vAlign w:val="center"/>
          </w:tcPr>
          <w:p>
            <w:pPr>
              <w:widowControl w:val="0"/>
              <w:jc w:val="both"/>
              <w:rPr>
                <w:sz w:val="16"/>
                <w:szCs w:val="16"/>
              </w:rPr>
            </w:pPr>
            <w:r>
              <w:rPr>
                <w:rFonts w:hint="eastAsia"/>
                <w:sz w:val="16"/>
                <w:szCs w:val="16"/>
              </w:rPr>
              <w:t>借款抵押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tcBorders>
              <w:bottom w:val="single" w:color="auto" w:sz="4" w:space="0"/>
            </w:tcBorders>
          </w:tcPr>
          <w:p>
            <w:pPr>
              <w:widowControl w:val="0"/>
              <w:jc w:val="both"/>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其中：数据资源</w:t>
            </w:r>
          </w:p>
        </w:tc>
        <w:tc>
          <w:tcPr>
            <w:tcW w:w="1336" w:type="dxa"/>
            <w:vAlign w:val="center"/>
          </w:tcPr>
          <w:p>
            <w:pPr>
              <w:widowControl w:val="0"/>
              <w:jc w:val="right"/>
              <w:rPr>
                <w:sz w:val="16"/>
                <w:szCs w:val="16"/>
              </w:rPr>
            </w:pPr>
          </w:p>
        </w:tc>
        <w:tc>
          <w:tcPr>
            <w:tcW w:w="1216" w:type="dxa"/>
            <w:vAlign w:val="center"/>
          </w:tcPr>
          <w:p>
            <w:pPr>
              <w:widowControl w:val="0"/>
              <w:jc w:val="right"/>
              <w:rPr>
                <w:sz w:val="16"/>
                <w:szCs w:val="16"/>
              </w:rPr>
            </w:pPr>
          </w:p>
        </w:tc>
        <w:tc>
          <w:tcPr>
            <w:tcW w:w="766" w:type="dxa"/>
          </w:tcPr>
          <w:p>
            <w:pPr>
              <w:widowControl w:val="0"/>
              <w:jc w:val="both"/>
              <w:rPr>
                <w:color w:val="000000" w:themeColor="text1"/>
                <w:sz w:val="16"/>
                <w:szCs w:val="16"/>
                <w14:textFill>
                  <w14:solidFill>
                    <w14:schemeClr w14:val="tx1"/>
                  </w14:solidFill>
                </w14:textFill>
              </w:rPr>
            </w:pPr>
          </w:p>
        </w:tc>
        <w:tc>
          <w:tcPr>
            <w:tcW w:w="823" w:type="dxa"/>
          </w:tcPr>
          <w:p>
            <w:pPr>
              <w:widowControl w:val="0"/>
              <w:jc w:val="both"/>
              <w:rPr>
                <w:sz w:val="16"/>
                <w:szCs w:val="16"/>
              </w:rPr>
            </w:pPr>
          </w:p>
        </w:tc>
        <w:tc>
          <w:tcPr>
            <w:tcW w:w="1336" w:type="dxa"/>
            <w:vAlign w:val="center"/>
          </w:tcPr>
          <w:p>
            <w:pPr>
              <w:widowControl w:val="0"/>
              <w:jc w:val="right"/>
              <w:rPr>
                <w:sz w:val="16"/>
                <w:szCs w:val="16"/>
              </w:rPr>
            </w:pPr>
          </w:p>
        </w:tc>
        <w:tc>
          <w:tcPr>
            <w:tcW w:w="1216" w:type="dxa"/>
            <w:vAlign w:val="center"/>
          </w:tcPr>
          <w:p>
            <w:pPr>
              <w:widowControl w:val="0"/>
              <w:jc w:val="right"/>
              <w:rPr>
                <w:sz w:val="16"/>
                <w:szCs w:val="16"/>
              </w:rPr>
            </w:pPr>
          </w:p>
        </w:tc>
        <w:tc>
          <w:tcPr>
            <w:tcW w:w="767" w:type="dxa"/>
          </w:tcPr>
          <w:p>
            <w:pPr>
              <w:widowControl w:val="0"/>
              <w:jc w:val="both"/>
              <w:rPr>
                <w:color w:val="000000" w:themeColor="text1"/>
                <w:sz w:val="16"/>
                <w:szCs w:val="16"/>
                <w14:textFill>
                  <w14:solidFill>
                    <w14:schemeClr w14:val="tx1"/>
                  </w14:solidFill>
                </w14:textFill>
              </w:rPr>
            </w:pPr>
          </w:p>
        </w:tc>
        <w:tc>
          <w:tcPr>
            <w:tcW w:w="767" w:type="dxa"/>
          </w:tcPr>
          <w:p>
            <w:pPr>
              <w:widowControl w:val="0"/>
              <w:jc w:val="both"/>
              <w:rPr>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tcPr>
          <w:p>
            <w:pPr>
              <w:widowControl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合计</w:t>
            </w:r>
          </w:p>
        </w:tc>
        <w:tc>
          <w:tcPr>
            <w:tcW w:w="1336" w:type="dxa"/>
            <w:vAlign w:val="center"/>
          </w:tcPr>
          <w:p>
            <w:pPr>
              <w:widowControl w:val="0"/>
              <w:jc w:val="right"/>
              <w:rPr>
                <w:sz w:val="16"/>
                <w:szCs w:val="16"/>
              </w:rPr>
            </w:pPr>
            <w:r>
              <w:rPr>
                <w:sz w:val="16"/>
                <w:szCs w:val="16"/>
              </w:rPr>
              <w:t xml:space="preserve">1,136,359,516.65 </w:t>
            </w:r>
          </w:p>
        </w:tc>
        <w:tc>
          <w:tcPr>
            <w:tcW w:w="1216" w:type="dxa"/>
            <w:vAlign w:val="center"/>
          </w:tcPr>
          <w:p>
            <w:pPr>
              <w:widowControl w:val="0"/>
              <w:jc w:val="right"/>
              <w:rPr>
                <w:sz w:val="16"/>
                <w:szCs w:val="16"/>
              </w:rPr>
            </w:pPr>
            <w:r>
              <w:rPr>
                <w:sz w:val="16"/>
                <w:szCs w:val="16"/>
              </w:rPr>
              <w:t xml:space="preserve">878,882,423.21 </w:t>
            </w:r>
          </w:p>
        </w:tc>
        <w:tc>
          <w:tcPr>
            <w:tcW w:w="766" w:type="dxa"/>
          </w:tcPr>
          <w:p>
            <w:pPr>
              <w:widowControl w:val="0"/>
              <w:jc w:val="center"/>
              <w:rPr>
                <w:color w:val="000000" w:themeColor="text1"/>
                <w:sz w:val="16"/>
                <w:szCs w:val="16"/>
                <w14:textFill>
                  <w14:solidFill>
                    <w14:schemeClr w14:val="tx1"/>
                  </w14:solidFill>
                </w14:textFill>
              </w:rPr>
            </w:pPr>
            <w:r>
              <w:rPr>
                <w:sz w:val="16"/>
                <w:szCs w:val="16"/>
              </w:rPr>
              <w:t>/</w:t>
            </w:r>
          </w:p>
        </w:tc>
        <w:tc>
          <w:tcPr>
            <w:tcW w:w="823" w:type="dxa"/>
          </w:tcPr>
          <w:p>
            <w:pPr>
              <w:widowControl w:val="0"/>
              <w:jc w:val="center"/>
              <w:rPr>
                <w:color w:val="000000" w:themeColor="text1"/>
                <w:sz w:val="16"/>
                <w:szCs w:val="16"/>
                <w14:textFill>
                  <w14:solidFill>
                    <w14:schemeClr w14:val="tx1"/>
                  </w14:solidFill>
                </w14:textFill>
              </w:rPr>
            </w:pPr>
            <w:r>
              <w:rPr>
                <w:sz w:val="16"/>
                <w:szCs w:val="16"/>
              </w:rPr>
              <w:t>/</w:t>
            </w:r>
          </w:p>
        </w:tc>
        <w:tc>
          <w:tcPr>
            <w:tcW w:w="1336" w:type="dxa"/>
            <w:vAlign w:val="center"/>
          </w:tcPr>
          <w:p>
            <w:pPr>
              <w:widowControl w:val="0"/>
              <w:jc w:val="right"/>
              <w:rPr>
                <w:sz w:val="16"/>
                <w:szCs w:val="16"/>
              </w:rPr>
            </w:pPr>
            <w:r>
              <w:rPr>
                <w:sz w:val="16"/>
                <w:szCs w:val="16"/>
              </w:rPr>
              <w:t xml:space="preserve">1,174,614,861.35 </w:t>
            </w:r>
          </w:p>
        </w:tc>
        <w:tc>
          <w:tcPr>
            <w:tcW w:w="1216" w:type="dxa"/>
            <w:vAlign w:val="center"/>
          </w:tcPr>
          <w:p>
            <w:pPr>
              <w:widowControl w:val="0"/>
              <w:jc w:val="right"/>
              <w:rPr>
                <w:sz w:val="16"/>
                <w:szCs w:val="16"/>
              </w:rPr>
            </w:pPr>
            <w:r>
              <w:rPr>
                <w:sz w:val="16"/>
                <w:szCs w:val="16"/>
              </w:rPr>
              <w:t xml:space="preserve">955,894,725.18 </w:t>
            </w:r>
          </w:p>
        </w:tc>
        <w:tc>
          <w:tcPr>
            <w:tcW w:w="767" w:type="dxa"/>
          </w:tcPr>
          <w:p>
            <w:pPr>
              <w:widowControl w:val="0"/>
              <w:jc w:val="center"/>
              <w:rPr>
                <w:color w:val="000000" w:themeColor="text1"/>
                <w:sz w:val="16"/>
                <w:szCs w:val="16"/>
                <w14:textFill>
                  <w14:solidFill>
                    <w14:schemeClr w14:val="tx1"/>
                  </w14:solidFill>
                </w14:textFill>
              </w:rPr>
            </w:pPr>
            <w:r>
              <w:rPr>
                <w:sz w:val="16"/>
                <w:szCs w:val="16"/>
              </w:rPr>
              <w:t>/</w:t>
            </w:r>
          </w:p>
        </w:tc>
        <w:tc>
          <w:tcPr>
            <w:tcW w:w="767" w:type="dxa"/>
          </w:tcPr>
          <w:p>
            <w:pPr>
              <w:widowControl w:val="0"/>
              <w:jc w:val="center"/>
              <w:rPr>
                <w:color w:val="000000" w:themeColor="text1"/>
                <w:sz w:val="16"/>
                <w:szCs w:val="16"/>
                <w14:textFill>
                  <w14:solidFill>
                    <w14:schemeClr w14:val="tx1"/>
                  </w14:solidFill>
                </w14:textFill>
              </w:rPr>
            </w:pPr>
            <w:r>
              <w:rPr>
                <w:sz w:val="16"/>
                <w:szCs w:val="16"/>
              </w:rPr>
              <w:t>/</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所有权或使用权受到限制的资产的其他说明"/>
        <w:tag w:val="_GBC_571ebdda2c564d648db287965351cd50"/>
        <w:id w:val="123049821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366"/>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短期借款</w:t>
      </w:r>
    </w:p>
    <w:p>
      <w:pPr>
        <w:pStyle w:val="5"/>
        <w:numPr>
          <w:ilvl w:val="0"/>
          <w:numId w:val="62"/>
        </w:numPr>
        <w:tabs>
          <w:tab w:val="left" w:pos="630"/>
        </w:tabs>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短期借款分类</w:t>
      </w:r>
    </w:p>
    <w:sdt>
      <w:sdtPr>
        <w:rPr>
          <w:color w:val="000000" w:themeColor="text1"/>
          <w14:textFill>
            <w14:solidFill>
              <w14:schemeClr w14:val="tx1"/>
            </w14:solidFill>
          </w14:textFill>
        </w:rPr>
        <w:alias w:val="是否适用：短期借款分类[双击切换]"/>
        <w:tag w:val="_GBC_1074387a68b64f6b9270b522de53ad85"/>
        <w:id w:val="-186012298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短期借款分类"/>
          <w:tag w:val="_GBC_f3353209b65c4921b63143340e11aac9"/>
          <w:id w:val="-17481149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短期借款分类"/>
          <w:tag w:val="_GBC_b3a1802faad14eae96cfab316b25f639"/>
          <w:id w:val="-118111886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869"/>
        <w:gridCol w:w="3004"/>
        <w:gridCol w:w="3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tag w:val="_PLD_3476605067da474199aa03dc83e3d88c"/>
            <w:id w:val="1799954272"/>
          </w:sdtPr>
          <w:sdtContent>
            <w:tc>
              <w:tcPr>
                <w:tcW w:w="1613"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ccd6dc2751cc421e8a2f26f78a44b4c5"/>
            <w:id w:val="50280772"/>
          </w:sdtPr>
          <w:sdtContent>
            <w:tc>
              <w:tcPr>
                <w:tcW w:w="168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c16f582c583d4324abc605c4bc563081"/>
            <w:id w:val="1222633443"/>
          </w:sdtPr>
          <w:sdtContent>
            <w:tc>
              <w:tcPr>
                <w:tcW w:w="169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tcPr>
          <w:p>
            <w:pPr>
              <w:autoSpaceDE w:val="0"/>
              <w:autoSpaceDN w:val="0"/>
              <w:adjustRightInd w:val="0"/>
              <w:snapToGrid w:val="0"/>
              <w:spacing w:line="240" w:lineRule="atLeast"/>
              <w:jc w:val="both"/>
              <w:rPr>
                <w:color w:val="000000" w:themeColor="text1"/>
                <w14:textFill>
                  <w14:solidFill>
                    <w14:schemeClr w14:val="tx1"/>
                  </w14:solidFill>
                </w14:textFill>
              </w:rPr>
            </w:pPr>
            <w:r>
              <w:rPr>
                <w:rFonts w:hint="eastAsia"/>
              </w:rPr>
              <w:t>信用借款</w:t>
            </w:r>
          </w:p>
        </w:tc>
        <w:tc>
          <w:tcPr>
            <w:tcW w:w="1689" w:type="pct"/>
          </w:tcPr>
          <w:p>
            <w:pPr>
              <w:autoSpaceDE w:val="0"/>
              <w:autoSpaceDN w:val="0"/>
              <w:adjustRightInd w:val="0"/>
              <w:snapToGrid w:val="0"/>
              <w:spacing w:line="240" w:lineRule="atLeast"/>
              <w:ind w:right="180"/>
              <w:jc w:val="right"/>
            </w:pPr>
            <w:r>
              <w:t xml:space="preserve"> 264,174,650.73 </w:t>
            </w:r>
          </w:p>
        </w:tc>
        <w:tc>
          <w:tcPr>
            <w:tcW w:w="1698" w:type="pct"/>
          </w:tcPr>
          <w:p>
            <w:pPr>
              <w:autoSpaceDE w:val="0"/>
              <w:autoSpaceDN w:val="0"/>
              <w:adjustRightInd w:val="0"/>
              <w:snapToGrid w:val="0"/>
              <w:spacing w:line="240" w:lineRule="atLeast"/>
              <w:ind w:right="180"/>
              <w:jc w:val="right"/>
            </w:pPr>
            <w:r>
              <w:t xml:space="preserve"> 182,058,277.09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tcPr>
          <w:p>
            <w:pPr>
              <w:autoSpaceDE w:val="0"/>
              <w:autoSpaceDN w:val="0"/>
              <w:adjustRightInd w:val="0"/>
              <w:snapToGrid w:val="0"/>
              <w:spacing w:line="240" w:lineRule="atLeast"/>
              <w:jc w:val="both"/>
              <w:rPr>
                <w:color w:val="000000" w:themeColor="text1"/>
                <w14:textFill>
                  <w14:solidFill>
                    <w14:schemeClr w14:val="tx1"/>
                  </w14:solidFill>
                </w14:textFill>
              </w:rPr>
            </w:pPr>
            <w:r>
              <w:rPr>
                <w:rFonts w:hint="eastAsia"/>
              </w:rPr>
              <w:t>保证借款</w:t>
            </w:r>
          </w:p>
        </w:tc>
        <w:tc>
          <w:tcPr>
            <w:tcW w:w="1689" w:type="pct"/>
          </w:tcPr>
          <w:p>
            <w:pPr>
              <w:autoSpaceDE w:val="0"/>
              <w:autoSpaceDN w:val="0"/>
              <w:adjustRightInd w:val="0"/>
              <w:snapToGrid w:val="0"/>
              <w:spacing w:line="240" w:lineRule="atLeast"/>
              <w:ind w:right="180"/>
              <w:jc w:val="right"/>
            </w:pPr>
            <w:r>
              <w:t xml:space="preserve"> 48,060,881.51 </w:t>
            </w:r>
          </w:p>
        </w:tc>
        <w:tc>
          <w:tcPr>
            <w:tcW w:w="1698" w:type="pct"/>
          </w:tcPr>
          <w:p>
            <w:pPr>
              <w:autoSpaceDE w:val="0"/>
              <w:autoSpaceDN w:val="0"/>
              <w:adjustRightInd w:val="0"/>
              <w:snapToGrid w:val="0"/>
              <w:spacing w:line="240" w:lineRule="atLeast"/>
              <w:ind w:right="180"/>
              <w:jc w:val="right"/>
            </w:pPr>
            <w:r>
              <w:t xml:space="preserve"> 72,624,413.81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tcPr>
          <w:p>
            <w:pPr>
              <w:autoSpaceDE w:val="0"/>
              <w:autoSpaceDN w:val="0"/>
              <w:adjustRightInd w:val="0"/>
              <w:snapToGrid w:val="0"/>
              <w:spacing w:line="240" w:lineRule="atLeast"/>
              <w:jc w:val="both"/>
              <w:rPr>
                <w:color w:val="000000" w:themeColor="text1"/>
                <w14:textFill>
                  <w14:solidFill>
                    <w14:schemeClr w14:val="tx1"/>
                  </w14:solidFill>
                </w14:textFill>
              </w:rPr>
            </w:pPr>
            <w:r>
              <w:rPr>
                <w:rFonts w:hint="eastAsia"/>
              </w:rPr>
              <w:t>贴现票据</w:t>
            </w:r>
          </w:p>
        </w:tc>
        <w:tc>
          <w:tcPr>
            <w:tcW w:w="1689" w:type="pct"/>
          </w:tcPr>
          <w:p>
            <w:pPr>
              <w:autoSpaceDE w:val="0"/>
              <w:autoSpaceDN w:val="0"/>
              <w:adjustRightInd w:val="0"/>
              <w:snapToGrid w:val="0"/>
              <w:spacing w:line="240" w:lineRule="atLeast"/>
              <w:ind w:right="180"/>
              <w:jc w:val="right"/>
            </w:pPr>
            <w:r>
              <w:t xml:space="preserve"> 1,821,927.64 </w:t>
            </w:r>
          </w:p>
        </w:tc>
        <w:tc>
          <w:tcPr>
            <w:tcW w:w="1698" w:type="pct"/>
          </w:tcPr>
          <w:p>
            <w:pPr>
              <w:autoSpaceDE w:val="0"/>
              <w:autoSpaceDN w:val="0"/>
              <w:adjustRightInd w:val="0"/>
              <w:snapToGrid w:val="0"/>
              <w:spacing w:line="240" w:lineRule="atLeast"/>
              <w:ind w:right="180"/>
              <w:jc w:val="right"/>
            </w:pPr>
            <w:r>
              <w:t xml:space="preserve"> 5,451,000.00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13"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89" w:type="pct"/>
          </w:tcPr>
          <w:p>
            <w:pPr>
              <w:autoSpaceDE w:val="0"/>
              <w:autoSpaceDN w:val="0"/>
              <w:adjustRightInd w:val="0"/>
              <w:snapToGrid w:val="0"/>
              <w:spacing w:line="240" w:lineRule="atLeast"/>
              <w:ind w:right="180"/>
              <w:jc w:val="right"/>
            </w:pPr>
            <w:r>
              <w:t xml:space="preserve"> 314,057,459.88 </w:t>
            </w:r>
          </w:p>
        </w:tc>
        <w:tc>
          <w:tcPr>
            <w:tcW w:w="1698" w:type="pct"/>
          </w:tcPr>
          <w:p>
            <w:pPr>
              <w:autoSpaceDE w:val="0"/>
              <w:autoSpaceDN w:val="0"/>
              <w:adjustRightInd w:val="0"/>
              <w:snapToGrid w:val="0"/>
              <w:spacing w:line="240" w:lineRule="atLeast"/>
              <w:ind w:right="180"/>
              <w:jc w:val="right"/>
            </w:pPr>
            <w:r>
              <w:t xml:space="preserve"> 260,133,690.90 </w:t>
            </w:r>
          </w:p>
        </w:tc>
      </w:tr>
    </w:tbl>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短期借款分类的说明：</w:t>
      </w:r>
    </w:p>
    <w:sdt>
      <w:sdtPr>
        <w:rPr>
          <w:color w:val="000000" w:themeColor="text1"/>
          <w14:textFill>
            <w14:solidFill>
              <w14:schemeClr w14:val="tx1"/>
            </w14:solidFill>
          </w14:textFill>
        </w:rPr>
        <w:alias w:val="短期借款分类的说明"/>
        <w:tag w:val="_GBC_fc19e133dd4f4dbdb9d583e76175b714"/>
        <w:id w:val="1513946247"/>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5"/>
        <w:numPr>
          <w:ilvl w:val="0"/>
          <w:numId w:val="62"/>
        </w:numPr>
        <w:tabs>
          <w:tab w:val="left" w:pos="630"/>
        </w:tabs>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已逾期未偿还的短期借款情况</w:t>
      </w:r>
    </w:p>
    <w:sdt>
      <w:sdtPr>
        <w:rPr>
          <w:color w:val="000000" w:themeColor="text1"/>
          <w14:textFill>
            <w14:solidFill>
              <w14:schemeClr w14:val="tx1"/>
            </w14:solidFill>
          </w14:textFill>
        </w:rPr>
        <w:alias w:val="是否适用：已逾期未偿还的短期借款情况[双击切换]"/>
        <w:tag w:val="_GBC_57f74ff95a304f19a7c06d7996fc30c7"/>
        <w:id w:val="90973407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短期借款的说明[双击切换]"/>
        <w:tag w:val="_GBC_663e3ee6df014147bb9c7daa18ccb062"/>
        <w:id w:val="198179707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bookmarkStart w:id="367" w:name="_Hlk167960253"/>
      <w:bookmarkStart w:id="368" w:name="_Hlk533422954"/>
      <w:bookmarkStart w:id="369" w:name="_Hlk533670147"/>
      <w:r>
        <w:rPr>
          <w:color w:val="000000" w:themeColor="text1"/>
          <w:szCs w:val="21"/>
          <w14:textFill>
            <w14:solidFill>
              <w14:schemeClr w14:val="tx1"/>
            </w14:solidFill>
          </w14:textFill>
        </w:rPr>
        <w:t>交易性金融负债</w:t>
      </w:r>
    </w:p>
    <w:sdt>
      <w:sdtPr>
        <w:rPr>
          <w:color w:val="000000" w:themeColor="text1"/>
          <w14:textFill>
            <w14:solidFill>
              <w14:schemeClr w14:val="tx1"/>
            </w14:solidFill>
          </w14:textFill>
        </w:rPr>
        <w:alias w:val="是否适用：交易性金融负债[双击切换]"/>
        <w:tag w:val="_GBC_c80a748cb25743768dff0a872a281bca"/>
        <w:id w:val="-41678444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w:t>
      </w:r>
    </w:p>
    <w:sdt>
      <w:sdtPr>
        <w:rPr>
          <w:color w:val="000000" w:themeColor="text1"/>
          <w14:textFill>
            <w14:solidFill>
              <w14:schemeClr w14:val="tx1"/>
            </w14:solidFill>
          </w14:textFill>
        </w:rPr>
        <w:alias w:val="是否适用：交易性金融负债的说明[双击切换]"/>
        <w:tag w:val="_GBC_692d0bb6340447f685684271256fa188"/>
        <w:id w:val="63475588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67"/>
    <w:bookmarkEnd w:id="368"/>
    <w:bookmarkEnd w:id="369"/>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衍生金融负债</w:t>
      </w:r>
    </w:p>
    <w:sdt>
      <w:sdtPr>
        <w:rPr>
          <w:color w:val="000000" w:themeColor="text1"/>
          <w14:textFill>
            <w14:solidFill>
              <w14:schemeClr w14:val="tx1"/>
            </w14:solidFill>
          </w14:textFill>
        </w:rPr>
        <w:alias w:val="是否适用：衍生金融负债[双击切换]"/>
        <w:tag w:val="_GBC_3a60c0d3d0534eba80b93475b0a6411f"/>
        <w:id w:val="94674452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应付票据</w:t>
      </w:r>
    </w:p>
    <w:sdt>
      <w:sdtPr>
        <w:rPr>
          <w:color w:val="000000" w:themeColor="text1"/>
          <w14:textFill>
            <w14:solidFill>
              <w14:schemeClr w14:val="tx1"/>
            </w14:solidFill>
          </w14:textFill>
        </w:rPr>
        <w:alias w:val="是否适用：应付票据[双击切换]"/>
        <w:tag w:val="_GBC_57c67181b34944e782b23a48b1843e8f"/>
        <w:id w:val="1696964605"/>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bookmarkStart w:id="370" w:name="_Hlk167960344"/>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票据"/>
          <w:tag w:val="_GBC_db69c246a0d14735805df636930e34ba"/>
          <w:id w:val="9290789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票据"/>
          <w:tag w:val="_GBC_f734b21fc72c43feb20eaf84762dfd7f"/>
          <w:id w:val="7163371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310"/>
        <w:gridCol w:w="3338"/>
        <w:gridCol w:w="3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tag w:val="_PLD_faa4f5cfe5ae4b0a9c786ca922191e7e"/>
            <w:id w:val="-715501640"/>
          </w:sdtPr>
          <w:sdtContent>
            <w:tc>
              <w:tcPr>
                <w:tcW w:w="1299"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种类</w:t>
                </w:r>
              </w:p>
            </w:tc>
          </w:sdtContent>
        </w:sdt>
        <w:sdt>
          <w:sdtPr>
            <w:tag w:val="_PLD_b51f0f25994640289becfaca28eb1d5c"/>
            <w:id w:val="-1942444381"/>
          </w:sdtPr>
          <w:sdtContent>
            <w:tc>
              <w:tcPr>
                <w:tcW w:w="1877"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996d96c1a15e479289fa9e0699e2822e"/>
            <w:id w:val="436491848"/>
          </w:sdtPr>
          <w:sdtContent>
            <w:tc>
              <w:tcPr>
                <w:tcW w:w="1824"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99"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rPr>
              <w:t>银行承兑汇票</w:t>
            </w:r>
          </w:p>
        </w:tc>
        <w:tc>
          <w:tcPr>
            <w:tcW w:w="1877" w:type="pct"/>
          </w:tcPr>
          <w:p>
            <w:pPr>
              <w:ind w:right="13"/>
              <w:jc w:val="right"/>
            </w:pPr>
            <w:r>
              <w:t xml:space="preserve"> 516,273,430.10 </w:t>
            </w:r>
          </w:p>
        </w:tc>
        <w:tc>
          <w:tcPr>
            <w:tcW w:w="1824" w:type="pct"/>
          </w:tcPr>
          <w:p>
            <w:pPr>
              <w:jc w:val="right"/>
            </w:pPr>
            <w:r>
              <w:t xml:space="preserve"> 680,705,800.55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9"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rPr>
              <w:t>商业承兑汇票</w:t>
            </w:r>
          </w:p>
        </w:tc>
        <w:tc>
          <w:tcPr>
            <w:tcW w:w="1877" w:type="pct"/>
          </w:tcPr>
          <w:p>
            <w:pPr>
              <w:ind w:right="13"/>
              <w:jc w:val="right"/>
            </w:pPr>
            <w:r>
              <w:t xml:space="preserve"> 146,182,563.53 </w:t>
            </w:r>
          </w:p>
        </w:tc>
        <w:tc>
          <w:tcPr>
            <w:tcW w:w="1824" w:type="pct"/>
          </w:tcPr>
          <w:p>
            <w:pPr>
              <w:jc w:val="right"/>
            </w:pPr>
            <w:r>
              <w:t xml:space="preserve"> 197,452,251.05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299"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877" w:type="pct"/>
          </w:tcPr>
          <w:p>
            <w:pPr>
              <w:jc w:val="right"/>
            </w:pPr>
            <w:r>
              <w:t xml:space="preserve"> 662,455,993.63 </w:t>
            </w:r>
          </w:p>
        </w:tc>
        <w:tc>
          <w:tcPr>
            <w:tcW w:w="1824" w:type="pct"/>
          </w:tcPr>
          <w:p>
            <w:pPr>
              <w:jc w:val="right"/>
            </w:pPr>
            <w:r>
              <w:t xml:space="preserve"> 878,158,051.60 </w:t>
            </w:r>
          </w:p>
        </w:tc>
      </w:tr>
    </w:tbl>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本期末已到期未支付的应付票据总额为</w:t>
      </w:r>
      <w:sdt>
        <w:sdtPr>
          <w:rPr>
            <w:rFonts w:hint="eastAsia"/>
            <w:color w:val="000000" w:themeColor="text1"/>
            <w14:textFill>
              <w14:solidFill>
                <w14:schemeClr w14:val="tx1"/>
              </w14:solidFill>
            </w14:textFill>
          </w:rPr>
          <w:alias w:val="已到期未支付的应付票据总额"/>
          <w:tag w:val="_GBC_c9651441e218453780f22db83f133e6a"/>
          <w:id w:val="1783235401"/>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 xml:space="preserve"> 元。到期未付的原因是</w:t>
      </w:r>
      <w:sdt>
        <w:sdtPr>
          <w:rPr>
            <w:rFonts w:hint="eastAsia"/>
            <w:color w:val="000000" w:themeColor="text1"/>
            <w14:textFill>
              <w14:solidFill>
                <w14:schemeClr w14:val="tx1"/>
              </w14:solidFill>
            </w14:textFill>
          </w:rPr>
          <w:alias w:val="应付票据到期未付的原因"/>
          <w:tag w:val="_GBC_73acd2fa7a344753a71cf43e98373b73"/>
          <w:id w:val="1647398261"/>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不适用</w:t>
          </w:r>
        </w:sdtContent>
      </w:sdt>
    </w:p>
    <w:bookmarkEnd w:id="370"/>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应付账款</w:t>
      </w:r>
    </w:p>
    <w:p>
      <w:pPr>
        <w:pStyle w:val="5"/>
        <w:numPr>
          <w:ilvl w:val="0"/>
          <w:numId w:val="63"/>
        </w:numPr>
        <w:tabs>
          <w:tab w:val="left" w:pos="588"/>
        </w:tabs>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应付账款列示</w:t>
      </w:r>
    </w:p>
    <w:sdt>
      <w:sdtPr>
        <w:rPr>
          <w:color w:val="000000" w:themeColor="text1"/>
          <w14:textFill>
            <w14:solidFill>
              <w14:schemeClr w14:val="tx1"/>
            </w14:solidFill>
          </w14:textFill>
        </w:rPr>
        <w:alias w:val="是否适用：应付账款列示[双击切换]"/>
        <w:tag w:val="_GBC_8531771c226a4fb0b98e3cdaf7271c71"/>
        <w:id w:val="-72043291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账款情况"/>
          <w:tag w:val="_GBC_53c05e3ea1bb4f08bbe5cf204a0947b9"/>
          <w:id w:val="2076953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账款情况"/>
          <w:tag w:val="_GBC_e10cb0a664ca4400817c8a2bcf9247fc"/>
          <w:id w:val="16243756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67"/>
        <w:gridCol w:w="3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dae27caeee34d74add24cd985083c75"/>
            <w:id w:val="-211046412"/>
          </w:sdtPr>
          <w:sdtContent>
            <w:tc>
              <w:tcPr>
                <w:tcW w:w="1570"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36ba417561e421ea02da8004fdf8b33"/>
            <w:id w:val="2069459653"/>
          </w:sdtPr>
          <w:sdtContent>
            <w:tc>
              <w:tcPr>
                <w:tcW w:w="1584"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c4b311c1ee54bd48b7b2ba2ab79c364"/>
            <w:id w:val="1274512501"/>
          </w:sdtPr>
          <w:sdtContent>
            <w:tc>
              <w:tcPr>
                <w:tcW w:w="1846"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Pr>
          <w:p>
            <w:pPr>
              <w:pStyle w:val="48"/>
            </w:pPr>
            <w:r>
              <w:rPr>
                <w:rFonts w:hint="eastAsia"/>
              </w:rPr>
              <w:t>材料款</w:t>
            </w:r>
          </w:p>
        </w:tc>
        <w:tc>
          <w:tcPr>
            <w:tcW w:w="1584" w:type="pct"/>
          </w:tcPr>
          <w:p>
            <w:pPr>
              <w:jc w:val="right"/>
            </w:pPr>
            <w:r>
              <w:t xml:space="preserve"> 597,829,579.84 </w:t>
            </w:r>
          </w:p>
        </w:tc>
        <w:tc>
          <w:tcPr>
            <w:tcW w:w="1846" w:type="pct"/>
          </w:tcPr>
          <w:p>
            <w:pPr>
              <w:jc w:val="right"/>
            </w:pPr>
            <w:r>
              <w:rPr>
                <w:rFonts w:hint="eastAsia"/>
              </w:rPr>
              <w:t xml:space="preserve"> 554,320,681.02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Pr>
          <w:p>
            <w:pPr>
              <w:pStyle w:val="48"/>
            </w:pPr>
            <w:r>
              <w:rPr>
                <w:rFonts w:hint="eastAsia"/>
              </w:rPr>
              <w:t>工程设备款</w:t>
            </w:r>
          </w:p>
        </w:tc>
        <w:tc>
          <w:tcPr>
            <w:tcW w:w="1584" w:type="pct"/>
          </w:tcPr>
          <w:p>
            <w:pPr>
              <w:jc w:val="right"/>
            </w:pPr>
            <w:r>
              <w:t xml:space="preserve"> 77,911,400.96 </w:t>
            </w:r>
          </w:p>
        </w:tc>
        <w:tc>
          <w:tcPr>
            <w:tcW w:w="1846" w:type="pct"/>
          </w:tcPr>
          <w:p>
            <w:pPr>
              <w:jc w:val="right"/>
            </w:pPr>
            <w:r>
              <w:rPr>
                <w:rFonts w:hint="eastAsia"/>
              </w:rPr>
              <w:t xml:space="preserve"> 123,357,124.71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Pr>
          <w:p>
            <w:pPr>
              <w:pStyle w:val="48"/>
            </w:pPr>
            <w:r>
              <w:rPr>
                <w:rFonts w:hint="eastAsia"/>
              </w:rPr>
              <w:t>服务款</w:t>
            </w:r>
          </w:p>
        </w:tc>
        <w:tc>
          <w:tcPr>
            <w:tcW w:w="1584" w:type="pct"/>
          </w:tcPr>
          <w:p>
            <w:pPr>
              <w:jc w:val="right"/>
            </w:pPr>
            <w:r>
              <w:t xml:space="preserve"> 86,910,662.52 </w:t>
            </w:r>
          </w:p>
        </w:tc>
        <w:tc>
          <w:tcPr>
            <w:tcW w:w="1846" w:type="pct"/>
          </w:tcPr>
          <w:p>
            <w:pPr>
              <w:jc w:val="right"/>
            </w:pPr>
            <w:r>
              <w:rPr>
                <w:rFonts w:hint="eastAsia"/>
              </w:rPr>
              <w:t xml:space="preserve"> 66,315,010.09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84" w:type="pct"/>
          </w:tcPr>
          <w:p>
            <w:pPr>
              <w:jc w:val="right"/>
            </w:pPr>
            <w:r>
              <w:t xml:space="preserve"> 762,651,643.32 </w:t>
            </w:r>
          </w:p>
        </w:tc>
        <w:tc>
          <w:tcPr>
            <w:tcW w:w="1846" w:type="pct"/>
          </w:tcPr>
          <w:p>
            <w:pPr>
              <w:jc w:val="right"/>
            </w:pPr>
            <w:r>
              <w:t xml:space="preserve"> 743,992,815.82 </w:t>
            </w:r>
          </w:p>
        </w:tc>
      </w:tr>
    </w:tbl>
    <w:p>
      <w:pPr>
        <w:pStyle w:val="5"/>
        <w:numPr>
          <w:ilvl w:val="0"/>
          <w:numId w:val="63"/>
        </w:numPr>
        <w:tabs>
          <w:tab w:val="left" w:pos="588"/>
        </w:tabs>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账龄超过1年或逾期的重要应付账款</w:t>
      </w:r>
    </w:p>
    <w:sdt>
      <w:sdtPr>
        <w:rPr>
          <w:color w:val="000000" w:themeColor="text1"/>
          <w14:textFill>
            <w14:solidFill>
              <w14:schemeClr w14:val="tx1"/>
            </w14:solidFill>
          </w14:textFill>
        </w:rPr>
        <w:alias w:val="是否适用：账龄超过1年的重要应付账款[双击切换]"/>
        <w:tag w:val="_GBC_02c6e7ed8ae149e8a09f5b80217deb89"/>
        <w:id w:val="-94800399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付账款的其他说明[双击切换]"/>
        <w:tag w:val="_GBC_9a797e83ea1747e9aca4221e6cdfe89f"/>
        <w:id w:val="159998136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预收款项</w:t>
      </w:r>
    </w:p>
    <w:p>
      <w:pPr>
        <w:pStyle w:val="5"/>
        <w:numPr>
          <w:ilvl w:val="0"/>
          <w:numId w:val="64"/>
        </w:num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预收账款项列示</w:t>
      </w:r>
    </w:p>
    <w:sdt>
      <w:sdtPr>
        <w:rPr>
          <w:color w:val="000000" w:themeColor="text1"/>
          <w14:textFill>
            <w14:solidFill>
              <w14:schemeClr w14:val="tx1"/>
            </w14:solidFill>
          </w14:textFill>
        </w:rPr>
        <w:alias w:val="是否适用：预收账款项列示[双击切换]"/>
        <w:tag w:val="_GBC_cf9ab7f5f12c4f788a9bbb6e3ef9c9de"/>
        <w:id w:val="-177299987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64"/>
        </w:num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账龄超过1年的重要预收款项</w:t>
      </w:r>
    </w:p>
    <w:sdt>
      <w:sdtPr>
        <w:rPr>
          <w:color w:val="000000" w:themeColor="text1"/>
          <w14:textFill>
            <w14:solidFill>
              <w14:schemeClr w14:val="tx1"/>
            </w14:solidFill>
          </w14:textFill>
        </w:rPr>
        <w:alias w:val="是否适用：账龄超过1年的重要预收款项[双击切换]"/>
        <w:tag w:val="_GBC_ae7ea5bab4b04b2cb170af5020f86302"/>
        <w:id w:val="-143443285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64"/>
        </w:numPr>
        <w:rPr>
          <w:rFonts w:hint="eastAsia" w:ascii="宋体" w:hAnsi="宋体"/>
          <w:color w:val="000000" w:themeColor="text1"/>
          <w:szCs w:val="21"/>
          <w14:textFill>
            <w14:solidFill>
              <w14:schemeClr w14:val="tx1"/>
            </w14:solidFill>
          </w14:textFill>
        </w:rPr>
      </w:pPr>
      <w:bookmarkStart w:id="371" w:name="_Hlk167960464"/>
      <w:r>
        <w:rPr>
          <w:rFonts w:hint="eastAsia" w:ascii="宋体" w:hAnsi="宋体"/>
          <w:color w:val="000000" w:themeColor="text1"/>
          <w:szCs w:val="21"/>
          <w14:textFill>
            <w14:solidFill>
              <w14:schemeClr w14:val="tx1"/>
            </w14:solidFill>
          </w14:textFill>
        </w:rPr>
        <w:t>报告期内账面价值发生重大变动的金额和原因</w:t>
      </w:r>
    </w:p>
    <w:sdt>
      <w:sdtPr>
        <w:rPr>
          <w:color w:val="000000" w:themeColor="text1"/>
          <w14:textFill>
            <w14:solidFill>
              <w14:schemeClr w14:val="tx1"/>
            </w14:solidFill>
          </w14:textFill>
        </w:rPr>
        <w:alias w:val="是否适用：预收款项账面价值发生重大变动的金额和原因?[双击切换]"/>
        <w:tag w:val="_GBC_e406dc580328407abd4af2aa60e13e28"/>
        <w:id w:val="-54730086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71"/>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预收账款的其他说明[双击切换]"/>
        <w:tag w:val="_GBC_f473b6b28a104ffc812e6da4cf5177e5"/>
        <w:id w:val="-151028907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bookmarkStart w:id="372" w:name="_Hlk10535609"/>
      <w:r>
        <w:rPr>
          <w:color w:val="000000" w:themeColor="text1"/>
          <w:szCs w:val="21"/>
          <w14:textFill>
            <w14:solidFill>
              <w14:schemeClr w14:val="tx1"/>
            </w14:solidFill>
          </w14:textFill>
        </w:rPr>
        <w:t>合同负债</w:t>
      </w:r>
    </w:p>
    <w:p>
      <w:pPr>
        <w:pStyle w:val="5"/>
        <w:numPr>
          <w:ilvl w:val="0"/>
          <w:numId w:val="65"/>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合同负债情况</w:t>
      </w:r>
    </w:p>
    <w:sdt>
      <w:sdtPr>
        <w:rPr>
          <w:color w:val="000000" w:themeColor="text1"/>
          <w14:textFill>
            <w14:solidFill>
              <w14:schemeClr w14:val="tx1"/>
            </w14:solidFill>
          </w14:textFill>
        </w:rPr>
        <w:alias w:val="是否适用：合同负债情况[双击切换]"/>
        <w:tag w:val="_GBC_2b6238a8ea00438eab947f83a5f6451d"/>
        <w:id w:val="-129544098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ind w:left="36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合同负债情况"/>
          <w:tag w:val="_GBC_0024c0ddc3514b009e8166b63dc10ae9"/>
          <w:id w:val="6962747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合同负债情况"/>
          <w:tag w:val="_GBC_154d9411b9764a4f8e1412d0a22c8375"/>
          <w:id w:val="157553982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7"/>
        <w:gridCol w:w="3078"/>
        <w:gridCol w:w="3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5e783ac966e416184ff57e436f98be2"/>
            <w:id w:val="44343599"/>
          </w:sdtPr>
          <w:sdtContent>
            <w:tc>
              <w:tcPr>
                <w:tcW w:w="1601"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a4f8a9567271447e9f7bc01f59c6eed6"/>
            <w:id w:val="-681444140"/>
          </w:sdtPr>
          <w:sdtContent>
            <w:tc>
              <w:tcPr>
                <w:tcW w:w="1701"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8f751ec83834a96b0e87c862d2ae80b"/>
            <w:id w:val="-1293281974"/>
          </w:sdtPr>
          <w:sdtContent>
            <w:tc>
              <w:tcPr>
                <w:tcW w:w="1698"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Pr>
          <w:p>
            <w:pPr>
              <w:pStyle w:val="48"/>
            </w:pPr>
            <w:r>
              <w:t>商品销售款</w:t>
            </w:r>
          </w:p>
        </w:tc>
        <w:tc>
          <w:tcPr>
            <w:tcW w:w="1701" w:type="pct"/>
          </w:tcPr>
          <w:p>
            <w:pPr>
              <w:jc w:val="right"/>
            </w:pPr>
            <w:r>
              <w:t xml:space="preserve">163,472,399.84 </w:t>
            </w:r>
          </w:p>
        </w:tc>
        <w:tc>
          <w:tcPr>
            <w:tcW w:w="1698" w:type="pct"/>
          </w:tcPr>
          <w:p>
            <w:pPr>
              <w:jc w:val="right"/>
            </w:pPr>
            <w:r>
              <w:t xml:space="preserve"> 127,805,864.76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701" w:type="pct"/>
          </w:tcPr>
          <w:p>
            <w:pPr>
              <w:jc w:val="right"/>
            </w:pPr>
            <w:r>
              <w:t xml:space="preserve">163,472,399.84 </w:t>
            </w:r>
          </w:p>
        </w:tc>
        <w:tc>
          <w:tcPr>
            <w:tcW w:w="1698" w:type="pct"/>
          </w:tcPr>
          <w:p>
            <w:pPr>
              <w:jc w:val="right"/>
            </w:pPr>
            <w:r>
              <w:t xml:space="preserve"> 127,805,864.76 </w:t>
            </w:r>
          </w:p>
        </w:tc>
      </w:tr>
      <w:bookmarkEnd w:id="372"/>
    </w:tbl>
    <w:p>
      <w:pPr>
        <w:pStyle w:val="5"/>
        <w:numPr>
          <w:ilvl w:val="0"/>
          <w:numId w:val="65"/>
        </w:numPr>
        <w:rPr>
          <w:rFonts w:hint="eastAsia" w:ascii="宋体" w:hAnsi="宋体"/>
          <w:color w:val="000000" w:themeColor="text1"/>
          <w14:textFill>
            <w14:solidFill>
              <w14:schemeClr w14:val="tx1"/>
            </w14:solidFill>
          </w14:textFill>
        </w:rPr>
      </w:pPr>
      <w:bookmarkStart w:id="373" w:name="_Hlk167960548"/>
      <w:r>
        <w:rPr>
          <w:rFonts w:hint="eastAsia" w:ascii="宋体" w:hAnsi="宋体"/>
          <w:color w:val="000000" w:themeColor="text1"/>
          <w14:textFill>
            <w14:solidFill>
              <w14:schemeClr w14:val="tx1"/>
            </w14:solidFill>
          </w14:textFill>
        </w:rPr>
        <w:t>账龄超过1年的重要合同负债</w:t>
      </w:r>
    </w:p>
    <w:sdt>
      <w:sdtPr>
        <w:rPr>
          <w:color w:val="000000" w:themeColor="text1"/>
          <w14:textFill>
            <w14:solidFill>
              <w14:schemeClr w14:val="tx1"/>
            </w14:solidFill>
          </w14:textFill>
        </w:rPr>
        <w:alias w:val="是否适用：账龄超过1年的重要合同负债明细[双击切换]"/>
        <w:tag w:val="_GBC_aef24e08ea524c9a9a25ec0e93c6c574"/>
        <w:id w:val="-14837627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73"/>
    <w:p>
      <w:pPr>
        <w:pStyle w:val="5"/>
        <w:numPr>
          <w:ilvl w:val="0"/>
          <w:numId w:val="65"/>
        </w:numPr>
        <w:rPr>
          <w:rFonts w:hint="eastAsia" w:ascii="宋体" w:hAnsi="宋体"/>
          <w:color w:val="000000" w:themeColor="text1"/>
          <w14:textFill>
            <w14:solidFill>
              <w14:schemeClr w14:val="tx1"/>
            </w14:solidFill>
          </w14:textFill>
        </w:rPr>
      </w:pPr>
      <w:bookmarkStart w:id="374" w:name="_Hlk10535674"/>
      <w:r>
        <w:rPr>
          <w:rFonts w:hint="eastAsia" w:ascii="宋体" w:hAnsi="宋体"/>
          <w:color w:val="000000" w:themeColor="text1"/>
          <w14:textFill>
            <w14:solidFill>
              <w14:schemeClr w14:val="tx1"/>
            </w14:solidFill>
          </w14:textFill>
        </w:rPr>
        <w:t>报告期内账面价值发生重大变动的金额和原因</w:t>
      </w:r>
    </w:p>
    <w:sdt>
      <w:sdtPr>
        <w:rPr>
          <w:color w:val="000000" w:themeColor="text1"/>
          <w14:textFill>
            <w14:solidFill>
              <w14:schemeClr w14:val="tx1"/>
            </w14:solidFill>
          </w14:textFill>
        </w:rPr>
        <w:alias w:val="是否适用：合同负债账面价值发生重大变动[双击切换]"/>
        <w:tag w:val="_GBC_18d9cdd7095d4bda8f22860c58746248"/>
        <w:id w:val="-11960283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74"/>
    <w:p>
      <w:pPr>
        <w:rPr>
          <w:color w:val="000000" w:themeColor="text1"/>
          <w14:textFill>
            <w14:solidFill>
              <w14:schemeClr w14:val="tx1"/>
            </w14:solidFill>
          </w14:textFill>
        </w:rPr>
      </w:pPr>
      <w:bookmarkStart w:id="375" w:name="_Hlk10535687"/>
      <w:bookmarkStart w:id="376" w:name="_Hlk10535696"/>
      <w:r>
        <w:rPr>
          <w:rFonts w:hint="eastAsia"/>
          <w:color w:val="000000" w:themeColor="text1"/>
          <w14:textFill>
            <w14:solidFill>
              <w14:schemeClr w14:val="tx1"/>
            </w14:solidFill>
          </w14:textFill>
        </w:rPr>
        <w:t>其他说明：</w:t>
      </w:r>
      <w:bookmarkEnd w:id="375"/>
    </w:p>
    <w:sdt>
      <w:sdtPr>
        <w:rPr>
          <w:color w:val="000000" w:themeColor="text1"/>
          <w14:textFill>
            <w14:solidFill>
              <w14:schemeClr w14:val="tx1"/>
            </w14:solidFill>
          </w14:textFill>
        </w:rPr>
        <w:alias w:val="是否适用：合同负债其他说明[双击切换]"/>
        <w:tag w:val="_GBC_f73cf097b72042508657c656d4dc0c08"/>
        <w:id w:val="-167726679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76"/>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应付职工薪酬</w:t>
      </w:r>
    </w:p>
    <w:p>
      <w:pPr>
        <w:pStyle w:val="5"/>
        <w:numPr>
          <w:ilvl w:val="0"/>
          <w:numId w:val="66"/>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应付职工薪酬列示</w:t>
      </w:r>
    </w:p>
    <w:sdt>
      <w:sdtPr>
        <w:rPr>
          <w:color w:val="000000" w:themeColor="text1"/>
          <w14:textFill>
            <w14:solidFill>
              <w14:schemeClr w14:val="tx1"/>
            </w14:solidFill>
          </w14:textFill>
        </w:rPr>
        <w:alias w:val="是否适用：应付职工薪酬列示[双击切换]"/>
        <w:tag w:val="_GBC_88faccc480a843dca589c1af0d3fee37"/>
        <w:id w:val="-54336757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付职工薪酬"/>
          <w:tag w:val="_GBC_5c4cdcd7cd924c4ca8e87f806bc459b0"/>
          <w:id w:val="169549710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付职工薪酬"/>
          <w:tag w:val="_GBC_1b7f0fd0ca54470ca12f1037c092be9a"/>
          <w:id w:val="-211250650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0"/>
        <w:gridCol w:w="1502"/>
        <w:gridCol w:w="1247"/>
        <w:gridCol w:w="1609"/>
        <w:gridCol w:w="1609"/>
        <w:gridCol w:w="1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481bea2acb8f49ac9b4cfc92cd4a426e"/>
            <w:id w:val="650024680"/>
          </w:sdtPr>
          <w:sdtContent>
            <w:tc>
              <w:tcPr>
                <w:tcW w:w="87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f27c0f5bcb94d9b932762b91edf2ff1"/>
            <w:id w:val="-1854324823"/>
          </w:sdtPr>
          <w:sdtContent>
            <w:tc>
              <w:tcPr>
                <w:tcW w:w="83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c>
          <w:tcPr>
            <w:tcW w:w="689" w:type="pct"/>
            <w:vAlign w:val="center"/>
          </w:tcPr>
          <w:p>
            <w:pPr>
              <w:jc w:val="center"/>
            </w:pPr>
            <w:r>
              <w:rPr>
                <w:rFonts w:hint="eastAsia"/>
              </w:rPr>
              <w:t>企业合并增加</w:t>
            </w:r>
          </w:p>
        </w:tc>
        <w:sdt>
          <w:sdtPr>
            <w:tag w:val="_PLD_7274636f27ae4e048ade60bfddaa8164"/>
            <w:id w:val="-1978368455"/>
          </w:sdtPr>
          <w:sdtContent>
            <w:tc>
              <w:tcPr>
                <w:tcW w:w="88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07ae572963de436aa2308d649a28c23b"/>
            <w:id w:val="-1219198020"/>
          </w:sdtPr>
          <w:sdtContent>
            <w:tc>
              <w:tcPr>
                <w:tcW w:w="88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27069329d7654e34bc45ca7dee532204"/>
            <w:id w:val="650646627"/>
          </w:sdtPr>
          <w:sdtContent>
            <w:tc>
              <w:tcPr>
                <w:tcW w:w="83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一、短期薪酬</w:t>
            </w:r>
          </w:p>
        </w:tc>
        <w:tc>
          <w:tcPr>
            <w:tcW w:w="830" w:type="pct"/>
            <w:vAlign w:val="center"/>
          </w:tcPr>
          <w:p>
            <w:pPr>
              <w:jc w:val="right"/>
            </w:pPr>
            <w:r>
              <w:t xml:space="preserve">58,008,505.93 </w:t>
            </w:r>
          </w:p>
        </w:tc>
        <w:tc>
          <w:tcPr>
            <w:tcW w:w="689" w:type="pct"/>
            <w:vAlign w:val="center"/>
          </w:tcPr>
          <w:p>
            <w:pPr>
              <w:jc w:val="right"/>
            </w:pPr>
            <w:r>
              <w:t xml:space="preserve"> 71,000.00 </w:t>
            </w:r>
          </w:p>
        </w:tc>
        <w:tc>
          <w:tcPr>
            <w:tcW w:w="889" w:type="pct"/>
            <w:vAlign w:val="center"/>
          </w:tcPr>
          <w:p>
            <w:pPr>
              <w:jc w:val="right"/>
            </w:pPr>
            <w:r>
              <w:t xml:space="preserve">137,221,033.08 </w:t>
            </w:r>
          </w:p>
        </w:tc>
        <w:tc>
          <w:tcPr>
            <w:tcW w:w="889" w:type="pct"/>
            <w:vAlign w:val="center"/>
          </w:tcPr>
          <w:p>
            <w:pPr>
              <w:jc w:val="right"/>
            </w:pPr>
            <w:r>
              <w:t xml:space="preserve">172,533,003.35 </w:t>
            </w:r>
          </w:p>
        </w:tc>
        <w:tc>
          <w:tcPr>
            <w:tcW w:w="830" w:type="pct"/>
            <w:vAlign w:val="center"/>
          </w:tcPr>
          <w:p>
            <w:pPr>
              <w:jc w:val="right"/>
            </w:pPr>
            <w:r>
              <w:t>22,767,535.66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二、离职后福利-设定提存计划</w:t>
            </w:r>
          </w:p>
        </w:tc>
        <w:tc>
          <w:tcPr>
            <w:tcW w:w="830" w:type="pct"/>
            <w:vAlign w:val="center"/>
          </w:tcPr>
          <w:p>
            <w:pPr>
              <w:jc w:val="right"/>
            </w:pPr>
            <w:r>
              <w:t xml:space="preserve"> 34,447.23 </w:t>
            </w:r>
          </w:p>
        </w:tc>
        <w:tc>
          <w:tcPr>
            <w:tcW w:w="689" w:type="pct"/>
            <w:vAlign w:val="center"/>
          </w:tcPr>
          <w:p>
            <w:pPr>
              <w:jc w:val="right"/>
            </w:pPr>
          </w:p>
        </w:tc>
        <w:tc>
          <w:tcPr>
            <w:tcW w:w="889" w:type="pct"/>
            <w:vAlign w:val="center"/>
          </w:tcPr>
          <w:p>
            <w:pPr>
              <w:jc w:val="right"/>
            </w:pPr>
            <w:r>
              <w:t xml:space="preserve"> 12,759,941.17 </w:t>
            </w:r>
          </w:p>
        </w:tc>
        <w:tc>
          <w:tcPr>
            <w:tcW w:w="889" w:type="pct"/>
            <w:vAlign w:val="center"/>
          </w:tcPr>
          <w:p>
            <w:pPr>
              <w:jc w:val="right"/>
            </w:pPr>
            <w:r>
              <w:t xml:space="preserve"> 12,777,927.69 </w:t>
            </w:r>
          </w:p>
        </w:tc>
        <w:tc>
          <w:tcPr>
            <w:tcW w:w="830" w:type="pct"/>
            <w:vAlign w:val="center"/>
          </w:tcPr>
          <w:p>
            <w:pPr>
              <w:jc w:val="right"/>
            </w:pPr>
            <w:r>
              <w:t xml:space="preserve"> 16,460.71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三、辞退福利</w:t>
            </w:r>
          </w:p>
        </w:tc>
        <w:tc>
          <w:tcPr>
            <w:tcW w:w="830" w:type="pct"/>
            <w:vAlign w:val="center"/>
          </w:tcPr>
          <w:p>
            <w:pPr>
              <w:jc w:val="right"/>
            </w:pPr>
          </w:p>
        </w:tc>
        <w:tc>
          <w:tcPr>
            <w:tcW w:w="689" w:type="pct"/>
            <w:vAlign w:val="center"/>
          </w:tcPr>
          <w:p>
            <w:pPr>
              <w:jc w:val="right"/>
            </w:pPr>
          </w:p>
        </w:tc>
        <w:tc>
          <w:tcPr>
            <w:tcW w:w="889" w:type="pct"/>
            <w:vAlign w:val="center"/>
          </w:tcPr>
          <w:p>
            <w:pPr>
              <w:jc w:val="right"/>
            </w:pPr>
            <w:r>
              <w:t xml:space="preserve"> 402,029.12 </w:t>
            </w:r>
          </w:p>
        </w:tc>
        <w:tc>
          <w:tcPr>
            <w:tcW w:w="889" w:type="pct"/>
            <w:vAlign w:val="center"/>
          </w:tcPr>
          <w:p>
            <w:pPr>
              <w:jc w:val="right"/>
            </w:pPr>
            <w:r>
              <w:t xml:space="preserve"> 402,029.12 </w:t>
            </w:r>
          </w:p>
        </w:tc>
        <w:tc>
          <w:tcPr>
            <w:tcW w:w="830"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四、一年内到期的其他福利</w:t>
            </w:r>
          </w:p>
        </w:tc>
        <w:tc>
          <w:tcPr>
            <w:tcW w:w="830" w:type="pct"/>
            <w:vAlign w:val="center"/>
          </w:tcPr>
          <w:p>
            <w:pPr>
              <w:jc w:val="right"/>
            </w:pPr>
          </w:p>
        </w:tc>
        <w:tc>
          <w:tcPr>
            <w:tcW w:w="689" w:type="pct"/>
            <w:vAlign w:val="center"/>
          </w:tcPr>
          <w:p>
            <w:pPr>
              <w:jc w:val="right"/>
            </w:pPr>
          </w:p>
        </w:tc>
        <w:tc>
          <w:tcPr>
            <w:tcW w:w="889" w:type="pct"/>
            <w:vAlign w:val="center"/>
          </w:tcPr>
          <w:p>
            <w:pPr>
              <w:jc w:val="right"/>
            </w:pPr>
          </w:p>
        </w:tc>
        <w:tc>
          <w:tcPr>
            <w:tcW w:w="889" w:type="pct"/>
            <w:vAlign w:val="center"/>
          </w:tcPr>
          <w:p>
            <w:pPr>
              <w:jc w:val="right"/>
            </w:pPr>
          </w:p>
        </w:tc>
        <w:tc>
          <w:tcPr>
            <w:tcW w:w="830"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830" w:type="pct"/>
            <w:vAlign w:val="center"/>
          </w:tcPr>
          <w:p>
            <w:pPr>
              <w:jc w:val="right"/>
            </w:pPr>
            <w:r>
              <w:t xml:space="preserve">58,042,953.16 </w:t>
            </w:r>
          </w:p>
        </w:tc>
        <w:tc>
          <w:tcPr>
            <w:tcW w:w="689" w:type="pct"/>
            <w:vAlign w:val="center"/>
          </w:tcPr>
          <w:p>
            <w:pPr>
              <w:jc w:val="right"/>
            </w:pPr>
            <w:r>
              <w:t xml:space="preserve"> 71,000.00 </w:t>
            </w:r>
          </w:p>
        </w:tc>
        <w:tc>
          <w:tcPr>
            <w:tcW w:w="889" w:type="pct"/>
            <w:vAlign w:val="center"/>
          </w:tcPr>
          <w:p>
            <w:pPr>
              <w:jc w:val="right"/>
            </w:pPr>
            <w:r>
              <w:t xml:space="preserve">150,383,003.37 </w:t>
            </w:r>
          </w:p>
        </w:tc>
        <w:tc>
          <w:tcPr>
            <w:tcW w:w="889" w:type="pct"/>
            <w:vAlign w:val="center"/>
          </w:tcPr>
          <w:p>
            <w:pPr>
              <w:jc w:val="right"/>
            </w:pPr>
            <w:r>
              <w:t xml:space="preserve">185,712,960.16 </w:t>
            </w:r>
          </w:p>
        </w:tc>
        <w:tc>
          <w:tcPr>
            <w:tcW w:w="830" w:type="pct"/>
            <w:vAlign w:val="center"/>
          </w:tcPr>
          <w:p>
            <w:pPr>
              <w:jc w:val="right"/>
            </w:pPr>
            <w:r>
              <w:t xml:space="preserve">22,783,996.37 </w:t>
            </w:r>
          </w:p>
        </w:tc>
      </w:tr>
    </w:tbl>
    <w:p>
      <w:pPr>
        <w:pStyle w:val="48"/>
      </w:pPr>
    </w:p>
    <w:p>
      <w:pPr>
        <w:pStyle w:val="5"/>
        <w:numPr>
          <w:ilvl w:val="0"/>
          <w:numId w:val="66"/>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短期薪酬列示</w:t>
      </w:r>
    </w:p>
    <w:sdt>
      <w:sdtPr>
        <w:rPr>
          <w:color w:val="000000" w:themeColor="text1"/>
          <w14:textFill>
            <w14:solidFill>
              <w14:schemeClr w14:val="tx1"/>
            </w14:solidFill>
          </w14:textFill>
        </w:rPr>
        <w:alias w:val="是否适用：短期薪酬列示[双击切换]"/>
        <w:tag w:val="_GBC_fe9cc4ffdf524f4695448b31c76167ce"/>
        <w:id w:val="153576896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短期薪酬"/>
          <w:tag w:val="_GBC_f5a2a934147944d68f11ca2bcce4d80f"/>
          <w:id w:val="-111312616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短期薪酬"/>
          <w:tag w:val="_GBC_ded097d86a7d48b8a8b1d9689a73bd5d"/>
          <w:id w:val="-19245707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4"/>
        <w:gridCol w:w="1424"/>
        <w:gridCol w:w="1139"/>
        <w:gridCol w:w="1529"/>
        <w:gridCol w:w="1529"/>
        <w:gridCol w:w="14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b5378bc64e24511ae79d643c80f9c98"/>
            <w:id w:val="973491137"/>
          </w:sdtPr>
          <w:sdtContent>
            <w:tc>
              <w:tcPr>
                <w:tcW w:w="130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0144fa4bad154236aa75e1dcc0a89e56"/>
            <w:id w:val="-1963712290"/>
          </w:sdtPr>
          <w:sdtContent>
            <w:tc>
              <w:tcPr>
                <w:tcW w:w="75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c>
          <w:tcPr>
            <w:tcW w:w="828" w:type="pct"/>
            <w:tcBorders>
              <w:top w:val="single" w:color="auto" w:sz="4" w:space="0"/>
              <w:left w:val="single" w:color="auto" w:sz="4" w:space="0"/>
              <w:bottom w:val="single" w:color="auto" w:sz="4" w:space="0"/>
              <w:right w:val="single" w:color="auto" w:sz="4" w:space="0"/>
            </w:tcBorders>
            <w:vAlign w:val="center"/>
          </w:tcPr>
          <w:p>
            <w:pPr>
              <w:jc w:val="center"/>
            </w:pPr>
            <w:r>
              <w:t>企业合并增加</w:t>
            </w:r>
          </w:p>
        </w:tc>
        <w:sdt>
          <w:sdtPr>
            <w:tag w:val="_PLD_2d15a4a9e10b4386a7ed67bc2137e04a"/>
            <w:id w:val="732427095"/>
          </w:sdtPr>
          <w:sdtContent>
            <w:tc>
              <w:tcPr>
                <w:tcW w:w="74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12a2bbefe0874cde83fdb77f4a4158a1"/>
            <w:id w:val="-1208954196"/>
          </w:sdtPr>
          <w:sdtContent>
            <w:tc>
              <w:tcPr>
                <w:tcW w:w="751"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本期减少</w:t>
                </w:r>
              </w:p>
            </w:tc>
          </w:sdtContent>
        </w:sdt>
        <w:sdt>
          <w:sdtPr>
            <w:tag w:val="_PLD_190d6bcbbde148ffb48f230c6d9d7186"/>
            <w:id w:val="-2080812078"/>
          </w:sdtPr>
          <w:sdtContent>
            <w:tc>
              <w:tcPr>
                <w:tcW w:w="619"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一、工资、奖金、津贴和补贴</w:t>
            </w:r>
          </w:p>
        </w:tc>
        <w:tc>
          <w:tcPr>
            <w:tcW w:w="753" w:type="pct"/>
            <w:tcBorders>
              <w:top w:val="single" w:color="auto" w:sz="4" w:space="0"/>
              <w:left w:val="single" w:color="auto" w:sz="4" w:space="0"/>
              <w:bottom w:val="single" w:color="auto" w:sz="4" w:space="0"/>
              <w:right w:val="single" w:color="auto" w:sz="4" w:space="0"/>
            </w:tcBorders>
            <w:vAlign w:val="center"/>
          </w:tcPr>
          <w:p>
            <w:pPr>
              <w:jc w:val="right"/>
            </w:pPr>
            <w:r>
              <w:t>55,753,168.96</w:t>
            </w:r>
          </w:p>
        </w:tc>
        <w:tc>
          <w:tcPr>
            <w:tcW w:w="828" w:type="pct"/>
            <w:tcBorders>
              <w:top w:val="single" w:color="auto" w:sz="4" w:space="0"/>
              <w:left w:val="single" w:color="auto" w:sz="4" w:space="0"/>
              <w:bottom w:val="single" w:color="auto" w:sz="4" w:space="0"/>
              <w:right w:val="single" w:color="auto" w:sz="4" w:space="0"/>
            </w:tcBorders>
            <w:vAlign w:val="center"/>
          </w:tcPr>
          <w:p>
            <w:pPr>
              <w:jc w:val="right"/>
            </w:pPr>
            <w:r>
              <w:t xml:space="preserve">71,000.00 </w:t>
            </w:r>
          </w:p>
        </w:tc>
        <w:tc>
          <w:tcPr>
            <w:tcW w:w="743" w:type="pct"/>
            <w:tcBorders>
              <w:top w:val="single" w:color="auto" w:sz="4" w:space="0"/>
              <w:left w:val="single" w:color="auto" w:sz="4" w:space="0"/>
              <w:bottom w:val="single" w:color="auto" w:sz="4" w:space="0"/>
              <w:right w:val="single" w:color="auto" w:sz="4" w:space="0"/>
            </w:tcBorders>
            <w:vAlign w:val="center"/>
          </w:tcPr>
          <w:p>
            <w:pPr>
              <w:jc w:val="right"/>
            </w:pPr>
            <w:r>
              <w:t xml:space="preserve">113,246,990.92 </w:t>
            </w:r>
          </w:p>
        </w:tc>
        <w:tc>
          <w:tcPr>
            <w:tcW w:w="751" w:type="pct"/>
            <w:tcBorders>
              <w:top w:val="single" w:color="auto" w:sz="4" w:space="0"/>
              <w:left w:val="single" w:color="auto" w:sz="4" w:space="0"/>
              <w:bottom w:val="single" w:color="auto" w:sz="4" w:space="0"/>
              <w:right w:val="single" w:color="auto" w:sz="4" w:space="0"/>
            </w:tcBorders>
            <w:vAlign w:val="center"/>
          </w:tcPr>
          <w:p>
            <w:pPr>
              <w:jc w:val="right"/>
            </w:pPr>
            <w:r>
              <w:t xml:space="preserve">148,191,579.96 </w:t>
            </w:r>
          </w:p>
        </w:tc>
        <w:tc>
          <w:tcPr>
            <w:tcW w:w="619" w:type="pct"/>
            <w:tcBorders>
              <w:top w:val="single" w:color="auto" w:sz="4" w:space="0"/>
              <w:left w:val="single" w:color="auto" w:sz="4" w:space="0"/>
              <w:bottom w:val="single" w:color="auto" w:sz="4" w:space="0"/>
              <w:right w:val="single" w:color="auto" w:sz="4" w:space="0"/>
            </w:tcBorders>
            <w:vAlign w:val="center"/>
          </w:tcPr>
          <w:p>
            <w:pPr>
              <w:jc w:val="right"/>
            </w:pPr>
            <w:r>
              <w:t xml:space="preserve">20,879,579.92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二、职工福利费</w:t>
            </w:r>
          </w:p>
        </w:tc>
        <w:tc>
          <w:tcPr>
            <w:tcW w:w="753" w:type="pct"/>
            <w:tcBorders>
              <w:top w:val="single" w:color="auto" w:sz="4" w:space="0"/>
              <w:left w:val="single" w:color="auto" w:sz="4" w:space="0"/>
              <w:bottom w:val="single" w:color="auto" w:sz="4" w:space="0"/>
              <w:right w:val="single" w:color="auto" w:sz="4" w:space="0"/>
            </w:tcBorders>
            <w:vAlign w:val="center"/>
          </w:tcPr>
          <w:p>
            <w:pPr>
              <w:jc w:val="right"/>
            </w:pPr>
          </w:p>
        </w:tc>
        <w:tc>
          <w:tcPr>
            <w:tcW w:w="828" w:type="pct"/>
            <w:tcBorders>
              <w:top w:val="single" w:color="auto" w:sz="4" w:space="0"/>
              <w:left w:val="single" w:color="auto" w:sz="4" w:space="0"/>
              <w:bottom w:val="single" w:color="auto" w:sz="4" w:space="0"/>
              <w:right w:val="single" w:color="auto" w:sz="4" w:space="0"/>
            </w:tcBorders>
            <w:vAlign w:val="center"/>
          </w:tcPr>
          <w:p>
            <w:pPr>
              <w:jc w:val="right"/>
            </w:pPr>
          </w:p>
        </w:tc>
        <w:tc>
          <w:tcPr>
            <w:tcW w:w="743" w:type="pct"/>
            <w:tcBorders>
              <w:top w:val="single" w:color="auto" w:sz="4" w:space="0"/>
              <w:left w:val="single" w:color="auto" w:sz="4" w:space="0"/>
              <w:bottom w:val="single" w:color="auto" w:sz="4" w:space="0"/>
              <w:right w:val="single" w:color="auto" w:sz="4" w:space="0"/>
            </w:tcBorders>
            <w:vAlign w:val="center"/>
          </w:tcPr>
          <w:p>
            <w:pPr>
              <w:jc w:val="right"/>
            </w:pPr>
            <w:r>
              <w:t xml:space="preserve"> 8,125,814.97 </w:t>
            </w:r>
          </w:p>
        </w:tc>
        <w:tc>
          <w:tcPr>
            <w:tcW w:w="751" w:type="pct"/>
            <w:tcBorders>
              <w:top w:val="single" w:color="auto" w:sz="4" w:space="0"/>
              <w:left w:val="single" w:color="auto" w:sz="4" w:space="0"/>
              <w:bottom w:val="single" w:color="auto" w:sz="4" w:space="0"/>
              <w:right w:val="single" w:color="auto" w:sz="4" w:space="0"/>
            </w:tcBorders>
            <w:vAlign w:val="center"/>
          </w:tcPr>
          <w:p>
            <w:pPr>
              <w:jc w:val="right"/>
            </w:pPr>
            <w:r>
              <w:t xml:space="preserve"> 8,125,814.97 </w:t>
            </w:r>
          </w:p>
        </w:tc>
        <w:tc>
          <w:tcPr>
            <w:tcW w:w="619" w:type="pct"/>
            <w:tcBorders>
              <w:top w:val="single" w:color="auto" w:sz="4" w:space="0"/>
              <w:left w:val="single" w:color="auto" w:sz="4" w:space="0"/>
              <w:bottom w:val="single" w:color="auto" w:sz="4" w:space="0"/>
              <w:right w:val="single" w:color="auto" w:sz="4" w:space="0"/>
            </w:tcBorders>
            <w:vAlign w:val="center"/>
          </w:tcPr>
          <w:p>
            <w:pPr>
              <w:jc w:val="right"/>
            </w:pPr>
            <w: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三、社会保险费</w:t>
            </w:r>
          </w:p>
        </w:tc>
        <w:tc>
          <w:tcPr>
            <w:tcW w:w="753" w:type="pct"/>
            <w:tcBorders>
              <w:top w:val="single" w:color="auto" w:sz="4" w:space="0"/>
              <w:left w:val="single" w:color="auto" w:sz="4" w:space="0"/>
              <w:bottom w:val="single" w:color="auto" w:sz="4" w:space="0"/>
              <w:right w:val="single" w:color="auto" w:sz="4" w:space="0"/>
            </w:tcBorders>
            <w:vAlign w:val="center"/>
          </w:tcPr>
          <w:p>
            <w:pPr>
              <w:jc w:val="right"/>
            </w:pPr>
            <w:r>
              <w:t xml:space="preserve"> 4,128.21 </w:t>
            </w:r>
          </w:p>
        </w:tc>
        <w:tc>
          <w:tcPr>
            <w:tcW w:w="828" w:type="pct"/>
            <w:tcBorders>
              <w:top w:val="single" w:color="auto" w:sz="4" w:space="0"/>
              <w:left w:val="single" w:color="auto" w:sz="4" w:space="0"/>
              <w:bottom w:val="single" w:color="auto" w:sz="4" w:space="0"/>
              <w:right w:val="single" w:color="auto" w:sz="4" w:space="0"/>
            </w:tcBorders>
            <w:vAlign w:val="center"/>
          </w:tcPr>
          <w:p>
            <w:pPr>
              <w:jc w:val="right"/>
            </w:pPr>
          </w:p>
        </w:tc>
        <w:tc>
          <w:tcPr>
            <w:tcW w:w="743" w:type="pct"/>
            <w:tcBorders>
              <w:top w:val="single" w:color="auto" w:sz="4" w:space="0"/>
              <w:left w:val="single" w:color="auto" w:sz="4" w:space="0"/>
              <w:bottom w:val="single" w:color="auto" w:sz="4" w:space="0"/>
              <w:right w:val="single" w:color="auto" w:sz="4" w:space="0"/>
            </w:tcBorders>
            <w:vAlign w:val="center"/>
          </w:tcPr>
          <w:p>
            <w:pPr>
              <w:jc w:val="right"/>
            </w:pPr>
            <w:r>
              <w:t xml:space="preserve"> 8,669,217.52 </w:t>
            </w:r>
          </w:p>
        </w:tc>
        <w:tc>
          <w:tcPr>
            <w:tcW w:w="751" w:type="pct"/>
            <w:tcBorders>
              <w:top w:val="single" w:color="auto" w:sz="4" w:space="0"/>
              <w:left w:val="single" w:color="auto" w:sz="4" w:space="0"/>
              <w:bottom w:val="single" w:color="auto" w:sz="4" w:space="0"/>
              <w:right w:val="single" w:color="auto" w:sz="4" w:space="0"/>
            </w:tcBorders>
            <w:vAlign w:val="center"/>
          </w:tcPr>
          <w:p>
            <w:pPr>
              <w:jc w:val="right"/>
            </w:pPr>
            <w:r>
              <w:t xml:space="preserve"> 8,636,596.93 </w:t>
            </w:r>
          </w:p>
        </w:tc>
        <w:tc>
          <w:tcPr>
            <w:tcW w:w="619" w:type="pct"/>
            <w:tcBorders>
              <w:top w:val="single" w:color="auto" w:sz="4" w:space="0"/>
              <w:left w:val="single" w:color="auto" w:sz="4" w:space="0"/>
              <w:bottom w:val="single" w:color="auto" w:sz="4" w:space="0"/>
              <w:right w:val="single" w:color="auto" w:sz="4" w:space="0"/>
            </w:tcBorders>
            <w:vAlign w:val="center"/>
          </w:tcPr>
          <w:p>
            <w:pPr>
              <w:jc w:val="right"/>
            </w:pPr>
            <w:r>
              <w:t xml:space="preserve"> 36,748.80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r>
              <w:rPr>
                <w:color w:val="000000" w:themeColor="text1"/>
                <w14:textFill>
                  <w14:solidFill>
                    <w14:schemeClr w14:val="tx1"/>
                  </w14:solidFill>
                </w14:textFill>
              </w:rPr>
              <w:t>医疗保险费</w:t>
            </w:r>
          </w:p>
        </w:tc>
        <w:tc>
          <w:tcPr>
            <w:tcW w:w="753" w:type="pct"/>
            <w:tcBorders>
              <w:top w:val="single" w:color="auto" w:sz="4" w:space="0"/>
              <w:left w:val="single" w:color="auto" w:sz="4" w:space="0"/>
              <w:bottom w:val="single" w:color="auto" w:sz="4" w:space="0"/>
              <w:right w:val="single" w:color="auto" w:sz="4" w:space="0"/>
            </w:tcBorders>
            <w:vAlign w:val="center"/>
          </w:tcPr>
          <w:p>
            <w:pPr>
              <w:jc w:val="right"/>
            </w:pPr>
            <w:r>
              <w:t xml:space="preserve"> 4,128.21 </w:t>
            </w:r>
          </w:p>
        </w:tc>
        <w:tc>
          <w:tcPr>
            <w:tcW w:w="828" w:type="pct"/>
            <w:tcBorders>
              <w:top w:val="single" w:color="auto" w:sz="4" w:space="0"/>
              <w:left w:val="single" w:color="auto" w:sz="4" w:space="0"/>
              <w:bottom w:val="single" w:color="auto" w:sz="4" w:space="0"/>
              <w:right w:val="single" w:color="auto" w:sz="4" w:space="0"/>
            </w:tcBorders>
            <w:vAlign w:val="center"/>
          </w:tcPr>
          <w:p>
            <w:pPr>
              <w:jc w:val="right"/>
            </w:pPr>
          </w:p>
        </w:tc>
        <w:tc>
          <w:tcPr>
            <w:tcW w:w="743" w:type="pct"/>
            <w:tcBorders>
              <w:top w:val="single" w:color="auto" w:sz="4" w:space="0"/>
              <w:left w:val="single" w:color="auto" w:sz="4" w:space="0"/>
              <w:bottom w:val="single" w:color="auto" w:sz="4" w:space="0"/>
              <w:right w:val="single" w:color="auto" w:sz="4" w:space="0"/>
            </w:tcBorders>
            <w:vAlign w:val="center"/>
          </w:tcPr>
          <w:p>
            <w:pPr>
              <w:jc w:val="right"/>
            </w:pPr>
            <w:r>
              <w:t xml:space="preserve"> 7,508,793.96 </w:t>
            </w:r>
          </w:p>
        </w:tc>
        <w:tc>
          <w:tcPr>
            <w:tcW w:w="751" w:type="pct"/>
            <w:tcBorders>
              <w:top w:val="single" w:color="auto" w:sz="4" w:space="0"/>
              <w:left w:val="single" w:color="auto" w:sz="4" w:space="0"/>
              <w:bottom w:val="single" w:color="auto" w:sz="4" w:space="0"/>
              <w:right w:val="single" w:color="auto" w:sz="4" w:space="0"/>
            </w:tcBorders>
            <w:vAlign w:val="center"/>
          </w:tcPr>
          <w:p>
            <w:pPr>
              <w:jc w:val="right"/>
            </w:pPr>
            <w:r>
              <w:t xml:space="preserve"> 7,503,379.41 </w:t>
            </w:r>
          </w:p>
        </w:tc>
        <w:tc>
          <w:tcPr>
            <w:tcW w:w="619" w:type="pct"/>
            <w:tcBorders>
              <w:top w:val="single" w:color="auto" w:sz="4" w:space="0"/>
              <w:left w:val="single" w:color="auto" w:sz="4" w:space="0"/>
              <w:bottom w:val="single" w:color="auto" w:sz="4" w:space="0"/>
              <w:right w:val="single" w:color="auto" w:sz="4" w:space="0"/>
            </w:tcBorders>
            <w:vAlign w:val="center"/>
          </w:tcPr>
          <w:p>
            <w:pPr>
              <w:jc w:val="right"/>
            </w:pPr>
            <w:r>
              <w:t xml:space="preserve"> 9,542.76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工伤保险费</w:t>
            </w:r>
          </w:p>
        </w:tc>
        <w:tc>
          <w:tcPr>
            <w:tcW w:w="753" w:type="pct"/>
            <w:tcBorders>
              <w:top w:val="single" w:color="auto" w:sz="4" w:space="0"/>
              <w:left w:val="single" w:color="auto" w:sz="4" w:space="0"/>
              <w:bottom w:val="single" w:color="auto" w:sz="4" w:space="0"/>
              <w:right w:val="single" w:color="auto" w:sz="4" w:space="0"/>
            </w:tcBorders>
            <w:vAlign w:val="center"/>
          </w:tcPr>
          <w:p>
            <w:pPr>
              <w:jc w:val="right"/>
            </w:pPr>
          </w:p>
        </w:tc>
        <w:tc>
          <w:tcPr>
            <w:tcW w:w="828" w:type="pct"/>
            <w:tcBorders>
              <w:top w:val="single" w:color="auto" w:sz="4" w:space="0"/>
              <w:left w:val="single" w:color="auto" w:sz="4" w:space="0"/>
              <w:bottom w:val="single" w:color="auto" w:sz="4" w:space="0"/>
              <w:right w:val="single" w:color="auto" w:sz="4" w:space="0"/>
            </w:tcBorders>
            <w:vAlign w:val="center"/>
          </w:tcPr>
          <w:p>
            <w:pPr>
              <w:jc w:val="right"/>
            </w:pPr>
          </w:p>
        </w:tc>
        <w:tc>
          <w:tcPr>
            <w:tcW w:w="743" w:type="pct"/>
            <w:tcBorders>
              <w:top w:val="single" w:color="auto" w:sz="4" w:space="0"/>
              <w:left w:val="single" w:color="auto" w:sz="4" w:space="0"/>
              <w:bottom w:val="single" w:color="auto" w:sz="4" w:space="0"/>
              <w:right w:val="single" w:color="auto" w:sz="4" w:space="0"/>
            </w:tcBorders>
            <w:vAlign w:val="center"/>
          </w:tcPr>
          <w:p>
            <w:pPr>
              <w:jc w:val="right"/>
            </w:pPr>
            <w:r>
              <w:t xml:space="preserve"> 1,160,423.56 </w:t>
            </w:r>
          </w:p>
        </w:tc>
        <w:tc>
          <w:tcPr>
            <w:tcW w:w="751" w:type="pct"/>
            <w:tcBorders>
              <w:top w:val="single" w:color="auto" w:sz="4" w:space="0"/>
              <w:left w:val="single" w:color="auto" w:sz="4" w:space="0"/>
              <w:bottom w:val="single" w:color="auto" w:sz="4" w:space="0"/>
              <w:right w:val="single" w:color="auto" w:sz="4" w:space="0"/>
            </w:tcBorders>
            <w:vAlign w:val="center"/>
          </w:tcPr>
          <w:p>
            <w:pPr>
              <w:jc w:val="right"/>
            </w:pPr>
            <w:r>
              <w:t xml:space="preserve"> 1,133,217.52 </w:t>
            </w:r>
          </w:p>
        </w:tc>
        <w:tc>
          <w:tcPr>
            <w:tcW w:w="619" w:type="pct"/>
            <w:tcBorders>
              <w:top w:val="single" w:color="auto" w:sz="4" w:space="0"/>
              <w:left w:val="single" w:color="auto" w:sz="4" w:space="0"/>
              <w:bottom w:val="single" w:color="auto" w:sz="4" w:space="0"/>
              <w:right w:val="single" w:color="auto" w:sz="4" w:space="0"/>
            </w:tcBorders>
            <w:vAlign w:val="center"/>
          </w:tcPr>
          <w:p>
            <w:pPr>
              <w:jc w:val="right"/>
            </w:pPr>
            <w:r>
              <w:t xml:space="preserve"> 27,206.04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生育保险费</w:t>
            </w:r>
          </w:p>
        </w:tc>
        <w:tc>
          <w:tcPr>
            <w:tcW w:w="753" w:type="pct"/>
            <w:tcBorders>
              <w:top w:val="single" w:color="auto" w:sz="4" w:space="0"/>
              <w:left w:val="single" w:color="auto" w:sz="4" w:space="0"/>
              <w:bottom w:val="single" w:color="auto" w:sz="4" w:space="0"/>
              <w:right w:val="single" w:color="auto" w:sz="4" w:space="0"/>
            </w:tcBorders>
          </w:tcPr>
          <w:p>
            <w:pPr>
              <w:jc w:val="right"/>
            </w:pPr>
          </w:p>
        </w:tc>
        <w:tc>
          <w:tcPr>
            <w:tcW w:w="828" w:type="pct"/>
            <w:tcBorders>
              <w:top w:val="single" w:color="auto" w:sz="4" w:space="0"/>
              <w:left w:val="single" w:color="auto" w:sz="4" w:space="0"/>
              <w:bottom w:val="single" w:color="auto" w:sz="4" w:space="0"/>
              <w:right w:val="single" w:color="auto" w:sz="4" w:space="0"/>
            </w:tcBorders>
          </w:tcPr>
          <w:p>
            <w:pPr>
              <w:jc w:val="right"/>
            </w:pPr>
          </w:p>
        </w:tc>
        <w:tc>
          <w:tcPr>
            <w:tcW w:w="743" w:type="pct"/>
            <w:tcBorders>
              <w:top w:val="single" w:color="auto" w:sz="4" w:space="0"/>
              <w:left w:val="single" w:color="auto" w:sz="4" w:space="0"/>
              <w:bottom w:val="single" w:color="auto" w:sz="4" w:space="0"/>
              <w:right w:val="single" w:color="auto" w:sz="4" w:space="0"/>
            </w:tcBorders>
          </w:tcPr>
          <w:p>
            <w:pPr>
              <w:jc w:val="right"/>
            </w:pPr>
          </w:p>
        </w:tc>
        <w:tc>
          <w:tcPr>
            <w:tcW w:w="751" w:type="pct"/>
            <w:tcBorders>
              <w:top w:val="single" w:color="auto" w:sz="4" w:space="0"/>
              <w:left w:val="single" w:color="auto" w:sz="4" w:space="0"/>
              <w:bottom w:val="single" w:color="auto" w:sz="4" w:space="0"/>
              <w:right w:val="single" w:color="auto" w:sz="4" w:space="0"/>
            </w:tcBorders>
          </w:tcPr>
          <w:p>
            <w:pPr>
              <w:jc w:val="right"/>
            </w:pPr>
          </w:p>
        </w:tc>
        <w:tc>
          <w:tcPr>
            <w:tcW w:w="619"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四、住房公积金</w:t>
            </w:r>
          </w:p>
        </w:tc>
        <w:tc>
          <w:tcPr>
            <w:tcW w:w="753" w:type="pct"/>
            <w:tcBorders>
              <w:top w:val="single" w:color="auto" w:sz="4" w:space="0"/>
              <w:left w:val="single" w:color="auto" w:sz="4" w:space="0"/>
              <w:bottom w:val="single" w:color="auto" w:sz="4" w:space="0"/>
              <w:right w:val="single" w:color="auto" w:sz="4" w:space="0"/>
            </w:tcBorders>
            <w:vAlign w:val="center"/>
          </w:tcPr>
          <w:p>
            <w:pPr>
              <w:jc w:val="right"/>
            </w:pPr>
            <w:r>
              <w:t xml:space="preserve"> 169,914.13 </w:t>
            </w:r>
          </w:p>
        </w:tc>
        <w:tc>
          <w:tcPr>
            <w:tcW w:w="828" w:type="pct"/>
            <w:tcBorders>
              <w:top w:val="single" w:color="auto" w:sz="4" w:space="0"/>
              <w:left w:val="single" w:color="auto" w:sz="4" w:space="0"/>
              <w:bottom w:val="single" w:color="auto" w:sz="4" w:space="0"/>
              <w:right w:val="single" w:color="auto" w:sz="4" w:space="0"/>
            </w:tcBorders>
            <w:vAlign w:val="center"/>
          </w:tcPr>
          <w:p>
            <w:pPr>
              <w:jc w:val="right"/>
            </w:pPr>
          </w:p>
        </w:tc>
        <w:tc>
          <w:tcPr>
            <w:tcW w:w="743" w:type="pct"/>
            <w:tcBorders>
              <w:top w:val="single" w:color="auto" w:sz="4" w:space="0"/>
              <w:left w:val="single" w:color="auto" w:sz="4" w:space="0"/>
              <w:bottom w:val="single" w:color="auto" w:sz="4" w:space="0"/>
              <w:right w:val="single" w:color="auto" w:sz="4" w:space="0"/>
            </w:tcBorders>
            <w:vAlign w:val="center"/>
          </w:tcPr>
          <w:p>
            <w:pPr>
              <w:jc w:val="right"/>
            </w:pPr>
            <w:r>
              <w:t xml:space="preserve"> 5,125,368.91 </w:t>
            </w:r>
          </w:p>
        </w:tc>
        <w:tc>
          <w:tcPr>
            <w:tcW w:w="751" w:type="pct"/>
            <w:tcBorders>
              <w:top w:val="single" w:color="auto" w:sz="4" w:space="0"/>
              <w:left w:val="single" w:color="auto" w:sz="4" w:space="0"/>
              <w:bottom w:val="single" w:color="auto" w:sz="4" w:space="0"/>
              <w:right w:val="single" w:color="auto" w:sz="4" w:space="0"/>
            </w:tcBorders>
            <w:vAlign w:val="center"/>
          </w:tcPr>
          <w:p>
            <w:pPr>
              <w:jc w:val="right"/>
            </w:pPr>
            <w:r>
              <w:t xml:space="preserve"> 5,139,161.19 </w:t>
            </w:r>
          </w:p>
        </w:tc>
        <w:tc>
          <w:tcPr>
            <w:tcW w:w="619" w:type="pct"/>
            <w:tcBorders>
              <w:top w:val="single" w:color="auto" w:sz="4" w:space="0"/>
              <w:left w:val="single" w:color="auto" w:sz="4" w:space="0"/>
              <w:bottom w:val="single" w:color="auto" w:sz="4" w:space="0"/>
              <w:right w:val="single" w:color="auto" w:sz="4" w:space="0"/>
            </w:tcBorders>
            <w:vAlign w:val="center"/>
          </w:tcPr>
          <w:p>
            <w:pPr>
              <w:jc w:val="right"/>
            </w:pPr>
            <w:r>
              <w:t xml:space="preserve"> 156,121.85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五、工会经费和职工教育经费</w:t>
            </w:r>
          </w:p>
        </w:tc>
        <w:tc>
          <w:tcPr>
            <w:tcW w:w="753" w:type="pct"/>
            <w:tcBorders>
              <w:top w:val="single" w:color="auto" w:sz="4" w:space="0"/>
              <w:left w:val="single" w:color="auto" w:sz="4" w:space="0"/>
              <w:bottom w:val="single" w:color="auto" w:sz="4" w:space="0"/>
              <w:right w:val="single" w:color="auto" w:sz="4" w:space="0"/>
            </w:tcBorders>
            <w:vAlign w:val="center"/>
          </w:tcPr>
          <w:p>
            <w:pPr>
              <w:jc w:val="right"/>
            </w:pPr>
            <w:r>
              <w:t xml:space="preserve"> 2,081,294.63 </w:t>
            </w:r>
          </w:p>
        </w:tc>
        <w:tc>
          <w:tcPr>
            <w:tcW w:w="828" w:type="pct"/>
            <w:tcBorders>
              <w:top w:val="single" w:color="auto" w:sz="4" w:space="0"/>
              <w:left w:val="single" w:color="auto" w:sz="4" w:space="0"/>
              <w:bottom w:val="single" w:color="auto" w:sz="4" w:space="0"/>
              <w:right w:val="single" w:color="auto" w:sz="4" w:space="0"/>
            </w:tcBorders>
            <w:vAlign w:val="center"/>
          </w:tcPr>
          <w:p>
            <w:pPr>
              <w:jc w:val="right"/>
            </w:pPr>
          </w:p>
        </w:tc>
        <w:tc>
          <w:tcPr>
            <w:tcW w:w="743" w:type="pct"/>
            <w:tcBorders>
              <w:top w:val="single" w:color="auto" w:sz="4" w:space="0"/>
              <w:left w:val="single" w:color="auto" w:sz="4" w:space="0"/>
              <w:bottom w:val="single" w:color="auto" w:sz="4" w:space="0"/>
              <w:right w:val="single" w:color="auto" w:sz="4" w:space="0"/>
            </w:tcBorders>
            <w:vAlign w:val="center"/>
          </w:tcPr>
          <w:p>
            <w:pPr>
              <w:jc w:val="right"/>
            </w:pPr>
            <w:r>
              <w:t xml:space="preserve"> 2,053,640.76 </w:t>
            </w:r>
          </w:p>
        </w:tc>
        <w:tc>
          <w:tcPr>
            <w:tcW w:w="751" w:type="pct"/>
            <w:tcBorders>
              <w:top w:val="single" w:color="auto" w:sz="4" w:space="0"/>
              <w:left w:val="single" w:color="auto" w:sz="4" w:space="0"/>
              <w:bottom w:val="single" w:color="auto" w:sz="4" w:space="0"/>
              <w:right w:val="single" w:color="auto" w:sz="4" w:space="0"/>
            </w:tcBorders>
            <w:vAlign w:val="center"/>
          </w:tcPr>
          <w:p>
            <w:pPr>
              <w:jc w:val="right"/>
            </w:pPr>
            <w:r>
              <w:t xml:space="preserve"> 2,439,850.30 </w:t>
            </w:r>
          </w:p>
        </w:tc>
        <w:tc>
          <w:tcPr>
            <w:tcW w:w="619" w:type="pct"/>
            <w:tcBorders>
              <w:top w:val="single" w:color="auto" w:sz="4" w:space="0"/>
              <w:left w:val="single" w:color="auto" w:sz="4" w:space="0"/>
              <w:bottom w:val="single" w:color="auto" w:sz="4" w:space="0"/>
              <w:right w:val="single" w:color="auto" w:sz="4" w:space="0"/>
            </w:tcBorders>
            <w:vAlign w:val="center"/>
          </w:tcPr>
          <w:p>
            <w:pPr>
              <w:jc w:val="right"/>
            </w:pPr>
            <w:r>
              <w:t xml:space="preserve"> 1,695,085.09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六、短期带薪缺勤</w:t>
            </w:r>
          </w:p>
        </w:tc>
        <w:tc>
          <w:tcPr>
            <w:tcW w:w="753" w:type="pct"/>
            <w:tcBorders>
              <w:top w:val="single" w:color="auto" w:sz="4" w:space="0"/>
              <w:left w:val="single" w:color="auto" w:sz="4" w:space="0"/>
              <w:bottom w:val="single" w:color="auto" w:sz="4" w:space="0"/>
              <w:right w:val="single" w:color="auto" w:sz="4" w:space="0"/>
            </w:tcBorders>
          </w:tcPr>
          <w:p>
            <w:pPr>
              <w:jc w:val="right"/>
            </w:pPr>
          </w:p>
        </w:tc>
        <w:tc>
          <w:tcPr>
            <w:tcW w:w="828" w:type="pct"/>
            <w:tcBorders>
              <w:top w:val="single" w:color="auto" w:sz="4" w:space="0"/>
              <w:left w:val="single" w:color="auto" w:sz="4" w:space="0"/>
              <w:bottom w:val="single" w:color="auto" w:sz="4" w:space="0"/>
              <w:right w:val="single" w:color="auto" w:sz="4" w:space="0"/>
            </w:tcBorders>
          </w:tcPr>
          <w:p>
            <w:pPr>
              <w:jc w:val="right"/>
            </w:pPr>
          </w:p>
        </w:tc>
        <w:tc>
          <w:tcPr>
            <w:tcW w:w="743" w:type="pct"/>
            <w:tcBorders>
              <w:top w:val="single" w:color="auto" w:sz="4" w:space="0"/>
              <w:left w:val="single" w:color="auto" w:sz="4" w:space="0"/>
              <w:bottom w:val="single" w:color="auto" w:sz="4" w:space="0"/>
              <w:right w:val="single" w:color="auto" w:sz="4" w:space="0"/>
            </w:tcBorders>
          </w:tcPr>
          <w:p>
            <w:pPr>
              <w:jc w:val="right"/>
            </w:pPr>
          </w:p>
        </w:tc>
        <w:tc>
          <w:tcPr>
            <w:tcW w:w="751" w:type="pct"/>
            <w:tcBorders>
              <w:top w:val="single" w:color="auto" w:sz="4" w:space="0"/>
              <w:left w:val="single" w:color="auto" w:sz="4" w:space="0"/>
              <w:bottom w:val="single" w:color="auto" w:sz="4" w:space="0"/>
              <w:right w:val="single" w:color="auto" w:sz="4" w:space="0"/>
            </w:tcBorders>
          </w:tcPr>
          <w:p>
            <w:pPr>
              <w:jc w:val="right"/>
            </w:pPr>
          </w:p>
        </w:tc>
        <w:tc>
          <w:tcPr>
            <w:tcW w:w="619"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06"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七、短期利润分享计划</w:t>
            </w:r>
          </w:p>
        </w:tc>
        <w:tc>
          <w:tcPr>
            <w:tcW w:w="753" w:type="pct"/>
            <w:tcBorders>
              <w:top w:val="single" w:color="auto" w:sz="4" w:space="0"/>
              <w:left w:val="single" w:color="auto" w:sz="4" w:space="0"/>
              <w:bottom w:val="single" w:color="auto" w:sz="4" w:space="0"/>
              <w:right w:val="single" w:color="auto" w:sz="4" w:space="0"/>
            </w:tcBorders>
          </w:tcPr>
          <w:p>
            <w:pPr>
              <w:jc w:val="right"/>
            </w:pPr>
          </w:p>
        </w:tc>
        <w:tc>
          <w:tcPr>
            <w:tcW w:w="828" w:type="pct"/>
            <w:tcBorders>
              <w:top w:val="single" w:color="auto" w:sz="4" w:space="0"/>
              <w:left w:val="single" w:color="auto" w:sz="4" w:space="0"/>
              <w:bottom w:val="single" w:color="auto" w:sz="4" w:space="0"/>
              <w:right w:val="single" w:color="auto" w:sz="4" w:space="0"/>
            </w:tcBorders>
          </w:tcPr>
          <w:p>
            <w:pPr>
              <w:jc w:val="right"/>
            </w:pPr>
          </w:p>
        </w:tc>
        <w:tc>
          <w:tcPr>
            <w:tcW w:w="743" w:type="pct"/>
            <w:tcBorders>
              <w:top w:val="single" w:color="auto" w:sz="4" w:space="0"/>
              <w:left w:val="single" w:color="auto" w:sz="4" w:space="0"/>
              <w:bottom w:val="single" w:color="auto" w:sz="4" w:space="0"/>
              <w:right w:val="single" w:color="auto" w:sz="4" w:space="0"/>
            </w:tcBorders>
          </w:tcPr>
          <w:p>
            <w:pPr>
              <w:jc w:val="right"/>
            </w:pPr>
          </w:p>
        </w:tc>
        <w:tc>
          <w:tcPr>
            <w:tcW w:w="751" w:type="pct"/>
            <w:tcBorders>
              <w:top w:val="single" w:color="auto" w:sz="4" w:space="0"/>
              <w:left w:val="single" w:color="auto" w:sz="4" w:space="0"/>
              <w:bottom w:val="single" w:color="auto" w:sz="4" w:space="0"/>
              <w:right w:val="single" w:color="auto" w:sz="4" w:space="0"/>
            </w:tcBorders>
          </w:tcPr>
          <w:p>
            <w:pPr>
              <w:jc w:val="right"/>
            </w:pPr>
          </w:p>
        </w:tc>
        <w:tc>
          <w:tcPr>
            <w:tcW w:w="619"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53" w:type="pct"/>
            <w:tcBorders>
              <w:top w:val="single" w:color="auto" w:sz="4" w:space="0"/>
              <w:left w:val="single" w:color="auto" w:sz="4" w:space="0"/>
              <w:bottom w:val="single" w:color="auto" w:sz="4" w:space="0"/>
              <w:right w:val="single" w:color="auto" w:sz="4" w:space="0"/>
            </w:tcBorders>
            <w:vAlign w:val="center"/>
          </w:tcPr>
          <w:p>
            <w:pPr>
              <w:jc w:val="right"/>
            </w:pPr>
            <w:r>
              <w:t xml:space="preserve">58,008,505.93 </w:t>
            </w:r>
          </w:p>
        </w:tc>
        <w:tc>
          <w:tcPr>
            <w:tcW w:w="828" w:type="pct"/>
            <w:tcBorders>
              <w:top w:val="single" w:color="auto" w:sz="4" w:space="0"/>
              <w:left w:val="single" w:color="auto" w:sz="4" w:space="0"/>
              <w:bottom w:val="single" w:color="auto" w:sz="4" w:space="0"/>
              <w:right w:val="single" w:color="auto" w:sz="4" w:space="0"/>
            </w:tcBorders>
            <w:vAlign w:val="center"/>
          </w:tcPr>
          <w:p>
            <w:pPr>
              <w:jc w:val="right"/>
            </w:pPr>
            <w:r>
              <w:t xml:space="preserve">71,000.00 </w:t>
            </w:r>
          </w:p>
        </w:tc>
        <w:tc>
          <w:tcPr>
            <w:tcW w:w="743" w:type="pct"/>
            <w:tcBorders>
              <w:top w:val="single" w:color="auto" w:sz="4" w:space="0"/>
              <w:left w:val="single" w:color="auto" w:sz="4" w:space="0"/>
              <w:bottom w:val="single" w:color="auto" w:sz="4" w:space="0"/>
              <w:right w:val="single" w:color="auto" w:sz="4" w:space="0"/>
            </w:tcBorders>
            <w:vAlign w:val="center"/>
          </w:tcPr>
          <w:p>
            <w:pPr>
              <w:jc w:val="right"/>
            </w:pPr>
            <w:r>
              <w:t>137,221,033.08</w:t>
            </w:r>
          </w:p>
        </w:tc>
        <w:tc>
          <w:tcPr>
            <w:tcW w:w="751" w:type="pct"/>
            <w:tcBorders>
              <w:top w:val="single" w:color="auto" w:sz="4" w:space="0"/>
              <w:left w:val="single" w:color="auto" w:sz="4" w:space="0"/>
              <w:bottom w:val="single" w:color="auto" w:sz="4" w:space="0"/>
              <w:right w:val="single" w:color="auto" w:sz="4" w:space="0"/>
            </w:tcBorders>
            <w:vAlign w:val="center"/>
          </w:tcPr>
          <w:p>
            <w:pPr>
              <w:jc w:val="right"/>
            </w:pPr>
            <w:r>
              <w:t xml:space="preserve">172,533,003.35 </w:t>
            </w:r>
          </w:p>
        </w:tc>
        <w:tc>
          <w:tcPr>
            <w:tcW w:w="619" w:type="pct"/>
            <w:tcBorders>
              <w:top w:val="single" w:color="auto" w:sz="4" w:space="0"/>
              <w:left w:val="single" w:color="auto" w:sz="4" w:space="0"/>
              <w:bottom w:val="single" w:color="auto" w:sz="4" w:space="0"/>
              <w:right w:val="single" w:color="auto" w:sz="4" w:space="0"/>
            </w:tcBorders>
          </w:tcPr>
          <w:p>
            <w:pPr>
              <w:jc w:val="right"/>
            </w:pPr>
            <w:r>
              <w:t xml:space="preserve">22,767,535.66 </w:t>
            </w:r>
          </w:p>
        </w:tc>
      </w:tr>
    </w:tbl>
    <w:p>
      <w:pPr>
        <w:pStyle w:val="5"/>
        <w:numPr>
          <w:ilvl w:val="0"/>
          <w:numId w:val="66"/>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设定提存计划列示</w:t>
      </w:r>
    </w:p>
    <w:sdt>
      <w:sdtPr>
        <w:rPr>
          <w:color w:val="000000" w:themeColor="text1"/>
          <w14:textFill>
            <w14:solidFill>
              <w14:schemeClr w14:val="tx1"/>
            </w14:solidFill>
          </w14:textFill>
        </w:rPr>
        <w:alias w:val="是否适用：设定提存计划列示[双击切换]"/>
        <w:tag w:val="_GBC_107b7eec6d75473e8809e93d01e00021"/>
        <w:id w:val="-5972183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设定提存计划列示"/>
          <w:tag w:val="_GBC_744d8f829e6040c78616ef1951ef7e59"/>
          <w:id w:val="196122057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设定提存计划列示"/>
          <w:tag w:val="_GBC_433e4a4ae9d648a2973673cbec959f23"/>
          <w:id w:val="12274882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3"/>
        <w:gridCol w:w="1374"/>
        <w:gridCol w:w="1080"/>
        <w:gridCol w:w="1596"/>
        <w:gridCol w:w="1567"/>
        <w:gridCol w:w="1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f8a9011ca6bd4cc895a50279da6547e9"/>
            <w:id w:val="-896655279"/>
          </w:sdtPr>
          <w:sdtContent>
            <w:tc>
              <w:tcPr>
                <w:tcW w:w="129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b9ecea0e08e4c1bb5fe2474183a8480"/>
            <w:id w:val="544034195"/>
          </w:sdtPr>
          <w:sdtContent>
            <w:tc>
              <w:tcPr>
                <w:tcW w:w="75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c>
          <w:tcPr>
            <w:tcW w:w="597" w:type="pct"/>
            <w:vAlign w:val="center"/>
          </w:tcPr>
          <w:p>
            <w:pPr>
              <w:jc w:val="center"/>
            </w:pPr>
            <w:r>
              <w:t>企业合并增加</w:t>
            </w:r>
          </w:p>
        </w:tc>
        <w:sdt>
          <w:sdtPr>
            <w:tag w:val="_PLD_11b6b53867b44c92b19ef791cad0c8c4"/>
            <w:id w:val="1229961730"/>
          </w:sdtPr>
          <w:sdtContent>
            <w:tc>
              <w:tcPr>
                <w:tcW w:w="88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c2cbd009dd4248ceb9040da5fc326084"/>
            <w:id w:val="1137992460"/>
          </w:sdtPr>
          <w:sdtContent>
            <w:tc>
              <w:tcPr>
                <w:tcW w:w="86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0ded00fbf217420ebfe8ace86c12086d"/>
            <w:id w:val="236826983"/>
          </w:sdtPr>
          <w:sdtContent>
            <w:tc>
              <w:tcPr>
                <w:tcW w:w="60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9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1、基本养老保险</w:t>
            </w:r>
          </w:p>
        </w:tc>
        <w:tc>
          <w:tcPr>
            <w:tcW w:w="759" w:type="pct"/>
          </w:tcPr>
          <w:p>
            <w:pPr>
              <w:jc w:val="right"/>
            </w:pPr>
            <w:r>
              <w:t xml:space="preserve"> 7,680.00 </w:t>
            </w:r>
          </w:p>
        </w:tc>
        <w:tc>
          <w:tcPr>
            <w:tcW w:w="597" w:type="pct"/>
          </w:tcPr>
          <w:p>
            <w:pPr>
              <w:jc w:val="right"/>
            </w:pPr>
          </w:p>
        </w:tc>
        <w:tc>
          <w:tcPr>
            <w:tcW w:w="882" w:type="pct"/>
          </w:tcPr>
          <w:p>
            <w:pPr>
              <w:jc w:val="right"/>
            </w:pPr>
            <w:r>
              <w:t xml:space="preserve">12,373,338.11 </w:t>
            </w:r>
          </w:p>
        </w:tc>
        <w:tc>
          <w:tcPr>
            <w:tcW w:w="866" w:type="pct"/>
          </w:tcPr>
          <w:p>
            <w:pPr>
              <w:jc w:val="right"/>
            </w:pPr>
            <w:r>
              <w:t xml:space="preserve">12,365,058.43 </w:t>
            </w:r>
          </w:p>
        </w:tc>
        <w:tc>
          <w:tcPr>
            <w:tcW w:w="602" w:type="pct"/>
          </w:tcPr>
          <w:p>
            <w:pPr>
              <w:jc w:val="right"/>
            </w:pPr>
            <w:r>
              <w:t xml:space="preserve">15,959.68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2、失业保险费</w:t>
            </w:r>
          </w:p>
        </w:tc>
        <w:tc>
          <w:tcPr>
            <w:tcW w:w="759" w:type="pct"/>
          </w:tcPr>
          <w:p>
            <w:pPr>
              <w:jc w:val="right"/>
            </w:pPr>
            <w:r>
              <w:t xml:space="preserve"> 26,767.23 </w:t>
            </w:r>
          </w:p>
        </w:tc>
        <w:tc>
          <w:tcPr>
            <w:tcW w:w="597" w:type="pct"/>
          </w:tcPr>
          <w:p>
            <w:pPr>
              <w:jc w:val="right"/>
            </w:pPr>
          </w:p>
        </w:tc>
        <w:tc>
          <w:tcPr>
            <w:tcW w:w="882" w:type="pct"/>
          </w:tcPr>
          <w:p>
            <w:pPr>
              <w:jc w:val="right"/>
            </w:pPr>
            <w:r>
              <w:t xml:space="preserve"> 386,603.06 </w:t>
            </w:r>
          </w:p>
        </w:tc>
        <w:tc>
          <w:tcPr>
            <w:tcW w:w="866" w:type="pct"/>
          </w:tcPr>
          <w:p>
            <w:pPr>
              <w:jc w:val="right"/>
            </w:pPr>
            <w:r>
              <w:t xml:space="preserve"> 412,869.26 </w:t>
            </w:r>
          </w:p>
        </w:tc>
        <w:tc>
          <w:tcPr>
            <w:tcW w:w="602" w:type="pct"/>
          </w:tcPr>
          <w:p>
            <w:pPr>
              <w:jc w:val="right"/>
            </w:pPr>
            <w:r>
              <w:t xml:space="preserve"> 501.03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3、企业年金缴费</w:t>
            </w:r>
          </w:p>
        </w:tc>
        <w:tc>
          <w:tcPr>
            <w:tcW w:w="759" w:type="pct"/>
          </w:tcPr>
          <w:p>
            <w:pPr>
              <w:jc w:val="right"/>
            </w:pPr>
          </w:p>
        </w:tc>
        <w:tc>
          <w:tcPr>
            <w:tcW w:w="597" w:type="pct"/>
          </w:tcPr>
          <w:p>
            <w:pPr>
              <w:jc w:val="right"/>
            </w:pPr>
          </w:p>
        </w:tc>
        <w:tc>
          <w:tcPr>
            <w:tcW w:w="882" w:type="pct"/>
          </w:tcPr>
          <w:p>
            <w:pPr>
              <w:jc w:val="right"/>
            </w:pPr>
          </w:p>
        </w:tc>
        <w:tc>
          <w:tcPr>
            <w:tcW w:w="866" w:type="pct"/>
          </w:tcPr>
          <w:p>
            <w:pPr>
              <w:jc w:val="right"/>
            </w:pPr>
          </w:p>
        </w:tc>
        <w:tc>
          <w:tcPr>
            <w:tcW w:w="602" w:type="pct"/>
          </w:tcPr>
          <w:p>
            <w:pPr>
              <w:jc w:val="right"/>
            </w:pPr>
            <w: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59" w:type="pct"/>
          </w:tcPr>
          <w:p>
            <w:pPr>
              <w:jc w:val="right"/>
            </w:pPr>
            <w:r>
              <w:t xml:space="preserve"> 34,447.23 </w:t>
            </w:r>
          </w:p>
        </w:tc>
        <w:tc>
          <w:tcPr>
            <w:tcW w:w="597" w:type="pct"/>
          </w:tcPr>
          <w:p>
            <w:pPr>
              <w:jc w:val="right"/>
            </w:pPr>
          </w:p>
        </w:tc>
        <w:tc>
          <w:tcPr>
            <w:tcW w:w="882" w:type="pct"/>
          </w:tcPr>
          <w:p>
            <w:pPr>
              <w:jc w:val="right"/>
            </w:pPr>
            <w:r>
              <w:t xml:space="preserve">12,759,941.17 </w:t>
            </w:r>
          </w:p>
        </w:tc>
        <w:tc>
          <w:tcPr>
            <w:tcW w:w="866" w:type="pct"/>
          </w:tcPr>
          <w:p>
            <w:pPr>
              <w:jc w:val="right"/>
            </w:pPr>
            <w:r>
              <w:t xml:space="preserve">12,777,927.69 </w:t>
            </w:r>
          </w:p>
        </w:tc>
        <w:tc>
          <w:tcPr>
            <w:tcW w:w="602" w:type="pct"/>
          </w:tcPr>
          <w:p>
            <w:pPr>
              <w:jc w:val="right"/>
            </w:pPr>
            <w:r>
              <w:t xml:space="preserve">16,460.71 </w:t>
            </w:r>
          </w:p>
        </w:tc>
      </w:tr>
    </w:tbl>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付职工薪酬的说明[双击切换]"/>
        <w:tag w:val="_GBC_f41ecc08d4994ba99707111806caa376"/>
        <w:id w:val="458623088"/>
        <w:placeholder>
          <w:docPart w:val="GBC22222222222222222222222222222"/>
        </w:placeholder>
      </w:sdtPr>
      <w:sdtEndPr>
        <w:rPr>
          <w:color w:val="000000" w:themeColor="text1"/>
          <w14:textFill>
            <w14:solidFill>
              <w14:schemeClr w14:val="tx1"/>
            </w14:solidFill>
          </w14:textFill>
        </w:rPr>
      </w:sdtEndPr>
      <w:sdtContent>
        <w:p>
          <w:pPr>
            <w:autoSpaceDE w:val="0"/>
            <w:autoSpaceDN w:val="0"/>
            <w:adjustRightInd w:val="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应交税费</w:t>
      </w:r>
    </w:p>
    <w:sdt>
      <w:sdtPr>
        <w:rPr>
          <w:color w:val="000000" w:themeColor="text1"/>
          <w14:textFill>
            <w14:solidFill>
              <w14:schemeClr w14:val="tx1"/>
            </w14:solidFill>
          </w14:textFill>
        </w:rPr>
        <w:alias w:val="是否适用：应交税费[双击切换]"/>
        <w:tag w:val="_GBC_e7e2664720b9408384c5d3cd6d97c132"/>
        <w:id w:val="-35433996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应交税费"/>
          <w:tag w:val="_GBC_a6162c9f021640929018406be611b834"/>
          <w:id w:val="146900955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交税费"/>
          <w:tag w:val="_GBC_d787fa1c70604797889c69c4c364e711"/>
          <w:id w:val="66952742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2980"/>
        <w:gridCol w:w="2955"/>
        <w:gridCol w:w="2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ab0019be2d10489d885d15626d85168f"/>
            <w:id w:val="1187097404"/>
          </w:sdtPr>
          <w:sdtContent>
            <w:tc>
              <w:tcPr>
                <w:tcW w:w="1675"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d086e8f4e004ee3aa116a5d10a7ecbd"/>
            <w:id w:val="-1991932725"/>
          </w:sdtPr>
          <w:sdtContent>
            <w:tc>
              <w:tcPr>
                <w:tcW w:w="166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8b866f731e474c6ebfb67cd903ab95c8"/>
            <w:id w:val="-931972977"/>
          </w:sdtPr>
          <w:sdtContent>
            <w:tc>
              <w:tcPr>
                <w:tcW w:w="166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pPr>
              <w:ind w:right="105"/>
              <w:rPr>
                <w:color w:val="000000" w:themeColor="text1"/>
                <w14:textFill>
                  <w14:solidFill>
                    <w14:schemeClr w14:val="tx1"/>
                  </w14:solidFill>
                </w14:textFill>
              </w:rPr>
            </w:pPr>
            <w:r>
              <w:rPr>
                <w:rFonts w:hint="eastAsia"/>
              </w:rPr>
              <w:t>增值税</w:t>
            </w:r>
          </w:p>
        </w:tc>
        <w:tc>
          <w:tcPr>
            <w:tcW w:w="1661" w:type="pct"/>
          </w:tcPr>
          <w:p>
            <w:pPr>
              <w:ind w:right="73"/>
              <w:jc w:val="right"/>
            </w:pPr>
            <w:r>
              <w:rPr>
                <w:rFonts w:hint="eastAsia"/>
              </w:rPr>
              <w:t xml:space="preserve"> 13,726,220.96 </w:t>
            </w:r>
          </w:p>
        </w:tc>
        <w:tc>
          <w:tcPr>
            <w:tcW w:w="1664" w:type="pct"/>
          </w:tcPr>
          <w:p>
            <w:pPr>
              <w:jc w:val="right"/>
            </w:pPr>
            <w:r>
              <w:rPr>
                <w:rFonts w:hint="eastAsia"/>
              </w:rPr>
              <w:t xml:space="preserve"> 21,327,404.50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675" w:type="pct"/>
          </w:tcPr>
          <w:p>
            <w:pPr>
              <w:ind w:right="105"/>
              <w:rPr>
                <w:color w:val="000000" w:themeColor="text1"/>
                <w14:textFill>
                  <w14:solidFill>
                    <w14:schemeClr w14:val="tx1"/>
                  </w14:solidFill>
                </w14:textFill>
              </w:rPr>
            </w:pPr>
            <w:r>
              <w:rPr>
                <w:rFonts w:hint="eastAsia"/>
              </w:rPr>
              <w:t>企业所得税</w:t>
            </w:r>
          </w:p>
        </w:tc>
        <w:tc>
          <w:tcPr>
            <w:tcW w:w="1661" w:type="pct"/>
          </w:tcPr>
          <w:p>
            <w:pPr>
              <w:ind w:right="73"/>
              <w:jc w:val="right"/>
            </w:pPr>
            <w:r>
              <w:rPr>
                <w:rFonts w:hint="eastAsia"/>
              </w:rPr>
              <w:t xml:space="preserve"> 3,295,395.59 </w:t>
            </w:r>
          </w:p>
        </w:tc>
        <w:tc>
          <w:tcPr>
            <w:tcW w:w="1664" w:type="pct"/>
          </w:tcPr>
          <w:p>
            <w:pPr>
              <w:jc w:val="right"/>
            </w:pPr>
            <w:r>
              <w:rPr>
                <w:rFonts w:hint="eastAsia"/>
              </w:rPr>
              <w:t xml:space="preserve"> 11,789,912.84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pPr>
              <w:ind w:right="105"/>
              <w:rPr>
                <w:color w:val="000000" w:themeColor="text1"/>
                <w14:textFill>
                  <w14:solidFill>
                    <w14:schemeClr w14:val="tx1"/>
                  </w14:solidFill>
                </w14:textFill>
              </w:rPr>
            </w:pPr>
            <w:r>
              <w:rPr>
                <w:rFonts w:hint="eastAsia"/>
              </w:rPr>
              <w:t>房产税</w:t>
            </w:r>
          </w:p>
        </w:tc>
        <w:tc>
          <w:tcPr>
            <w:tcW w:w="1661" w:type="pct"/>
          </w:tcPr>
          <w:p>
            <w:pPr>
              <w:ind w:right="73"/>
              <w:jc w:val="right"/>
            </w:pPr>
            <w:r>
              <w:rPr>
                <w:rFonts w:hint="eastAsia"/>
              </w:rPr>
              <w:t xml:space="preserve"> 1,483,054.73 </w:t>
            </w:r>
          </w:p>
        </w:tc>
        <w:tc>
          <w:tcPr>
            <w:tcW w:w="1664" w:type="pct"/>
          </w:tcPr>
          <w:p>
            <w:pPr>
              <w:jc w:val="right"/>
            </w:pPr>
            <w:r>
              <w:rPr>
                <w:rFonts w:hint="eastAsia"/>
              </w:rPr>
              <w:t xml:space="preserve"> 2,465,419.96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pPr>
              <w:ind w:right="105"/>
              <w:rPr>
                <w:color w:val="000000" w:themeColor="text1"/>
                <w14:textFill>
                  <w14:solidFill>
                    <w14:schemeClr w14:val="tx1"/>
                  </w14:solidFill>
                </w14:textFill>
              </w:rPr>
            </w:pPr>
            <w:r>
              <w:rPr>
                <w:rFonts w:hint="eastAsia"/>
              </w:rPr>
              <w:t>城市维护建设税</w:t>
            </w:r>
          </w:p>
        </w:tc>
        <w:tc>
          <w:tcPr>
            <w:tcW w:w="1661" w:type="pct"/>
          </w:tcPr>
          <w:p>
            <w:pPr>
              <w:ind w:right="73"/>
              <w:jc w:val="right"/>
            </w:pPr>
            <w:r>
              <w:rPr>
                <w:rFonts w:hint="eastAsia"/>
              </w:rPr>
              <w:t xml:space="preserve"> 847,887.46 </w:t>
            </w:r>
          </w:p>
        </w:tc>
        <w:tc>
          <w:tcPr>
            <w:tcW w:w="1664" w:type="pct"/>
          </w:tcPr>
          <w:p>
            <w:pPr>
              <w:jc w:val="right"/>
            </w:pPr>
            <w:r>
              <w:rPr>
                <w:rFonts w:hint="eastAsia"/>
              </w:rPr>
              <w:t xml:space="preserve"> 1,459,804.59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pPr>
              <w:ind w:right="105"/>
              <w:rPr>
                <w:color w:val="000000" w:themeColor="text1"/>
                <w14:textFill>
                  <w14:solidFill>
                    <w14:schemeClr w14:val="tx1"/>
                  </w14:solidFill>
                </w14:textFill>
              </w:rPr>
            </w:pPr>
            <w:r>
              <w:rPr>
                <w:rFonts w:hint="eastAsia"/>
              </w:rPr>
              <w:t>代扣代缴个人所得税</w:t>
            </w:r>
          </w:p>
        </w:tc>
        <w:tc>
          <w:tcPr>
            <w:tcW w:w="1661" w:type="pct"/>
          </w:tcPr>
          <w:p>
            <w:pPr>
              <w:ind w:right="73"/>
              <w:jc w:val="right"/>
            </w:pPr>
            <w:r>
              <w:rPr>
                <w:rFonts w:hint="eastAsia"/>
              </w:rPr>
              <w:t xml:space="preserve"> 386,826.63 </w:t>
            </w:r>
          </w:p>
        </w:tc>
        <w:tc>
          <w:tcPr>
            <w:tcW w:w="1664" w:type="pct"/>
          </w:tcPr>
          <w:p>
            <w:pPr>
              <w:jc w:val="right"/>
            </w:pPr>
            <w:r>
              <w:rPr>
                <w:rFonts w:hint="eastAsia"/>
              </w:rPr>
              <w:t xml:space="preserve"> 667,286.44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pPr>
              <w:ind w:right="105"/>
              <w:rPr>
                <w:color w:val="000000" w:themeColor="text1"/>
                <w14:textFill>
                  <w14:solidFill>
                    <w14:schemeClr w14:val="tx1"/>
                  </w14:solidFill>
                </w14:textFill>
              </w:rPr>
            </w:pPr>
            <w:r>
              <w:rPr>
                <w:rFonts w:hint="eastAsia"/>
              </w:rPr>
              <w:t>教育费附加</w:t>
            </w:r>
          </w:p>
        </w:tc>
        <w:tc>
          <w:tcPr>
            <w:tcW w:w="1661" w:type="pct"/>
          </w:tcPr>
          <w:p>
            <w:pPr>
              <w:ind w:right="73"/>
              <w:jc w:val="right"/>
            </w:pPr>
            <w:r>
              <w:rPr>
                <w:rFonts w:hint="eastAsia"/>
              </w:rPr>
              <w:t xml:space="preserve"> 363,236.92 </w:t>
            </w:r>
          </w:p>
        </w:tc>
        <w:tc>
          <w:tcPr>
            <w:tcW w:w="1664" w:type="pct"/>
          </w:tcPr>
          <w:p>
            <w:pPr>
              <w:jc w:val="right"/>
            </w:pPr>
            <w:r>
              <w:rPr>
                <w:rFonts w:hint="eastAsia"/>
              </w:rPr>
              <w:t xml:space="preserve"> 628,427.65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pPr>
              <w:ind w:right="105"/>
            </w:pPr>
            <w:r>
              <w:rPr>
                <w:rFonts w:hint="eastAsia"/>
              </w:rPr>
              <w:t>土地使用税</w:t>
            </w:r>
          </w:p>
        </w:tc>
        <w:tc>
          <w:tcPr>
            <w:tcW w:w="1661" w:type="pct"/>
          </w:tcPr>
          <w:p>
            <w:pPr>
              <w:ind w:right="73"/>
              <w:jc w:val="right"/>
            </w:pPr>
            <w:r>
              <w:rPr>
                <w:rFonts w:hint="eastAsia"/>
              </w:rPr>
              <w:t xml:space="preserve"> 583,496.69 </w:t>
            </w:r>
          </w:p>
        </w:tc>
        <w:tc>
          <w:tcPr>
            <w:tcW w:w="1664" w:type="pct"/>
          </w:tcPr>
          <w:p>
            <w:pPr>
              <w:jc w:val="right"/>
            </w:pPr>
            <w:r>
              <w:rPr>
                <w:rFonts w:hint="eastAsia"/>
              </w:rPr>
              <w:t xml:space="preserve"> 583,496.69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pPr>
              <w:ind w:right="105"/>
            </w:pPr>
            <w:r>
              <w:rPr>
                <w:rFonts w:hint="eastAsia"/>
              </w:rPr>
              <w:t>地方教育附加</w:t>
            </w:r>
          </w:p>
        </w:tc>
        <w:tc>
          <w:tcPr>
            <w:tcW w:w="1661" w:type="pct"/>
          </w:tcPr>
          <w:p>
            <w:pPr>
              <w:ind w:right="73"/>
              <w:jc w:val="right"/>
            </w:pPr>
            <w:r>
              <w:rPr>
                <w:rFonts w:hint="eastAsia"/>
              </w:rPr>
              <w:t xml:space="preserve"> 242,157.95 </w:t>
            </w:r>
          </w:p>
        </w:tc>
        <w:tc>
          <w:tcPr>
            <w:tcW w:w="1664" w:type="pct"/>
          </w:tcPr>
          <w:p>
            <w:pPr>
              <w:jc w:val="right"/>
            </w:pPr>
            <w:r>
              <w:rPr>
                <w:rFonts w:hint="eastAsia"/>
              </w:rPr>
              <w:t xml:space="preserve"> 418,951.78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675" w:type="pct"/>
          </w:tcPr>
          <w:p>
            <w:pPr>
              <w:ind w:right="105"/>
            </w:pPr>
            <w:r>
              <w:rPr>
                <w:rFonts w:hint="eastAsia"/>
              </w:rPr>
              <w:t>印花税</w:t>
            </w:r>
          </w:p>
        </w:tc>
        <w:tc>
          <w:tcPr>
            <w:tcW w:w="1661" w:type="pct"/>
          </w:tcPr>
          <w:p>
            <w:pPr>
              <w:ind w:right="73"/>
              <w:jc w:val="right"/>
            </w:pPr>
            <w:r>
              <w:rPr>
                <w:rFonts w:hint="eastAsia"/>
              </w:rPr>
              <w:t xml:space="preserve"> 374,187.04 </w:t>
            </w:r>
          </w:p>
        </w:tc>
        <w:tc>
          <w:tcPr>
            <w:tcW w:w="1664" w:type="pct"/>
          </w:tcPr>
          <w:p>
            <w:pPr>
              <w:jc w:val="right"/>
            </w:pPr>
            <w:r>
              <w:rPr>
                <w:rFonts w:hint="eastAsia"/>
              </w:rPr>
              <w:t xml:space="preserve"> 438,901.85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tcPr>
          <w:p>
            <w:pPr>
              <w:ind w:right="105"/>
            </w:pPr>
            <w:r>
              <w:rPr>
                <w:rFonts w:hint="eastAsia"/>
              </w:rPr>
              <w:t>其他</w:t>
            </w:r>
          </w:p>
        </w:tc>
        <w:tc>
          <w:tcPr>
            <w:tcW w:w="1661" w:type="pct"/>
          </w:tcPr>
          <w:p>
            <w:pPr>
              <w:ind w:right="73"/>
              <w:jc w:val="right"/>
            </w:pPr>
            <w:r>
              <w:rPr>
                <w:rFonts w:hint="eastAsia"/>
              </w:rPr>
              <w:t xml:space="preserve"> 79,826.08 </w:t>
            </w:r>
          </w:p>
        </w:tc>
        <w:tc>
          <w:tcPr>
            <w:tcW w:w="1664" w:type="pct"/>
          </w:tcPr>
          <w:p>
            <w:pPr>
              <w:jc w:val="right"/>
            </w:pPr>
            <w:r>
              <w:rPr>
                <w:rFonts w:hint="eastAsia"/>
              </w:rPr>
              <w:t xml:space="preserve"> 109,150.19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675"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61" w:type="pct"/>
          </w:tcPr>
          <w:p>
            <w:pPr>
              <w:ind w:right="73"/>
              <w:jc w:val="right"/>
            </w:pPr>
            <w:r>
              <w:t xml:space="preserve"> 21,382,290.05 </w:t>
            </w:r>
          </w:p>
        </w:tc>
        <w:tc>
          <w:tcPr>
            <w:tcW w:w="1664" w:type="pct"/>
          </w:tcPr>
          <w:p>
            <w:pPr>
              <w:jc w:val="right"/>
            </w:pPr>
            <w:r>
              <w:t xml:space="preserve"> 39,888,756.49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应交税金的说明"/>
        <w:tag w:val="_GBC_fb59f8f9de2d41c3aaf0dc3b0970dd91"/>
        <w:id w:val="12814443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其他应付款</w:t>
      </w:r>
    </w:p>
    <w:p>
      <w:pPr>
        <w:pStyle w:val="5"/>
        <w:numPr>
          <w:ilvl w:val="0"/>
          <w:numId w:val="67"/>
        </w:numPr>
        <w:ind w:left="425" w:hanging="425"/>
        <w:rPr>
          <w:color w:val="000000" w:themeColor="text1"/>
          <w14:textFill>
            <w14:solidFill>
              <w14:schemeClr w14:val="tx1"/>
            </w14:solidFill>
          </w14:textFill>
        </w:rPr>
      </w:pPr>
      <w:bookmarkStart w:id="377" w:name="_Hlk167960650"/>
      <w:r>
        <w:rPr>
          <w:rFonts w:hint="eastAsia"/>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其他应付款分类列示[双击切换]"/>
        <w:tag w:val="_GBC_5827d75493f041f68356cdf43e4b0e52"/>
        <w:id w:val="-52356727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其他应付款分类列示"/>
          <w:tag w:val="_GBC_2c430d2cae634c2e8376192a2b4c05d5"/>
          <w:id w:val="-13649170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其他应付款分类列示"/>
          <w:tag w:val="_GBC_ac9f03788d1745f8afc5195f61ce7b16"/>
          <w:id w:val="-154381763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8"/>
        <w:gridCol w:w="2863"/>
        <w:gridCol w:w="2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47406e2caa94b57a871517659cf9c0e"/>
            <w:id w:val="1384050943"/>
          </w:sdtPr>
          <w:sdtContent>
            <w:tc>
              <w:tcPr>
                <w:tcW w:w="1828" w:type="pct"/>
                <w:vAlign w:val="center"/>
              </w:tcPr>
              <w:p>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719b36c588443f38353aada8839625f"/>
            <w:id w:val="-967739260"/>
          </w:sdtPr>
          <w:sdtContent>
            <w:tc>
              <w:tcPr>
                <w:tcW w:w="158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c6045ff64f3481da65c0cff41edd1d0"/>
            <w:id w:val="-1115829699"/>
          </w:sdtPr>
          <w:sdtContent>
            <w:tc>
              <w:tcPr>
                <w:tcW w:w="159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应付利息</w:t>
            </w:r>
          </w:p>
        </w:tc>
        <w:tc>
          <w:tcPr>
            <w:tcW w:w="1582" w:type="pct"/>
          </w:tcPr>
          <w:p>
            <w:pPr>
              <w:tabs>
                <w:tab w:val="right" w:pos="3690"/>
                <w:tab w:val="right" w:pos="5130"/>
                <w:tab w:val="right" w:pos="6030"/>
                <w:tab w:val="right" w:pos="7650"/>
                <w:tab w:val="right" w:pos="9270"/>
              </w:tabs>
              <w:adjustRightInd w:val="0"/>
              <w:snapToGrid w:val="0"/>
              <w:jc w:val="right"/>
            </w:pPr>
          </w:p>
        </w:tc>
        <w:tc>
          <w:tcPr>
            <w:tcW w:w="1590" w:type="pct"/>
          </w:tcPr>
          <w:p>
            <w:pPr>
              <w:tabs>
                <w:tab w:val="right" w:pos="3690"/>
                <w:tab w:val="right" w:pos="5130"/>
                <w:tab w:val="right" w:pos="6030"/>
                <w:tab w:val="right" w:pos="7650"/>
                <w:tab w:val="right" w:pos="9270"/>
              </w:tabs>
              <w:adjustRightInd w:val="0"/>
              <w:snapToGri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应付股利</w:t>
            </w:r>
          </w:p>
        </w:tc>
        <w:tc>
          <w:tcPr>
            <w:tcW w:w="1582" w:type="pct"/>
          </w:tcPr>
          <w:p>
            <w:pPr>
              <w:tabs>
                <w:tab w:val="right" w:pos="3690"/>
                <w:tab w:val="right" w:pos="5130"/>
                <w:tab w:val="right" w:pos="6030"/>
                <w:tab w:val="right" w:pos="7650"/>
                <w:tab w:val="right" w:pos="9270"/>
              </w:tabs>
              <w:adjustRightInd w:val="0"/>
              <w:snapToGrid w:val="0"/>
              <w:jc w:val="right"/>
            </w:pPr>
          </w:p>
        </w:tc>
        <w:tc>
          <w:tcPr>
            <w:tcW w:w="1590" w:type="pct"/>
          </w:tcPr>
          <w:p>
            <w:pPr>
              <w:tabs>
                <w:tab w:val="right" w:pos="3690"/>
                <w:tab w:val="right" w:pos="5130"/>
                <w:tab w:val="right" w:pos="6030"/>
                <w:tab w:val="right" w:pos="7650"/>
                <w:tab w:val="right" w:pos="9270"/>
              </w:tabs>
              <w:adjustRightInd w:val="0"/>
              <w:snapToGri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其他应付款</w:t>
            </w:r>
          </w:p>
        </w:tc>
        <w:tc>
          <w:tcPr>
            <w:tcW w:w="1582" w:type="pct"/>
          </w:tcPr>
          <w:p>
            <w:pPr>
              <w:tabs>
                <w:tab w:val="right" w:pos="3690"/>
                <w:tab w:val="right" w:pos="5130"/>
                <w:tab w:val="right" w:pos="6030"/>
                <w:tab w:val="right" w:pos="7650"/>
                <w:tab w:val="right" w:pos="9270"/>
              </w:tabs>
              <w:adjustRightInd w:val="0"/>
              <w:snapToGrid w:val="0"/>
              <w:jc w:val="right"/>
            </w:pPr>
            <w:r>
              <w:t xml:space="preserve"> 35,572,414.29 </w:t>
            </w:r>
          </w:p>
        </w:tc>
        <w:tc>
          <w:tcPr>
            <w:tcW w:w="1590" w:type="pct"/>
          </w:tcPr>
          <w:p>
            <w:pPr>
              <w:tabs>
                <w:tab w:val="right" w:pos="3690"/>
                <w:tab w:val="right" w:pos="5130"/>
                <w:tab w:val="right" w:pos="6030"/>
                <w:tab w:val="right" w:pos="7650"/>
                <w:tab w:val="right" w:pos="9270"/>
              </w:tabs>
              <w:adjustRightInd w:val="0"/>
              <w:snapToGrid w:val="0"/>
              <w:jc w:val="right"/>
            </w:pPr>
            <w:r>
              <w:t xml:space="preserve"> 62,168,818.34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8" w:type="pct"/>
          </w:tcPr>
          <w:p>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82" w:type="pct"/>
          </w:tcPr>
          <w:p>
            <w:pPr>
              <w:tabs>
                <w:tab w:val="right" w:pos="3690"/>
                <w:tab w:val="right" w:pos="5130"/>
                <w:tab w:val="right" w:pos="6030"/>
                <w:tab w:val="right" w:pos="7650"/>
                <w:tab w:val="right" w:pos="9270"/>
              </w:tabs>
              <w:adjustRightInd w:val="0"/>
              <w:snapToGrid w:val="0"/>
              <w:jc w:val="right"/>
            </w:pPr>
            <w:r>
              <w:t xml:space="preserve"> 35,572,414.29 </w:t>
            </w:r>
          </w:p>
        </w:tc>
        <w:tc>
          <w:tcPr>
            <w:tcW w:w="1590" w:type="pct"/>
          </w:tcPr>
          <w:p>
            <w:pPr>
              <w:tabs>
                <w:tab w:val="right" w:pos="3690"/>
                <w:tab w:val="right" w:pos="5130"/>
                <w:tab w:val="right" w:pos="6030"/>
                <w:tab w:val="right" w:pos="7650"/>
                <w:tab w:val="right" w:pos="9270"/>
              </w:tabs>
              <w:adjustRightInd w:val="0"/>
              <w:snapToGrid w:val="0"/>
              <w:jc w:val="right"/>
            </w:pPr>
            <w:r>
              <w:t xml:space="preserve"> 62,168,818.34 </w:t>
            </w:r>
          </w:p>
        </w:tc>
      </w:tr>
      <w:bookmarkEnd w:id="377"/>
    </w:tbl>
    <w:p>
      <w:pPr>
        <w:pStyle w:val="5"/>
        <w:numPr>
          <w:ilvl w:val="0"/>
          <w:numId w:val="67"/>
        </w:numPr>
        <w:ind w:left="425" w:hanging="425"/>
        <w:rPr>
          <w:color w:val="000000" w:themeColor="text1"/>
          <w14:textFill>
            <w14:solidFill>
              <w14:schemeClr w14:val="tx1"/>
            </w14:solidFill>
          </w14:textFill>
        </w:rPr>
      </w:pPr>
      <w:bookmarkStart w:id="378" w:name="_Hlk10536047"/>
      <w:r>
        <w:rPr>
          <w:rFonts w:hint="eastAsia"/>
          <w:color w:val="000000" w:themeColor="text1"/>
          <w14:textFill>
            <w14:solidFill>
              <w14:schemeClr w14:val="tx1"/>
            </w14:solidFill>
          </w14:textFill>
        </w:rPr>
        <w:t>应付利息</w:t>
      </w:r>
    </w:p>
    <w:sdt>
      <w:sdtPr>
        <w:rPr>
          <w:color w:val="000000" w:themeColor="text1"/>
          <w14:textFill>
            <w14:solidFill>
              <w14:schemeClr w14:val="tx1"/>
            </w14:solidFill>
          </w14:textFill>
        </w:rPr>
        <w:alias w:val="是否适用：应付利息[双击切换]"/>
        <w:tag w:val="_GBC_9058c1c6b0a94f6a8c531ec2dbd35706"/>
        <w:id w:val="-55361925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78"/>
    <w:p>
      <w:pPr>
        <w:pStyle w:val="5"/>
        <w:numPr>
          <w:ilvl w:val="0"/>
          <w:numId w:val="67"/>
        </w:numPr>
        <w:ind w:left="425" w:hanging="425"/>
        <w:rPr>
          <w:color w:val="000000" w:themeColor="text1"/>
          <w14:textFill>
            <w14:solidFill>
              <w14:schemeClr w14:val="tx1"/>
            </w14:solidFill>
          </w14:textFill>
        </w:rPr>
      </w:pPr>
      <w:bookmarkStart w:id="379" w:name="_Hlk10536068"/>
      <w:bookmarkStart w:id="380" w:name="_Hlk10536082"/>
      <w:r>
        <w:rPr>
          <w:rFonts w:hint="eastAsia"/>
          <w:color w:val="000000" w:themeColor="text1"/>
          <w14:textFill>
            <w14:solidFill>
              <w14:schemeClr w14:val="tx1"/>
            </w14:solidFill>
          </w14:textFill>
        </w:rPr>
        <w:t>应付股利</w:t>
      </w:r>
      <w:bookmarkEnd w:id="379"/>
    </w:p>
    <w:sdt>
      <w:sdtPr>
        <w:rPr>
          <w:color w:val="000000" w:themeColor="text1"/>
          <w14:textFill>
            <w14:solidFill>
              <w14:schemeClr w14:val="tx1"/>
            </w14:solidFill>
          </w14:textFill>
        </w:rPr>
        <w:alias w:val="是否适用：应付股利[双击切换]"/>
        <w:tag w:val="_GBC_09dc75ba10d44acfb18b03320a40e4c5"/>
        <w:id w:val="-183182206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80"/>
    <w:p>
      <w:pPr>
        <w:pStyle w:val="5"/>
        <w:numPr>
          <w:ilvl w:val="0"/>
          <w:numId w:val="67"/>
        </w:numPr>
        <w:ind w:left="425" w:hanging="425"/>
        <w:rPr>
          <w:color w:val="000000" w:themeColor="text1"/>
          <w14:textFill>
            <w14:solidFill>
              <w14:schemeClr w14:val="tx1"/>
            </w14:solidFill>
          </w14:textFill>
        </w:rPr>
      </w:pPr>
      <w:bookmarkStart w:id="381" w:name="_Hlk10536163"/>
      <w:r>
        <w:rPr>
          <w:rFonts w:hint="eastAsia"/>
          <w:color w:val="000000" w:themeColor="text1"/>
          <w14:textFill>
            <w14:solidFill>
              <w14:schemeClr w14:val="tx1"/>
            </w14:solidFill>
          </w14:textFill>
        </w:rPr>
        <w:t>其他应付款</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按款项性质列示其他应付款</w:t>
      </w:r>
    </w:p>
    <w:sdt>
      <w:sdtPr>
        <w:rPr>
          <w:color w:val="000000" w:themeColor="text1"/>
          <w14:textFill>
            <w14:solidFill>
              <w14:schemeClr w14:val="tx1"/>
            </w14:solidFill>
          </w14:textFill>
        </w:rPr>
        <w:alias w:val="是否适用：按款项性质列示其他应付款[双击切换]"/>
        <w:tag w:val="_GBC_a099ebd596de4984814ff6b49af92e86"/>
        <w:id w:val="135168330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应付款情况"/>
          <w:tag w:val="_GBC_781a05c0c742470b88557fa8878adf9c"/>
          <w:id w:val="162164780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应付款情况"/>
          <w:tag w:val="_GBC_19bba6af93f1445cbfdc13ddfb71a0ea"/>
          <w:id w:val="29780980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23"/>
        <w:gridCol w:w="2999"/>
        <w:gridCol w:w="3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991c4118c8d4069811e5f758978143f"/>
            <w:id w:val="160665196"/>
          </w:sdtPr>
          <w:sdtContent>
            <w:tc>
              <w:tcPr>
                <w:tcW w:w="1615"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c1bcea3523f040f08da3a1bd0d135ad5"/>
            <w:id w:val="756564900"/>
          </w:sdtPr>
          <w:sdtContent>
            <w:tc>
              <w:tcPr>
                <w:tcW w:w="1657"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b89663858245498c995c58e2bab384aa"/>
            <w:id w:val="1349915435"/>
          </w:sdtPr>
          <w:sdtContent>
            <w:tc>
              <w:tcPr>
                <w:tcW w:w="1728"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pPr>
              <w:pStyle w:val="48"/>
            </w:pPr>
            <w:r>
              <w:rPr>
                <w:rFonts w:hint="eastAsia"/>
              </w:rPr>
              <w:t>未支付费用及报销款项</w:t>
            </w:r>
          </w:p>
        </w:tc>
        <w:tc>
          <w:tcPr>
            <w:tcW w:w="1657" w:type="pct"/>
          </w:tcPr>
          <w:p>
            <w:pPr>
              <w:jc w:val="right"/>
            </w:pPr>
            <w:r>
              <w:t xml:space="preserve"> 13,599,083.27 </w:t>
            </w:r>
          </w:p>
        </w:tc>
        <w:tc>
          <w:tcPr>
            <w:tcW w:w="1728" w:type="pct"/>
          </w:tcPr>
          <w:p>
            <w:pPr>
              <w:jc w:val="right"/>
            </w:pPr>
            <w:r>
              <w:rPr>
                <w:rFonts w:hint="eastAsia"/>
              </w:rPr>
              <w:t xml:space="preserve"> 19,505,477.34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pPr>
              <w:pStyle w:val="48"/>
            </w:pPr>
            <w:r>
              <w:rPr>
                <w:rFonts w:hint="eastAsia"/>
              </w:rPr>
              <w:t>往来款</w:t>
            </w:r>
          </w:p>
        </w:tc>
        <w:tc>
          <w:tcPr>
            <w:tcW w:w="1657" w:type="pct"/>
          </w:tcPr>
          <w:p>
            <w:pPr>
              <w:jc w:val="right"/>
            </w:pPr>
            <w:r>
              <w:t xml:space="preserve"> 5,000,000.00 </w:t>
            </w:r>
          </w:p>
        </w:tc>
        <w:tc>
          <w:tcPr>
            <w:tcW w:w="1728" w:type="pct"/>
          </w:tcPr>
          <w:p>
            <w:pPr>
              <w:jc w:val="right"/>
            </w:pPr>
            <w:r>
              <w:rPr>
                <w:rFonts w:hint="eastAsia"/>
              </w:rPr>
              <w:t xml:space="preserve"> 7,800,000.00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pPr>
              <w:pStyle w:val="48"/>
            </w:pPr>
            <w:r>
              <w:rPr>
                <w:rFonts w:hint="eastAsia"/>
              </w:rPr>
              <w:t>押金及保证金</w:t>
            </w:r>
          </w:p>
        </w:tc>
        <w:tc>
          <w:tcPr>
            <w:tcW w:w="1657" w:type="pct"/>
          </w:tcPr>
          <w:p>
            <w:pPr>
              <w:jc w:val="right"/>
            </w:pPr>
            <w:r>
              <w:t xml:space="preserve"> 7,554,300.00 </w:t>
            </w:r>
          </w:p>
        </w:tc>
        <w:tc>
          <w:tcPr>
            <w:tcW w:w="1728" w:type="pct"/>
          </w:tcPr>
          <w:p>
            <w:pPr>
              <w:jc w:val="right"/>
            </w:pPr>
            <w:r>
              <w:rPr>
                <w:rFonts w:hint="eastAsia"/>
              </w:rPr>
              <w:t xml:space="preserve"> 6,058,300.00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pPr>
              <w:pStyle w:val="48"/>
            </w:pPr>
            <w:r>
              <w:rPr>
                <w:rFonts w:hint="eastAsia"/>
              </w:rPr>
              <w:t>其他</w:t>
            </w:r>
          </w:p>
        </w:tc>
        <w:tc>
          <w:tcPr>
            <w:tcW w:w="1657" w:type="pct"/>
          </w:tcPr>
          <w:p>
            <w:pPr>
              <w:jc w:val="right"/>
            </w:pPr>
            <w:r>
              <w:t xml:space="preserve"> 9,419,031.02 </w:t>
            </w:r>
          </w:p>
        </w:tc>
        <w:tc>
          <w:tcPr>
            <w:tcW w:w="1728" w:type="pct"/>
          </w:tcPr>
          <w:p>
            <w:pPr>
              <w:jc w:val="right"/>
            </w:pPr>
            <w:r>
              <w:rPr>
                <w:rFonts w:hint="eastAsia"/>
              </w:rPr>
              <w:t xml:space="preserve"> 10,531,801.00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pPr>
              <w:pStyle w:val="48"/>
            </w:pPr>
            <w:r>
              <w:rPr>
                <w:rFonts w:hint="eastAsia"/>
              </w:rPr>
              <w:t>限制性股票回购义务款</w:t>
            </w:r>
          </w:p>
        </w:tc>
        <w:tc>
          <w:tcPr>
            <w:tcW w:w="1657" w:type="pct"/>
          </w:tcPr>
          <w:p>
            <w:pPr>
              <w:jc w:val="right"/>
            </w:pPr>
          </w:p>
        </w:tc>
        <w:tc>
          <w:tcPr>
            <w:tcW w:w="1728" w:type="pct"/>
          </w:tcPr>
          <w:p>
            <w:pPr>
              <w:jc w:val="right"/>
            </w:pPr>
            <w:r>
              <w:rPr>
                <w:rFonts w:hint="eastAsia"/>
              </w:rPr>
              <w:t xml:space="preserve"> 18,273,240.00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57" w:type="pct"/>
          </w:tcPr>
          <w:p>
            <w:pPr>
              <w:jc w:val="right"/>
            </w:pPr>
            <w:r>
              <w:t xml:space="preserve"> 35,572,414.29 </w:t>
            </w:r>
          </w:p>
        </w:tc>
        <w:tc>
          <w:tcPr>
            <w:tcW w:w="1728" w:type="pct"/>
          </w:tcPr>
          <w:p>
            <w:pPr>
              <w:jc w:val="right"/>
            </w:pPr>
            <w:r>
              <w:t xml:space="preserve"> 62,168,818.34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账龄超过</w:t>
      </w:r>
      <w:r>
        <w:rPr>
          <w:color w:val="000000" w:themeColor="text1"/>
          <w14:textFill>
            <w14:solidFill>
              <w14:schemeClr w14:val="tx1"/>
            </w14:solidFill>
          </w14:textFill>
        </w:rPr>
        <w:t>1年</w:t>
      </w:r>
      <w:r>
        <w:rPr>
          <w:rFonts w:hint="eastAsia"/>
          <w:color w:val="000000" w:themeColor="text1"/>
          <w14:textFill>
            <w14:solidFill>
              <w14:schemeClr w14:val="tx1"/>
            </w14:solidFill>
          </w14:textFill>
        </w:rPr>
        <w:t>或逾期</w:t>
      </w:r>
      <w:r>
        <w:rPr>
          <w:color w:val="000000" w:themeColor="text1"/>
          <w14:textFill>
            <w14:solidFill>
              <w14:schemeClr w14:val="tx1"/>
            </w14:solidFill>
          </w14:textFill>
        </w:rPr>
        <w:t>的重要其他应付款</w:t>
      </w:r>
    </w:p>
    <w:p>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账龄超过1年的重要其他应付款[双击切换]"/>
          <w:tag w:val="_GBC_484cd63ee8b54a41978c822ae4ec5689"/>
          <w:id w:val="-1261907998"/>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其他应付款的其他说明[双击切换]"/>
        <w:tag w:val="_GBC_c968ec386e144657884a6b5b483acbfd"/>
        <w:id w:val="190456610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81"/>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持有待售负债</w:t>
      </w:r>
    </w:p>
    <w:sdt>
      <w:sdtPr>
        <w:rPr>
          <w:color w:val="000000" w:themeColor="text1"/>
          <w14:textFill>
            <w14:solidFill>
              <w14:schemeClr w14:val="tx1"/>
            </w14:solidFill>
          </w14:textFill>
        </w:rPr>
        <w:alias w:val="是否适用：划分为持有待售的负债[双击切换]"/>
        <w:tag w:val="_GBC_039b9e06b132407a89f578be468d6ec8"/>
        <w:id w:val="-105893937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一年内到期的非流动负债</w:t>
      </w:r>
    </w:p>
    <w:sdt>
      <w:sdtPr>
        <w:rPr>
          <w:color w:val="000000" w:themeColor="text1"/>
          <w14:textFill>
            <w14:solidFill>
              <w14:schemeClr w14:val="tx1"/>
            </w14:solidFill>
          </w14:textFill>
        </w:rPr>
        <w:alias w:val="是否适用：1年内到期的非流动负债[双击切换]"/>
        <w:tag w:val="_GBC_9b606bc3f0cf4f77be9b0f299d212c73"/>
        <w:id w:val="34783327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1年内到期的非流动负债情况"/>
          <w:tag w:val="_GBC_7bad01766fa0485ea9c16109704ff32e"/>
          <w:id w:val="-1576870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1年内到期的非流动负债情况"/>
          <w:tag w:val="_GBC_25aa805434d340a6ade79870522c9640"/>
          <w:id w:val="-127116208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3037"/>
        <w:gridCol w:w="3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f2815b84ebe4a1e94909ee96ec31ac1"/>
            <w:id w:val="2046713779"/>
          </w:sdtPr>
          <w:sdtContent>
            <w:tc>
              <w:tcPr>
                <w:tcW w:w="1607"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b7abcf611bc4296ad7bd9c8177202e0"/>
            <w:id w:val="-1508361568"/>
          </w:sdtPr>
          <w:sdtContent>
            <w:tc>
              <w:tcPr>
                <w:tcW w:w="1678"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371959274ef4493ca1fe426c930e0bf2"/>
            <w:id w:val="1879428865"/>
          </w:sdtPr>
          <w:sdtContent>
            <w:tc>
              <w:tcPr>
                <w:tcW w:w="1715"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pPr>
              <w:rPr>
                <w:color w:val="000000" w:themeColor="text1"/>
                <w14:textFill>
                  <w14:solidFill>
                    <w14:schemeClr w14:val="tx1"/>
                  </w14:solidFill>
                </w14:textFill>
              </w:rPr>
            </w:pPr>
            <w:r>
              <w:rPr>
                <w:rFonts w:hint="eastAsia"/>
              </w:rPr>
              <w:t>1年内到期的长期借款</w:t>
            </w:r>
          </w:p>
        </w:tc>
        <w:tc>
          <w:tcPr>
            <w:tcW w:w="1678" w:type="pct"/>
          </w:tcPr>
          <w:p>
            <w:pPr>
              <w:jc w:val="right"/>
            </w:pPr>
            <w:r>
              <w:t xml:space="preserve"> 632,925,158.14 </w:t>
            </w:r>
          </w:p>
        </w:tc>
        <w:tc>
          <w:tcPr>
            <w:tcW w:w="1715" w:type="pct"/>
          </w:tcPr>
          <w:p>
            <w:pPr>
              <w:jc w:val="right"/>
            </w:pPr>
            <w:r>
              <w:t xml:space="preserve"> 414,961,327.10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pPr>
              <w:rPr>
                <w:color w:val="000000" w:themeColor="text1"/>
                <w14:textFill>
                  <w14:solidFill>
                    <w14:schemeClr w14:val="tx1"/>
                  </w14:solidFill>
                </w14:textFill>
              </w:rPr>
            </w:pPr>
            <w:r>
              <w:rPr>
                <w:rFonts w:hint="eastAsia"/>
              </w:rPr>
              <w:t>1年内到期的长期应付款</w:t>
            </w:r>
          </w:p>
        </w:tc>
        <w:tc>
          <w:tcPr>
            <w:tcW w:w="1678" w:type="pct"/>
          </w:tcPr>
          <w:p>
            <w:pPr>
              <w:jc w:val="right"/>
            </w:pPr>
            <w:r>
              <w:t xml:space="preserve"> 40,419,166.10 </w:t>
            </w:r>
          </w:p>
        </w:tc>
        <w:tc>
          <w:tcPr>
            <w:tcW w:w="1715" w:type="pct"/>
          </w:tcPr>
          <w:p>
            <w:pPr>
              <w:jc w:val="right"/>
            </w:pPr>
            <w:r>
              <w:t xml:space="preserve"> 40,427,724.17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pPr>
              <w:rPr>
                <w:color w:val="000000" w:themeColor="text1"/>
                <w14:textFill>
                  <w14:solidFill>
                    <w14:schemeClr w14:val="tx1"/>
                  </w14:solidFill>
                </w14:textFill>
              </w:rPr>
            </w:pPr>
            <w:r>
              <w:rPr>
                <w:rFonts w:hint="eastAsia"/>
              </w:rPr>
              <w:t>1年内到期的租赁负债</w:t>
            </w:r>
          </w:p>
        </w:tc>
        <w:tc>
          <w:tcPr>
            <w:tcW w:w="1678" w:type="pct"/>
          </w:tcPr>
          <w:p>
            <w:pPr>
              <w:jc w:val="right"/>
            </w:pPr>
            <w:r>
              <w:t xml:space="preserve"> 13,011,504.40 </w:t>
            </w:r>
          </w:p>
        </w:tc>
        <w:tc>
          <w:tcPr>
            <w:tcW w:w="1715" w:type="pct"/>
          </w:tcPr>
          <w:p>
            <w:pPr>
              <w:jc w:val="right"/>
            </w:pPr>
            <w:r>
              <w:t xml:space="preserve"> 10,079,038.08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7"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78" w:type="pct"/>
          </w:tcPr>
          <w:p>
            <w:pPr>
              <w:jc w:val="right"/>
            </w:pPr>
            <w:r>
              <w:t xml:space="preserve"> 686,355,828.64 </w:t>
            </w:r>
          </w:p>
        </w:tc>
        <w:tc>
          <w:tcPr>
            <w:tcW w:w="1715" w:type="pct"/>
          </w:tcPr>
          <w:p>
            <w:pPr>
              <w:jc w:val="right"/>
            </w:pPr>
            <w:r>
              <w:t xml:space="preserve"> 465,468,089.35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1年内到期的非流动负债说明"/>
        <w:tag w:val="_GBC_ae2cc1bff1994660ac9e57279493bfe6"/>
        <w:id w:val="-122252081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其他流动负债</w:t>
      </w:r>
      <w:bookmarkStart w:id="382" w:name="_Hlk10536328"/>
    </w:p>
    <w:sdt>
      <w:sdtPr>
        <w:rPr>
          <w:rFonts w:hint="eastAsia"/>
          <w:color w:val="000000" w:themeColor="text1"/>
          <w14:textFill>
            <w14:solidFill>
              <w14:schemeClr w14:val="tx1"/>
            </w14:solidFill>
          </w14:textFill>
        </w:rPr>
        <w:alias w:val="是否适用：其他流动负债情况 [双击切换]"/>
        <w:tag w:val="_GBC_80907e3e53c44260b850f42646eb3d63"/>
        <w:id w:val="1023748933"/>
        <w:lock w:val="contentLocked"/>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流动负债"/>
          <w:tag w:val="_GBC_6d31349460124941a4929421727aab0e"/>
          <w:id w:val="140810440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流动负债"/>
          <w:tag w:val="_GBC_7d8c93066ac541859a45d371953d3cdc"/>
          <w:id w:val="-186550756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2"/>
        <w:gridCol w:w="3118"/>
        <w:gridCol w:w="3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tag w:val="_PLD_8fb682e3d6ad4a60b648ec38137fbf9d"/>
            <w:id w:val="986984162"/>
          </w:sdtPr>
          <w:sdtContent>
            <w:tc>
              <w:tcPr>
                <w:tcW w:w="1548" w:type="pct"/>
                <w:tcBorders>
                  <w:top w:val="single" w:color="auto" w:sz="4" w:space="0"/>
                  <w:left w:val="single" w:color="auto" w:sz="4" w:space="0"/>
                  <w:bottom w:val="single" w:color="auto" w:sz="4" w:space="0"/>
                  <w:right w:val="single" w:color="auto" w:sz="4" w:space="0"/>
                </w:tcBorders>
                <w:vAlign w:val="bottom"/>
              </w:tcPr>
              <w:p>
                <w:pPr>
                  <w:tabs>
                    <w:tab w:val="right" w:pos="3690"/>
                    <w:tab w:val="right" w:pos="5130"/>
                    <w:tab w:val="right" w:pos="6030"/>
                    <w:tab w:val="right" w:pos="7650"/>
                    <w:tab w:val="right" w:pos="9270"/>
                  </w:tabs>
                  <w:snapToGrid w:val="0"/>
                  <w:ind w:left="-109" w:leftChars="-5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0c0b762dc58f486f9f736b7ace21e9a0"/>
            <w:id w:val="-768537555"/>
          </w:sdtPr>
          <w:sdtContent>
            <w:tc>
              <w:tcPr>
                <w:tcW w:w="1723" w:type="pct"/>
                <w:tcBorders>
                  <w:top w:val="single" w:color="auto" w:sz="4" w:space="0"/>
                  <w:left w:val="single" w:color="auto" w:sz="4" w:space="0"/>
                  <w:bottom w:val="single" w:color="auto" w:sz="4" w:space="0"/>
                  <w:right w:val="single" w:color="auto" w:sz="4" w:space="0"/>
                </w:tcBorders>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942d693f41424f82b813e282a8210643"/>
            <w:id w:val="1648007771"/>
          </w:sdtPr>
          <w:sdtContent>
            <w:tc>
              <w:tcPr>
                <w:tcW w:w="1729" w:type="pct"/>
                <w:tcBorders>
                  <w:top w:val="single" w:color="auto" w:sz="4" w:space="0"/>
                  <w:left w:val="single" w:color="auto" w:sz="4" w:space="0"/>
                  <w:bottom w:val="single" w:color="auto" w:sz="4" w:space="0"/>
                  <w:right w:val="single" w:color="auto" w:sz="4" w:space="0"/>
                </w:tcBorders>
              </w:tcPr>
              <w:p>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rPr>
              <w:t>未终止确认的商业票据</w:t>
            </w:r>
          </w:p>
        </w:tc>
        <w:tc>
          <w:tcPr>
            <w:tcW w:w="1723" w:type="pct"/>
            <w:tcBorders>
              <w:top w:val="single" w:color="auto" w:sz="4" w:space="0"/>
              <w:left w:val="single" w:color="auto" w:sz="4" w:space="0"/>
              <w:bottom w:val="single" w:color="auto" w:sz="4" w:space="0"/>
              <w:right w:val="single" w:color="auto" w:sz="4" w:space="0"/>
            </w:tcBorders>
          </w:tcPr>
          <w:p>
            <w:pPr>
              <w:jc w:val="right"/>
            </w:pPr>
            <w:r>
              <w:t xml:space="preserve"> 257,011,779.41 </w:t>
            </w:r>
          </w:p>
        </w:tc>
        <w:tc>
          <w:tcPr>
            <w:tcW w:w="1729" w:type="pct"/>
            <w:tcBorders>
              <w:top w:val="single" w:color="auto" w:sz="4" w:space="0"/>
              <w:left w:val="single" w:color="auto" w:sz="4" w:space="0"/>
              <w:bottom w:val="single" w:color="auto" w:sz="4" w:space="0"/>
              <w:right w:val="single" w:color="auto" w:sz="4" w:space="0"/>
            </w:tcBorders>
          </w:tcPr>
          <w:p>
            <w:pPr>
              <w:jc w:val="right"/>
            </w:pPr>
            <w:r>
              <w:t xml:space="preserve"> 313,617,724.22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rPr>
              <w:t>待转销项税额</w:t>
            </w:r>
          </w:p>
        </w:tc>
        <w:tc>
          <w:tcPr>
            <w:tcW w:w="1723" w:type="pct"/>
            <w:tcBorders>
              <w:top w:val="single" w:color="auto" w:sz="4" w:space="0"/>
              <w:left w:val="single" w:color="auto" w:sz="4" w:space="0"/>
              <w:bottom w:val="single" w:color="auto" w:sz="4" w:space="0"/>
              <w:right w:val="single" w:color="auto" w:sz="4" w:space="0"/>
            </w:tcBorders>
          </w:tcPr>
          <w:p>
            <w:pPr>
              <w:jc w:val="right"/>
            </w:pPr>
            <w:r>
              <w:t xml:space="preserve"> 20,950,545.35 </w:t>
            </w:r>
          </w:p>
        </w:tc>
        <w:tc>
          <w:tcPr>
            <w:tcW w:w="1729" w:type="pct"/>
            <w:tcBorders>
              <w:top w:val="single" w:color="auto" w:sz="4" w:space="0"/>
              <w:left w:val="single" w:color="auto" w:sz="4" w:space="0"/>
              <w:bottom w:val="single" w:color="auto" w:sz="4" w:space="0"/>
              <w:right w:val="single" w:color="auto" w:sz="4" w:space="0"/>
            </w:tcBorders>
          </w:tcPr>
          <w:p>
            <w:pPr>
              <w:jc w:val="right"/>
            </w:pPr>
            <w:r>
              <w:t xml:space="preserve"> 16,614,762.29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723" w:type="pct"/>
            <w:tcBorders>
              <w:top w:val="single" w:color="auto" w:sz="4" w:space="0"/>
              <w:left w:val="single" w:color="auto" w:sz="4" w:space="0"/>
              <w:bottom w:val="single" w:color="auto" w:sz="4" w:space="0"/>
              <w:right w:val="single" w:color="auto" w:sz="4" w:space="0"/>
            </w:tcBorders>
          </w:tcPr>
          <w:p>
            <w:pPr>
              <w:jc w:val="right"/>
            </w:pPr>
            <w:r>
              <w:t xml:space="preserve"> 277,962,324.76 </w:t>
            </w:r>
          </w:p>
        </w:tc>
        <w:tc>
          <w:tcPr>
            <w:tcW w:w="1729" w:type="pct"/>
            <w:tcBorders>
              <w:top w:val="single" w:color="auto" w:sz="4" w:space="0"/>
              <w:left w:val="single" w:color="auto" w:sz="4" w:space="0"/>
              <w:bottom w:val="single" w:color="auto" w:sz="4" w:space="0"/>
              <w:right w:val="single" w:color="auto" w:sz="4" w:space="0"/>
            </w:tcBorders>
          </w:tcPr>
          <w:p>
            <w:pPr>
              <w:jc w:val="right"/>
            </w:pPr>
            <w:r>
              <w:t xml:space="preserve"> 330,232,486.51 </w:t>
            </w:r>
          </w:p>
        </w:tc>
      </w:tr>
      <w:bookmarkEnd w:id="382"/>
    </w:tbl>
    <w:p>
      <w:pPr>
        <w:rPr>
          <w:color w:val="000000" w:themeColor="text1"/>
          <w14:textFill>
            <w14:solidFill>
              <w14:schemeClr w14:val="tx1"/>
            </w14:solidFill>
          </w14:textFill>
        </w:rPr>
      </w:pPr>
      <w:bookmarkStart w:id="383" w:name="_Hlk167968687"/>
      <w:r>
        <w:rPr>
          <w:rFonts w:hint="eastAsia"/>
          <w:color w:val="000000" w:themeColor="text1"/>
          <w14:textFill>
            <w14:solidFill>
              <w14:schemeClr w14:val="tx1"/>
            </w14:solidFill>
          </w14:textFill>
        </w:rPr>
        <w:t>短期</w:t>
      </w:r>
      <w:r>
        <w:rPr>
          <w:color w:val="000000" w:themeColor="text1"/>
          <w14:textFill>
            <w14:solidFill>
              <w14:schemeClr w14:val="tx1"/>
            </w14:solidFill>
          </w14:textFill>
        </w:rPr>
        <w:t>应付债券的增减变动</w:t>
      </w:r>
      <w:r>
        <w:rPr>
          <w:rFonts w:hint="eastAsia"/>
          <w:color w:val="000000" w:themeColor="text1"/>
          <w14:textFill>
            <w14:solidFill>
              <w14:schemeClr w14:val="tx1"/>
            </w14:solidFill>
          </w14:textFill>
        </w:rPr>
        <w:t>：</w:t>
      </w:r>
    </w:p>
    <w:sdt>
      <w:sdtPr>
        <w:rPr>
          <w:color w:val="000000" w:themeColor="text1"/>
          <w14:textFill>
            <w14:solidFill>
              <w14:schemeClr w14:val="tx1"/>
            </w14:solidFill>
          </w14:textFill>
        </w:rPr>
        <w:alias w:val="是否适用：短期应付债券的增减变动[双击切换]"/>
        <w:tag w:val="_GBC_564144f89f7f4019bdcd86b0e624bfee"/>
        <w:id w:val="-34725466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83"/>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其他流动负债说明[双击切换]"/>
        <w:tag w:val="_GBC_6ebc9e220fb04ea584ed56f756d92d59"/>
        <w:id w:val="-2057683906"/>
        <w:placeholder>
          <w:docPart w:val="GBC22222222222222222222222222222"/>
        </w:placeholder>
      </w:sdtPr>
      <w:sdtEndPr>
        <w:rPr>
          <w:color w:val="000000" w:themeColor="text1"/>
          <w14:textFill>
            <w14:solidFill>
              <w14:schemeClr w14:val="tx1"/>
            </w14:solidFill>
          </w14:textFill>
        </w:rPr>
      </w:sdtEndPr>
      <w:sdtContent>
        <w:p>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长期借款</w:t>
      </w:r>
    </w:p>
    <w:p>
      <w:pPr>
        <w:pStyle w:val="5"/>
        <w:numPr>
          <w:ilvl w:val="0"/>
          <w:numId w:val="68"/>
        </w:numPr>
        <w:tabs>
          <w:tab w:val="left" w:pos="630"/>
        </w:tabs>
        <w:ind w:left="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长期借款分类</w:t>
      </w:r>
    </w:p>
    <w:sdt>
      <w:sdtPr>
        <w:rPr>
          <w:color w:val="000000" w:themeColor="text1"/>
          <w14:textFill>
            <w14:solidFill>
              <w14:schemeClr w14:val="tx1"/>
            </w14:solidFill>
          </w14:textFill>
        </w:rPr>
        <w:alias w:val="是否适用：长期借款分类[双击切换]"/>
        <w:tag w:val="_GBC_6ef43a5268e7491db189883a31952469"/>
        <w:id w:val="189522704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借款分类"/>
          <w:tag w:val="_GBC_146f044f7fd14a45bf9247f0af389a14"/>
          <w:id w:val="-62283981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借款分类"/>
          <w:tag w:val="_GBC_7570ad6f1fd04c3d939be649ce4cfc30"/>
          <w:id w:val="-73709016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2998"/>
        <w:gridCol w:w="2999"/>
        <w:gridCol w:w="2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sdt>
          <w:sdtPr>
            <w:tag w:val="_PLD_3ee60507a6384334b819485e73faa1f4"/>
            <w:id w:val="1544324957"/>
          </w:sdtPr>
          <w:sdtContent>
            <w:tc>
              <w:tcPr>
                <w:tcW w:w="1686"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2a4fabfb296457384b1523a60233642"/>
            <w:id w:val="1632830195"/>
          </w:sdtPr>
          <w:sdtContent>
            <w:tc>
              <w:tcPr>
                <w:tcW w:w="1686"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aab598d4b37f4953a2ee9b7475cb43e6"/>
            <w:id w:val="1971785727"/>
          </w:sdtPr>
          <w:sdtContent>
            <w:tc>
              <w:tcPr>
                <w:tcW w:w="1628"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pPr>
              <w:autoSpaceDE w:val="0"/>
              <w:autoSpaceDN w:val="0"/>
              <w:adjustRightInd w:val="0"/>
              <w:snapToGrid w:val="0"/>
              <w:jc w:val="both"/>
              <w:rPr>
                <w:color w:val="000000" w:themeColor="text1"/>
                <w14:textFill>
                  <w14:solidFill>
                    <w14:schemeClr w14:val="tx1"/>
                  </w14:solidFill>
                </w14:textFill>
              </w:rPr>
            </w:pPr>
            <w:r>
              <w:rPr>
                <w:rFonts w:hint="eastAsia"/>
              </w:rPr>
              <w:t>信用借款</w:t>
            </w:r>
          </w:p>
        </w:tc>
        <w:tc>
          <w:tcPr>
            <w:tcW w:w="1686" w:type="pct"/>
          </w:tcPr>
          <w:p>
            <w:pPr>
              <w:autoSpaceDE w:val="0"/>
              <w:autoSpaceDN w:val="0"/>
              <w:adjustRightInd w:val="0"/>
              <w:snapToGrid w:val="0"/>
              <w:ind w:right="180"/>
              <w:jc w:val="right"/>
            </w:pPr>
            <w:r>
              <w:t xml:space="preserve"> 782,602,866.48 </w:t>
            </w:r>
          </w:p>
        </w:tc>
        <w:tc>
          <w:tcPr>
            <w:tcW w:w="1628" w:type="pct"/>
          </w:tcPr>
          <w:p>
            <w:pPr>
              <w:jc w:val="right"/>
            </w:pPr>
            <w:r>
              <w:t xml:space="preserve"> 770,665,093.12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pPr>
              <w:autoSpaceDE w:val="0"/>
              <w:autoSpaceDN w:val="0"/>
              <w:adjustRightInd w:val="0"/>
              <w:snapToGrid w:val="0"/>
              <w:jc w:val="both"/>
              <w:rPr>
                <w:color w:val="000000" w:themeColor="text1"/>
                <w14:textFill>
                  <w14:solidFill>
                    <w14:schemeClr w14:val="tx1"/>
                  </w14:solidFill>
                </w14:textFill>
              </w:rPr>
            </w:pPr>
            <w:r>
              <w:rPr>
                <w:rFonts w:hint="eastAsia"/>
              </w:rPr>
              <w:t>质押借款</w:t>
            </w:r>
          </w:p>
        </w:tc>
        <w:tc>
          <w:tcPr>
            <w:tcW w:w="1686" w:type="pct"/>
          </w:tcPr>
          <w:p>
            <w:pPr>
              <w:autoSpaceDE w:val="0"/>
              <w:autoSpaceDN w:val="0"/>
              <w:adjustRightInd w:val="0"/>
              <w:snapToGrid w:val="0"/>
              <w:ind w:right="180"/>
              <w:jc w:val="right"/>
            </w:pPr>
            <w:r>
              <w:t xml:space="preserve"> 284,510,699.89 </w:t>
            </w:r>
          </w:p>
        </w:tc>
        <w:tc>
          <w:tcPr>
            <w:tcW w:w="1628" w:type="pct"/>
          </w:tcPr>
          <w:p>
            <w:pPr>
              <w:jc w:val="right"/>
            </w:pPr>
            <w:r>
              <w:t xml:space="preserve"> 328,176,738.21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pPr>
              <w:autoSpaceDE w:val="0"/>
              <w:autoSpaceDN w:val="0"/>
              <w:adjustRightInd w:val="0"/>
              <w:snapToGrid w:val="0"/>
              <w:jc w:val="both"/>
              <w:rPr>
                <w:color w:val="000000" w:themeColor="text1"/>
                <w14:textFill>
                  <w14:solidFill>
                    <w14:schemeClr w14:val="tx1"/>
                  </w14:solidFill>
                </w14:textFill>
              </w:rPr>
            </w:pPr>
            <w:r>
              <w:rPr>
                <w:rFonts w:hint="eastAsia"/>
              </w:rPr>
              <w:t>抵押借款</w:t>
            </w:r>
          </w:p>
        </w:tc>
        <w:tc>
          <w:tcPr>
            <w:tcW w:w="1686" w:type="pct"/>
          </w:tcPr>
          <w:p>
            <w:pPr>
              <w:autoSpaceDE w:val="0"/>
              <w:autoSpaceDN w:val="0"/>
              <w:adjustRightInd w:val="0"/>
              <w:snapToGrid w:val="0"/>
              <w:ind w:right="180"/>
              <w:jc w:val="right"/>
            </w:pPr>
            <w:r>
              <w:t xml:space="preserve"> 199,428,097.34 </w:t>
            </w:r>
          </w:p>
        </w:tc>
        <w:tc>
          <w:tcPr>
            <w:tcW w:w="1628" w:type="pct"/>
          </w:tcPr>
          <w:p>
            <w:pPr>
              <w:jc w:val="right"/>
            </w:pPr>
            <w:r>
              <w:t xml:space="preserve"> 246,253,083.32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686" w:type="pct"/>
          </w:tcPr>
          <w:p>
            <w:pPr>
              <w:autoSpaceDE w:val="0"/>
              <w:autoSpaceDN w:val="0"/>
              <w:adjustRightInd w:val="0"/>
              <w:snapToGrid w:val="0"/>
              <w:jc w:val="both"/>
              <w:rPr>
                <w:color w:val="000000" w:themeColor="text1"/>
                <w14:textFill>
                  <w14:solidFill>
                    <w14:schemeClr w14:val="tx1"/>
                  </w14:solidFill>
                </w14:textFill>
              </w:rPr>
            </w:pPr>
            <w:r>
              <w:rPr>
                <w:rFonts w:hint="eastAsia"/>
              </w:rPr>
              <w:t>保证及抵押借款</w:t>
            </w:r>
          </w:p>
        </w:tc>
        <w:tc>
          <w:tcPr>
            <w:tcW w:w="1686" w:type="pct"/>
          </w:tcPr>
          <w:p>
            <w:pPr>
              <w:autoSpaceDE w:val="0"/>
              <w:autoSpaceDN w:val="0"/>
              <w:adjustRightInd w:val="0"/>
              <w:snapToGrid w:val="0"/>
              <w:ind w:right="180"/>
              <w:jc w:val="right"/>
            </w:pPr>
            <w:r>
              <w:t xml:space="preserve"> 19,056,156.45 </w:t>
            </w:r>
          </w:p>
        </w:tc>
        <w:tc>
          <w:tcPr>
            <w:tcW w:w="1628" w:type="pct"/>
          </w:tcPr>
          <w:p>
            <w:pPr>
              <w:jc w:val="right"/>
            </w:pPr>
            <w:r>
              <w:t xml:space="preserve"> 22,199,543.71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tcPr>
          <w:p>
            <w:pPr>
              <w:autoSpaceDE w:val="0"/>
              <w:autoSpaceDN w:val="0"/>
              <w:adjustRightInd w:val="0"/>
              <w:snapToGrid w:val="0"/>
            </w:pPr>
            <w:r>
              <w:rPr>
                <w:rFonts w:hint="eastAsia"/>
              </w:rPr>
              <w:t>保证借款</w:t>
            </w:r>
          </w:p>
        </w:tc>
        <w:tc>
          <w:tcPr>
            <w:tcW w:w="1686" w:type="pct"/>
          </w:tcPr>
          <w:p>
            <w:pPr>
              <w:autoSpaceDE w:val="0"/>
              <w:autoSpaceDN w:val="0"/>
              <w:adjustRightInd w:val="0"/>
              <w:snapToGrid w:val="0"/>
              <w:ind w:right="180"/>
              <w:jc w:val="right"/>
            </w:pPr>
            <w:r>
              <w:t xml:space="preserve"> 92,722,575.90 </w:t>
            </w:r>
          </w:p>
        </w:tc>
        <w:tc>
          <w:tcPr>
            <w:tcW w:w="1628" w:type="pct"/>
          </w:tcPr>
          <w:p>
            <w:pPr>
              <w:jc w:val="right"/>
            </w:pPr>
            <w:r>
              <w:t xml:space="preserve"> 160,420,625.45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Pr>
        <w:tc>
          <w:tcPr>
            <w:tcW w:w="1686" w:type="pc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86" w:type="pct"/>
          </w:tcPr>
          <w:p>
            <w:pPr>
              <w:autoSpaceDE w:val="0"/>
              <w:autoSpaceDN w:val="0"/>
              <w:adjustRightInd w:val="0"/>
              <w:snapToGrid w:val="0"/>
              <w:ind w:right="180"/>
              <w:jc w:val="right"/>
            </w:pPr>
            <w:r>
              <w:t xml:space="preserve"> 1,378,320,396.06 </w:t>
            </w:r>
          </w:p>
        </w:tc>
        <w:tc>
          <w:tcPr>
            <w:tcW w:w="1628" w:type="pct"/>
          </w:tcPr>
          <w:p>
            <w:pPr>
              <w:jc w:val="right"/>
            </w:pPr>
            <w:r>
              <w:t xml:space="preserve"> 1,527,715,083.81 </w:t>
            </w:r>
          </w:p>
        </w:tc>
      </w:tr>
    </w:tbl>
    <w:p>
      <w:pPr>
        <w:snapToGrid w:val="0"/>
        <w:spacing w:before="60" w:after="60"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长期借款分类的说明：</w:t>
      </w:r>
    </w:p>
    <w:sdt>
      <w:sdtPr>
        <w:rPr>
          <w:color w:val="000000" w:themeColor="text1"/>
          <w14:textFill>
            <w14:solidFill>
              <w14:schemeClr w14:val="tx1"/>
            </w14:solidFill>
          </w14:textFill>
        </w:rPr>
        <w:alias w:val="长期借款分类的说明"/>
        <w:tag w:val="_GBC_c93626a5eade42f48eca926da85f3afb"/>
        <w:id w:val="79952307"/>
        <w:placeholder>
          <w:docPart w:val="GBC22222222222222222222222222222"/>
        </w:placeholder>
      </w:sdtPr>
      <w:sdtEndPr>
        <w:rPr>
          <w:color w:val="000000" w:themeColor="text1"/>
          <w14:textFill>
            <w14:solidFill>
              <w14:schemeClr w14:val="tx1"/>
            </w14:solidFill>
          </w14:textFill>
        </w:rPr>
      </w:sdtEndPr>
      <w:sdtContent>
        <w:p>
          <w:pPr>
            <w:snapToGrid w:val="0"/>
            <w:rPr>
              <w:rFonts w:cstheme="minorBidi"/>
              <w:color w:val="000000" w:themeColor="text1"/>
              <w:kern w:val="2"/>
              <w14:textFill>
                <w14:solidFill>
                  <w14:schemeClr w14:val="tx1"/>
                </w14:solidFill>
              </w14:textFill>
            </w:rPr>
          </w:pPr>
          <w:r>
            <w:rPr>
              <w:color w:val="000000" w:themeColor="text1"/>
              <w14:textFill>
                <w14:solidFill>
                  <w14:schemeClr w14:val="tx1"/>
                </w14:solidFill>
              </w14:textFill>
            </w:rPr>
            <w:t>质押借款系公司将云变电气100.00%股权出质给交通银行股份有限公司重庆市分行及中国进出口银行重庆分行。</w:t>
          </w:r>
        </w:p>
      </w:sdtContent>
    </w:sdt>
    <w:p>
      <w:pPr>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r>
        <w:rPr>
          <w:color w:val="000000" w:themeColor="text1"/>
          <w14:textFill>
            <w14:solidFill>
              <w14:schemeClr w14:val="tx1"/>
            </w14:solidFill>
          </w14:textFill>
        </w:rPr>
        <w:t xml:space="preserve"> </w:t>
      </w:r>
    </w:p>
    <w:sdt>
      <w:sdtPr>
        <w:rPr>
          <w:color w:val="000000" w:themeColor="text1"/>
          <w14:textFill>
            <w14:solidFill>
              <w14:schemeClr w14:val="tx1"/>
            </w14:solidFill>
          </w14:textFill>
        </w:rPr>
        <w:alias w:val="是否适用：长期借款的说明[双击切换]"/>
        <w:tag w:val="_GBC_1dc67be6516c4de3956a80023674c75a"/>
        <w:id w:val="-1394892939"/>
        <w:placeholder>
          <w:docPart w:val="GBC22222222222222222222222222222"/>
        </w:placeholder>
      </w:sdtPr>
      <w:sdtEndPr>
        <w:rPr>
          <w:color w:val="000000" w:themeColor="text1"/>
          <w14:textFill>
            <w14:solidFill>
              <w14:schemeClr w14:val="tx1"/>
            </w14:solidFill>
          </w14:textFill>
        </w:rPr>
      </w:sdtEndPr>
      <w:sdtContent>
        <w:p>
          <w:pPr>
            <w:snapToGrid w:val="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应付债券</w:t>
      </w:r>
    </w:p>
    <w:p>
      <w:pPr>
        <w:pStyle w:val="5"/>
        <w:numPr>
          <w:ilvl w:val="0"/>
          <w:numId w:val="69"/>
        </w:numPr>
        <w:tabs>
          <w:tab w:val="left" w:pos="672"/>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应付</w:t>
      </w:r>
      <w:r>
        <w:rPr>
          <w:rFonts w:hint="eastAsia" w:ascii="宋体" w:hAnsi="宋体"/>
          <w:color w:val="000000" w:themeColor="text1"/>
          <w:szCs w:val="21"/>
          <w14:textFill>
            <w14:solidFill>
              <w14:schemeClr w14:val="tx1"/>
            </w14:solidFill>
          </w14:textFill>
        </w:rPr>
        <w:t>债券</w:t>
      </w:r>
    </w:p>
    <w:sdt>
      <w:sdtPr>
        <w:rPr>
          <w:rFonts w:hint="eastAsia"/>
          <w:color w:val="000000" w:themeColor="text1"/>
          <w14:textFill>
            <w14:solidFill>
              <w14:schemeClr w14:val="tx1"/>
            </w14:solidFill>
          </w14:textFill>
        </w:rPr>
        <w:alias w:val="是否适用：应付债券[双击切换]"/>
        <w:tag w:val="_GBC_b07c291c892844efaca56bc1d52b1566"/>
        <w:id w:val="-1284656782"/>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69"/>
        </w:numPr>
        <w:tabs>
          <w:tab w:val="left" w:pos="672"/>
        </w:tabs>
        <w:rPr>
          <w:rFonts w:hint="eastAsia" w:ascii="宋体" w:hAnsi="宋体"/>
          <w:color w:val="000000" w:themeColor="text1"/>
          <w14:textFill>
            <w14:solidFill>
              <w14:schemeClr w14:val="tx1"/>
            </w14:solidFill>
          </w14:textFill>
        </w:rPr>
      </w:pPr>
      <w:bookmarkStart w:id="384" w:name="_Hlk167968813"/>
      <w:bookmarkStart w:id="385" w:name="OLE_LINK18"/>
      <w:bookmarkStart w:id="386" w:name="OLE_LINK16"/>
      <w:r>
        <w:rPr>
          <w:rFonts w:hint="eastAsia" w:ascii="宋体" w:hAnsi="宋体"/>
          <w:color w:val="000000" w:themeColor="text1"/>
          <w14:textFill>
            <w14:solidFill>
              <w14:schemeClr w14:val="tx1"/>
            </w14:solidFill>
          </w14:textFill>
        </w:rPr>
        <w:t>应付债券的具体情况：（不包括划分为金融负债的优先股、永续债等其他金融工具）</w:t>
      </w:r>
    </w:p>
    <w:sdt>
      <w:sdtPr>
        <w:rPr>
          <w:color w:val="000000" w:themeColor="text1"/>
          <w14:textFill>
            <w14:solidFill>
              <w14:schemeClr w14:val="tx1"/>
            </w14:solidFill>
          </w14:textFill>
        </w:rPr>
        <w:alias w:val="是否适用：应付债券的增减变动[双击切换]"/>
        <w:tag w:val="_GBC_6610dc08d094426e9d4fdad85eee6da2"/>
        <w:id w:val="-125473743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69"/>
        </w:numPr>
        <w:tabs>
          <w:tab w:val="left" w:pos="672"/>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可转换公司债券的说明</w:t>
      </w:r>
    </w:p>
    <w:sdt>
      <w:sdtPr>
        <w:rPr>
          <w:rFonts w:hint="eastAsia"/>
          <w:color w:val="000000" w:themeColor="text1"/>
          <w14:textFill>
            <w14:solidFill>
              <w14:schemeClr w14:val="tx1"/>
            </w14:solidFill>
          </w14:textFill>
        </w:rPr>
        <w:alias w:val="是否适用：可转换公司债券的转股条件、转股时间说明[双击切换]"/>
        <w:tag w:val="_GBC_ef63fc1297374c8b97a48c0c89422e8a"/>
        <w:id w:val="928935530"/>
        <w:placeholder>
          <w:docPart w:val="GBC22222222222222222222222222222"/>
        </w:placeholder>
      </w:sdtPr>
      <w:sdtEndPr>
        <w:rPr>
          <w:rFonts w:hint="eastAsia"/>
          <w:color w:val="000000" w:themeColor="text1"/>
          <w14:textFill>
            <w14:solidFill>
              <w14:schemeClr w14:val="tx1"/>
            </w14:solidFill>
          </w14:textFill>
        </w:rPr>
      </w:sdtEndPr>
      <w:sdtContent>
        <w:p>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转股权会计处理及判断依据</w:t>
      </w:r>
    </w:p>
    <w:sdt>
      <w:sdtPr>
        <w:rPr>
          <w:color w:val="000000" w:themeColor="text1"/>
          <w14:textFill>
            <w14:solidFill>
              <w14:schemeClr w14:val="tx1"/>
            </w14:solidFill>
          </w14:textFill>
        </w:rPr>
        <w:alias w:val="是否适用：转股权会计处理及判断依据[双击切换]"/>
        <w:tag w:val="_GBC_d91e0305ad39444cb4fea2f3671f7083"/>
        <w:id w:val="1013345086"/>
        <w:placeholder>
          <w:docPart w:val="GBC22222222222222222222222222222"/>
        </w:placeholder>
      </w:sdtPr>
      <w:sdtEndPr>
        <w:rPr>
          <w:color w:val="000000" w:themeColor="text1"/>
          <w14:textFill>
            <w14:solidFill>
              <w14:schemeClr w14:val="tx1"/>
            </w14:solidFill>
          </w14:textFill>
        </w:rPr>
      </w:sdtEndPr>
      <w:sdtContent>
        <w:p>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84"/>
    <w:p>
      <w:pPr>
        <w:pStyle w:val="5"/>
        <w:numPr>
          <w:ilvl w:val="0"/>
          <w:numId w:val="69"/>
        </w:numPr>
        <w:tabs>
          <w:tab w:val="left" w:pos="672"/>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划分为金融负债的其他金融工具说明</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期末发行在外的优先股、永续债等其他金融工具基本情况</w:t>
      </w:r>
    </w:p>
    <w:sdt>
      <w:sdtPr>
        <w:rPr>
          <w:color w:val="000000" w:themeColor="text1"/>
          <w14:textFill>
            <w14:solidFill>
              <w14:schemeClr w14:val="tx1"/>
            </w14:solidFill>
          </w14:textFill>
        </w:rPr>
        <w:alias w:val="是否适用：划分为金融负债的其他金融工具说明[双击切换]"/>
        <w:tag w:val="_GBC_61542231aba54618ab4bd6d781bfab05"/>
        <w:id w:val="-178008714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期末发行在外的优先股、永续债等金融工具变动情况表</w:t>
      </w:r>
    </w:p>
    <w:sdt>
      <w:sdtPr>
        <w:rPr>
          <w:color w:val="000000" w:themeColor="text1"/>
          <w14:textFill>
            <w14:solidFill>
              <w14:schemeClr w14:val="tx1"/>
            </w14:solidFill>
          </w14:textFill>
        </w:rPr>
        <w:alias w:val="是否适用：期末发行在外的优先股、永续债等金融工具变动情况表_应付债券[双击切换]"/>
        <w:tag w:val="_GBC_4cf6ed9dc37d42fc946f2268e90eee97"/>
        <w:id w:val="135754267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85"/>
    <w:bookmarkEnd w:id="386"/>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其他金融工具划分为金融负债的依据说明</w:t>
      </w:r>
    </w:p>
    <w:sdt>
      <w:sdtPr>
        <w:rPr>
          <w:color w:val="000000" w:themeColor="text1"/>
          <w14:textFill>
            <w14:solidFill>
              <w14:schemeClr w14:val="tx1"/>
            </w14:solidFill>
          </w14:textFill>
        </w:rPr>
        <w:alias w:val="是否适用：其他金融工具划分为金融负债的依据说明[双击切换]"/>
        <w:tag w:val="_GBC_aec0ba7f99624a559a5f92bcd8e57e4f"/>
        <w:id w:val="-174571398"/>
        <w:placeholder>
          <w:docPart w:val="GBC22222222222222222222222222222"/>
        </w:placeholder>
      </w:sdtPr>
      <w:sdtEndPr>
        <w:rPr>
          <w:color w:val="000000" w:themeColor="text1"/>
          <w14:textFill>
            <w14:solidFill>
              <w14:schemeClr w14:val="tx1"/>
            </w14:solidFill>
          </w14:textFill>
        </w:rPr>
      </w:sdtEndPr>
      <w:sdtContent>
        <w:p>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应付债券的其他说明[双击切换]"/>
        <w:tag w:val="_GBC_34ea80305b6a4fafaf2943f684877d08"/>
        <w:id w:val="-592400786"/>
        <w:placeholder>
          <w:docPart w:val="GBC22222222222222222222222222222"/>
        </w:placeholder>
      </w:sdtPr>
      <w:sdtEndPr>
        <w:rPr>
          <w:color w:val="000000" w:themeColor="text1"/>
          <w14:textFill>
            <w14:solidFill>
              <w14:schemeClr w14:val="tx1"/>
            </w14:solidFill>
          </w14:textFill>
        </w:rPr>
      </w:sdtEndPr>
      <w:sdtContent>
        <w:p>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租赁负债</w:t>
      </w:r>
    </w:p>
    <w:sdt>
      <w:sdtPr>
        <w:rPr>
          <w:color w:val="000000" w:themeColor="text1"/>
          <w14:textFill>
            <w14:solidFill>
              <w14:schemeClr w14:val="tx1"/>
            </w14:solidFill>
          </w14:textFill>
        </w:rPr>
        <w:alias w:val="是否适用：租赁负债[双击切换]"/>
        <w:tag w:val="_GBC_cec9aedf0aa8427d9bd5dbf17e698298"/>
        <w:id w:val="38152118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租赁负债"/>
          <w:tag w:val="_GBC_3f1d18295bfb4156905ee3935811bc9f"/>
          <w:id w:val="-136542999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租赁负债"/>
          <w:tag w:val="_GBC_1ce63c76adb74c2f8d53dbdb5d73a87c"/>
          <w:id w:val="1437864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150"/>
        <w:gridCol w:w="2871"/>
        <w:gridCol w:w="28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307" w:hRule="atLeast"/>
        </w:trPr>
        <w:sdt>
          <w:sdtPr>
            <w:tag w:val="_PLD_27afd78cc4b04fa19a7adaa593b83cc4"/>
            <w:id w:val="864951226"/>
          </w:sdtPr>
          <w:sdtContent>
            <w:tc>
              <w:tcPr>
                <w:tcW w:w="177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73fbb207ad34f58a8a0f0451332e555"/>
            <w:id w:val="-235018160"/>
          </w:sdtPr>
          <w:sdtContent>
            <w:tc>
              <w:tcPr>
                <w:tcW w:w="161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81cf17ce1aff4bad8deb2792f3b6570d"/>
            <w:id w:val="-1414773465"/>
          </w:sdtPr>
          <w:sdtContent>
            <w:tc>
              <w:tcPr>
                <w:tcW w:w="161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86" w:hRule="atLeast"/>
        </w:trPr>
        <w:tc>
          <w:tcPr>
            <w:tcW w:w="1771" w:type="pct"/>
          </w:tcPr>
          <w:p>
            <w:pPr>
              <w:pStyle w:val="48"/>
            </w:pPr>
            <w:r>
              <w:rPr>
                <w:rFonts w:hint="eastAsia"/>
              </w:rPr>
              <w:t>租赁付款额</w:t>
            </w:r>
          </w:p>
        </w:tc>
        <w:tc>
          <w:tcPr>
            <w:tcW w:w="1614" w:type="pct"/>
          </w:tcPr>
          <w:p>
            <w:pPr>
              <w:jc w:val="right"/>
            </w:pPr>
            <w:r>
              <w:t xml:space="preserve"> 34,058,624.42 </w:t>
            </w:r>
          </w:p>
        </w:tc>
        <w:tc>
          <w:tcPr>
            <w:tcW w:w="1615" w:type="pct"/>
          </w:tcPr>
          <w:p>
            <w:pPr>
              <w:jc w:val="right"/>
            </w:pPr>
            <w:r>
              <w:t xml:space="preserve"> 12,513,769.05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86" w:hRule="atLeast"/>
        </w:trPr>
        <w:tc>
          <w:tcPr>
            <w:tcW w:w="1771" w:type="pct"/>
          </w:tcPr>
          <w:p>
            <w:pPr>
              <w:pStyle w:val="48"/>
            </w:pPr>
            <w:r>
              <w:rPr>
                <w:rFonts w:hint="eastAsia"/>
              </w:rPr>
              <w:t>减：未确认融资费用</w:t>
            </w:r>
          </w:p>
        </w:tc>
        <w:tc>
          <w:tcPr>
            <w:tcW w:w="1614" w:type="pct"/>
          </w:tcPr>
          <w:p>
            <w:pPr>
              <w:jc w:val="right"/>
            </w:pPr>
            <w:r>
              <w:t xml:space="preserve"> 5,691,164.35 </w:t>
            </w:r>
          </w:p>
        </w:tc>
        <w:tc>
          <w:tcPr>
            <w:tcW w:w="1615" w:type="pct"/>
          </w:tcPr>
          <w:p>
            <w:pPr>
              <w:jc w:val="right"/>
            </w:pPr>
            <w:r>
              <w:t xml:space="preserve"> 383,953.04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86" w:hRule="atLeast"/>
        </w:trPr>
        <w:tc>
          <w:tcPr>
            <w:tcW w:w="1771"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14" w:type="pct"/>
          </w:tcPr>
          <w:p>
            <w:pPr>
              <w:jc w:val="right"/>
            </w:pPr>
            <w:r>
              <w:t xml:space="preserve"> 28,367,460.07 </w:t>
            </w:r>
          </w:p>
        </w:tc>
        <w:tc>
          <w:tcPr>
            <w:tcW w:w="1615" w:type="pct"/>
          </w:tcPr>
          <w:p>
            <w:pPr>
              <w:jc w:val="right"/>
            </w:pPr>
            <w:r>
              <w:t xml:space="preserve"> 12,129,816.01 </w:t>
            </w:r>
          </w:p>
        </w:tc>
      </w:tr>
    </w:tbl>
    <w:p>
      <w:pPr>
        <w:snapToGrid w:val="0"/>
        <w:spacing w:before="60" w:after="60"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租赁负债其他说明"/>
        <w:tag w:val="_GBC_cbaaaf9b0adf45f6a0dd93d6de03a6ea"/>
        <w:id w:val="113367263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长期应付款</w:t>
      </w:r>
    </w:p>
    <w:p>
      <w:pPr>
        <w:pStyle w:val="5"/>
        <w:rPr>
          <w:rFonts w:hint="eastAsia" w:ascii="宋体" w:hAnsi="宋体"/>
          <w:color w:val="000000" w:themeColor="text1"/>
          <w14:textFill>
            <w14:solidFill>
              <w14:schemeClr w14:val="tx1"/>
            </w14:solidFill>
          </w14:textFill>
        </w:rPr>
      </w:pPr>
      <w:bookmarkStart w:id="387" w:name="_Hlk10536746"/>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长期应付款分类列示[双击切换]"/>
        <w:tag w:val="_GBC_dc1496c33e4a4cabb259020dbf46be93"/>
        <w:id w:val="140195037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长期应付款分类列示"/>
          <w:tag w:val="_GBC_ebfc605e57a44e54b3e33ac2adbd49b3"/>
          <w:id w:val="-86236396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长期应付款分类列示"/>
          <w:tag w:val="_GBC_3e0811a7722a450c98b76253621cc253"/>
          <w:id w:val="13567740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8"/>
        <w:gridCol w:w="2863"/>
        <w:gridCol w:w="2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3a93bba75a94d61a6bb41116821520d"/>
            <w:id w:val="-1764985057"/>
          </w:sdtPr>
          <w:sdtContent>
            <w:tc>
              <w:tcPr>
                <w:tcW w:w="1828" w:type="pct"/>
                <w:vAlign w:val="center"/>
              </w:tcPr>
              <w:p>
                <w:pPr>
                  <w:tabs>
                    <w:tab w:val="right" w:pos="3690"/>
                    <w:tab w:val="right" w:pos="5130"/>
                    <w:tab w:val="right" w:pos="6030"/>
                    <w:tab w:val="right" w:pos="7650"/>
                    <w:tab w:val="right" w:pos="9270"/>
                  </w:tabs>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4cef3b6e993d4efeab53c68db46274b8"/>
            <w:id w:val="965243182"/>
          </w:sdtPr>
          <w:sdtContent>
            <w:tc>
              <w:tcPr>
                <w:tcW w:w="158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d7980fd6d7084f6bb108abf1cc53570a"/>
            <w:id w:val="1433777116"/>
          </w:sdtPr>
          <w:sdtContent>
            <w:tc>
              <w:tcPr>
                <w:tcW w:w="159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28" w:type="pct"/>
          </w:tcPr>
          <w:p>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长期应付款</w:t>
            </w:r>
          </w:p>
        </w:tc>
        <w:tc>
          <w:tcPr>
            <w:tcW w:w="1582" w:type="pct"/>
          </w:tcPr>
          <w:p>
            <w:pPr>
              <w:tabs>
                <w:tab w:val="right" w:pos="3690"/>
                <w:tab w:val="right" w:pos="5130"/>
                <w:tab w:val="right" w:pos="6030"/>
                <w:tab w:val="right" w:pos="7650"/>
                <w:tab w:val="right" w:pos="9270"/>
              </w:tabs>
              <w:adjustRightInd w:val="0"/>
              <w:snapToGrid w:val="0"/>
              <w:jc w:val="right"/>
            </w:pPr>
            <w:r>
              <w:t xml:space="preserve"> 121,261,880.15 </w:t>
            </w:r>
          </w:p>
        </w:tc>
        <w:tc>
          <w:tcPr>
            <w:tcW w:w="1590" w:type="pct"/>
          </w:tcPr>
          <w:p>
            <w:pPr>
              <w:tabs>
                <w:tab w:val="right" w:pos="3690"/>
                <w:tab w:val="right" w:pos="5130"/>
                <w:tab w:val="right" w:pos="6030"/>
                <w:tab w:val="right" w:pos="7650"/>
                <w:tab w:val="right" w:pos="9270"/>
              </w:tabs>
              <w:adjustRightInd w:val="0"/>
              <w:snapToGrid w:val="0"/>
              <w:jc w:val="right"/>
            </w:pPr>
            <w:r>
              <w:t xml:space="preserve"> 141,501,816.72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28" w:type="pct"/>
          </w:tcPr>
          <w:p>
            <w:pPr>
              <w:tabs>
                <w:tab w:val="right" w:pos="3690"/>
                <w:tab w:val="right" w:pos="5130"/>
                <w:tab w:val="right" w:pos="6030"/>
                <w:tab w:val="right" w:pos="7650"/>
                <w:tab w:val="right" w:pos="9270"/>
              </w:tabs>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82" w:type="pct"/>
          </w:tcPr>
          <w:p>
            <w:pPr>
              <w:tabs>
                <w:tab w:val="right" w:pos="3690"/>
                <w:tab w:val="right" w:pos="5130"/>
                <w:tab w:val="right" w:pos="6030"/>
                <w:tab w:val="right" w:pos="7650"/>
                <w:tab w:val="right" w:pos="9270"/>
              </w:tabs>
              <w:adjustRightInd w:val="0"/>
              <w:snapToGrid w:val="0"/>
              <w:jc w:val="right"/>
            </w:pPr>
            <w:r>
              <w:t xml:space="preserve"> 121,261,880.15 </w:t>
            </w:r>
          </w:p>
        </w:tc>
        <w:tc>
          <w:tcPr>
            <w:tcW w:w="1590" w:type="pct"/>
          </w:tcPr>
          <w:p>
            <w:pPr>
              <w:tabs>
                <w:tab w:val="right" w:pos="3690"/>
                <w:tab w:val="right" w:pos="5130"/>
                <w:tab w:val="right" w:pos="6030"/>
                <w:tab w:val="right" w:pos="7650"/>
                <w:tab w:val="right" w:pos="9270"/>
              </w:tabs>
              <w:adjustRightInd w:val="0"/>
              <w:snapToGrid w:val="0"/>
              <w:jc w:val="right"/>
            </w:pPr>
            <w:r>
              <w:t xml:space="preserve"> 141,501,816.72 </w:t>
            </w:r>
          </w:p>
        </w:tc>
      </w:tr>
    </w:tbl>
    <w:p>
      <w:pPr>
        <w:rPr>
          <w:color w:val="000000" w:themeColor="text1"/>
          <w14:textFill>
            <w14:solidFill>
              <w14:schemeClr w14:val="tx1"/>
            </w14:solidFill>
          </w14:textFill>
        </w:rPr>
      </w:pPr>
      <w:bookmarkStart w:id="388" w:name="_Hlk532911057"/>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长期应付款分类列示其他说明"/>
        <w:tag w:val="_GBC_431a8b84aeeb4e0fa07aef9d9af1a46d"/>
        <w:id w:val="1732113037"/>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387"/>
    <w:bookmarkEnd w:id="388"/>
    <w:p>
      <w:pPr>
        <w:pStyle w:val="5"/>
        <w:ind w:left="360" w:hanging="360"/>
        <w:rPr>
          <w:rFonts w:hint="eastAsia" w:ascii="宋体" w:hAnsi="宋体"/>
          <w:color w:val="000000" w:themeColor="text1"/>
          <w14:textFill>
            <w14:solidFill>
              <w14:schemeClr w14:val="tx1"/>
            </w14:solidFill>
          </w14:textFill>
        </w:rPr>
      </w:pPr>
      <w:bookmarkStart w:id="389" w:name="_Hlk10536806"/>
      <w:bookmarkStart w:id="390" w:name="_Hlk10536877"/>
      <w:r>
        <w:rPr>
          <w:rFonts w:hint="eastAsia" w:ascii="宋体" w:hAnsi="宋体"/>
          <w:color w:val="000000" w:themeColor="text1"/>
          <w14:textFill>
            <w14:solidFill>
              <w14:schemeClr w14:val="tx1"/>
            </w14:solidFill>
          </w14:textFill>
        </w:rPr>
        <w:t>长期应付款</w:t>
      </w:r>
      <w:bookmarkEnd w:id="389"/>
    </w:p>
    <w:sdt>
      <w:sdtPr>
        <w:rPr>
          <w:color w:val="000000" w:themeColor="text1"/>
          <w14:textFill>
            <w14:solidFill>
              <w14:schemeClr w14:val="tx1"/>
            </w14:solidFill>
          </w14:textFill>
        </w:rPr>
        <w:alias w:val="是否适用：按款项性质列示长期应付款[双击切换]"/>
        <w:tag w:val="_GBC_a9fa9a5286484f4bb853b1eff824e621"/>
        <w:id w:val="191218996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长期应付款"/>
          <w:tag w:val="_GBC_8d90e4088fac4efe85a76cd0e30766e1"/>
          <w:id w:val="-34324920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长期应付款"/>
          <w:tag w:val="_GBC_571b1adfcb634dcbb4fbdf0991f3e029"/>
          <w:id w:val="145845650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209"/>
        <w:gridCol w:w="2924"/>
        <w:gridCol w:w="2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307" w:hRule="atLeast"/>
        </w:trPr>
        <w:sdt>
          <w:sdtPr>
            <w:tag w:val="_PLD_35c3ed078068475db04283d6d6c22bb5"/>
            <w:id w:val="240146401"/>
          </w:sdtPr>
          <w:sdtContent>
            <w:tc>
              <w:tcPr>
                <w:tcW w:w="177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b59846bd1adb4f398cd1737332e81edb"/>
            <w:id w:val="-1333522615"/>
          </w:sdtPr>
          <w:sdtContent>
            <w:tc>
              <w:tcPr>
                <w:tcW w:w="161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184e30079df94f509e7e7ea9142928df"/>
            <w:id w:val="-1527013928"/>
          </w:sdtPr>
          <w:sdtContent>
            <w:tc>
              <w:tcPr>
                <w:tcW w:w="161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186" w:hRule="atLeast"/>
        </w:trPr>
        <w:tc>
          <w:tcPr>
            <w:tcW w:w="1771" w:type="pct"/>
          </w:tcPr>
          <w:p>
            <w:pPr>
              <w:pStyle w:val="48"/>
            </w:pPr>
            <w:r>
              <w:t>中银金融租赁有限公司</w:t>
            </w:r>
          </w:p>
        </w:tc>
        <w:tc>
          <w:tcPr>
            <w:tcW w:w="1614" w:type="pct"/>
          </w:tcPr>
          <w:p>
            <w:pPr>
              <w:jc w:val="right"/>
            </w:pPr>
            <w:r>
              <w:rPr>
                <w:rFonts w:hint="eastAsia"/>
              </w:rPr>
              <w:t xml:space="preserve"> 121,261,880.15 </w:t>
            </w:r>
          </w:p>
        </w:tc>
        <w:tc>
          <w:tcPr>
            <w:tcW w:w="1615" w:type="pct"/>
          </w:tcPr>
          <w:p>
            <w:pPr>
              <w:jc w:val="right"/>
            </w:pPr>
            <w:r>
              <w:rPr>
                <w:rFonts w:hint="eastAsia"/>
              </w:rPr>
              <w:t xml:space="preserve"> 141,501,816.72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Height w:val="186" w:hRule="atLeast"/>
        </w:trPr>
        <w:tc>
          <w:tcPr>
            <w:tcW w:w="1771"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14" w:type="pct"/>
          </w:tcPr>
          <w:p>
            <w:pPr>
              <w:jc w:val="right"/>
            </w:pPr>
            <w:r>
              <w:t xml:space="preserve"> 121,261,880.15 </w:t>
            </w:r>
          </w:p>
        </w:tc>
        <w:tc>
          <w:tcPr>
            <w:tcW w:w="1615" w:type="pct"/>
          </w:tcPr>
          <w:p>
            <w:pPr>
              <w:jc w:val="right"/>
            </w:pPr>
            <w:r>
              <w:t xml:space="preserve"> 141,501,816.72 </w:t>
            </w:r>
          </w:p>
        </w:tc>
      </w:tr>
    </w:tbl>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p>
      <w:pPr>
        <w:snapToGrid w:val="0"/>
        <w:spacing w:line="240" w:lineRule="atLeast"/>
        <w:rPr>
          <w:color w:val="000000" w:themeColor="text1"/>
          <w14:textFill>
            <w14:solidFill>
              <w14:schemeClr w14:val="tx1"/>
            </w14:solidFill>
          </w14:textFill>
        </w:rPr>
      </w:pPr>
      <w:sdt>
        <w:sdtPr>
          <w:rPr>
            <w:color w:val="000000" w:themeColor="text1"/>
            <w14:textFill>
              <w14:solidFill>
                <w14:schemeClr w14:val="tx1"/>
              </w14:solidFill>
            </w14:textFill>
          </w:rPr>
          <w:alias w:val="长期应付款的说明"/>
          <w:tag w:val="_GBC_26dfebab321040728d621ff8ca8d9de0"/>
          <w:id w:val="-636792240"/>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bookmarkEnd w:id="390"/>
    <w:p>
      <w:pPr>
        <w:pStyle w:val="5"/>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专项应付款</w:t>
      </w:r>
    </w:p>
    <w:sdt>
      <w:sdtPr>
        <w:rPr>
          <w:color w:val="000000" w:themeColor="text1"/>
          <w14:textFill>
            <w14:solidFill>
              <w14:schemeClr w14:val="tx1"/>
            </w14:solidFill>
          </w14:textFill>
        </w:rPr>
        <w:alias w:val="是否适用：专项应付款[双击切换]"/>
        <w:tag w:val="_GBC_f70a824e87784429a75fa648d7634cf8"/>
        <w:id w:val="28910426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长期应付职工薪酬</w:t>
      </w:r>
    </w:p>
    <w:sdt>
      <w:sdtPr>
        <w:rPr>
          <w:color w:val="000000" w:themeColor="text1"/>
          <w14:textFill>
            <w14:solidFill>
              <w14:schemeClr w14:val="tx1"/>
            </w14:solidFill>
          </w14:textFill>
        </w:rPr>
        <w:alias w:val="是否适用：长期应付职工薪酬[双击切换]"/>
        <w:tag w:val="_GBC_077559b601814bb38f16734f98e8c045"/>
        <w:id w:val="-6472892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bookmarkStart w:id="391" w:name="_Hlk10537141"/>
      <w:r>
        <w:rPr>
          <w:color w:val="000000" w:themeColor="text1"/>
          <w:szCs w:val="21"/>
          <w14:textFill>
            <w14:solidFill>
              <w14:schemeClr w14:val="tx1"/>
            </w14:solidFill>
          </w14:textFill>
        </w:rPr>
        <w:t>预计负债</w:t>
      </w:r>
    </w:p>
    <w:sdt>
      <w:sdtPr>
        <w:rPr>
          <w:color w:val="000000" w:themeColor="text1"/>
          <w14:textFill>
            <w14:solidFill>
              <w14:schemeClr w14:val="tx1"/>
            </w14:solidFill>
          </w14:textFill>
        </w:rPr>
        <w:alias w:val="是否适用：预计负债[双击切换]"/>
        <w:tag w:val="_GBC_1687da235caf410f866f00240cee7fdb"/>
        <w:id w:val="-177694519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预计负债"/>
          <w:tag w:val="_GBC_cb4f52bf31e64f4c951a1d03c8737c2c"/>
          <w:id w:val="1586492512"/>
          <w:placeholder>
            <w:docPart w:val="DC93BB499FEF429E81D97CB8AA490140"/>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预计负债"/>
          <w:tag w:val="_GBC_c1e0a0d54ae34f37b10682c1542f4496"/>
          <w:id w:val="1781143506"/>
          <w:placeholder>
            <w:docPart w:val="DC93BB499FEF429E81D97CB8AA490140"/>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2"/>
        <w:gridCol w:w="2262"/>
        <w:gridCol w:w="2262"/>
        <w:gridCol w:w="2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fc927e21b7894351850a5341390e71f1"/>
            <w:id w:val="634680097"/>
          </w:sdtPr>
          <w:sdtContent>
            <w:tc>
              <w:tcPr>
                <w:tcW w:w="1250"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448bfd35d2348cfac66de5cdfbc78a4"/>
            <w:id w:val="304679636"/>
          </w:sdtPr>
          <w:sdtContent>
            <w:tc>
              <w:tcPr>
                <w:tcW w:w="1250"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6f816d98e70940cfbbbbb868b0aeb358"/>
            <w:id w:val="-1473894377"/>
          </w:sdtPr>
          <w:sdtContent>
            <w:tc>
              <w:tcPr>
                <w:tcW w:w="1250"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987f713faa85401c883cbd6dd67e70b8"/>
            <w:id w:val="1287393319"/>
          </w:sdtPr>
          <w:sdtContent>
            <w:tc>
              <w:tcPr>
                <w:tcW w:w="1250"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形成原因</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vAlign w:val="center"/>
          </w:tcPr>
          <w:p>
            <w:pPr>
              <w:ind w:right="105"/>
              <w:rPr>
                <w:color w:val="000000" w:themeColor="text1"/>
                <w14:textFill>
                  <w14:solidFill>
                    <w14:schemeClr w14:val="tx1"/>
                  </w14:solidFill>
                </w14:textFill>
              </w:rPr>
            </w:pPr>
            <w:r>
              <w:rPr>
                <w:rFonts w:hint="eastAsia"/>
                <w:color w:val="000000" w:themeColor="text1"/>
                <w14:textFill>
                  <w14:solidFill>
                    <w14:schemeClr w14:val="tx1"/>
                  </w14:solidFill>
                </w14:textFill>
              </w:rPr>
              <w:t>产品质量保证</w:t>
            </w:r>
          </w:p>
        </w:tc>
        <w:tc>
          <w:tcPr>
            <w:tcW w:w="1250" w:type="pct"/>
          </w:tcPr>
          <w:p>
            <w:pPr>
              <w:jc w:val="right"/>
            </w:pPr>
            <w:r>
              <w:rPr>
                <w:rFonts w:hint="eastAsia"/>
              </w:rPr>
              <w:t xml:space="preserve"> 3,121,213.15 </w:t>
            </w:r>
          </w:p>
        </w:tc>
        <w:tc>
          <w:tcPr>
            <w:tcW w:w="1250" w:type="pct"/>
          </w:tcPr>
          <w:p>
            <w:pPr>
              <w:jc w:val="right"/>
            </w:pPr>
            <w:r>
              <w:rPr>
                <w:rFonts w:hint="eastAsia"/>
              </w:rPr>
              <w:t xml:space="preserve"> 2,858,417.02 </w:t>
            </w:r>
          </w:p>
        </w:tc>
        <w:tc>
          <w:tcPr>
            <w:tcW w:w="1250" w:type="pct"/>
          </w:tcPr>
          <w:p>
            <w:pPr>
              <w:ind w:right="73"/>
            </w:pPr>
            <w:r>
              <w:rPr>
                <w:rFonts w:hint="eastAsia"/>
              </w:rPr>
              <w:t>售后服务费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tcPr>
          <w:p>
            <w:pPr>
              <w:ind w:right="105"/>
              <w:rPr>
                <w:color w:val="000000" w:themeColor="text1"/>
                <w14:textFill>
                  <w14:solidFill>
                    <w14:schemeClr w14:val="tx1"/>
                  </w14:solidFill>
                </w14:textFill>
              </w:rPr>
            </w:pPr>
            <w:r>
              <w:rPr>
                <w:color w:val="000000" w:themeColor="text1"/>
                <w14:textFill>
                  <w14:solidFill>
                    <w14:schemeClr w14:val="tx1"/>
                  </w14:solidFill>
                </w14:textFill>
              </w:rPr>
              <w:t>未决诉讼</w:t>
            </w:r>
          </w:p>
        </w:tc>
        <w:tc>
          <w:tcPr>
            <w:tcW w:w="1250" w:type="pct"/>
          </w:tcPr>
          <w:p>
            <w:pPr>
              <w:jc w:val="right"/>
            </w:pPr>
            <w:r>
              <w:rPr>
                <w:rFonts w:hint="eastAsia"/>
              </w:rPr>
              <w:t xml:space="preserve"> 309,000.00 </w:t>
            </w:r>
          </w:p>
        </w:tc>
        <w:tc>
          <w:tcPr>
            <w:tcW w:w="1250" w:type="pct"/>
          </w:tcPr>
          <w:p>
            <w:pPr>
              <w:jc w:val="right"/>
            </w:pPr>
            <w:r>
              <w:rPr>
                <w:rFonts w:hint="eastAsia"/>
              </w:rPr>
              <w:t xml:space="preserve"> 35,000.00 </w:t>
            </w:r>
          </w:p>
        </w:tc>
        <w:tc>
          <w:tcPr>
            <w:tcW w:w="1250" w:type="pct"/>
          </w:tcPr>
          <w:p>
            <w:pPr>
              <w:pStyle w:val="48"/>
            </w:pPr>
            <w:r>
              <w:rPr>
                <w:rFonts w:hint="eastAsia"/>
              </w:rPr>
              <w:t>诉讼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50"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250" w:type="pct"/>
          </w:tcPr>
          <w:p>
            <w:pPr>
              <w:jc w:val="right"/>
            </w:pPr>
            <w:r>
              <w:t xml:space="preserve"> 3,430,213.15 </w:t>
            </w:r>
          </w:p>
        </w:tc>
        <w:tc>
          <w:tcPr>
            <w:tcW w:w="1250" w:type="pct"/>
          </w:tcPr>
          <w:p>
            <w:pPr>
              <w:jc w:val="right"/>
            </w:pPr>
            <w:r>
              <w:t xml:space="preserve"> 2,893,417.02 </w:t>
            </w:r>
          </w:p>
        </w:tc>
        <w:tc>
          <w:tcPr>
            <w:tcW w:w="1250" w:type="pct"/>
          </w:tcPr>
          <w:p>
            <w:pPr>
              <w:jc w:val="center"/>
              <w:rPr>
                <w:color w:val="000000" w:themeColor="text1"/>
                <w14:textFill>
                  <w14:solidFill>
                    <w14:schemeClr w14:val="tx1"/>
                  </w14:solidFill>
                </w14:textFill>
              </w:rPr>
            </w:pPr>
            <w:r>
              <w:t>/</w:t>
            </w:r>
          </w:p>
        </w:tc>
      </w:tr>
    </w:tbl>
    <w:p>
      <w:pPr>
        <w:snapToGrid w:val="0"/>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其他说明，包括重要预计负债的相关重要假设、估计说明：</w:t>
      </w:r>
    </w:p>
    <w:sdt>
      <w:sdtPr>
        <w:rPr>
          <w:color w:val="000000" w:themeColor="text1"/>
          <w14:textFill>
            <w14:solidFill>
              <w14:schemeClr w14:val="tx1"/>
            </w14:solidFill>
          </w14:textFill>
        </w:rPr>
        <w:alias w:val="预计负债的说明"/>
        <w:tag w:val="_GBC_d674f22c00c1425092bd34d8a8834fad"/>
        <w:id w:val="-117458570"/>
        <w:placeholder>
          <w:docPart w:val="DC93BB499FEF429E81D97CB8AA490140"/>
        </w:placeholder>
      </w:sdtPr>
      <w:sdtEndPr>
        <w:rPr>
          <w:color w:val="000000" w:themeColor="text1"/>
          <w14:textFill>
            <w14:solidFill>
              <w14:schemeClr w14:val="tx1"/>
            </w14:solidFill>
          </w14:textFill>
        </w:rPr>
      </w:sdtEndPr>
      <w:sdtContent>
        <w:p>
          <w:pPr>
            <w:pStyle w:val="48"/>
          </w:pPr>
          <w:r>
            <w:rPr>
              <w:rFonts w:hint="eastAsia"/>
              <w:color w:val="000000" w:themeColor="text1"/>
              <w14:textFill>
                <w14:solidFill>
                  <w14:schemeClr w14:val="tx1"/>
                </w14:solidFill>
              </w14:textFill>
            </w:rPr>
            <w:t>无</w:t>
          </w:r>
        </w:p>
      </w:sdtContent>
    </w:sdt>
    <w:bookmarkEnd w:id="391"/>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递延收益</w:t>
      </w:r>
    </w:p>
    <w:p>
      <w:pPr>
        <w:pStyle w:val="31"/>
        <w:ind w:firstLine="0" w:firstLineChars="0"/>
        <w:jc w:val="left"/>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递延收益情况</w:t>
      </w:r>
    </w:p>
    <w:sdt>
      <w:sdtPr>
        <w:rPr>
          <w:rFonts w:ascii="宋体" w:hAnsi="宋体" w:cs="宋体"/>
          <w:color w:val="000000" w:themeColor="text1"/>
          <w:kern w:val="0"/>
          <w:szCs w:val="21"/>
          <w14:textFill>
            <w14:solidFill>
              <w14:schemeClr w14:val="tx1"/>
            </w14:solidFill>
          </w14:textFill>
        </w:rPr>
        <w:alias w:val="是否适用：递延收益情况 [双击切换]"/>
        <w:tag w:val="_GBC_2c1393684e764245824b2390014e92f1"/>
        <w:id w:val="978655385"/>
        <w:placeholder>
          <w:docPart w:val="GBC22222222222222222222222222222"/>
        </w:placeholder>
      </w:sdtPr>
      <w:sdtEndPr>
        <w:rPr>
          <w:rFonts w:ascii="宋体" w:hAnsi="宋体" w:cs="宋体"/>
          <w:color w:val="000000" w:themeColor="text1"/>
          <w:kern w:val="0"/>
          <w:szCs w:val="21"/>
          <w14:textFill>
            <w14:solidFill>
              <w14:schemeClr w14:val="tx1"/>
            </w14:solidFill>
          </w14:textFill>
        </w:rPr>
      </w:sdtEndPr>
      <w:sdtContent>
        <w:p>
          <w:pPr>
            <w:pStyle w:val="31"/>
            <w:ind w:firstLine="0" w:firstLineChars="0"/>
            <w:jc w:val="left"/>
            <w:rPr>
              <w:rFonts w:hint="eastAsia" w:ascii="宋体" w:hAnsi="宋体" w:cs="宋体"/>
              <w:color w:val="000000" w:themeColor="text1"/>
              <w:kern w:val="0"/>
              <w:szCs w:val="21"/>
              <w14:textFill>
                <w14:solidFill>
                  <w14:schemeClr w14:val="tx1"/>
                </w14:solidFill>
              </w14:textFill>
            </w:rPr>
          </w:pPr>
          <w:r>
            <w:rPr>
              <w:rFonts w:ascii="宋体" w:hAnsi="宋体" w:cs="宋体"/>
              <w:color w:val="000000" w:themeColor="text1"/>
              <w:kern w:val="0"/>
              <w:szCs w:val="21"/>
              <w14:textFill>
                <w14:solidFill>
                  <w14:schemeClr w14:val="tx1"/>
                </w14:solidFill>
              </w14:textFill>
            </w:rPr>
            <w:fldChar w:fldCharType="begin"/>
          </w:r>
          <w:r>
            <w:rPr>
              <w:rFonts w:ascii="宋体" w:hAnsi="宋体" w:cs="宋体"/>
              <w:color w:val="000000" w:themeColor="text1"/>
              <w:kern w:val="0"/>
              <w:szCs w:val="21"/>
              <w14:textFill>
                <w14:solidFill>
                  <w14:schemeClr w14:val="tx1"/>
                </w14:solidFill>
              </w14:textFill>
            </w:rPr>
            <w:instrText xml:space="preserve"> MACROBUTTON  SnrToggleCheckbox √适用 </w:instrText>
          </w:r>
          <w:r>
            <w:rPr>
              <w:rFonts w:ascii="宋体" w:hAnsi="宋体" w:cs="宋体"/>
              <w:color w:val="000000" w:themeColor="text1"/>
              <w:kern w:val="0"/>
              <w:szCs w:val="21"/>
              <w14:textFill>
                <w14:solidFill>
                  <w14:schemeClr w14:val="tx1"/>
                </w14:solidFill>
              </w14:textFill>
            </w:rPr>
            <w:fldChar w:fldCharType="end"/>
          </w:r>
          <w:r>
            <w:rPr>
              <w:rFonts w:ascii="宋体" w:hAnsi="宋体" w:cs="宋体"/>
              <w:color w:val="000000" w:themeColor="text1"/>
              <w:kern w:val="0"/>
              <w:szCs w:val="21"/>
              <w14:textFill>
                <w14:solidFill>
                  <w14:schemeClr w14:val="tx1"/>
                </w14:solidFill>
              </w14:textFill>
            </w:rPr>
            <w:fldChar w:fldCharType="begin"/>
          </w:r>
          <w:r>
            <w:rPr>
              <w:rFonts w:ascii="宋体" w:hAnsi="宋体" w:cs="宋体"/>
              <w:color w:val="000000" w:themeColor="text1"/>
              <w:kern w:val="0"/>
              <w:szCs w:val="21"/>
              <w14:textFill>
                <w14:solidFill>
                  <w14:schemeClr w14:val="tx1"/>
                </w14:solidFill>
              </w14:textFill>
            </w:rPr>
            <w:instrText xml:space="preserve"> MACROBUTTON  SnrToggleCheckbox □不适用 </w:instrText>
          </w:r>
          <w:r>
            <w:rPr>
              <w:rFonts w:ascii="宋体" w:hAnsi="宋体" w:cs="宋体"/>
              <w:color w:val="000000" w:themeColor="text1"/>
              <w:kern w:val="0"/>
              <w:szCs w:val="21"/>
              <w14:textFill>
                <w14:solidFill>
                  <w14:schemeClr w14:val="tx1"/>
                </w14:solidFill>
              </w14:textFill>
            </w:rPr>
            <w:fldChar w:fldCharType="end"/>
          </w:r>
        </w:p>
      </w:sdtContent>
    </w:sdt>
    <w:p>
      <w:pPr>
        <w:pStyle w:val="31"/>
        <w:ind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递延收益"/>
          <w:tag w:val="_GBC_cf9505178ef64cd8b1a42757a7aaf77d"/>
          <w:id w:val="1620563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递延收益"/>
          <w:tag w:val="_GBC_b7ba9c3d835b413e83140a438bc5c413"/>
          <w:id w:val="-63032544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7"/>
        <w:gridCol w:w="1468"/>
        <w:gridCol w:w="1482"/>
        <w:gridCol w:w="1466"/>
        <w:gridCol w:w="1511"/>
        <w:gridCol w:w="1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35" w:hRule="atLeast"/>
        </w:trPr>
        <w:sdt>
          <w:sdtPr>
            <w:tag w:val="_PLD_eeb45564af314089916105a5217e0ff6"/>
            <w:id w:val="-1344554502"/>
          </w:sdtPr>
          <w:sdtContent>
            <w:tc>
              <w:tcPr>
                <w:tcW w:w="84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0613743f99d4af58a75406a4e2ba5a1"/>
            <w:id w:val="339362921"/>
          </w:sdtPr>
          <w:sdtContent>
            <w:tc>
              <w:tcPr>
                <w:tcW w:w="81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a27f928ad4574fe594e5f995d7a37059"/>
            <w:id w:val="-880007848"/>
          </w:sdtPr>
          <w:sdtContent>
            <w:tc>
              <w:tcPr>
                <w:tcW w:w="81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ed95bef3663d40fb90dd15d113f7f2c1"/>
            <w:id w:val="-14458004"/>
          </w:sdtPr>
          <w:sdtContent>
            <w:tc>
              <w:tcPr>
                <w:tcW w:w="81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367cd0591009413e93857494eaf8170a"/>
            <w:id w:val="1896777851"/>
          </w:sdtPr>
          <w:sdtContent>
            <w:tc>
              <w:tcPr>
                <w:tcW w:w="835" w:type="pct"/>
                <w:vAlign w:val="center"/>
              </w:tcPr>
              <w:p>
                <w:pPr>
                  <w:jc w:val="center"/>
                  <w:rPr>
                    <w:color w:val="000000" w:themeColor="text1"/>
                    <w14:textFill>
                      <w14:solidFill>
                        <w14:schemeClr w14:val="tx1"/>
                      </w14:solidFill>
                    </w14:textFill>
                  </w:rPr>
                </w:pPr>
                <w:bookmarkStart w:id="392" w:name="OLE_LINK67"/>
                <w:bookmarkStart w:id="393" w:name="OLE_LINK66"/>
                <w:r>
                  <w:rPr>
                    <w:rFonts w:hint="eastAsia"/>
                    <w:color w:val="000000" w:themeColor="text1"/>
                    <w14:textFill>
                      <w14:solidFill>
                        <w14:schemeClr w14:val="tx1"/>
                      </w14:solidFill>
                    </w14:textFill>
                  </w:rPr>
                  <w:t>期末余额</w:t>
                </w:r>
              </w:p>
              <w:bookmarkEnd w:id="392"/>
              <w:bookmarkEnd w:id="393"/>
            </w:tc>
          </w:sdtContent>
        </w:sdt>
        <w:sdt>
          <w:sdtPr>
            <w:tag w:val="_PLD_d61ffc61194047d79611cccd8488aece"/>
            <w:id w:val="892627980"/>
          </w:sdtPr>
          <w:sdtContent>
            <w:tc>
              <w:tcPr>
                <w:tcW w:w="88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形成原因</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44"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政府补助</w:t>
            </w:r>
          </w:p>
        </w:tc>
        <w:tc>
          <w:tcPr>
            <w:tcW w:w="811" w:type="pct"/>
            <w:vAlign w:val="center"/>
          </w:tcPr>
          <w:p>
            <w:pPr>
              <w:jc w:val="right"/>
            </w:pPr>
            <w:r>
              <w:rPr>
                <w:rFonts w:hint="eastAsia"/>
              </w:rPr>
              <w:t xml:space="preserve">68,350,233.52 </w:t>
            </w:r>
          </w:p>
        </w:tc>
        <w:tc>
          <w:tcPr>
            <w:tcW w:w="819" w:type="pct"/>
            <w:vAlign w:val="center"/>
          </w:tcPr>
          <w:p>
            <w:pPr>
              <w:jc w:val="right"/>
            </w:pPr>
            <w:r>
              <w:rPr>
                <w:rFonts w:hint="eastAsia"/>
              </w:rPr>
              <w:t xml:space="preserve"> 320,000.00 </w:t>
            </w:r>
          </w:p>
        </w:tc>
        <w:tc>
          <w:tcPr>
            <w:tcW w:w="810" w:type="pct"/>
            <w:vAlign w:val="center"/>
          </w:tcPr>
          <w:p>
            <w:pPr>
              <w:jc w:val="right"/>
            </w:pPr>
            <w:r>
              <w:rPr>
                <w:rFonts w:hint="eastAsia"/>
              </w:rPr>
              <w:t>2,628,550.78</w:t>
            </w:r>
          </w:p>
        </w:tc>
        <w:tc>
          <w:tcPr>
            <w:tcW w:w="835" w:type="pct"/>
            <w:vAlign w:val="center"/>
          </w:tcPr>
          <w:p>
            <w:pPr>
              <w:jc w:val="right"/>
            </w:pPr>
            <w:r>
              <w:rPr>
                <w:rFonts w:hint="eastAsia"/>
              </w:rPr>
              <w:t>66,041,682.74</w:t>
            </w:r>
          </w:p>
        </w:tc>
        <w:tc>
          <w:tcPr>
            <w:tcW w:w="881" w:type="pct"/>
          </w:tcPr>
          <w:p>
            <w:pPr>
              <w:pStyle w:val="48"/>
            </w:pPr>
            <w:r>
              <w:rPr>
                <w:rFonts w:hint="eastAsia"/>
              </w:rPr>
              <w:t>与资产相关的政府补助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4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811" w:type="pct"/>
            <w:vAlign w:val="center"/>
          </w:tcPr>
          <w:p>
            <w:pPr>
              <w:jc w:val="right"/>
            </w:pPr>
            <w:r>
              <w:t xml:space="preserve">68,350,233.52 </w:t>
            </w:r>
          </w:p>
        </w:tc>
        <w:tc>
          <w:tcPr>
            <w:tcW w:w="819" w:type="pct"/>
            <w:vAlign w:val="center"/>
          </w:tcPr>
          <w:p>
            <w:pPr>
              <w:jc w:val="right"/>
            </w:pPr>
            <w:r>
              <w:t xml:space="preserve"> 320,000.00 </w:t>
            </w:r>
          </w:p>
        </w:tc>
        <w:tc>
          <w:tcPr>
            <w:tcW w:w="810" w:type="pct"/>
            <w:vAlign w:val="center"/>
          </w:tcPr>
          <w:p>
            <w:pPr>
              <w:jc w:val="right"/>
            </w:pPr>
            <w:r>
              <w:t xml:space="preserve"> 2,628,550.78 </w:t>
            </w:r>
          </w:p>
        </w:tc>
        <w:tc>
          <w:tcPr>
            <w:tcW w:w="835" w:type="pct"/>
            <w:vAlign w:val="center"/>
          </w:tcPr>
          <w:p>
            <w:pPr>
              <w:jc w:val="right"/>
            </w:pPr>
            <w:r>
              <w:t xml:space="preserve">66,041,682.74 </w:t>
            </w:r>
          </w:p>
        </w:tc>
        <w:tc>
          <w:tcPr>
            <w:tcW w:w="881" w:type="pct"/>
          </w:tcPr>
          <w:p>
            <w:pPr>
              <w:jc w:val="center"/>
              <w:rPr>
                <w:color w:val="000000" w:themeColor="text1"/>
                <w14:textFill>
                  <w14:solidFill>
                    <w14:schemeClr w14:val="tx1"/>
                  </w14:solidFill>
                </w14:textFill>
              </w:rPr>
            </w:pPr>
            <w:r>
              <w:t>/</w:t>
            </w:r>
          </w:p>
        </w:tc>
      </w:tr>
    </w:tbl>
    <w:p>
      <w:pPr>
        <w:spacing w:before="60" w:after="60"/>
        <w:rPr>
          <w:color w:val="000000" w:themeColor="text1"/>
          <w14:textFill>
            <w14:solidFill>
              <w14:schemeClr w14:val="tx1"/>
            </w14:solidFill>
          </w14:textFill>
        </w:rPr>
      </w:pPr>
      <w:bookmarkStart w:id="394" w:name="_Hlk10537331"/>
      <w:bookmarkEnd w:id="394"/>
      <w:bookmarkStart w:id="395" w:name="OLE_LINK85"/>
      <w:bookmarkStart w:id="396" w:name="OLE_LINK84"/>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递延收益的其他说明[双击切换]"/>
        <w:tag w:val="_GBC_da5e8f76ba934c9e8efb4ab4d41c9f8c"/>
        <w:id w:val="1344049128"/>
        <w:placeholder>
          <w:docPart w:val="GBC22222222222222222222222222222"/>
        </w:placeholder>
      </w:sdtPr>
      <w:sdtEndPr>
        <w:rPr>
          <w:color w:val="000000" w:themeColor="text1"/>
          <w14:textFill>
            <w14:solidFill>
              <w14:schemeClr w14:val="tx1"/>
            </w14:solidFill>
          </w14:textFill>
        </w:rPr>
      </w:sdtEndPr>
      <w:sdtContent>
        <w:p>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95"/>
    <w:bookmarkEnd w:id="396"/>
    <w:p>
      <w:pPr>
        <w:pStyle w:val="4"/>
        <w:numPr>
          <w:ilvl w:val="0"/>
          <w:numId w:val="41"/>
        </w:numPr>
        <w:rPr>
          <w:color w:val="000000" w:themeColor="text1"/>
          <w:szCs w:val="21"/>
          <w14:textFill>
            <w14:solidFill>
              <w14:schemeClr w14:val="tx1"/>
            </w14:solidFill>
          </w14:textFill>
        </w:rPr>
      </w:pPr>
      <w:bookmarkStart w:id="397" w:name="_Hlk10537430"/>
      <w:r>
        <w:rPr>
          <w:color w:val="000000" w:themeColor="text1"/>
          <w:szCs w:val="21"/>
          <w14:textFill>
            <w14:solidFill>
              <w14:schemeClr w14:val="tx1"/>
            </w14:solidFill>
          </w14:textFill>
        </w:rPr>
        <w:t>其他非流动负债</w:t>
      </w:r>
    </w:p>
    <w:sdt>
      <w:sdtPr>
        <w:rPr>
          <w:color w:val="000000" w:themeColor="text1"/>
          <w14:textFill>
            <w14:solidFill>
              <w14:schemeClr w14:val="tx1"/>
            </w14:solidFill>
          </w14:textFill>
        </w:rPr>
        <w:alias w:val="是否适用：其他非流动负债[双击切换]"/>
        <w:tag w:val="_GBC_bb8a5c7236564ec0823cbced5ea78e62"/>
        <w:id w:val="8388437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397"/>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股本</w:t>
      </w:r>
    </w:p>
    <w:sdt>
      <w:sdtPr>
        <w:rPr>
          <w:color w:val="000000" w:themeColor="text1"/>
          <w14:textFill>
            <w14:solidFill>
              <w14:schemeClr w14:val="tx1"/>
            </w14:solidFill>
          </w14:textFill>
        </w:rPr>
        <w:alias w:val="是否适用：股本[双击切换]"/>
        <w:tag w:val="_GBC_a88b08589cbb4302b29839808faa8a3b"/>
        <w:id w:val="97441887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股本"/>
          <w:tag w:val="_GBC_cf915ea45a234de2a2455824dedc3c82"/>
          <w:id w:val="149977239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股本"/>
          <w:tag w:val="_GBC_2dcc7ff328cf480296bdddce64b88cf1"/>
          <w:id w:val="-63240198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341"/>
        <w:gridCol w:w="936"/>
        <w:gridCol w:w="576"/>
        <w:gridCol w:w="870"/>
        <w:gridCol w:w="1418"/>
        <w:gridCol w:w="1391"/>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0" w:type="auto"/>
            <w:vMerge w:val="restart"/>
          </w:tcPr>
          <w:p>
            <w:pPr>
              <w:jc w:val="center"/>
              <w:rPr>
                <w:color w:val="000000" w:themeColor="text1"/>
                <w:sz w:val="18"/>
                <w:szCs w:val="18"/>
                <w14:textFill>
                  <w14:solidFill>
                    <w14:schemeClr w14:val="tx1"/>
                  </w14:solidFill>
                </w14:textFill>
              </w:rPr>
            </w:pPr>
          </w:p>
        </w:tc>
        <w:sdt>
          <w:sdtPr>
            <w:rPr>
              <w:sz w:val="18"/>
              <w:szCs w:val="18"/>
            </w:rPr>
            <w:tag w:val="_PLD_7ad9a0911e364e48bc565dc3ed809692"/>
            <w:id w:val="252643174"/>
          </w:sdtPr>
          <w:sdtEndPr>
            <w:rPr>
              <w:sz w:val="18"/>
              <w:szCs w:val="18"/>
            </w:rPr>
          </w:sdtEndPr>
          <w:sdtContent>
            <w:tc>
              <w:tcPr>
                <w:tcW w:w="0" w:type="auto"/>
                <w:vMerge w:val="restart"/>
                <w:vAlign w:val="center"/>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期初余额</w:t>
                </w:r>
              </w:p>
            </w:tc>
          </w:sdtContent>
        </w:sdt>
        <w:sdt>
          <w:sdtPr>
            <w:rPr>
              <w:sz w:val="18"/>
              <w:szCs w:val="18"/>
            </w:rPr>
            <w:tag w:val="_PLD_33945fdb28e344edaa7d118a9aa07d7d"/>
            <w:id w:val="362953640"/>
          </w:sdtPr>
          <w:sdtEndPr>
            <w:rPr>
              <w:sz w:val="18"/>
              <w:szCs w:val="18"/>
            </w:rPr>
          </w:sdtEndPr>
          <w:sdtContent>
            <w:tc>
              <w:tcPr>
                <w:tcW w:w="0" w:type="auto"/>
                <w:gridSpan w:val="5"/>
                <w:vAlign w:val="center"/>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本次变动增减（+、一）</w:t>
                </w:r>
              </w:p>
            </w:tc>
          </w:sdtContent>
        </w:sdt>
        <w:sdt>
          <w:sdtPr>
            <w:rPr>
              <w:sz w:val="18"/>
              <w:szCs w:val="18"/>
            </w:rPr>
            <w:tag w:val="_PLD_a0390714e323429ab6e793f9a610df70"/>
            <w:id w:val="-502429817"/>
          </w:sdtPr>
          <w:sdtEndPr>
            <w:rPr>
              <w:sz w:val="18"/>
              <w:szCs w:val="18"/>
            </w:rPr>
          </w:sdtEndPr>
          <w:sdtContent>
            <w:tc>
              <w:tcPr>
                <w:tcW w:w="0" w:type="auto"/>
                <w:vMerge w:val="restart"/>
                <w:vAlign w:val="center"/>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0" w:type="auto"/>
            <w:vMerge w:val="continue"/>
          </w:tcPr>
          <w:p>
            <w:pPr>
              <w:rPr>
                <w:color w:val="000000" w:themeColor="text1"/>
                <w:sz w:val="18"/>
                <w:szCs w:val="18"/>
                <w14:textFill>
                  <w14:solidFill>
                    <w14:schemeClr w14:val="tx1"/>
                  </w14:solidFill>
                </w14:textFill>
              </w:rPr>
            </w:pPr>
          </w:p>
        </w:tc>
        <w:tc>
          <w:tcPr>
            <w:tcW w:w="0" w:type="auto"/>
            <w:vMerge w:val="continue"/>
          </w:tcPr>
          <w:p>
            <w:pPr>
              <w:ind w:left="-250" w:leftChars="-119" w:firstLine="214" w:firstLineChars="119"/>
              <w:rPr>
                <w:color w:val="000000" w:themeColor="text1"/>
                <w:sz w:val="18"/>
                <w:szCs w:val="18"/>
                <w14:textFill>
                  <w14:solidFill>
                    <w14:schemeClr w14:val="tx1"/>
                  </w14:solidFill>
                </w14:textFill>
              </w:rPr>
            </w:pPr>
          </w:p>
        </w:tc>
        <w:sdt>
          <w:sdtPr>
            <w:rPr>
              <w:sz w:val="18"/>
              <w:szCs w:val="18"/>
            </w:rPr>
            <w:tag w:val="_PLD_fe0b182c33854e5bb51d2d2a3cd1dd7f"/>
            <w:id w:val="-1759279182"/>
          </w:sdtPr>
          <w:sdtEndPr>
            <w:rPr>
              <w:sz w:val="18"/>
              <w:szCs w:val="18"/>
            </w:rPr>
          </w:sdtEndPr>
          <w:sdtContent>
            <w:tc>
              <w:tcPr>
                <w:tcW w:w="0" w:type="auto"/>
                <w:vAlign w:val="center"/>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发行新股</w:t>
                </w:r>
              </w:p>
            </w:tc>
          </w:sdtContent>
        </w:sdt>
        <w:sdt>
          <w:sdtPr>
            <w:rPr>
              <w:sz w:val="18"/>
              <w:szCs w:val="18"/>
            </w:rPr>
            <w:tag w:val="_PLD_80e7c94a1831488d89d22be722443897"/>
            <w:id w:val="391770294"/>
          </w:sdtPr>
          <w:sdtEndPr>
            <w:rPr>
              <w:sz w:val="18"/>
              <w:szCs w:val="18"/>
            </w:rPr>
          </w:sdtEndPr>
          <w:sdtContent>
            <w:tc>
              <w:tcPr>
                <w:tcW w:w="0" w:type="auto"/>
                <w:vAlign w:val="center"/>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送股</w:t>
                </w:r>
              </w:p>
            </w:tc>
          </w:sdtContent>
        </w:sdt>
        <w:sdt>
          <w:sdtPr>
            <w:rPr>
              <w:sz w:val="18"/>
              <w:szCs w:val="18"/>
            </w:rPr>
            <w:tag w:val="_PLD_c1d7f04883eb4aaa9c52067f145ec081"/>
            <w:id w:val="-705335538"/>
          </w:sdtPr>
          <w:sdtEndPr>
            <w:rPr>
              <w:sz w:val="18"/>
              <w:szCs w:val="18"/>
            </w:rPr>
          </w:sdtEndPr>
          <w:sdtContent>
            <w:tc>
              <w:tcPr>
                <w:tcW w:w="870" w:type="dxa"/>
                <w:vAlign w:val="center"/>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公积金转股</w:t>
                </w:r>
              </w:p>
            </w:tc>
          </w:sdtContent>
        </w:sdt>
        <w:sdt>
          <w:sdtPr>
            <w:rPr>
              <w:sz w:val="18"/>
              <w:szCs w:val="18"/>
            </w:rPr>
            <w:tag w:val="_PLD_6e44c9cf090243e19b20f1e88e8231ef"/>
            <w:id w:val="-1262520408"/>
          </w:sdtPr>
          <w:sdtEndPr>
            <w:rPr>
              <w:sz w:val="18"/>
              <w:szCs w:val="18"/>
            </w:rPr>
          </w:sdtEndPr>
          <w:sdtContent>
            <w:tc>
              <w:tcPr>
                <w:tcW w:w="1418" w:type="dxa"/>
                <w:vAlign w:val="center"/>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其他</w:t>
                </w:r>
              </w:p>
            </w:tc>
          </w:sdtContent>
        </w:sdt>
        <w:sdt>
          <w:sdtPr>
            <w:rPr>
              <w:sz w:val="18"/>
              <w:szCs w:val="18"/>
            </w:rPr>
            <w:tag w:val="_PLD_0cee72421f954c94ba296c709c84ef52"/>
            <w:id w:val="-853648903"/>
          </w:sdtPr>
          <w:sdtEndPr>
            <w:rPr>
              <w:sz w:val="18"/>
              <w:szCs w:val="18"/>
            </w:rPr>
          </w:sdtEndPr>
          <w:sdtContent>
            <w:tc>
              <w:tcPr>
                <w:tcW w:w="1391" w:type="dxa"/>
                <w:vAlign w:val="center"/>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小计</w:t>
                </w:r>
              </w:p>
            </w:tc>
          </w:sdtContent>
        </w:sdt>
        <w:tc>
          <w:tcPr>
            <w:tcW w:w="0" w:type="auto"/>
            <w:vMerge w:val="continue"/>
          </w:tcPr>
          <w:p>
            <w:pPr>
              <w:rPr>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0" w:type="auto"/>
          </w:tcPr>
          <w:p>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股份总数</w:t>
            </w:r>
          </w:p>
        </w:tc>
        <w:tc>
          <w:tcPr>
            <w:tcW w:w="0" w:type="auto"/>
          </w:tcPr>
          <w:p>
            <w:pPr>
              <w:jc w:val="right"/>
              <w:rPr>
                <w:sz w:val="18"/>
                <w:szCs w:val="18"/>
              </w:rPr>
            </w:pPr>
            <w:r>
              <w:rPr>
                <w:sz w:val="18"/>
                <w:szCs w:val="18"/>
              </w:rPr>
              <w:t xml:space="preserve">332,353,407.00 </w:t>
            </w:r>
          </w:p>
        </w:tc>
        <w:tc>
          <w:tcPr>
            <w:tcW w:w="0" w:type="auto"/>
          </w:tcPr>
          <w:p>
            <w:pPr>
              <w:jc w:val="right"/>
              <w:rPr>
                <w:sz w:val="18"/>
                <w:szCs w:val="18"/>
              </w:rPr>
            </w:pPr>
          </w:p>
        </w:tc>
        <w:tc>
          <w:tcPr>
            <w:tcW w:w="0" w:type="auto"/>
          </w:tcPr>
          <w:p>
            <w:pPr>
              <w:jc w:val="right"/>
              <w:rPr>
                <w:sz w:val="18"/>
                <w:szCs w:val="18"/>
              </w:rPr>
            </w:pPr>
          </w:p>
        </w:tc>
        <w:tc>
          <w:tcPr>
            <w:tcW w:w="870" w:type="dxa"/>
          </w:tcPr>
          <w:p>
            <w:pPr>
              <w:jc w:val="right"/>
              <w:rPr>
                <w:sz w:val="18"/>
                <w:szCs w:val="18"/>
              </w:rPr>
            </w:pPr>
          </w:p>
        </w:tc>
        <w:tc>
          <w:tcPr>
            <w:tcW w:w="1418" w:type="dxa"/>
          </w:tcPr>
          <w:p>
            <w:pPr>
              <w:jc w:val="right"/>
              <w:rPr>
                <w:sz w:val="18"/>
                <w:szCs w:val="18"/>
              </w:rPr>
            </w:pPr>
            <w:r>
              <w:rPr>
                <w:sz w:val="18"/>
                <w:szCs w:val="18"/>
              </w:rPr>
              <w:t xml:space="preserve"> -2,388,768.00 </w:t>
            </w:r>
          </w:p>
        </w:tc>
        <w:tc>
          <w:tcPr>
            <w:tcW w:w="1391" w:type="dxa"/>
          </w:tcPr>
          <w:p>
            <w:pPr>
              <w:jc w:val="right"/>
              <w:rPr>
                <w:sz w:val="18"/>
                <w:szCs w:val="18"/>
              </w:rPr>
            </w:pPr>
            <w:r>
              <w:rPr>
                <w:sz w:val="18"/>
                <w:szCs w:val="18"/>
              </w:rPr>
              <w:t xml:space="preserve"> -2,388,768.00 </w:t>
            </w:r>
          </w:p>
        </w:tc>
        <w:tc>
          <w:tcPr>
            <w:tcW w:w="0" w:type="auto"/>
          </w:tcPr>
          <w:p>
            <w:pPr>
              <w:jc w:val="right"/>
              <w:rPr>
                <w:sz w:val="18"/>
                <w:szCs w:val="18"/>
              </w:rPr>
            </w:pPr>
            <w:r>
              <w:rPr>
                <w:sz w:val="18"/>
                <w:szCs w:val="18"/>
              </w:rPr>
              <w:t>329,964,639.00</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股本变动情况说明"/>
        <w:tag w:val="_GBC_752687f835754470ad7a125ef32391e4"/>
        <w:id w:val="-30531432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本期减少系公司本期回购注销限制性股票及注销回购专用证券账户中未使用股票所致</w:t>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其他权益工具</w:t>
      </w:r>
    </w:p>
    <w:p>
      <w:pPr>
        <w:pStyle w:val="5"/>
        <w:numPr>
          <w:ilvl w:val="0"/>
          <w:numId w:val="70"/>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期末发行在外的优先股、永续债等其他金融工具基本情况</w:t>
      </w:r>
    </w:p>
    <w:sdt>
      <w:sdtPr>
        <w:rPr>
          <w:color w:val="000000" w:themeColor="text1"/>
          <w14:textFill>
            <w14:solidFill>
              <w14:schemeClr w14:val="tx1"/>
            </w14:solidFill>
          </w14:textFill>
        </w:rPr>
        <w:alias w:val="是否适用：期末发行在外的优先股、永续债等其他金融工具基本情况[双击切换]"/>
        <w:tag w:val="_GBC_54d54ac45fe745e1aad9be61a846261f"/>
        <w:id w:val="41559976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70"/>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期末发行在外的优先股、永续债等金融工具变动情况表</w:t>
      </w:r>
    </w:p>
    <w:sdt>
      <w:sdtPr>
        <w:rPr>
          <w:color w:val="000000" w:themeColor="text1"/>
          <w14:textFill>
            <w14:solidFill>
              <w14:schemeClr w14:val="tx1"/>
            </w14:solidFill>
          </w14:textFill>
        </w:rPr>
        <w:alias w:val="是否适用：期末发行在外的优先股、永续债等金融工具变动情况表_其他权益工具[双击切换]"/>
        <w:tag w:val="_GBC_e8c53693e19e485cba80f7cd2a15ab4c"/>
        <w:id w:val="133118291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其他权益工具本期增减变动情况、变动原因说明，以及相关会计处理的依据：</w:t>
      </w:r>
    </w:p>
    <w:sdt>
      <w:sdtPr>
        <w:rPr>
          <w:color w:val="000000" w:themeColor="text1"/>
          <w14:textFill>
            <w14:solidFill>
              <w14:schemeClr w14:val="tx1"/>
            </w14:solidFill>
          </w14:textFill>
        </w:rPr>
        <w:alias w:val="是否适用：其他权益工具本期增减变动情况、变动原因说明，以及相关会计处理的依据[双击切换]"/>
        <w:tag w:val="_GBC_6229f0070f0a4c838e1e39f678f8a7bb"/>
        <w:id w:val="194402750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其他权益工具的其他说明[双击切换]"/>
        <w:tag w:val="_GBC_297d299126b041159b18d012f9a18c2e"/>
        <w:id w:val="187202906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资本公积</w:t>
      </w:r>
    </w:p>
    <w:sdt>
      <w:sdtPr>
        <w:rPr>
          <w:color w:val="000000" w:themeColor="text1"/>
          <w14:textFill>
            <w14:solidFill>
              <w14:schemeClr w14:val="tx1"/>
            </w14:solidFill>
          </w14:textFill>
        </w:rPr>
        <w:alias w:val="是否适用：资本公积[双击切换]"/>
        <w:tag w:val="_GBC_70f32b67ce344a03adfc93d4ed72949a"/>
        <w:id w:val="-51368899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资本公积"/>
          <w:tag w:val="_GBC_88633009fdc64f4e8238c38541b33615"/>
          <w:id w:val="149159239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资本公积"/>
          <w:tag w:val="_GBC_636aa96d47cb426abc64fc00b61c9353"/>
          <w:id w:val="-44314565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7"/>
        <w:gridCol w:w="1529"/>
        <w:gridCol w:w="1699"/>
        <w:gridCol w:w="1683"/>
        <w:gridCol w:w="1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77c011500e64862903c4c16dbb2f31f"/>
            <w:id w:val="368808850"/>
          </w:sdtPr>
          <w:sdtContent>
            <w:tc>
              <w:tcPr>
                <w:tcW w:w="1443" w:type="pc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519f0add67f49df9173f37c00215eef"/>
            <w:id w:val="-1219661552"/>
          </w:sdtPr>
          <w:sdtContent>
            <w:tc>
              <w:tcPr>
                <w:tcW w:w="504" w:type="pc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dcbf1fd9bcaa41fc8ff4def2d0e55143"/>
            <w:id w:val="-941600793"/>
          </w:sdtPr>
          <w:sdtContent>
            <w:tc>
              <w:tcPr>
                <w:tcW w:w="1024" w:type="pc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9d88d0ce99474d389c660c414306497d"/>
            <w:id w:val="-1242556406"/>
          </w:sdtPr>
          <w:sdtContent>
            <w:tc>
              <w:tcPr>
                <w:tcW w:w="1015" w:type="pc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4c3f2255a4a24c1cae63eb0cc7781f12"/>
            <w:id w:val="-1863428821"/>
          </w:sdtPr>
          <w:sdtContent>
            <w:tc>
              <w:tcPr>
                <w:tcW w:w="1014" w:type="pc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tcPr>
          <w:p>
            <w:pPr>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资本溢价（股本溢价）</w:t>
            </w:r>
          </w:p>
        </w:tc>
        <w:tc>
          <w:tcPr>
            <w:tcW w:w="504" w:type="pct"/>
          </w:tcPr>
          <w:p>
            <w:pPr>
              <w:autoSpaceDE w:val="0"/>
              <w:autoSpaceDN w:val="0"/>
              <w:adjustRightInd w:val="0"/>
              <w:snapToGrid w:val="0"/>
              <w:jc w:val="right"/>
            </w:pPr>
            <w:r>
              <w:t xml:space="preserve">970,622,624.90 </w:t>
            </w:r>
          </w:p>
        </w:tc>
        <w:tc>
          <w:tcPr>
            <w:tcW w:w="1024" w:type="pct"/>
          </w:tcPr>
          <w:p>
            <w:pPr>
              <w:autoSpaceDE w:val="0"/>
              <w:autoSpaceDN w:val="0"/>
              <w:adjustRightInd w:val="0"/>
              <w:snapToGrid w:val="0"/>
              <w:jc w:val="right"/>
            </w:pPr>
          </w:p>
        </w:tc>
        <w:tc>
          <w:tcPr>
            <w:tcW w:w="1015" w:type="pct"/>
          </w:tcPr>
          <w:p>
            <w:pPr>
              <w:autoSpaceDE w:val="0"/>
              <w:autoSpaceDN w:val="0"/>
              <w:adjustRightInd w:val="0"/>
              <w:snapToGrid w:val="0"/>
              <w:jc w:val="right"/>
            </w:pPr>
            <w:r>
              <w:t xml:space="preserve"> 17,526,833.78 </w:t>
            </w:r>
          </w:p>
        </w:tc>
        <w:tc>
          <w:tcPr>
            <w:tcW w:w="1014" w:type="pct"/>
          </w:tcPr>
          <w:p>
            <w:pPr>
              <w:autoSpaceDE w:val="0"/>
              <w:autoSpaceDN w:val="0"/>
              <w:adjustRightInd w:val="0"/>
              <w:snapToGrid w:val="0"/>
              <w:jc w:val="right"/>
            </w:pPr>
            <w:r>
              <w:t xml:space="preserve">953,095,791.12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tcPr>
          <w:p>
            <w:pPr>
              <w:autoSpaceDE w:val="0"/>
              <w:autoSpaceDN w:val="0"/>
              <w:adjustRightInd w:val="0"/>
              <w:snapToGri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其他资本公积</w:t>
            </w:r>
          </w:p>
        </w:tc>
        <w:tc>
          <w:tcPr>
            <w:tcW w:w="504" w:type="pct"/>
          </w:tcPr>
          <w:p>
            <w:pPr>
              <w:autoSpaceDE w:val="0"/>
              <w:autoSpaceDN w:val="0"/>
              <w:adjustRightInd w:val="0"/>
              <w:snapToGrid w:val="0"/>
              <w:jc w:val="right"/>
            </w:pPr>
            <w:r>
              <w:t xml:space="preserve"> 8,978,625.90 </w:t>
            </w:r>
          </w:p>
        </w:tc>
        <w:tc>
          <w:tcPr>
            <w:tcW w:w="1024" w:type="pct"/>
          </w:tcPr>
          <w:p>
            <w:pPr>
              <w:autoSpaceDE w:val="0"/>
              <w:autoSpaceDN w:val="0"/>
              <w:adjustRightInd w:val="0"/>
              <w:snapToGrid w:val="0"/>
              <w:jc w:val="right"/>
            </w:pPr>
          </w:p>
        </w:tc>
        <w:tc>
          <w:tcPr>
            <w:tcW w:w="1015" w:type="pct"/>
          </w:tcPr>
          <w:p>
            <w:pPr>
              <w:autoSpaceDE w:val="0"/>
              <w:autoSpaceDN w:val="0"/>
              <w:adjustRightInd w:val="0"/>
              <w:snapToGrid w:val="0"/>
              <w:jc w:val="right"/>
            </w:pPr>
          </w:p>
        </w:tc>
        <w:tc>
          <w:tcPr>
            <w:tcW w:w="1014" w:type="pct"/>
          </w:tcPr>
          <w:p>
            <w:pPr>
              <w:autoSpaceDE w:val="0"/>
              <w:autoSpaceDN w:val="0"/>
              <w:adjustRightInd w:val="0"/>
              <w:snapToGrid w:val="0"/>
              <w:jc w:val="right"/>
            </w:pPr>
            <w:r>
              <w:t xml:space="preserve"> 8,978,625.90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vAlign w:val="center"/>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504" w:type="pct"/>
          </w:tcPr>
          <w:p>
            <w:pPr>
              <w:autoSpaceDE w:val="0"/>
              <w:autoSpaceDN w:val="0"/>
              <w:adjustRightInd w:val="0"/>
              <w:snapToGrid w:val="0"/>
              <w:jc w:val="right"/>
            </w:pPr>
            <w:r>
              <w:t xml:space="preserve">979,601,250.80 </w:t>
            </w:r>
          </w:p>
        </w:tc>
        <w:tc>
          <w:tcPr>
            <w:tcW w:w="1024" w:type="pct"/>
          </w:tcPr>
          <w:p>
            <w:pPr>
              <w:autoSpaceDE w:val="0"/>
              <w:autoSpaceDN w:val="0"/>
              <w:adjustRightInd w:val="0"/>
              <w:snapToGrid w:val="0"/>
              <w:jc w:val="right"/>
            </w:pPr>
          </w:p>
        </w:tc>
        <w:tc>
          <w:tcPr>
            <w:tcW w:w="1015" w:type="pct"/>
          </w:tcPr>
          <w:p>
            <w:pPr>
              <w:autoSpaceDE w:val="0"/>
              <w:autoSpaceDN w:val="0"/>
              <w:adjustRightInd w:val="0"/>
              <w:snapToGrid w:val="0"/>
              <w:jc w:val="right"/>
            </w:pPr>
            <w:r>
              <w:t xml:space="preserve"> 17,526,833.78 </w:t>
            </w:r>
          </w:p>
        </w:tc>
        <w:tc>
          <w:tcPr>
            <w:tcW w:w="1014" w:type="pct"/>
          </w:tcPr>
          <w:p>
            <w:pPr>
              <w:autoSpaceDE w:val="0"/>
              <w:autoSpaceDN w:val="0"/>
              <w:adjustRightInd w:val="0"/>
              <w:snapToGrid w:val="0"/>
              <w:jc w:val="right"/>
            </w:pPr>
            <w:r>
              <w:t xml:space="preserve">962,074,417.02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其他说明，包括本期增减变动情况、变动原因说明：</w:t>
      </w:r>
    </w:p>
    <w:p>
      <w:pPr>
        <w:spacing w:line="360" w:lineRule="exact"/>
        <w:ind w:firstLine="420" w:firstLineChars="200"/>
        <w:rPr>
          <w:color w:val="000000" w:themeColor="text1"/>
          <w14:textFill>
            <w14:solidFill>
              <w14:schemeClr w14:val="tx1"/>
            </w14:solidFill>
          </w14:textFill>
        </w:rPr>
      </w:pPr>
      <w:sdt>
        <w:sdtPr>
          <w:rPr>
            <w:color w:val="000000" w:themeColor="text1"/>
            <w14:textFill>
              <w14:solidFill>
                <w14:schemeClr w14:val="tx1"/>
              </w14:solidFill>
            </w14:textFill>
          </w:rPr>
          <w:alias w:val="资本公积说明"/>
          <w:tag w:val="_GBC_014f0762b4274266bec2aa5231aa0981"/>
          <w:id w:val="-1768838590"/>
          <w:placeholder>
            <w:docPart w:val="GBC22222222222222222222222222222"/>
          </w:placeholder>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股本溢价本期减少17,526,833.78元，系本期回购注销股权激励计划已授予但尚未解除限售的全部限制性股票及注销回购专用证券账户中未使用股票冲减资本公积17,418,913.28元，本期望来充（重庆）收购长寿望来充少数股权支付的股权成本与享有其净资产的差额冲减资本公积107,920.50元。</w:t>
          </w:r>
        </w:sdtContent>
      </w:sdt>
    </w:p>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库存股</w:t>
      </w:r>
    </w:p>
    <w:sdt>
      <w:sdtPr>
        <w:rPr>
          <w:color w:val="000000" w:themeColor="text1"/>
          <w14:textFill>
            <w14:solidFill>
              <w14:schemeClr w14:val="tx1"/>
            </w14:solidFill>
          </w14:textFill>
        </w:rPr>
        <w:alias w:val="是否适用：库存股[双击切换]"/>
        <w:tag w:val="_GBC_4aa47a6d9b1044aa8a049146d42c3e9c"/>
        <w:id w:val="11957671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ind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库存股"/>
          <w:tag w:val="_GBC_2ec7280618184a6dbf8764020927134a"/>
          <w:id w:val="-110180507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库存股"/>
          <w:tag w:val="_GBC_bcf1b0dc9f44435981af64b6d69d6045"/>
          <w:id w:val="205920100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806"/>
        <w:gridCol w:w="1835"/>
        <w:gridCol w:w="1848"/>
        <w:gridCol w:w="1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b46e14f0143b428d91ebe5e1885be6ac"/>
            <w:id w:val="-1837143809"/>
          </w:sdtPr>
          <w:sdtContent>
            <w:tc>
              <w:tcPr>
                <w:tcW w:w="94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db0262d3f8842b4a7eba04e09be9d8a"/>
            <w:id w:val="1195035881"/>
          </w:sdtPr>
          <w:sdtContent>
            <w:tc>
              <w:tcPr>
                <w:tcW w:w="99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6f585f2d8d254ed6a108b145b56ff7cc"/>
            <w:id w:val="2072537970"/>
          </w:sdtPr>
          <w:sdtContent>
            <w:tc>
              <w:tcPr>
                <w:tcW w:w="101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20354e1f567449a9b9021901b2252d15"/>
            <w:id w:val="1286777825"/>
          </w:sdtPr>
          <w:sdtContent>
            <w:tc>
              <w:tcPr>
                <w:tcW w:w="102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94daf05bbefc4d829f1bc3b83d11b6ca"/>
            <w:id w:val="1172309042"/>
          </w:sdtPr>
          <w:sdtContent>
            <w:tc>
              <w:tcPr>
                <w:tcW w:w="102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pPr>
              <w:pStyle w:val="48"/>
            </w:pPr>
            <w:r>
              <w:rPr>
                <w:rFonts w:hint="eastAsia"/>
              </w:rPr>
              <w:t>库存股</w:t>
            </w:r>
          </w:p>
        </w:tc>
        <w:tc>
          <w:tcPr>
            <w:tcW w:w="998" w:type="pct"/>
          </w:tcPr>
          <w:p>
            <w:pPr>
              <w:jc w:val="right"/>
            </w:pPr>
            <w:r>
              <w:rPr>
                <w:rFonts w:hint="eastAsia"/>
              </w:rPr>
              <w:t xml:space="preserve"> 19,807,681.28 </w:t>
            </w:r>
          </w:p>
        </w:tc>
        <w:tc>
          <w:tcPr>
            <w:tcW w:w="1014" w:type="pct"/>
          </w:tcPr>
          <w:p>
            <w:pPr>
              <w:jc w:val="right"/>
            </w:pPr>
          </w:p>
        </w:tc>
        <w:tc>
          <w:tcPr>
            <w:tcW w:w="1021" w:type="pct"/>
          </w:tcPr>
          <w:p>
            <w:pPr>
              <w:jc w:val="right"/>
            </w:pPr>
            <w:r>
              <w:rPr>
                <w:rFonts w:hint="eastAsia"/>
              </w:rPr>
              <w:t>19,807,681.28</w:t>
            </w:r>
          </w:p>
        </w:tc>
        <w:tc>
          <w:tcPr>
            <w:tcW w:w="1022"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998" w:type="pct"/>
          </w:tcPr>
          <w:p>
            <w:pPr>
              <w:jc w:val="right"/>
            </w:pPr>
            <w:r>
              <w:t xml:space="preserve"> 19,807,681.28 </w:t>
            </w:r>
          </w:p>
        </w:tc>
        <w:tc>
          <w:tcPr>
            <w:tcW w:w="1014" w:type="pct"/>
          </w:tcPr>
          <w:p>
            <w:pPr>
              <w:jc w:val="right"/>
            </w:pPr>
          </w:p>
        </w:tc>
        <w:tc>
          <w:tcPr>
            <w:tcW w:w="1021" w:type="pct"/>
          </w:tcPr>
          <w:p>
            <w:pPr>
              <w:jc w:val="right"/>
            </w:pPr>
            <w:r>
              <w:t>19,807,681.28</w:t>
            </w:r>
          </w:p>
        </w:tc>
        <w:tc>
          <w:tcPr>
            <w:tcW w:w="1022" w:type="pct"/>
          </w:tcPr>
          <w:p>
            <w:pPr>
              <w:jc w:val="right"/>
            </w:pP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其他说明，包括本期增减变动情况、变动原因说明：</w:t>
      </w:r>
    </w:p>
    <w:p>
      <w:pPr>
        <w:spacing w:line="360" w:lineRule="exact"/>
        <w:ind w:firstLine="420" w:firstLineChars="200"/>
        <w:rPr>
          <w:b/>
          <w:color w:val="000000" w:themeColor="text1"/>
          <w14:textFill>
            <w14:solidFill>
              <w14:schemeClr w14:val="tx1"/>
            </w14:solidFill>
          </w14:textFill>
        </w:rPr>
      </w:pPr>
      <w:sdt>
        <w:sdtPr>
          <w:rPr>
            <w:color w:val="000000" w:themeColor="text1"/>
            <w14:textFill>
              <w14:solidFill>
                <w14:schemeClr w14:val="tx1"/>
              </w14:solidFill>
            </w14:textFill>
          </w:rPr>
          <w:alias w:val="库存股情况说明"/>
          <w:tag w:val="_GBC_aeb361adcbde44daaa852df07259812c"/>
          <w:id w:val="837197619"/>
          <w:placeholder>
            <w:docPart w:val="GBC22222222222222222222222222222"/>
          </w:placeholder>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根据公司2025年12月9日第四届董事会第十五次会议和2025年12月26日2025年第一次临时股东大会审议通过的《关于终止实施2024年限制性股票激励计划暨回购注销相关限制性股票并调整回购价格的议案》，同意公司终止实施2024年限制性股票激励计划及相配套文件，同意回购已授予未解锁限制性股票共计2,316,000股，并将回购价格调整为7.89元/股，同意注销2024年限制性股票激励计划已授予未解锁的2,316,000股及未授予的70,000股合计2,386,000股股票，减少库存股19,807,681.28元</w:t>
          </w:r>
          <w:r>
            <w:rPr>
              <w:rFonts w:hint="eastAsia"/>
              <w:color w:val="000000" w:themeColor="text1"/>
              <w14:textFill>
                <w14:solidFill>
                  <w14:schemeClr w14:val="tx1"/>
                </w14:solidFill>
              </w14:textFill>
            </w:rPr>
            <w:t>。</w:t>
          </w:r>
        </w:sdtContent>
      </w:sdt>
    </w:p>
    <w:p>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pPr>
        <w:pStyle w:val="4"/>
        <w:numPr>
          <w:ilvl w:val="0"/>
          <w:numId w:val="41"/>
        </w:numPr>
        <w:rPr>
          <w:color w:val="000000" w:themeColor="text1"/>
          <w:szCs w:val="21"/>
          <w14:textFill>
            <w14:solidFill>
              <w14:schemeClr w14:val="tx1"/>
            </w14:solidFill>
          </w14:textFill>
        </w:rPr>
      </w:pPr>
      <w:bookmarkStart w:id="398" w:name="_Hlk10537776"/>
      <w:r>
        <w:rPr>
          <w:color w:val="000000" w:themeColor="text1"/>
          <w:szCs w:val="21"/>
          <w14:textFill>
            <w14:solidFill>
              <w14:schemeClr w14:val="tx1"/>
            </w14:solidFill>
          </w14:textFill>
        </w:rPr>
        <w:t>其他综合收益</w:t>
      </w:r>
    </w:p>
    <w:sdt>
      <w:sdtPr>
        <w:rPr>
          <w:color w:val="000000" w:themeColor="text1"/>
          <w14:textFill>
            <w14:solidFill>
              <w14:schemeClr w14:val="tx1"/>
            </w14:solidFill>
          </w14:textFill>
        </w:rPr>
        <w:alias w:val="是否适用：其他综合收益[双击切换]"/>
        <w:tag w:val="_GBC_a53cc67f2be24dfbbe3af1b633d9bd6d"/>
        <w:id w:val="-98933351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其他综合收益情况"/>
          <w:tag w:val="_GBC_3fcad98da74248809a759048ca194814"/>
          <w:id w:val="-102208735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其他综合收益情况"/>
          <w:tag w:val="_GBC_3909f37aa0cc4eda82ff1503a6abe503"/>
          <w:id w:val="18238462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6"/>
        <w:gridCol w:w="1566"/>
        <w:gridCol w:w="1566"/>
        <w:gridCol w:w="1567"/>
        <w:gridCol w:w="1567"/>
        <w:gridCol w:w="1567"/>
        <w:gridCol w:w="1567"/>
        <w:gridCol w:w="1570"/>
        <w:gridCol w:w="1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blHeader/>
        </w:trPr>
        <w:sdt>
          <w:sdtPr>
            <w:tag w:val="_PLD_965475dfd86e41c29d1b9f1fdff70ee0"/>
            <w:id w:val="119276676"/>
          </w:sdtPr>
          <w:sdtContent>
            <w:tc>
              <w:tcPr>
                <w:tcW w:w="556"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8a675a3cac5041d29cfb92203b87e9a6"/>
            <w:id w:val="-1738852876"/>
          </w:sdtPr>
          <w:sdtContent>
            <w:tc>
              <w:tcPr>
                <w:tcW w:w="556"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sdt>
          <w:sdtPr>
            <w:tag w:val="_PLD_5ff455f3c2164019b5e694c1e00e4104"/>
            <w:id w:val="410672353"/>
          </w:sdtPr>
          <w:sdtContent>
            <w:tc>
              <w:tcPr>
                <w:tcW w:w="3337" w:type="pct"/>
                <w:gridSpan w:val="6"/>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本期发生金额</w:t>
                </w:r>
              </w:p>
            </w:tc>
          </w:sdtContent>
        </w:sdt>
        <w:sdt>
          <w:sdtPr>
            <w:tag w:val="_PLD_e74e1b8e6f7d453b8d88ebfc65c302f4"/>
            <w:id w:val="-1930805241"/>
          </w:sdtPr>
          <w:sdtContent>
            <w:tc>
              <w:tcPr>
                <w:tcW w:w="551"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56" w:type="pct"/>
            <w:vMerge w:val="continue"/>
          </w:tcPr>
          <w:p>
            <w:pPr>
              <w:jc w:val="center"/>
              <w:rPr>
                <w:color w:val="000000" w:themeColor="text1"/>
                <w14:textFill>
                  <w14:solidFill>
                    <w14:schemeClr w14:val="tx1"/>
                  </w14:solidFill>
                </w14:textFill>
              </w:rPr>
            </w:pPr>
          </w:p>
        </w:tc>
        <w:tc>
          <w:tcPr>
            <w:tcW w:w="556" w:type="pct"/>
            <w:vMerge w:val="continue"/>
          </w:tcPr>
          <w:p>
            <w:pPr>
              <w:jc w:val="center"/>
              <w:rPr>
                <w:color w:val="000000" w:themeColor="text1"/>
                <w14:textFill>
                  <w14:solidFill>
                    <w14:schemeClr w14:val="tx1"/>
                  </w14:solidFill>
                </w14:textFill>
              </w:rPr>
            </w:pPr>
          </w:p>
        </w:tc>
        <w:sdt>
          <w:sdtPr>
            <w:tag w:val="_PLD_17c016c4311444368218ab16d2bc7a4c"/>
            <w:id w:val="-1436509679"/>
          </w:sdtPr>
          <w:sdtContent>
            <w:tc>
              <w:tcPr>
                <w:tcW w:w="55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本期所得税前发生额</w:t>
                </w:r>
              </w:p>
            </w:tc>
          </w:sdtContent>
        </w:sdt>
        <w:sdt>
          <w:sdtPr>
            <w:tag w:val="_PLD_8f95da21a802457ea1d7d10d5c90efb0"/>
            <w:id w:val="-440996231"/>
          </w:sdtPr>
          <w:sdtContent>
            <w:tc>
              <w:tcPr>
                <w:tcW w:w="55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减：前期计入其他综合收益当期转入损益</w:t>
                </w:r>
              </w:p>
            </w:tc>
          </w:sdtContent>
        </w:sdt>
        <w:tc>
          <w:tcPr>
            <w:tcW w:w="556" w:type="pct"/>
          </w:tcPr>
          <w:sdt>
            <w:sdtPr>
              <w:tag w:val="_PLD_7f99e647a5874f909c48e6c0bbc8d50a"/>
              <w:id w:val="11044730"/>
            </w:sdtPr>
            <w:sdtContent>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减：前期计入其他综合收益当期转入留存收益</w:t>
                </w:r>
              </w:p>
            </w:sdtContent>
          </w:sdt>
        </w:tc>
        <w:sdt>
          <w:sdtPr>
            <w:tag w:val="_PLD_6ee499a1144a462687fb064cc4588343"/>
            <w:id w:val="-1491405383"/>
          </w:sdtPr>
          <w:sdtContent>
            <w:tc>
              <w:tcPr>
                <w:tcW w:w="55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减：所得税费用</w:t>
                </w:r>
              </w:p>
            </w:tc>
          </w:sdtContent>
        </w:sdt>
        <w:sdt>
          <w:sdtPr>
            <w:tag w:val="_PLD_97d686c5a0f042d49d097afc52b9ab56"/>
            <w:id w:val="607624444"/>
          </w:sdtPr>
          <w:sdtContent>
            <w:tc>
              <w:tcPr>
                <w:tcW w:w="55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税后归属于母公司</w:t>
                </w:r>
              </w:p>
            </w:tc>
          </w:sdtContent>
        </w:sdt>
        <w:sdt>
          <w:sdtPr>
            <w:tag w:val="_PLD_dc8c642f883f4ca1b1bbacf56198209b"/>
            <w:id w:val="-866211637"/>
          </w:sdtPr>
          <w:sdtContent>
            <w:tc>
              <w:tcPr>
                <w:tcW w:w="55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税后归属于少数股东</w:t>
                </w:r>
              </w:p>
            </w:tc>
          </w:sdtContent>
        </w:sdt>
        <w:tc>
          <w:tcPr>
            <w:tcW w:w="551" w:type="pct"/>
            <w:vMerge w:val="continue"/>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一、不能重分类进损益的其他综合收益</w:t>
            </w:r>
          </w:p>
        </w:tc>
        <w:tc>
          <w:tcPr>
            <w:tcW w:w="556" w:type="pct"/>
            <w:vAlign w:val="center"/>
          </w:tcPr>
          <w:p>
            <w:pPr>
              <w:jc w:val="right"/>
            </w:pPr>
            <w:r>
              <w:t xml:space="preserve"> 1,023,934.45 </w:t>
            </w:r>
          </w:p>
        </w:tc>
        <w:tc>
          <w:tcPr>
            <w:tcW w:w="556" w:type="pct"/>
            <w:vAlign w:val="center"/>
          </w:tcPr>
          <w:p>
            <w:pPr>
              <w:jc w:val="right"/>
            </w:pPr>
            <w:r>
              <w:t xml:space="preserve"> -1,710,462.60 </w:t>
            </w:r>
          </w:p>
        </w:tc>
        <w:tc>
          <w:tcPr>
            <w:tcW w:w="556" w:type="pct"/>
            <w:vAlign w:val="center"/>
          </w:tcPr>
          <w:p>
            <w:pPr>
              <w:jc w:val="right"/>
            </w:pPr>
          </w:p>
        </w:tc>
        <w:tc>
          <w:tcPr>
            <w:tcW w:w="556" w:type="pct"/>
            <w:vAlign w:val="center"/>
          </w:tcPr>
          <w:p>
            <w:pPr>
              <w:jc w:val="right"/>
            </w:pPr>
          </w:p>
        </w:tc>
        <w:tc>
          <w:tcPr>
            <w:tcW w:w="556" w:type="pct"/>
            <w:vAlign w:val="center"/>
          </w:tcPr>
          <w:p>
            <w:pPr>
              <w:jc w:val="right"/>
            </w:pPr>
            <w:r>
              <w:t xml:space="preserve"> -256,569.39 </w:t>
            </w:r>
          </w:p>
        </w:tc>
        <w:tc>
          <w:tcPr>
            <w:tcW w:w="556" w:type="pct"/>
            <w:vAlign w:val="center"/>
          </w:tcPr>
          <w:p>
            <w:pPr>
              <w:jc w:val="right"/>
            </w:pPr>
            <w:r>
              <w:t xml:space="preserve"> -1,453,893.21 </w:t>
            </w:r>
          </w:p>
        </w:tc>
        <w:tc>
          <w:tcPr>
            <w:tcW w:w="557" w:type="pct"/>
            <w:vAlign w:val="center"/>
          </w:tcPr>
          <w:p>
            <w:pPr>
              <w:jc w:val="right"/>
            </w:pPr>
          </w:p>
        </w:tc>
        <w:tc>
          <w:tcPr>
            <w:tcW w:w="551" w:type="pct"/>
            <w:vAlign w:val="center"/>
          </w:tcPr>
          <w:p>
            <w:pPr>
              <w:jc w:val="right"/>
            </w:pPr>
            <w:r>
              <w:t xml:space="preserve"> -429,958.76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其中：重新计量设定受益计划变动额</w:t>
            </w: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7" w:type="pct"/>
          </w:tcPr>
          <w:p>
            <w:pPr>
              <w:jc w:val="right"/>
            </w:pPr>
          </w:p>
        </w:tc>
        <w:tc>
          <w:tcPr>
            <w:tcW w:w="55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权益法下不能转损益的其他综合收益</w:t>
            </w: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7" w:type="pct"/>
          </w:tcPr>
          <w:p>
            <w:pPr>
              <w:jc w:val="right"/>
            </w:pPr>
          </w:p>
        </w:tc>
        <w:tc>
          <w:tcPr>
            <w:tcW w:w="55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其他权益工具投资公允价值变动</w:t>
            </w:r>
          </w:p>
        </w:tc>
        <w:tc>
          <w:tcPr>
            <w:tcW w:w="556" w:type="pct"/>
            <w:vAlign w:val="center"/>
          </w:tcPr>
          <w:p>
            <w:pPr>
              <w:jc w:val="right"/>
            </w:pPr>
            <w:r>
              <w:t xml:space="preserve"> 1,023,934.45 </w:t>
            </w:r>
          </w:p>
        </w:tc>
        <w:tc>
          <w:tcPr>
            <w:tcW w:w="556" w:type="pct"/>
            <w:vAlign w:val="center"/>
          </w:tcPr>
          <w:p>
            <w:pPr>
              <w:jc w:val="right"/>
            </w:pPr>
            <w:r>
              <w:t xml:space="preserve"> -1,710,462.60 </w:t>
            </w:r>
          </w:p>
        </w:tc>
        <w:tc>
          <w:tcPr>
            <w:tcW w:w="556" w:type="pct"/>
            <w:vAlign w:val="center"/>
          </w:tcPr>
          <w:p>
            <w:pPr>
              <w:jc w:val="right"/>
            </w:pPr>
          </w:p>
        </w:tc>
        <w:tc>
          <w:tcPr>
            <w:tcW w:w="556" w:type="pct"/>
            <w:vAlign w:val="center"/>
          </w:tcPr>
          <w:p>
            <w:pPr>
              <w:jc w:val="right"/>
            </w:pPr>
          </w:p>
        </w:tc>
        <w:tc>
          <w:tcPr>
            <w:tcW w:w="556" w:type="pct"/>
            <w:vAlign w:val="center"/>
          </w:tcPr>
          <w:p>
            <w:pPr>
              <w:jc w:val="right"/>
            </w:pPr>
            <w:r>
              <w:t xml:space="preserve"> -256,569.39 </w:t>
            </w:r>
          </w:p>
        </w:tc>
        <w:tc>
          <w:tcPr>
            <w:tcW w:w="556" w:type="pct"/>
            <w:vAlign w:val="center"/>
          </w:tcPr>
          <w:p>
            <w:pPr>
              <w:jc w:val="right"/>
            </w:pPr>
            <w:r>
              <w:t xml:space="preserve"> -1,453,893.21 </w:t>
            </w:r>
          </w:p>
        </w:tc>
        <w:tc>
          <w:tcPr>
            <w:tcW w:w="557" w:type="pct"/>
            <w:vAlign w:val="center"/>
          </w:tcPr>
          <w:p>
            <w:pPr>
              <w:jc w:val="right"/>
            </w:pPr>
          </w:p>
        </w:tc>
        <w:tc>
          <w:tcPr>
            <w:tcW w:w="551" w:type="pct"/>
            <w:vAlign w:val="center"/>
          </w:tcPr>
          <w:p>
            <w:pPr>
              <w:jc w:val="right"/>
            </w:pPr>
            <w:r>
              <w:t xml:space="preserve"> -429,958.76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vAlign w:val="center"/>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企业自身信用风险公允价值变动</w:t>
            </w: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7" w:type="pct"/>
          </w:tcPr>
          <w:p>
            <w:pPr>
              <w:jc w:val="right"/>
            </w:pPr>
          </w:p>
        </w:tc>
        <w:tc>
          <w:tcPr>
            <w:tcW w:w="55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二、将重分类进损益的其他综合收益</w:t>
            </w: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7" w:type="pct"/>
          </w:tcPr>
          <w:p>
            <w:pPr>
              <w:jc w:val="right"/>
            </w:pPr>
          </w:p>
        </w:tc>
        <w:tc>
          <w:tcPr>
            <w:tcW w:w="55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其中：权益法下可转损益的其他综合收益</w:t>
            </w: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7" w:type="pct"/>
          </w:tcPr>
          <w:p>
            <w:pPr>
              <w:jc w:val="right"/>
            </w:pPr>
          </w:p>
        </w:tc>
        <w:tc>
          <w:tcPr>
            <w:tcW w:w="55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其他债权投资公允价值变动</w:t>
            </w: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7" w:type="pct"/>
          </w:tcPr>
          <w:p>
            <w:pPr>
              <w:jc w:val="right"/>
            </w:pPr>
          </w:p>
        </w:tc>
        <w:tc>
          <w:tcPr>
            <w:tcW w:w="55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金融资产重分类计入其他综合收益的金额</w:t>
            </w: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7" w:type="pct"/>
          </w:tcPr>
          <w:p>
            <w:pPr>
              <w:jc w:val="right"/>
            </w:pPr>
          </w:p>
        </w:tc>
        <w:tc>
          <w:tcPr>
            <w:tcW w:w="55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tcPr>
          <w:p>
            <w:pPr>
              <w:ind w:firstLine="210" w:firstLineChars="100"/>
              <w:rPr>
                <w:color w:val="000000" w:themeColor="text1"/>
                <w14:textFill>
                  <w14:solidFill>
                    <w14:schemeClr w14:val="tx1"/>
                  </w14:solidFill>
                </w14:textFill>
              </w:rPr>
            </w:pPr>
            <w:r>
              <w:rPr>
                <w:rFonts w:hint="eastAsia"/>
                <w:color w:val="000000" w:themeColor="text1"/>
                <w14:textFill>
                  <w14:solidFill>
                    <w14:schemeClr w14:val="tx1"/>
                  </w14:solidFill>
                </w14:textFill>
              </w:rPr>
              <w:t>其他债权投资信用减值准备</w:t>
            </w: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7" w:type="pct"/>
          </w:tcPr>
          <w:p>
            <w:pPr>
              <w:jc w:val="right"/>
            </w:pPr>
          </w:p>
        </w:tc>
        <w:tc>
          <w:tcPr>
            <w:tcW w:w="55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现金流量套期储备</w:t>
            </w: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7" w:type="pct"/>
          </w:tcPr>
          <w:p>
            <w:pPr>
              <w:jc w:val="right"/>
            </w:pPr>
          </w:p>
        </w:tc>
        <w:tc>
          <w:tcPr>
            <w:tcW w:w="55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外币财务报表折算差额</w:t>
            </w: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6" w:type="pct"/>
          </w:tcPr>
          <w:p>
            <w:pPr>
              <w:jc w:val="right"/>
            </w:pPr>
          </w:p>
        </w:tc>
        <w:tc>
          <w:tcPr>
            <w:tcW w:w="557" w:type="pct"/>
          </w:tcPr>
          <w:p>
            <w:pPr>
              <w:jc w:val="right"/>
            </w:pPr>
          </w:p>
        </w:tc>
        <w:tc>
          <w:tcPr>
            <w:tcW w:w="55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6"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其他综合收益合计</w:t>
            </w:r>
          </w:p>
        </w:tc>
        <w:tc>
          <w:tcPr>
            <w:tcW w:w="556" w:type="pct"/>
            <w:vAlign w:val="center"/>
          </w:tcPr>
          <w:p>
            <w:pPr>
              <w:jc w:val="right"/>
            </w:pPr>
            <w:r>
              <w:t xml:space="preserve"> 1,023,934.45 </w:t>
            </w:r>
          </w:p>
        </w:tc>
        <w:tc>
          <w:tcPr>
            <w:tcW w:w="556" w:type="pct"/>
            <w:vAlign w:val="center"/>
          </w:tcPr>
          <w:p>
            <w:pPr>
              <w:jc w:val="right"/>
            </w:pPr>
            <w:r>
              <w:t xml:space="preserve"> -1,710,462.60 </w:t>
            </w:r>
          </w:p>
        </w:tc>
        <w:tc>
          <w:tcPr>
            <w:tcW w:w="556" w:type="pct"/>
            <w:vAlign w:val="center"/>
          </w:tcPr>
          <w:p>
            <w:pPr>
              <w:jc w:val="right"/>
            </w:pPr>
          </w:p>
        </w:tc>
        <w:tc>
          <w:tcPr>
            <w:tcW w:w="556" w:type="pct"/>
            <w:vAlign w:val="center"/>
          </w:tcPr>
          <w:p>
            <w:pPr>
              <w:jc w:val="right"/>
            </w:pPr>
          </w:p>
        </w:tc>
        <w:tc>
          <w:tcPr>
            <w:tcW w:w="556" w:type="pct"/>
            <w:vAlign w:val="center"/>
          </w:tcPr>
          <w:p>
            <w:pPr>
              <w:jc w:val="right"/>
            </w:pPr>
            <w:r>
              <w:t xml:space="preserve"> -256,569.39 </w:t>
            </w:r>
          </w:p>
        </w:tc>
        <w:tc>
          <w:tcPr>
            <w:tcW w:w="556" w:type="pct"/>
            <w:vAlign w:val="center"/>
          </w:tcPr>
          <w:p>
            <w:pPr>
              <w:jc w:val="right"/>
            </w:pPr>
            <w:r>
              <w:t xml:space="preserve"> -1,453,893.21 </w:t>
            </w:r>
          </w:p>
        </w:tc>
        <w:tc>
          <w:tcPr>
            <w:tcW w:w="557" w:type="pct"/>
            <w:vAlign w:val="center"/>
          </w:tcPr>
          <w:p>
            <w:pPr>
              <w:jc w:val="right"/>
            </w:pPr>
          </w:p>
        </w:tc>
        <w:tc>
          <w:tcPr>
            <w:tcW w:w="551" w:type="pct"/>
            <w:vAlign w:val="center"/>
          </w:tcPr>
          <w:p>
            <w:pPr>
              <w:jc w:val="right"/>
            </w:pPr>
            <w:r>
              <w:t xml:space="preserve"> -429,958.76 </w:t>
            </w:r>
          </w:p>
        </w:tc>
      </w:tr>
    </w:tbl>
    <w:p>
      <w:pPr>
        <w:spacing w:before="60" w:after="60"/>
        <w:rPr>
          <w:b/>
          <w:color w:val="000000" w:themeColor="text1"/>
          <w14:textFill>
            <w14:solidFill>
              <w14:schemeClr w14:val="tx1"/>
            </w14:solidFill>
          </w14:textFill>
        </w:rPr>
      </w:pPr>
      <w:r>
        <w:rPr>
          <w:rFonts w:hint="eastAsia"/>
          <w:color w:val="000000" w:themeColor="text1"/>
          <w14:textFill>
            <w14:solidFill>
              <w14:schemeClr w14:val="tx1"/>
            </w14:solidFill>
          </w14:textFill>
        </w:rPr>
        <w:t>其他说明，包括对现金流量套期损益的有效部分转为被套期项目初始确认金额调整：</w:t>
      </w:r>
    </w:p>
    <w:sdt>
      <w:sdtPr>
        <w:rPr>
          <w:rFonts w:hint="eastAsia"/>
          <w:color w:val="000000" w:themeColor="text1"/>
          <w14:textFill>
            <w14:solidFill>
              <w14:schemeClr w14:val="tx1"/>
            </w14:solidFill>
          </w14:textFill>
        </w:rPr>
        <w:alias w:val="综合收益情况"/>
        <w:tag w:val="_GBC_c389c92b3ef04746a88c157ed2e05698"/>
        <w:id w:val="-476071265"/>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398"/>
    <w:p>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专项储备</w:t>
      </w:r>
    </w:p>
    <w:sdt>
      <w:sdtPr>
        <w:rPr>
          <w:color w:val="000000" w:themeColor="text1"/>
          <w14:textFill>
            <w14:solidFill>
              <w14:schemeClr w14:val="tx1"/>
            </w14:solidFill>
          </w14:textFill>
        </w:rPr>
        <w:alias w:val="是否适用：专项储备[双击切换]"/>
        <w:tag w:val="_GBC_291ec3c1c38144a3ac0bde67edb318cc"/>
        <w:id w:val="-109671050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ind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专项储备"/>
          <w:tag w:val="_GBC_98a0a00169d7461b91b431ef8a517eb1"/>
          <w:id w:val="113899707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财务附注：专项储备"/>
          <w:tag w:val="_GBC_95059903151b47a0a2c8b7569f80df5e"/>
          <w:id w:val="-148338411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821"/>
        <w:gridCol w:w="1821"/>
        <w:gridCol w:w="1862"/>
        <w:gridCol w:w="1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0185f3f00484e34ab2fc5b633938a01"/>
            <w:id w:val="658958957"/>
          </w:sdtPr>
          <w:sdtContent>
            <w:tc>
              <w:tcPr>
                <w:tcW w:w="94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a7d7c052d7c403a8ae004d68db8fa4c"/>
            <w:id w:val="-937517597"/>
          </w:sdtPr>
          <w:sdtContent>
            <w:tc>
              <w:tcPr>
                <w:tcW w:w="100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e06fab4ca3b8451eb31df81e9b4922ec"/>
            <w:id w:val="1807357850"/>
          </w:sdtPr>
          <w:sdtContent>
            <w:tc>
              <w:tcPr>
                <w:tcW w:w="100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2900f17d2ba041e9a7331e5ca367f7b9"/>
            <w:id w:val="-916940101"/>
          </w:sdtPr>
          <w:sdtContent>
            <w:tc>
              <w:tcPr>
                <w:tcW w:w="102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7fcbcb783b95484a87e1a335f06dfcc3"/>
            <w:id w:val="1340581626"/>
          </w:sdtPr>
          <w:sdtContent>
            <w:tc>
              <w:tcPr>
                <w:tcW w:w="101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安全生产费</w:t>
            </w:r>
          </w:p>
        </w:tc>
        <w:tc>
          <w:tcPr>
            <w:tcW w:w="1006" w:type="pct"/>
          </w:tcPr>
          <w:p>
            <w:pPr>
              <w:jc w:val="right"/>
            </w:pPr>
            <w:r>
              <w:t xml:space="preserve"> 22,715,521.68 </w:t>
            </w:r>
          </w:p>
        </w:tc>
        <w:tc>
          <w:tcPr>
            <w:tcW w:w="1006" w:type="pct"/>
          </w:tcPr>
          <w:p>
            <w:pPr>
              <w:jc w:val="right"/>
            </w:pPr>
            <w:r>
              <w:t xml:space="preserve"> 7,834,400.94 </w:t>
            </w:r>
          </w:p>
        </w:tc>
        <w:tc>
          <w:tcPr>
            <w:tcW w:w="1029" w:type="pct"/>
          </w:tcPr>
          <w:p>
            <w:pPr>
              <w:jc w:val="right"/>
            </w:pPr>
            <w:r>
              <w:t xml:space="preserve"> 10,961,139.00 </w:t>
            </w:r>
          </w:p>
        </w:tc>
        <w:tc>
          <w:tcPr>
            <w:tcW w:w="1014" w:type="pct"/>
          </w:tcPr>
          <w:p>
            <w:pPr>
              <w:jc w:val="right"/>
            </w:pPr>
            <w:r>
              <w:t xml:space="preserve"> 19,588,783.62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006" w:type="pct"/>
          </w:tcPr>
          <w:p>
            <w:pPr>
              <w:jc w:val="right"/>
            </w:pPr>
            <w:r>
              <w:t xml:space="preserve"> 22,715,521.68 </w:t>
            </w:r>
          </w:p>
        </w:tc>
        <w:tc>
          <w:tcPr>
            <w:tcW w:w="1006" w:type="pct"/>
          </w:tcPr>
          <w:p>
            <w:pPr>
              <w:jc w:val="right"/>
            </w:pPr>
            <w:r>
              <w:t xml:space="preserve"> 7,834,400.94 </w:t>
            </w:r>
          </w:p>
        </w:tc>
        <w:tc>
          <w:tcPr>
            <w:tcW w:w="1029" w:type="pct"/>
          </w:tcPr>
          <w:p>
            <w:pPr>
              <w:jc w:val="right"/>
            </w:pPr>
            <w:r>
              <w:t xml:space="preserve"> 10,961,139.00 </w:t>
            </w:r>
          </w:p>
        </w:tc>
        <w:tc>
          <w:tcPr>
            <w:tcW w:w="1014" w:type="pct"/>
          </w:tcPr>
          <w:p>
            <w:pPr>
              <w:jc w:val="right"/>
            </w:pPr>
            <w:r>
              <w:t xml:space="preserve"> 19,588,783.62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其他说明，包括本期增减变动情况、变动原因说明：</w:t>
      </w:r>
    </w:p>
    <w:p>
      <w:pPr>
        <w:spacing w:line="360" w:lineRule="exact"/>
        <w:ind w:firstLine="420" w:firstLineChars="200"/>
        <w:rPr>
          <w:color w:val="000000" w:themeColor="text1"/>
          <w14:textFill>
            <w14:solidFill>
              <w14:schemeClr w14:val="tx1"/>
            </w14:solidFill>
          </w14:textFill>
        </w:rPr>
      </w:pPr>
      <w:sdt>
        <w:sdtPr>
          <w:rPr>
            <w:color w:val="000000" w:themeColor="text1"/>
            <w14:textFill>
              <w14:solidFill>
                <w14:schemeClr w14:val="tx1"/>
              </w14:solidFill>
            </w14:textFill>
          </w:rPr>
          <w:alias w:val="专项储备情况说明"/>
          <w:tag w:val="_GBC_758f99495b434b96aea70b74014caac7"/>
          <w:id w:val="338660780"/>
          <w:placeholder>
            <w:docPart w:val="GBC22222222222222222222222222222"/>
          </w:placeholder>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本公司安全生产费按照财政部、应急部2022年11月21日发布的《企业安全生产费用提取和使用管理办法》（财资〔2022〕136号）执行。</w:t>
          </w:r>
        </w:sdtContent>
      </w:sdt>
    </w:p>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盈余公积</w:t>
      </w:r>
    </w:p>
    <w:sdt>
      <w:sdtPr>
        <w:rPr>
          <w:color w:val="000000" w:themeColor="text1"/>
          <w14:textFill>
            <w14:solidFill>
              <w14:schemeClr w14:val="tx1"/>
            </w14:solidFill>
          </w14:textFill>
        </w:rPr>
        <w:alias w:val="是否适用：盈余公积[双击切换]"/>
        <w:tag w:val="_GBC_52b9917fb423490bb32a9d6648a07db9"/>
        <w:id w:val="127337113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盈余公积"/>
          <w:tag w:val="_GBC_ea3204141ce3498eaccd14c833f64973"/>
          <w:id w:val="-176398702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盈余公积"/>
          <w:tag w:val="_GBC_f5c6664d47b9454d919a38095dd3c48d"/>
          <w:id w:val="97117991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671"/>
        <w:gridCol w:w="1798"/>
        <w:gridCol w:w="1804"/>
        <w:gridCol w:w="1816"/>
        <w:gridCol w:w="1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70f0cea3df9b4646bf8f9454719b4599"/>
            <w:id w:val="-920796280"/>
          </w:sdtPr>
          <w:sdtContent>
            <w:tc>
              <w:tcPr>
                <w:tcW w:w="940"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466d5e3c2b64aeb9abc2e1a21f2e6c0"/>
            <w:id w:val="-1543438481"/>
          </w:sdtPr>
          <w:sdtContent>
            <w:tc>
              <w:tcPr>
                <w:tcW w:w="1011"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44b0c825c55949b98cff671f8777dd39"/>
            <w:id w:val="-1389954697"/>
          </w:sdtPr>
          <w:sdtContent>
            <w:tc>
              <w:tcPr>
                <w:tcW w:w="1014"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本期增加</w:t>
                </w:r>
              </w:p>
            </w:tc>
          </w:sdtContent>
        </w:sdt>
        <w:sdt>
          <w:sdtPr>
            <w:tag w:val="_PLD_111b02bee52f4f1a879468aa2243106f"/>
            <w:id w:val="-1346085322"/>
          </w:sdtPr>
          <w:sdtContent>
            <w:tc>
              <w:tcPr>
                <w:tcW w:w="1021"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本期减少</w:t>
                </w:r>
              </w:p>
            </w:tc>
          </w:sdtContent>
        </w:sdt>
        <w:sdt>
          <w:sdtPr>
            <w:tag w:val="_PLD_e6d9dff1341d44c99d9c3f51d8fd2c2f"/>
            <w:id w:val="-1523083893"/>
          </w:sdtPr>
          <w:sdtContent>
            <w:tc>
              <w:tcPr>
                <w:tcW w:w="1014"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40" w:type="pct"/>
            <w:vAlign w:val="center"/>
          </w:tcPr>
          <w:p>
            <w:pPr>
              <w:autoSpaceDE w:val="0"/>
              <w:autoSpaceDN w:val="0"/>
              <w:adjustRightInd w:val="0"/>
              <w:snapToGrid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法定盈余公积</w:t>
            </w:r>
          </w:p>
        </w:tc>
        <w:tc>
          <w:tcPr>
            <w:tcW w:w="1011" w:type="pct"/>
          </w:tcPr>
          <w:p>
            <w:pPr>
              <w:autoSpaceDE w:val="0"/>
              <w:autoSpaceDN w:val="0"/>
              <w:adjustRightInd w:val="0"/>
              <w:snapToGrid w:val="0"/>
              <w:ind w:right="180"/>
              <w:jc w:val="right"/>
            </w:pPr>
            <w:r>
              <w:t xml:space="preserve"> 127,047,120.13 </w:t>
            </w:r>
          </w:p>
        </w:tc>
        <w:tc>
          <w:tcPr>
            <w:tcW w:w="1014" w:type="pct"/>
          </w:tcPr>
          <w:p>
            <w:pPr>
              <w:autoSpaceDE w:val="0"/>
              <w:autoSpaceDN w:val="0"/>
              <w:adjustRightInd w:val="0"/>
              <w:snapToGrid w:val="0"/>
              <w:ind w:right="180"/>
              <w:jc w:val="right"/>
            </w:pPr>
          </w:p>
        </w:tc>
        <w:tc>
          <w:tcPr>
            <w:tcW w:w="1021" w:type="pct"/>
          </w:tcPr>
          <w:p>
            <w:pPr>
              <w:autoSpaceDE w:val="0"/>
              <w:autoSpaceDN w:val="0"/>
              <w:adjustRightInd w:val="0"/>
              <w:snapToGrid w:val="0"/>
              <w:ind w:right="180"/>
              <w:jc w:val="right"/>
            </w:pPr>
          </w:p>
        </w:tc>
        <w:tc>
          <w:tcPr>
            <w:tcW w:w="1014" w:type="pct"/>
          </w:tcPr>
          <w:p>
            <w:pPr>
              <w:autoSpaceDE w:val="0"/>
              <w:autoSpaceDN w:val="0"/>
              <w:adjustRightInd w:val="0"/>
              <w:snapToGrid w:val="0"/>
              <w:ind w:right="180"/>
              <w:jc w:val="right"/>
            </w:pPr>
            <w:r>
              <w:t xml:space="preserve"> 127,047,120.13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40"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011" w:type="pct"/>
          </w:tcPr>
          <w:p>
            <w:pPr>
              <w:autoSpaceDE w:val="0"/>
              <w:autoSpaceDN w:val="0"/>
              <w:adjustRightInd w:val="0"/>
              <w:snapToGrid w:val="0"/>
              <w:ind w:right="180"/>
              <w:jc w:val="right"/>
            </w:pPr>
            <w:r>
              <w:t xml:space="preserve"> 127,047,120.13 </w:t>
            </w:r>
          </w:p>
        </w:tc>
        <w:tc>
          <w:tcPr>
            <w:tcW w:w="1014" w:type="pct"/>
          </w:tcPr>
          <w:p>
            <w:pPr>
              <w:autoSpaceDE w:val="0"/>
              <w:autoSpaceDN w:val="0"/>
              <w:adjustRightInd w:val="0"/>
              <w:snapToGrid w:val="0"/>
              <w:ind w:right="180"/>
              <w:jc w:val="right"/>
            </w:pPr>
          </w:p>
        </w:tc>
        <w:tc>
          <w:tcPr>
            <w:tcW w:w="1021" w:type="pct"/>
          </w:tcPr>
          <w:p>
            <w:pPr>
              <w:autoSpaceDE w:val="0"/>
              <w:autoSpaceDN w:val="0"/>
              <w:adjustRightInd w:val="0"/>
              <w:snapToGrid w:val="0"/>
              <w:ind w:right="180"/>
              <w:jc w:val="right"/>
            </w:pPr>
          </w:p>
        </w:tc>
        <w:tc>
          <w:tcPr>
            <w:tcW w:w="1014" w:type="pct"/>
          </w:tcPr>
          <w:p>
            <w:pPr>
              <w:autoSpaceDE w:val="0"/>
              <w:autoSpaceDN w:val="0"/>
              <w:adjustRightInd w:val="0"/>
              <w:snapToGrid w:val="0"/>
              <w:ind w:right="180"/>
              <w:jc w:val="right"/>
            </w:pPr>
            <w:r>
              <w:t xml:space="preserve"> 127,047,120.13 </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盈余公积说明，包括本期增减变动情况、变动原因说明：</w:t>
      </w:r>
    </w:p>
    <w:sdt>
      <w:sdtPr>
        <w:rPr>
          <w:color w:val="000000" w:themeColor="text1"/>
          <w14:textFill>
            <w14:solidFill>
              <w14:schemeClr w14:val="tx1"/>
            </w14:solidFill>
          </w14:textFill>
        </w:rPr>
        <w:alias w:val="盈余公积说明"/>
        <w:tag w:val="_GBC_33c5d1ed862f4b36950b5ea2188f5b09"/>
        <w:id w:val="1509330072"/>
        <w:placeholder>
          <w:docPart w:val="GBC22222222222222222222222222222"/>
        </w:placeholder>
      </w:sdtPr>
      <w:sdtEndPr>
        <w:rPr>
          <w:color w:val="000000" w:themeColor="text1"/>
          <w14:textFill>
            <w14:solidFill>
              <w14:schemeClr w14:val="tx1"/>
            </w14:solidFill>
          </w14:textFill>
        </w:rPr>
      </w:sdtEndPr>
      <w:sdtContent>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未分配利润</w:t>
      </w:r>
    </w:p>
    <w:p>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未分配利润[双击切换]"/>
          <w:tag w:val="_GBC_32c558bdbb77445cabeee783e5ff910e"/>
          <w:id w:val="324098046"/>
          <w:lock w:val="contentLocked"/>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未分配利润"/>
          <w:tag w:val="_GBC_cfb07ff3eded4b49916cfc42d821bab6"/>
          <w:id w:val="-14859696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未分配利润"/>
          <w:tag w:val="_GBC_55c70fe731be4b84be72ea88afd989b8"/>
          <w:id w:val="36202002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7"/>
        <w:gridCol w:w="2825"/>
        <w:gridCol w:w="2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b6dc2bd7eebb4e6d9f1ccea8d86e6f47"/>
            <w:id w:val="531540546"/>
          </w:sdtPr>
          <w:sdtContent>
            <w:tc>
              <w:tcPr>
                <w:tcW w:w="192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e60054e3c3747d1a0ffc87edacae2b6"/>
            <w:id w:val="183866455"/>
          </w:sdtPr>
          <w:sdtContent>
            <w:tc>
              <w:tcPr>
                <w:tcW w:w="156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w:t>
                </w:r>
              </w:p>
            </w:tc>
          </w:sdtContent>
        </w:sdt>
        <w:sdt>
          <w:sdtPr>
            <w:tag w:val="_PLD_9afd54e9959d4b22b00bfe92596a2a16"/>
            <w:id w:val="751085106"/>
          </w:sdtPr>
          <w:sdtContent>
            <w:tc>
              <w:tcPr>
                <w:tcW w:w="151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上年度</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调整前上期末未分配利润</w:t>
            </w:r>
          </w:p>
        </w:tc>
        <w:tc>
          <w:tcPr>
            <w:tcW w:w="1561" w:type="pct"/>
            <w:vAlign w:val="center"/>
          </w:tcPr>
          <w:p>
            <w:pPr>
              <w:ind w:right="6"/>
              <w:jc w:val="right"/>
            </w:pPr>
            <w:r>
              <w:t xml:space="preserve"> 1,051,708,163.82 </w:t>
            </w:r>
          </w:p>
        </w:tc>
        <w:tc>
          <w:tcPr>
            <w:tcW w:w="1512" w:type="pct"/>
            <w:vAlign w:val="center"/>
          </w:tcPr>
          <w:p>
            <w:pPr>
              <w:jc w:val="right"/>
            </w:pPr>
            <w:r>
              <w:t xml:space="preserve"> 1,003,432,341.75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调整期初未分配利润合计数（调增</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，调减-）</w:t>
            </w:r>
          </w:p>
        </w:tc>
        <w:tc>
          <w:tcPr>
            <w:tcW w:w="1561" w:type="pct"/>
            <w:vAlign w:val="center"/>
          </w:tcPr>
          <w:p>
            <w:pPr>
              <w:ind w:right="6"/>
              <w:jc w:val="right"/>
            </w:pPr>
          </w:p>
        </w:tc>
        <w:tc>
          <w:tcPr>
            <w:tcW w:w="1512" w:type="pct"/>
            <w:vAlign w:val="center"/>
          </w:tcPr>
          <w:p>
            <w:pPr>
              <w:ind w:right="6"/>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调整后期初未分配利润</w:t>
            </w:r>
          </w:p>
        </w:tc>
        <w:tc>
          <w:tcPr>
            <w:tcW w:w="1561" w:type="pct"/>
            <w:vAlign w:val="center"/>
          </w:tcPr>
          <w:p>
            <w:pPr>
              <w:ind w:right="6"/>
              <w:jc w:val="right"/>
            </w:pPr>
            <w:r>
              <w:t xml:space="preserve"> 1,051,708,163.82 </w:t>
            </w:r>
          </w:p>
        </w:tc>
        <w:tc>
          <w:tcPr>
            <w:tcW w:w="1512" w:type="pct"/>
            <w:vAlign w:val="center"/>
          </w:tcPr>
          <w:p>
            <w:pPr>
              <w:ind w:right="6"/>
              <w:jc w:val="right"/>
            </w:pPr>
            <w:r>
              <w:t xml:space="preserve"> 1,003,432,341.75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pPr>
              <w:ind w:right="6"/>
              <w:rPr>
                <w:color w:val="000000" w:themeColor="text1"/>
                <w14:textFill>
                  <w14:solidFill>
                    <w14:schemeClr w14:val="tx1"/>
                  </w14:solidFill>
                </w14:textFill>
              </w:rPr>
            </w:pPr>
            <w:r>
              <w:rPr>
                <w:rFonts w:hint="eastAsia"/>
                <w:color w:val="000000" w:themeColor="text1"/>
                <w14:textFill>
                  <w14:solidFill>
                    <w14:schemeClr w14:val="tx1"/>
                  </w14:solidFill>
                </w14:textFill>
              </w:rPr>
              <w:t>加：本期归属于母公司所有者的净利润</w:t>
            </w:r>
          </w:p>
        </w:tc>
        <w:tc>
          <w:tcPr>
            <w:tcW w:w="1561" w:type="pct"/>
            <w:vAlign w:val="center"/>
          </w:tcPr>
          <w:p>
            <w:pPr>
              <w:ind w:right="6"/>
              <w:jc w:val="right"/>
            </w:pPr>
            <w:r>
              <w:t>19,076,898.27</w:t>
            </w:r>
          </w:p>
        </w:tc>
        <w:tc>
          <w:tcPr>
            <w:tcW w:w="1512" w:type="pct"/>
            <w:vAlign w:val="center"/>
          </w:tcPr>
          <w:p>
            <w:pPr>
              <w:ind w:right="6"/>
              <w:jc w:val="right"/>
            </w:pPr>
            <w:r>
              <w:t xml:space="preserve"> 69,243,219.73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减：提取法定盈余公积</w:t>
            </w:r>
          </w:p>
        </w:tc>
        <w:tc>
          <w:tcPr>
            <w:tcW w:w="1561" w:type="pct"/>
            <w:vAlign w:val="center"/>
          </w:tcPr>
          <w:p>
            <w:pPr>
              <w:jc w:val="right"/>
            </w:pPr>
          </w:p>
        </w:tc>
        <w:tc>
          <w:tcPr>
            <w:tcW w:w="1512" w:type="pct"/>
            <w:vAlign w:val="center"/>
          </w:tcPr>
          <w:p>
            <w:pPr>
              <w:ind w:right="6"/>
              <w:jc w:val="right"/>
            </w:pPr>
            <w:r>
              <w:t xml:space="preserve"> 4,851,665.71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pPr>
              <w:autoSpaceDE w:val="0"/>
              <w:autoSpaceDN w:val="0"/>
              <w:adjustRightInd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提取任意盈余公积</w:t>
            </w:r>
          </w:p>
        </w:tc>
        <w:tc>
          <w:tcPr>
            <w:tcW w:w="1561" w:type="pct"/>
            <w:vAlign w:val="center"/>
          </w:tcPr>
          <w:p>
            <w:pPr>
              <w:jc w:val="right"/>
            </w:pPr>
          </w:p>
        </w:tc>
        <w:tc>
          <w:tcPr>
            <w:tcW w:w="1512" w:type="pct"/>
            <w:vAlign w:val="center"/>
          </w:tcPr>
          <w:p>
            <w:pPr>
              <w:ind w:right="6"/>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pPr>
              <w:autoSpaceDE w:val="0"/>
              <w:autoSpaceDN w:val="0"/>
              <w:adjustRightInd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提取一般风险准备</w:t>
            </w:r>
          </w:p>
        </w:tc>
        <w:tc>
          <w:tcPr>
            <w:tcW w:w="1561" w:type="pct"/>
            <w:vAlign w:val="center"/>
          </w:tcPr>
          <w:p>
            <w:pPr>
              <w:jc w:val="right"/>
            </w:pPr>
          </w:p>
        </w:tc>
        <w:tc>
          <w:tcPr>
            <w:tcW w:w="1512" w:type="pct"/>
            <w:vAlign w:val="center"/>
          </w:tcPr>
          <w:p>
            <w:pPr>
              <w:ind w:right="6"/>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pPr>
              <w:autoSpaceDE w:val="0"/>
              <w:autoSpaceDN w:val="0"/>
              <w:adjustRightInd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应付普通股股利</w:t>
            </w:r>
          </w:p>
        </w:tc>
        <w:tc>
          <w:tcPr>
            <w:tcW w:w="1561" w:type="pct"/>
            <w:vAlign w:val="center"/>
          </w:tcPr>
          <w:p>
            <w:pPr>
              <w:jc w:val="right"/>
            </w:pPr>
            <w:r>
              <w:t xml:space="preserve"> 16,498,231.95 </w:t>
            </w:r>
          </w:p>
        </w:tc>
        <w:tc>
          <w:tcPr>
            <w:tcW w:w="1512" w:type="pct"/>
            <w:vAlign w:val="center"/>
          </w:tcPr>
          <w:p>
            <w:pPr>
              <w:ind w:right="6"/>
              <w:jc w:val="right"/>
            </w:pPr>
            <w:r>
              <w:t xml:space="preserve"> 16,614,031.95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pPr>
              <w:autoSpaceDE w:val="0"/>
              <w:autoSpaceDN w:val="0"/>
              <w:adjustRightInd w:val="0"/>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转作股本的普通股股利</w:t>
            </w:r>
          </w:p>
        </w:tc>
        <w:tc>
          <w:tcPr>
            <w:tcW w:w="1561" w:type="pct"/>
            <w:vAlign w:val="center"/>
          </w:tcPr>
          <w:p>
            <w:pPr>
              <w:jc w:val="right"/>
            </w:pPr>
          </w:p>
        </w:tc>
        <w:tc>
          <w:tcPr>
            <w:tcW w:w="1512" w:type="pct"/>
            <w:vAlign w:val="center"/>
          </w:tcPr>
          <w:p>
            <w:pPr>
              <w:ind w:right="6"/>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pPr>
              <w:autoSpaceDE w:val="0"/>
              <w:autoSpaceDN w:val="0"/>
              <w:adjustRightInd w:val="0"/>
              <w:ind w:left="420" w:leftChars="200"/>
            </w:pPr>
            <w:r>
              <w:rPr>
                <w:rFonts w:hint="eastAsia"/>
              </w:rPr>
              <w:t>其他</w:t>
            </w:r>
          </w:p>
        </w:tc>
        <w:tc>
          <w:tcPr>
            <w:tcW w:w="1561" w:type="pct"/>
            <w:vAlign w:val="center"/>
          </w:tcPr>
          <w:p>
            <w:pPr>
              <w:ind w:right="6"/>
              <w:jc w:val="right"/>
            </w:pPr>
          </w:p>
        </w:tc>
        <w:tc>
          <w:tcPr>
            <w:tcW w:w="1512" w:type="pct"/>
            <w:vAlign w:val="center"/>
          </w:tcPr>
          <w:p>
            <w:pPr>
              <w:ind w:right="6"/>
              <w:jc w:val="right"/>
            </w:pPr>
            <w:r>
              <w:t xml:space="preserve"> -498,300.00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27" w:type="pct"/>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期末未分配利润</w:t>
            </w:r>
          </w:p>
        </w:tc>
        <w:tc>
          <w:tcPr>
            <w:tcW w:w="1561" w:type="pct"/>
            <w:vAlign w:val="center"/>
          </w:tcPr>
          <w:p>
            <w:pPr>
              <w:jc w:val="right"/>
            </w:pPr>
            <w:r>
              <w:t xml:space="preserve">1,054,286,830.14  </w:t>
            </w:r>
          </w:p>
        </w:tc>
        <w:tc>
          <w:tcPr>
            <w:tcW w:w="1512" w:type="pct"/>
            <w:vAlign w:val="center"/>
          </w:tcPr>
          <w:p>
            <w:pPr>
              <w:ind w:right="6"/>
              <w:jc w:val="right"/>
            </w:pPr>
            <w:r>
              <w:t xml:space="preserve"> 1,051,708,163.82 </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调整期初未分配利润明细：</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1、由于《企业会计准则》及其相关新规定进行追溯调整，影响期初未分配利润</w:t>
      </w:r>
      <w:sdt>
        <w:sdtPr>
          <w:rPr>
            <w:rFonts w:hint="eastAsia"/>
            <w:color w:val="000000" w:themeColor="text1"/>
            <w14:textFill>
              <w14:solidFill>
                <w14:schemeClr w14:val="tx1"/>
              </w14:solidFill>
            </w14:textFill>
          </w:rPr>
          <w:alias w:val="依据《企业会计准则》及其相关规定进行追溯调整影响年初未分配利润合计"/>
          <w:tag w:val="_GBC_a54a245e74754754a6239606b5ebbb06"/>
          <w:id w:val="1067072054"/>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 xml:space="preserve"> 元。</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2、由于会计政策变更，影响期初未分配利润</w:t>
      </w:r>
      <w:sdt>
        <w:sdtPr>
          <w:rPr>
            <w:rFonts w:hint="eastAsia"/>
            <w:color w:val="000000" w:themeColor="text1"/>
            <w14:textFill>
              <w14:solidFill>
                <w14:schemeClr w14:val="tx1"/>
              </w14:solidFill>
            </w14:textFill>
          </w:rPr>
          <w:alias w:val="由于会计政策变更影响年初未分配利润"/>
          <w:tag w:val="_GBC_8295d6891c8842f58b58e4223b4e1700"/>
          <w:id w:val="2123952791"/>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 xml:space="preserve"> 元。</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3、由于重大会计差错更正，影响期初未分配利润</w:t>
      </w:r>
      <w:sdt>
        <w:sdtPr>
          <w:rPr>
            <w:rFonts w:hint="eastAsia"/>
            <w:color w:val="000000" w:themeColor="text1"/>
            <w14:textFill>
              <w14:solidFill>
                <w14:schemeClr w14:val="tx1"/>
              </w14:solidFill>
            </w14:textFill>
          </w:rPr>
          <w:alias w:val="由于重大会计差错更正影响年初未分配利润"/>
          <w:tag w:val="_GBC_34728ea6faff41218abab9b8fede268c"/>
          <w:id w:val="-361366128"/>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 xml:space="preserve"> 元。</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4、由于同一控制导致的合并范围变更，影响期初未分配利润</w:t>
      </w:r>
      <w:sdt>
        <w:sdtPr>
          <w:rPr>
            <w:rFonts w:hint="eastAsia"/>
            <w:color w:val="000000" w:themeColor="text1"/>
            <w14:textFill>
              <w14:solidFill>
                <w14:schemeClr w14:val="tx1"/>
              </w14:solidFill>
            </w14:textFill>
          </w:rPr>
          <w:alias w:val="同一控制导致的合并范围变更影响年初未分配利润"/>
          <w:tag w:val="_GBC_4d9b7a873cb94aba9044210a45f81108"/>
          <w:id w:val="-474691356"/>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 xml:space="preserve"> 元。</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5、其他调整合计影响期初未分配利润</w:t>
      </w:r>
      <w:sdt>
        <w:sdtPr>
          <w:rPr>
            <w:rFonts w:hint="eastAsia"/>
            <w:color w:val="000000" w:themeColor="text1"/>
            <w14:textFill>
              <w14:solidFill>
                <w14:schemeClr w14:val="tx1"/>
              </w14:solidFill>
            </w14:textFill>
          </w:rPr>
          <w:alias w:val="其他调整合计影响年初未分配利润"/>
          <w:tag w:val="_GBC_ccd86b3788e04a70a2e6a2167027d7cb"/>
          <w:id w:val="744843413"/>
          <w:placeholder>
            <w:docPart w:val="GBC22222222222222222222222222222"/>
          </w:placeholder>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0</w:t>
          </w:r>
        </w:sdtContent>
      </w:sdt>
      <w:r>
        <w:rPr>
          <w:rFonts w:hint="eastAsia"/>
          <w:color w:val="000000" w:themeColor="text1"/>
          <w14:textFill>
            <w14:solidFill>
              <w14:schemeClr w14:val="tx1"/>
            </w14:solidFill>
          </w14:textFill>
        </w:rPr>
        <w:t xml:space="preserve"> 元。</w:t>
      </w:r>
    </w:p>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营业收入和营业成本</w:t>
      </w:r>
    </w:p>
    <w:p>
      <w:pPr>
        <w:pStyle w:val="5"/>
        <w:numPr>
          <w:ilvl w:val="0"/>
          <w:numId w:val="71"/>
        </w:numPr>
        <w:ind w:left="426" w:hanging="426"/>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营业收入和营业成本情况</w:t>
      </w:r>
    </w:p>
    <w:sdt>
      <w:sdtPr>
        <w:rPr>
          <w:color w:val="000000" w:themeColor="text1"/>
          <w14:textFill>
            <w14:solidFill>
              <w14:schemeClr w14:val="tx1"/>
            </w14:solidFill>
          </w14:textFill>
        </w:rPr>
        <w:alias w:val="是否适用：营业收入和营业成本[双击切换]"/>
        <w:tag w:val="_GBC_876680c4ba6b433896b625efff84d599"/>
        <w:id w:val="203853805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bCs w:val="0"/>
            <w:color w:val="000000" w:themeColor="text1"/>
            <w14:textFill>
              <w14:solidFill>
                <w14:schemeClr w14:val="tx1"/>
              </w14:solidFill>
            </w14:textFill>
          </w:rPr>
          <w:alias w:val="单位：财务附注：营业收入"/>
          <w:tag w:val="_GBC_611ed6dd25a247cf86a0fb98cd86e68f"/>
          <w:id w:val="-27271112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bCs w:val="0"/>
            <w:color w:val="000000" w:themeColor="text1"/>
            <w14:textFill>
              <w14:solidFill>
                <w14:schemeClr w14:val="tx1"/>
              </w14:solidFill>
            </w14:textFill>
          </w:rPr>
        </w:sdtEndPr>
        <w:sdtContent>
          <w:r>
            <w:rPr>
              <w:rFonts w:hint="eastAsia"/>
              <w:bCs w:val="0"/>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bCs w:val="0"/>
            <w:color w:val="000000" w:themeColor="text1"/>
            <w14:textFill>
              <w14:solidFill>
                <w14:schemeClr w14:val="tx1"/>
              </w14:solidFill>
            </w14:textFill>
          </w:rPr>
          <w:alias w:val="币种：财务附注：营业收入"/>
          <w:tag w:val="_GBC_ba5cd3776b804cc291ae4c216c605f02"/>
          <w:id w:val="-198545750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bCs w:val="0"/>
            <w:color w:val="000000" w:themeColor="text1"/>
            <w14:textFill>
              <w14:solidFill>
                <w14:schemeClr w14:val="tx1"/>
              </w14:solidFill>
            </w14:textFill>
          </w:rPr>
        </w:sdtEndPr>
        <w:sdtContent>
          <w:r>
            <w:rPr>
              <w:rFonts w:hint="eastAsia"/>
              <w:bCs w:val="0"/>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889"/>
        <w:gridCol w:w="1902"/>
        <w:gridCol w:w="1900"/>
        <w:gridCol w:w="1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41752618c6a4ee08ca01f5944b34b81"/>
            <w:id w:val="-897046210"/>
          </w:sdtPr>
          <w:sdtContent>
            <w:tc>
              <w:tcPr>
                <w:tcW w:w="805"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88658ae6cb94ea390736e112b0d5ffc"/>
            <w:id w:val="-1958714333"/>
          </w:sdtPr>
          <w:sdtContent>
            <w:tc>
              <w:tcPr>
                <w:tcW w:w="2095"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0840d72efce94f22bdf4d566046b2e87"/>
            <w:id w:val="-45066550"/>
          </w:sdtPr>
          <w:sdtContent>
            <w:tc>
              <w:tcPr>
                <w:tcW w:w="2100"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sdt>
          <w:sdtPr>
            <w:tag w:val="_PLD_39942ac1f2654fa6bda80d7116d83859"/>
            <w:id w:val="-901824024"/>
          </w:sdtPr>
          <w:sdtContent>
            <w:tc>
              <w:tcPr>
                <w:tcW w:w="1044"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收入</w:t>
                </w:r>
              </w:p>
            </w:tc>
          </w:sdtContent>
        </w:sdt>
        <w:sdt>
          <w:sdtPr>
            <w:tag w:val="_PLD_5075262c52564bf09f90a67ee6a84b17"/>
            <w:id w:val="-1485540315"/>
          </w:sdtPr>
          <w:sdtContent>
            <w:tc>
              <w:tcPr>
                <w:tcW w:w="1051"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成本</w:t>
                </w:r>
              </w:p>
            </w:tc>
          </w:sdtContent>
        </w:sdt>
        <w:sdt>
          <w:sdtPr>
            <w:tag w:val="_PLD_33a1015c666d49cba108bce6aafea1f7"/>
            <w:id w:val="58609952"/>
          </w:sdtPr>
          <w:sdtContent>
            <w:tc>
              <w:tcPr>
                <w:tcW w:w="1050"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收入</w:t>
                </w:r>
              </w:p>
            </w:tc>
          </w:sdtContent>
        </w:sdt>
        <w:sdt>
          <w:sdtPr>
            <w:tag w:val="_PLD_d09deaa2e4d443459a3584a1d7e92203"/>
            <w:id w:val="-2129229271"/>
          </w:sdtPr>
          <w:sdtContent>
            <w:tc>
              <w:tcPr>
                <w:tcW w:w="1050"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成本</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主营业务</w:t>
            </w:r>
          </w:p>
        </w:tc>
        <w:tc>
          <w:tcPr>
            <w:tcW w:w="1044" w:type="pct"/>
            <w:tcBorders>
              <w:top w:val="single" w:color="auto" w:sz="4" w:space="0"/>
              <w:left w:val="single" w:color="auto" w:sz="4" w:space="0"/>
              <w:bottom w:val="single" w:color="auto" w:sz="4" w:space="0"/>
              <w:right w:val="single" w:color="auto" w:sz="4" w:space="0"/>
            </w:tcBorders>
          </w:tcPr>
          <w:p>
            <w:pPr>
              <w:jc w:val="right"/>
            </w:pPr>
            <w:r>
              <w:t xml:space="preserve"> 1,784,018,920.46 </w:t>
            </w:r>
          </w:p>
        </w:tc>
        <w:tc>
          <w:tcPr>
            <w:tcW w:w="1051" w:type="pct"/>
            <w:tcBorders>
              <w:top w:val="single" w:color="auto" w:sz="4" w:space="0"/>
              <w:left w:val="single" w:color="auto" w:sz="4" w:space="0"/>
              <w:bottom w:val="single" w:color="auto" w:sz="4" w:space="0"/>
              <w:right w:val="single" w:color="auto" w:sz="4" w:space="0"/>
            </w:tcBorders>
          </w:tcPr>
          <w:p>
            <w:pPr>
              <w:jc w:val="right"/>
            </w:pPr>
            <w:r>
              <w:t xml:space="preserve"> 1,614,952,576.55 </w:t>
            </w:r>
          </w:p>
        </w:tc>
        <w:tc>
          <w:tcPr>
            <w:tcW w:w="1050" w:type="pct"/>
            <w:tcBorders>
              <w:top w:val="single" w:color="auto" w:sz="4" w:space="0"/>
              <w:left w:val="single" w:color="auto" w:sz="4" w:space="0"/>
              <w:bottom w:val="single" w:color="auto" w:sz="4" w:space="0"/>
              <w:right w:val="single" w:color="auto" w:sz="4" w:space="0"/>
            </w:tcBorders>
          </w:tcPr>
          <w:p>
            <w:pPr>
              <w:jc w:val="right"/>
            </w:pPr>
            <w:r>
              <w:t xml:space="preserve"> 1,778,755,560.36 </w:t>
            </w:r>
          </w:p>
        </w:tc>
        <w:tc>
          <w:tcPr>
            <w:tcW w:w="1050" w:type="pct"/>
            <w:tcBorders>
              <w:top w:val="single" w:color="auto" w:sz="4" w:space="0"/>
              <w:left w:val="single" w:color="auto" w:sz="4" w:space="0"/>
              <w:bottom w:val="single" w:color="auto" w:sz="4" w:space="0"/>
              <w:right w:val="single" w:color="auto" w:sz="4" w:space="0"/>
            </w:tcBorders>
          </w:tcPr>
          <w:p>
            <w:pPr>
              <w:jc w:val="right"/>
            </w:pPr>
            <w:r>
              <w:t xml:space="preserve"> 1,546,900,917.59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其他业务</w:t>
            </w:r>
          </w:p>
        </w:tc>
        <w:tc>
          <w:tcPr>
            <w:tcW w:w="1044" w:type="pct"/>
            <w:tcBorders>
              <w:top w:val="single" w:color="auto" w:sz="4" w:space="0"/>
              <w:left w:val="single" w:color="auto" w:sz="4" w:space="0"/>
              <w:bottom w:val="single" w:color="auto" w:sz="4" w:space="0"/>
              <w:right w:val="single" w:color="auto" w:sz="4" w:space="0"/>
            </w:tcBorders>
          </w:tcPr>
          <w:p>
            <w:pPr>
              <w:jc w:val="right"/>
            </w:pPr>
            <w:r>
              <w:t xml:space="preserve"> 86,431,959.29 </w:t>
            </w:r>
          </w:p>
        </w:tc>
        <w:tc>
          <w:tcPr>
            <w:tcW w:w="1051" w:type="pct"/>
            <w:tcBorders>
              <w:top w:val="single" w:color="auto" w:sz="4" w:space="0"/>
              <w:left w:val="single" w:color="auto" w:sz="4" w:space="0"/>
              <w:bottom w:val="single" w:color="auto" w:sz="4" w:space="0"/>
              <w:right w:val="single" w:color="auto" w:sz="4" w:space="0"/>
            </w:tcBorders>
          </w:tcPr>
          <w:p>
            <w:pPr>
              <w:jc w:val="right"/>
            </w:pPr>
            <w:r>
              <w:t xml:space="preserve"> 81,917,742.93 </w:t>
            </w:r>
          </w:p>
        </w:tc>
        <w:tc>
          <w:tcPr>
            <w:tcW w:w="1050" w:type="pct"/>
            <w:tcBorders>
              <w:top w:val="single" w:color="auto" w:sz="4" w:space="0"/>
              <w:left w:val="single" w:color="auto" w:sz="4" w:space="0"/>
              <w:bottom w:val="single" w:color="auto" w:sz="4" w:space="0"/>
              <w:right w:val="single" w:color="auto" w:sz="4" w:space="0"/>
            </w:tcBorders>
          </w:tcPr>
          <w:p>
            <w:pPr>
              <w:jc w:val="right"/>
            </w:pPr>
            <w:r>
              <w:t xml:space="preserve"> 57,227,529.47 </w:t>
            </w:r>
          </w:p>
        </w:tc>
        <w:tc>
          <w:tcPr>
            <w:tcW w:w="1050" w:type="pct"/>
            <w:tcBorders>
              <w:top w:val="single" w:color="auto" w:sz="4" w:space="0"/>
              <w:left w:val="single" w:color="auto" w:sz="4" w:space="0"/>
              <w:bottom w:val="single" w:color="auto" w:sz="4" w:space="0"/>
              <w:right w:val="single" w:color="auto" w:sz="4" w:space="0"/>
            </w:tcBorders>
          </w:tcPr>
          <w:p>
            <w:pPr>
              <w:jc w:val="right"/>
            </w:pPr>
            <w:r>
              <w:t xml:space="preserve"> 55,450,226.26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044" w:type="pct"/>
            <w:tcBorders>
              <w:top w:val="single" w:color="auto" w:sz="4" w:space="0"/>
              <w:left w:val="single" w:color="auto" w:sz="4" w:space="0"/>
              <w:bottom w:val="single" w:color="auto" w:sz="4" w:space="0"/>
              <w:right w:val="single" w:color="auto" w:sz="4" w:space="0"/>
            </w:tcBorders>
          </w:tcPr>
          <w:p>
            <w:pPr>
              <w:jc w:val="right"/>
            </w:pPr>
            <w:r>
              <w:t xml:space="preserve"> 1,870,450,879.75 </w:t>
            </w:r>
          </w:p>
        </w:tc>
        <w:tc>
          <w:tcPr>
            <w:tcW w:w="1051" w:type="pct"/>
            <w:tcBorders>
              <w:top w:val="single" w:color="auto" w:sz="4" w:space="0"/>
              <w:left w:val="single" w:color="auto" w:sz="4" w:space="0"/>
              <w:bottom w:val="single" w:color="auto" w:sz="4" w:space="0"/>
              <w:right w:val="single" w:color="auto" w:sz="4" w:space="0"/>
            </w:tcBorders>
          </w:tcPr>
          <w:p>
            <w:pPr>
              <w:jc w:val="right"/>
            </w:pPr>
            <w:r>
              <w:t xml:space="preserve"> 1,696,870,319.48 </w:t>
            </w:r>
          </w:p>
        </w:tc>
        <w:tc>
          <w:tcPr>
            <w:tcW w:w="1050" w:type="pct"/>
            <w:tcBorders>
              <w:top w:val="single" w:color="auto" w:sz="4" w:space="0"/>
              <w:left w:val="single" w:color="auto" w:sz="4" w:space="0"/>
              <w:bottom w:val="single" w:color="auto" w:sz="4" w:space="0"/>
              <w:right w:val="single" w:color="auto" w:sz="4" w:space="0"/>
            </w:tcBorders>
          </w:tcPr>
          <w:p>
            <w:pPr>
              <w:jc w:val="right"/>
            </w:pPr>
            <w:r>
              <w:t xml:space="preserve"> 1,835,983,089.83 </w:t>
            </w:r>
          </w:p>
        </w:tc>
        <w:tc>
          <w:tcPr>
            <w:tcW w:w="1050" w:type="pct"/>
            <w:tcBorders>
              <w:top w:val="single" w:color="auto" w:sz="4" w:space="0"/>
              <w:left w:val="single" w:color="auto" w:sz="4" w:space="0"/>
              <w:bottom w:val="single" w:color="auto" w:sz="4" w:space="0"/>
              <w:right w:val="single" w:color="auto" w:sz="4" w:space="0"/>
            </w:tcBorders>
          </w:tcPr>
          <w:p>
            <w:pPr>
              <w:jc w:val="right"/>
            </w:pPr>
            <w:r>
              <w:t xml:space="preserve"> 1,602,351,143.85 </w:t>
            </w:r>
          </w:p>
        </w:tc>
      </w:tr>
    </w:tbl>
    <w:sdt>
      <w:sdtPr>
        <w:rPr>
          <w:rFonts w:hint="eastAsia" w:ascii="宋体" w:hAnsi="宋体" w:cs="宋体"/>
          <w:b w:val="0"/>
          <w:bCs/>
          <w:color w:val="000000" w:themeColor="text1"/>
          <w:kern w:val="0"/>
          <w:szCs w:val="24"/>
          <w14:textFill>
            <w14:solidFill>
              <w14:schemeClr w14:val="tx1"/>
            </w14:solidFill>
          </w14:textFill>
        </w:rPr>
        <w:alias w:val="模块:合同产生的收入的情况"/>
        <w:tag w:val="_SEC_c4e8c6d213eb4da9850e04355e0aa292"/>
        <w:id w:val="815228107"/>
        <w:placeholder>
          <w:docPart w:val="GBC22222222222222222222222222222"/>
        </w:placeholder>
      </w:sdtPr>
      <w:sdtEndPr>
        <w:rPr>
          <w:rFonts w:hint="default" w:ascii="Times New Roman" w:hAnsi="Times New Roman" w:cs="宋体"/>
          <w:b w:val="0"/>
          <w:bCs/>
          <w:color w:val="000000" w:themeColor="text1"/>
          <w:kern w:val="0"/>
          <w:szCs w:val="21"/>
          <w14:textFill>
            <w14:solidFill>
              <w14:schemeClr w14:val="tx1"/>
            </w14:solidFill>
          </w14:textFill>
        </w:rPr>
      </w:sdtEndPr>
      <w:sdtContent>
        <w:p>
          <w:pPr>
            <w:pStyle w:val="5"/>
            <w:numPr>
              <w:ilvl w:val="0"/>
              <w:numId w:val="71"/>
            </w:numPr>
            <w:ind w:left="426" w:hanging="426"/>
            <w:rPr>
              <w:rFonts w:hint="eastAsia" w:ascii="宋体" w:hAnsi="宋体"/>
              <w:color w:val="000000" w:themeColor="text1"/>
              <w14:textFill>
                <w14:solidFill>
                  <w14:schemeClr w14:val="tx1"/>
                </w14:solidFill>
              </w14:textFill>
            </w:rPr>
          </w:pPr>
          <w:bookmarkStart w:id="399" w:name="_Hlk533756233"/>
          <w:bookmarkStart w:id="400" w:name="_Hlk167969685"/>
          <w:r>
            <w:rPr>
              <w:rFonts w:hint="eastAsia" w:ascii="宋体" w:hAnsi="宋体"/>
              <w:color w:val="000000" w:themeColor="text1"/>
              <w14:textFill>
                <w14:solidFill>
                  <w14:schemeClr w14:val="tx1"/>
                </w14:solidFill>
              </w14:textFill>
            </w:rPr>
            <w:t>营业收入、营业成本的分解信息</w:t>
          </w:r>
        </w:p>
        <w:sdt>
          <w:sdtPr>
            <w:rPr>
              <w:rFonts w:ascii="宋体" w:hAnsi="宋体"/>
              <w:color w:val="000000" w:themeColor="text1"/>
              <w:szCs w:val="21"/>
              <w14:textFill>
                <w14:solidFill>
                  <w14:schemeClr w14:val="tx1"/>
                </w14:solidFill>
              </w14:textFill>
            </w:rPr>
            <w:alias w:val="是否适用：营业收入、营业成本的分解信息 [双击切换]"/>
            <w:tag w:val="_GBC_efc78032c33b40119a8d8db1511a7505"/>
            <w:id w:val="-1689526359"/>
            <w:placeholder>
              <w:docPart w:val="GBC22222222222222222222222222222"/>
            </w:placeholder>
          </w:sdtPr>
          <w:sdtEndPr>
            <w:rPr>
              <w:rFonts w:ascii="宋体" w:hAnsi="宋体"/>
              <w:color w:val="000000" w:themeColor="text1"/>
              <w:szCs w:val="21"/>
              <w14:textFill>
                <w14:solidFill>
                  <w14:schemeClr w14:val="tx1"/>
                </w14:solidFill>
              </w14:textFill>
            </w:rPr>
          </w:sdtEndPr>
          <w:sdtContent>
            <w:p>
              <w:pPr>
                <w:pStyle w:val="31"/>
                <w:ind w:firstLine="0" w:firstLineChars="0"/>
                <w:jc w:val="left"/>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fldChar w:fldCharType="begin"/>
              </w:r>
              <w:r>
                <w:rPr>
                  <w:rFonts w:ascii="宋体" w:hAnsi="宋体"/>
                  <w:color w:val="000000" w:themeColor="text1"/>
                  <w:szCs w:val="21"/>
                  <w14:textFill>
                    <w14:solidFill>
                      <w14:schemeClr w14:val="tx1"/>
                    </w14:solidFill>
                  </w14:textFill>
                </w:rPr>
                <w:instrText xml:space="preserve"> MACROBUTTON  SnrToggleCheckbox √适用 </w:instrText>
              </w:r>
              <w:r>
                <w:rPr>
                  <w:rFonts w:ascii="宋体" w:hAnsi="宋体"/>
                  <w:color w:val="000000" w:themeColor="text1"/>
                  <w:szCs w:val="21"/>
                  <w14:textFill>
                    <w14:solidFill>
                      <w14:schemeClr w14:val="tx1"/>
                    </w14:solidFill>
                  </w14:textFill>
                </w:rPr>
                <w:fldChar w:fldCharType="end"/>
              </w:r>
              <w:r>
                <w:rPr>
                  <w:rFonts w:ascii="宋体" w:hAnsi="宋体"/>
                  <w:color w:val="000000" w:themeColor="text1"/>
                  <w:szCs w:val="21"/>
                  <w14:textFill>
                    <w14:solidFill>
                      <w14:schemeClr w14:val="tx1"/>
                    </w14:solidFill>
                  </w14:textFill>
                </w:rPr>
                <w:fldChar w:fldCharType="begin"/>
              </w:r>
              <w:r>
                <w:rPr>
                  <w:rFonts w:ascii="宋体" w:hAnsi="宋体"/>
                  <w:color w:val="000000" w:themeColor="text1"/>
                  <w:szCs w:val="21"/>
                  <w14:textFill>
                    <w14:solidFill>
                      <w14:schemeClr w14:val="tx1"/>
                    </w14:solidFill>
                  </w14:textFill>
                </w:rPr>
                <w:instrText xml:space="preserve"> MACROBUTTON  SnrToggleCheckbox □不适用 </w:instrText>
              </w:r>
              <w:r>
                <w:rPr>
                  <w:rFonts w:ascii="宋体" w:hAnsi="宋体"/>
                  <w:color w:val="000000" w:themeColor="text1"/>
                  <w:szCs w:val="21"/>
                  <w14:textFill>
                    <w14:solidFill>
                      <w14:schemeClr w14:val="tx1"/>
                    </w14:solidFill>
                  </w14:textFill>
                </w:rPr>
                <w:fldChar w:fldCharType="end"/>
              </w:r>
            </w:p>
          </w:sdtContent>
        </w:sdt>
        <w:p>
          <w:pPr>
            <w:pStyle w:val="31"/>
            <w:ind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营业收入、营业成本的分解信息 "/>
              <w:tag w:val="_GBC_3ccd36a6a17f4de6846b5579f456e2eb"/>
              <w:id w:val="-107728395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营业收入、营业成本的分解信息 "/>
              <w:tag w:val="_GBC_4476d84f223c43caad2810c5a30db364"/>
              <w:id w:val="-164935989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28"/>
            <w:gridCol w:w="2420"/>
            <w:gridCol w:w="3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4e262a708374d868aa4623ec11e26b7"/>
                <w:id w:val="-1759505955"/>
              </w:sdtPr>
              <w:sdtContent>
                <w:tc>
                  <w:tcPr>
                    <w:tcW w:w="2005"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合同分类</w:t>
                    </w:r>
                  </w:p>
                </w:tc>
              </w:sdtContent>
            </w:sdt>
            <w:sdt>
              <w:sdtPr>
                <w:tag w:val="_PLD_2383d04a4c7d404b94d983ebd7656098"/>
                <w:id w:val="-1641423746"/>
              </w:sdtPr>
              <w:sdtContent>
                <w:tc>
                  <w:tcPr>
                    <w:tcW w:w="2995"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sdt>
              <w:sdtPr>
                <w:tag w:val="_PLD_58de911da1324e8586f84ab9937bcdeb"/>
                <w:id w:val="745311312"/>
              </w:sdtPr>
              <w:sdtContent>
                <w:tc>
                  <w:tcPr>
                    <w:tcW w:w="1337"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营业收入</w:t>
                    </w:r>
                  </w:p>
                </w:tc>
              </w:sdtContent>
            </w:sdt>
            <w:sdt>
              <w:sdtPr>
                <w:tag w:val="_PLD_b60d678e181949d998ae7d21f7dd9556"/>
                <w:id w:val="712618225"/>
              </w:sdtPr>
              <w:sdtContent>
                <w:tc>
                  <w:tcPr>
                    <w:tcW w:w="1658"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营业成本</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bookmarkStart w:id="401" w:name="_Hlk235624015"/>
                <w:r>
                  <w:rPr>
                    <w:rFonts w:hint="eastAsia"/>
                    <w:color w:val="000000" w:themeColor="text1"/>
                    <w14:textFill>
                      <w14:solidFill>
                        <w14:schemeClr w14:val="tx1"/>
                      </w14:solidFill>
                    </w14:textFill>
                  </w:rPr>
                  <w:t>商品类型</w:t>
                </w:r>
              </w:p>
            </w:tc>
            <w:tc>
              <w:tcPr>
                <w:tcW w:w="13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1658"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ind w:firstLine="420" w:firstLineChars="200"/>
                </w:pPr>
                <w:r>
                  <w:rPr>
                    <w:rFonts w:hint="eastAsia"/>
                  </w:rPr>
                  <w:t>输配电及控制设备</w:t>
                </w:r>
              </w:p>
            </w:tc>
            <w:tc>
              <w:tcPr>
                <w:tcW w:w="1337" w:type="pct"/>
                <w:tcBorders>
                  <w:top w:val="single" w:color="auto" w:sz="4" w:space="0"/>
                  <w:left w:val="single" w:color="auto" w:sz="4" w:space="0"/>
                  <w:bottom w:val="single" w:color="auto" w:sz="4" w:space="0"/>
                  <w:right w:val="single" w:color="auto" w:sz="4" w:space="0"/>
                </w:tcBorders>
              </w:tcPr>
              <w:p>
                <w:pPr>
                  <w:jc w:val="right"/>
                </w:pPr>
                <w:r>
                  <w:t xml:space="preserve"> 1,209,676,500.68 </w:t>
                </w:r>
              </w:p>
            </w:tc>
            <w:tc>
              <w:tcPr>
                <w:tcW w:w="1658" w:type="pct"/>
                <w:tcBorders>
                  <w:top w:val="single" w:color="auto" w:sz="4" w:space="0"/>
                  <w:left w:val="single" w:color="auto" w:sz="4" w:space="0"/>
                  <w:bottom w:val="single" w:color="auto" w:sz="4" w:space="0"/>
                  <w:right w:val="single" w:color="auto" w:sz="4" w:space="0"/>
                </w:tcBorders>
              </w:tcPr>
              <w:p>
                <w:pPr>
                  <w:jc w:val="right"/>
                </w:pPr>
                <w:r>
                  <w:t xml:space="preserve"> 1,039,693,368.33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ind w:firstLine="420" w:firstLineChars="200"/>
                  <w:rPr>
                    <w:color w:val="000000" w:themeColor="text1"/>
                    <w14:textFill>
                      <w14:solidFill>
                        <w14:schemeClr w14:val="tx1"/>
                      </w14:solidFill>
                    </w14:textFill>
                  </w:rPr>
                </w:pPr>
                <w:r>
                  <w:rPr>
                    <w:rFonts w:hint="eastAsia"/>
                  </w:rPr>
                  <w:t>取向硅钢</w:t>
                </w:r>
              </w:p>
            </w:tc>
            <w:tc>
              <w:tcPr>
                <w:tcW w:w="13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t xml:space="preserve"> 574,342,419.78 </w:t>
                </w:r>
              </w:p>
            </w:tc>
            <w:tc>
              <w:tcPr>
                <w:tcW w:w="1658"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t xml:space="preserve"> 575,259,208.22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ind w:firstLine="420" w:firstLineChars="200"/>
                </w:pPr>
                <w:r>
                  <w:rPr>
                    <w:rFonts w:hint="eastAsia"/>
                  </w:rPr>
                  <w:t>其他业务</w:t>
                </w:r>
              </w:p>
            </w:tc>
            <w:tc>
              <w:tcPr>
                <w:tcW w:w="1337" w:type="pct"/>
                <w:tcBorders>
                  <w:top w:val="single" w:color="auto" w:sz="4" w:space="0"/>
                  <w:left w:val="single" w:color="auto" w:sz="4" w:space="0"/>
                  <w:bottom w:val="single" w:color="auto" w:sz="4" w:space="0"/>
                  <w:right w:val="single" w:color="auto" w:sz="4" w:space="0"/>
                </w:tcBorders>
              </w:tcPr>
              <w:p>
                <w:pPr>
                  <w:jc w:val="right"/>
                </w:pPr>
                <w:r>
                  <w:t xml:space="preserve"> 86,431,959.29 </w:t>
                </w:r>
              </w:p>
            </w:tc>
            <w:tc>
              <w:tcPr>
                <w:tcW w:w="1658" w:type="pct"/>
                <w:tcBorders>
                  <w:top w:val="single" w:color="auto" w:sz="4" w:space="0"/>
                  <w:left w:val="single" w:color="auto" w:sz="4" w:space="0"/>
                  <w:bottom w:val="single" w:color="auto" w:sz="4" w:space="0"/>
                  <w:right w:val="single" w:color="auto" w:sz="4" w:space="0"/>
                </w:tcBorders>
              </w:tcPr>
              <w:p>
                <w:pPr>
                  <w:jc w:val="right"/>
                </w:pPr>
                <w:r>
                  <w:t xml:space="preserve"> 81,917,742.93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按商品转让的时间分类</w:t>
                </w:r>
              </w:p>
            </w:tc>
            <w:tc>
              <w:tcPr>
                <w:tcW w:w="13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p>
            </w:tc>
            <w:tc>
              <w:tcPr>
                <w:tcW w:w="1658"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ind w:firstLine="420" w:firstLineChars="200"/>
                </w:pPr>
                <w:r>
                  <w:rPr>
                    <w:rFonts w:hint="eastAsia"/>
                  </w:rPr>
                  <w:t xml:space="preserve"> 在某一时点确认收入 </w:t>
                </w:r>
              </w:p>
            </w:tc>
            <w:tc>
              <w:tcPr>
                <w:tcW w:w="1337" w:type="pct"/>
                <w:tcBorders>
                  <w:top w:val="single" w:color="auto" w:sz="4" w:space="0"/>
                  <w:left w:val="single" w:color="auto" w:sz="4" w:space="0"/>
                  <w:bottom w:val="single" w:color="auto" w:sz="4" w:space="0"/>
                  <w:right w:val="single" w:color="auto" w:sz="4" w:space="0"/>
                </w:tcBorders>
              </w:tcPr>
              <w:p>
                <w:pPr>
                  <w:jc w:val="right"/>
                </w:pPr>
                <w:r>
                  <w:t xml:space="preserve"> 1,870,450,879.75 </w:t>
                </w:r>
              </w:p>
            </w:tc>
            <w:tc>
              <w:tcPr>
                <w:tcW w:w="1658" w:type="pct"/>
                <w:tcBorders>
                  <w:top w:val="single" w:color="auto" w:sz="4" w:space="0"/>
                  <w:left w:val="single" w:color="auto" w:sz="4" w:space="0"/>
                  <w:bottom w:val="single" w:color="auto" w:sz="4" w:space="0"/>
                  <w:right w:val="single" w:color="auto" w:sz="4" w:space="0"/>
                </w:tcBorders>
              </w:tcPr>
              <w:p>
                <w:pPr>
                  <w:jc w:val="right"/>
                </w:pPr>
                <w:r>
                  <w:t xml:space="preserve"> 1,696,870,319.48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ind w:firstLine="420" w:firstLineChars="200"/>
                  <w:rPr>
                    <w:color w:val="000000" w:themeColor="text1"/>
                    <w14:textFill>
                      <w14:solidFill>
                        <w14:schemeClr w14:val="tx1"/>
                      </w14:solidFill>
                    </w14:textFill>
                  </w:rPr>
                </w:pPr>
                <w:r>
                  <w:rPr>
                    <w:rFonts w:hint="eastAsia"/>
                  </w:rPr>
                  <w:t xml:space="preserve"> 在某一时段内确认收入 </w:t>
                </w:r>
              </w:p>
            </w:tc>
            <w:tc>
              <w:tcPr>
                <w:tcW w:w="13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p>
            </w:tc>
            <w:tc>
              <w:tcPr>
                <w:tcW w:w="1658"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3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t xml:space="preserve"> 1,870,450,879.75 </w:t>
                </w:r>
              </w:p>
            </w:tc>
            <w:tc>
              <w:tcPr>
                <w:tcW w:w="1658"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t xml:space="preserve"> 1,696,870,319.48 </w:t>
                </w:r>
              </w:p>
            </w:tc>
          </w:tr>
          <w:bookmarkEnd w:id="401"/>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营业收入、营业成本的分解信息说明 [双击切换]"/>
            <w:tag w:val="_GBC_04602e125f9d4f519cbc5efd2f4ee0ea"/>
            <w:id w:val="178685313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Content>
    </w:sdt>
    <w:bookmarkEnd w:id="399"/>
    <w:p>
      <w:pPr>
        <w:pStyle w:val="5"/>
        <w:numPr>
          <w:ilvl w:val="0"/>
          <w:numId w:val="71"/>
        </w:numPr>
        <w:ind w:left="426" w:hanging="426"/>
        <w:rPr>
          <w:rFonts w:hint="eastAsia" w:ascii="宋体" w:hAnsi="宋体"/>
          <w:color w:val="000000" w:themeColor="text1"/>
          <w14:textFill>
            <w14:solidFill>
              <w14:schemeClr w14:val="tx1"/>
            </w14:solidFill>
          </w14:textFill>
        </w:rPr>
      </w:pPr>
      <w:bookmarkStart w:id="402" w:name="_Hlk533670431"/>
      <w:r>
        <w:rPr>
          <w:rFonts w:hint="eastAsia" w:ascii="宋体" w:hAnsi="宋体"/>
          <w:color w:val="000000" w:themeColor="text1"/>
          <w14:textFill>
            <w14:solidFill>
              <w14:schemeClr w14:val="tx1"/>
            </w14:solidFill>
          </w14:textFill>
        </w:rPr>
        <w:t>履约义务的说明</w:t>
      </w:r>
    </w:p>
    <w:sdt>
      <w:sdtPr>
        <w:rPr>
          <w:color w:val="000000" w:themeColor="text1"/>
          <w14:textFill>
            <w14:solidFill>
              <w14:schemeClr w14:val="tx1"/>
            </w14:solidFill>
          </w14:textFill>
        </w:rPr>
        <w:alias w:val="是否适用：履约义务的说明[双击切换]"/>
        <w:tag w:val="_GBC_ec22242632ae490ba6bc8afe3b2e35bc"/>
        <w:id w:val="20337799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00"/>
    <w:bookmarkEnd w:id="402"/>
    <w:p>
      <w:pPr>
        <w:pStyle w:val="5"/>
        <w:numPr>
          <w:ilvl w:val="0"/>
          <w:numId w:val="71"/>
        </w:numPr>
        <w:ind w:left="426" w:hanging="426"/>
        <w:rPr>
          <w:rFonts w:hint="eastAsia" w:ascii="宋体" w:hAnsi="宋体"/>
          <w:color w:val="000000" w:themeColor="text1"/>
          <w14:textFill>
            <w14:solidFill>
              <w14:schemeClr w14:val="tx1"/>
            </w14:solidFill>
          </w14:textFill>
        </w:rPr>
      </w:pPr>
      <w:bookmarkStart w:id="403" w:name="_Hlk10538107"/>
      <w:bookmarkStart w:id="404" w:name="_Hlk10538117"/>
      <w:r>
        <w:rPr>
          <w:rFonts w:hint="eastAsia" w:ascii="宋体" w:hAnsi="宋体"/>
          <w:color w:val="000000" w:themeColor="text1"/>
          <w14:textFill>
            <w14:solidFill>
              <w14:schemeClr w14:val="tx1"/>
            </w14:solidFill>
          </w14:textFill>
        </w:rPr>
        <w:t>分摊至剩余履约义务的说明</w:t>
      </w:r>
      <w:bookmarkEnd w:id="403"/>
    </w:p>
    <w:sdt>
      <w:sdtPr>
        <w:rPr>
          <w:color w:val="000000" w:themeColor="text1"/>
          <w14:textFill>
            <w14:solidFill>
              <w14:schemeClr w14:val="tx1"/>
            </w14:solidFill>
          </w14:textFill>
        </w:rPr>
        <w:alias w:val="是否适用：分摊至剩余履约义务的说明[双击切换]"/>
        <w:tag w:val="_GBC_3e12eb65fc9e4c7b80815a7392be58f2"/>
        <w:id w:val="12142190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04"/>
    <w:p>
      <w:pPr>
        <w:pStyle w:val="5"/>
        <w:numPr>
          <w:ilvl w:val="0"/>
          <w:numId w:val="71"/>
        </w:numPr>
        <w:ind w:left="426" w:hanging="426"/>
        <w:rPr>
          <w:rFonts w:hint="eastAsia" w:ascii="宋体" w:hAnsi="宋体"/>
          <w:color w:val="000000" w:themeColor="text1"/>
          <w14:textFill>
            <w14:solidFill>
              <w14:schemeClr w14:val="tx1"/>
            </w14:solidFill>
          </w14:textFill>
        </w:rPr>
      </w:pPr>
      <w:bookmarkStart w:id="405" w:name="_Hlk167969793"/>
      <w:r>
        <w:rPr>
          <w:rFonts w:hint="eastAsia" w:ascii="宋体" w:hAnsi="宋体"/>
          <w:color w:val="000000" w:themeColor="text1"/>
          <w14:textFill>
            <w14:solidFill>
              <w14:schemeClr w14:val="tx1"/>
            </w14:solidFill>
          </w14:textFill>
        </w:rPr>
        <w:t>重大合同变更或重大交易价格调整</w:t>
      </w:r>
    </w:p>
    <w:sdt>
      <w:sdtPr>
        <w:rPr>
          <w:color w:val="000000" w:themeColor="text1"/>
          <w14:textFill>
            <w14:solidFill>
              <w14:schemeClr w14:val="tx1"/>
            </w14:solidFill>
          </w14:textFill>
        </w:rPr>
        <w:alias w:val="是否适用：重大合同变更或重大交易价格调整[双击切换]"/>
        <w:tag w:val="_GBC_4ff195f785f7474ba9def45795b4e11c"/>
        <w:id w:val="-206439823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05"/>
    <w:p>
      <w:pPr>
        <w:spacing w:before="60" w:after="60"/>
        <w:rPr>
          <w:color w:val="000000" w:themeColor="text1"/>
          <w14:textFill>
            <w14:solidFill>
              <w14:schemeClr w14:val="tx1"/>
            </w14:solidFill>
          </w14:textFill>
        </w:rPr>
      </w:pPr>
      <w:bookmarkStart w:id="406" w:name="_Hlk26364697"/>
      <w:bookmarkStart w:id="407" w:name="_Hlk41487523"/>
      <w:r>
        <w:rPr>
          <w:rFonts w:hint="eastAsia"/>
          <w:color w:val="000000" w:themeColor="text1"/>
          <w14:textFill>
            <w14:solidFill>
              <w14:schemeClr w14:val="tx1"/>
            </w14:solidFill>
          </w14:textFill>
        </w:rPr>
        <w:t>其他说明：</w:t>
      </w:r>
    </w:p>
    <w:p>
      <w:pPr>
        <w:rPr>
          <w:color w:val="000000" w:themeColor="text1"/>
          <w14:textFill>
            <w14:solidFill>
              <w14:schemeClr w14:val="tx1"/>
            </w14:solidFill>
          </w14:textFill>
        </w:rPr>
      </w:pPr>
      <w:sdt>
        <w:sdtPr>
          <w:rPr>
            <w:color w:val="000000" w:themeColor="text1"/>
            <w14:textFill>
              <w14:solidFill>
                <w14:schemeClr w14:val="tx1"/>
              </w14:solidFill>
            </w14:textFill>
          </w:rPr>
          <w:alias w:val="主营业务说明"/>
          <w:tag w:val="_GBC_72a96250960e4e188d2fa1097869655e"/>
          <w:id w:val="-1859267012"/>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bookmarkEnd w:id="406"/>
    </w:p>
    <w:bookmarkEnd w:id="407"/>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税金及附加</w:t>
      </w:r>
    </w:p>
    <w:sdt>
      <w:sdtPr>
        <w:rPr>
          <w:color w:val="000000" w:themeColor="text1"/>
          <w14:textFill>
            <w14:solidFill>
              <w14:schemeClr w14:val="tx1"/>
            </w14:solidFill>
          </w14:textFill>
        </w:rPr>
        <w:alias w:val="是否适用：税金及附加[双击切换]"/>
        <w:tag w:val="_GBC_e6e37ca7fd2a435e8e042586945bb4d2"/>
        <w:id w:val="31816053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税金及附加"/>
          <w:tag w:val="_GBC_bdd382ceb0b74413bcc8ce354afae4a8"/>
          <w:id w:val="-16240330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税金及附加"/>
          <w:tag w:val="_GBC_ecf8b53c11ec4336b91007df3f6b5f78"/>
          <w:id w:val="-135518404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5"/>
        <w:gridCol w:w="3072"/>
        <w:gridCol w:w="3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444bcf5500dc4f7f9041afd20c147408"/>
            <w:id w:val="-958416183"/>
          </w:sdtPr>
          <w:sdtContent>
            <w:tc>
              <w:tcPr>
                <w:tcW w:w="1605"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986496e04f5841889074687e953bf8a9"/>
            <w:id w:val="239151574"/>
          </w:sdtPr>
          <w:sdtContent>
            <w:tc>
              <w:tcPr>
                <w:tcW w:w="1697"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4ab1376344dc484195a5459c78069a64"/>
            <w:id w:val="1401953417"/>
          </w:sdtPr>
          <w:sdtContent>
            <w:tc>
              <w:tcPr>
                <w:tcW w:w="169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rPr>
              <w:t>房产税</w:t>
            </w:r>
          </w:p>
        </w:tc>
        <w:tc>
          <w:tcPr>
            <w:tcW w:w="1697" w:type="pct"/>
          </w:tcPr>
          <w:p>
            <w:pPr>
              <w:autoSpaceDE w:val="0"/>
              <w:autoSpaceDN w:val="0"/>
              <w:adjustRightInd w:val="0"/>
              <w:snapToGrid w:val="0"/>
              <w:spacing w:line="240" w:lineRule="atLeast"/>
              <w:jc w:val="right"/>
            </w:pPr>
            <w:r>
              <w:t xml:space="preserve"> 4,619,580.02 </w:t>
            </w:r>
          </w:p>
        </w:tc>
        <w:tc>
          <w:tcPr>
            <w:tcW w:w="1697" w:type="pct"/>
          </w:tcPr>
          <w:p>
            <w:pPr>
              <w:jc w:val="right"/>
            </w:pPr>
            <w:r>
              <w:t xml:space="preserve"> 4,540,684.96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rPr>
              <w:t>土地使用税</w:t>
            </w:r>
          </w:p>
        </w:tc>
        <w:tc>
          <w:tcPr>
            <w:tcW w:w="1697" w:type="pct"/>
          </w:tcPr>
          <w:p>
            <w:pPr>
              <w:autoSpaceDE w:val="0"/>
              <w:autoSpaceDN w:val="0"/>
              <w:adjustRightInd w:val="0"/>
              <w:snapToGrid w:val="0"/>
              <w:spacing w:line="240" w:lineRule="atLeast"/>
              <w:jc w:val="right"/>
            </w:pPr>
            <w:r>
              <w:t xml:space="preserve"> 2,472,360.20 </w:t>
            </w:r>
          </w:p>
        </w:tc>
        <w:tc>
          <w:tcPr>
            <w:tcW w:w="1697" w:type="pct"/>
          </w:tcPr>
          <w:p>
            <w:pPr>
              <w:jc w:val="right"/>
            </w:pPr>
            <w:r>
              <w:t xml:space="preserve"> 2,197,318.61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rPr>
              <w:t>印花税</w:t>
            </w:r>
          </w:p>
        </w:tc>
        <w:tc>
          <w:tcPr>
            <w:tcW w:w="1697" w:type="pct"/>
          </w:tcPr>
          <w:p>
            <w:pPr>
              <w:autoSpaceDE w:val="0"/>
              <w:autoSpaceDN w:val="0"/>
              <w:adjustRightInd w:val="0"/>
              <w:snapToGrid w:val="0"/>
              <w:spacing w:line="240" w:lineRule="atLeast"/>
              <w:jc w:val="right"/>
            </w:pPr>
            <w:r>
              <w:t xml:space="preserve"> 1,282,836.43 </w:t>
            </w:r>
          </w:p>
        </w:tc>
        <w:tc>
          <w:tcPr>
            <w:tcW w:w="1697" w:type="pct"/>
          </w:tcPr>
          <w:p>
            <w:pPr>
              <w:jc w:val="right"/>
            </w:pPr>
            <w:r>
              <w:t xml:space="preserve"> 1,147,223.79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rPr>
              <w:t>城市维护建设税</w:t>
            </w:r>
          </w:p>
        </w:tc>
        <w:tc>
          <w:tcPr>
            <w:tcW w:w="1697" w:type="pct"/>
          </w:tcPr>
          <w:p>
            <w:pPr>
              <w:autoSpaceDE w:val="0"/>
              <w:autoSpaceDN w:val="0"/>
              <w:adjustRightInd w:val="0"/>
              <w:snapToGrid w:val="0"/>
              <w:spacing w:line="240" w:lineRule="atLeast"/>
              <w:jc w:val="right"/>
            </w:pPr>
            <w:r>
              <w:t xml:space="preserve"> 1,444,503.62 </w:t>
            </w:r>
          </w:p>
        </w:tc>
        <w:tc>
          <w:tcPr>
            <w:tcW w:w="1697" w:type="pct"/>
          </w:tcPr>
          <w:p>
            <w:pPr>
              <w:jc w:val="right"/>
            </w:pPr>
            <w:r>
              <w:t xml:space="preserve"> 1,279,551.38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rPr>
              <w:t>教育费附加</w:t>
            </w:r>
          </w:p>
        </w:tc>
        <w:tc>
          <w:tcPr>
            <w:tcW w:w="1697" w:type="pct"/>
          </w:tcPr>
          <w:p>
            <w:pPr>
              <w:autoSpaceDE w:val="0"/>
              <w:autoSpaceDN w:val="0"/>
              <w:adjustRightInd w:val="0"/>
              <w:snapToGrid w:val="0"/>
              <w:spacing w:line="240" w:lineRule="atLeast"/>
              <w:jc w:val="right"/>
            </w:pPr>
            <w:r>
              <w:t xml:space="preserve"> 620,284.85 </w:t>
            </w:r>
          </w:p>
        </w:tc>
        <w:tc>
          <w:tcPr>
            <w:tcW w:w="1697" w:type="pct"/>
          </w:tcPr>
          <w:p>
            <w:pPr>
              <w:jc w:val="right"/>
            </w:pPr>
            <w:r>
              <w:t xml:space="preserve"> 548,424.83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rPr>
              <w:t>地方教育附加</w:t>
            </w:r>
          </w:p>
        </w:tc>
        <w:tc>
          <w:tcPr>
            <w:tcW w:w="1697" w:type="pct"/>
          </w:tcPr>
          <w:p>
            <w:pPr>
              <w:autoSpaceDE w:val="0"/>
              <w:autoSpaceDN w:val="0"/>
              <w:adjustRightInd w:val="0"/>
              <w:snapToGrid w:val="0"/>
              <w:spacing w:line="240" w:lineRule="atLeast"/>
              <w:jc w:val="right"/>
            </w:pPr>
            <w:r>
              <w:t xml:space="preserve"> 413,523.26 </w:t>
            </w:r>
          </w:p>
        </w:tc>
        <w:tc>
          <w:tcPr>
            <w:tcW w:w="1697" w:type="pct"/>
          </w:tcPr>
          <w:p>
            <w:pPr>
              <w:jc w:val="right"/>
            </w:pPr>
            <w:r>
              <w:t xml:space="preserve"> 365,616.55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rPr>
              <w:t>环境保护税</w:t>
            </w:r>
          </w:p>
        </w:tc>
        <w:tc>
          <w:tcPr>
            <w:tcW w:w="1697" w:type="pct"/>
          </w:tcPr>
          <w:p>
            <w:pPr>
              <w:autoSpaceDE w:val="0"/>
              <w:autoSpaceDN w:val="0"/>
              <w:adjustRightInd w:val="0"/>
              <w:snapToGrid w:val="0"/>
              <w:spacing w:line="240" w:lineRule="atLeast"/>
              <w:jc w:val="right"/>
            </w:pPr>
            <w:r>
              <w:t xml:space="preserve"> 120,079.59 </w:t>
            </w:r>
          </w:p>
        </w:tc>
        <w:tc>
          <w:tcPr>
            <w:tcW w:w="1697" w:type="pct"/>
          </w:tcPr>
          <w:p>
            <w:pPr>
              <w:jc w:val="right"/>
            </w:pPr>
            <w:r>
              <w:t xml:space="preserve"> 188,184.78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tcPr>
          <w:p>
            <w:pPr>
              <w:autoSpaceDE w:val="0"/>
              <w:autoSpaceDN w:val="0"/>
              <w:adjustRightInd w:val="0"/>
              <w:snapToGrid w:val="0"/>
              <w:spacing w:line="240" w:lineRule="atLeast"/>
              <w:rPr>
                <w:color w:val="000000" w:themeColor="text1"/>
                <w14:textFill>
                  <w14:solidFill>
                    <w14:schemeClr w14:val="tx1"/>
                  </w14:solidFill>
                </w14:textFill>
              </w:rPr>
            </w:pPr>
            <w:r>
              <w:rPr>
                <w:rFonts w:hint="eastAsia"/>
              </w:rPr>
              <w:t>车船税</w:t>
            </w:r>
          </w:p>
        </w:tc>
        <w:tc>
          <w:tcPr>
            <w:tcW w:w="1697" w:type="pct"/>
          </w:tcPr>
          <w:p>
            <w:pPr>
              <w:autoSpaceDE w:val="0"/>
              <w:autoSpaceDN w:val="0"/>
              <w:adjustRightInd w:val="0"/>
              <w:snapToGrid w:val="0"/>
              <w:spacing w:line="240" w:lineRule="atLeast"/>
              <w:jc w:val="right"/>
            </w:pPr>
            <w:r>
              <w:t xml:space="preserve"> 32,498.65 </w:t>
            </w:r>
          </w:p>
        </w:tc>
        <w:tc>
          <w:tcPr>
            <w:tcW w:w="1697" w:type="pct"/>
          </w:tcPr>
          <w:p>
            <w:pPr>
              <w:jc w:val="right"/>
            </w:pPr>
            <w:r>
              <w:t xml:space="preserve"> 23,405.70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5" w:type="pct"/>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97" w:type="pct"/>
          </w:tcPr>
          <w:p>
            <w:pPr>
              <w:autoSpaceDE w:val="0"/>
              <w:autoSpaceDN w:val="0"/>
              <w:adjustRightInd w:val="0"/>
              <w:snapToGrid w:val="0"/>
              <w:spacing w:line="240" w:lineRule="atLeast"/>
              <w:jc w:val="right"/>
            </w:pPr>
            <w:r>
              <w:t xml:space="preserve"> 11,005,666.62 </w:t>
            </w:r>
          </w:p>
        </w:tc>
        <w:tc>
          <w:tcPr>
            <w:tcW w:w="1697" w:type="pct"/>
          </w:tcPr>
          <w:p>
            <w:pPr>
              <w:jc w:val="right"/>
            </w:pPr>
            <w:r>
              <w:t xml:space="preserve"> 10,290,410.60 </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税金及附加说明"/>
        <w:tag w:val="_GBC_f78e413320ad4d20a3dab91dff935491"/>
        <w:id w:val="253090259"/>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销售费用</w:t>
      </w:r>
    </w:p>
    <w:sdt>
      <w:sdtPr>
        <w:rPr>
          <w:color w:val="000000" w:themeColor="text1"/>
          <w14:textFill>
            <w14:solidFill>
              <w14:schemeClr w14:val="tx1"/>
            </w14:solidFill>
          </w14:textFill>
        </w:rPr>
        <w:alias w:val="是否适用：销售费用[双击切换]"/>
        <w:tag w:val="_GBC_5302d6af48674660a2279c7c8a87bb8c"/>
        <w:id w:val="-70996436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ind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销售费用"/>
          <w:tag w:val="_GBC_893203a5a3df44649aef388407d22c68"/>
          <w:id w:val="-46027443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销售费用"/>
          <w:tag w:val="_GBC_4954a9fca98d4f279270fb28f987aa6f"/>
          <w:id w:val="41852975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6"/>
        <w:gridCol w:w="2693"/>
        <w:gridCol w:w="2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16c47970a3b145c98f438f3cb34ff636"/>
            <w:id w:val="-1236865242"/>
          </w:sdtPr>
          <w:sdtContent>
            <w:tc>
              <w:tcPr>
                <w:tcW w:w="2175"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b3ce435531054240b373e649bc9ae7a1"/>
            <w:id w:val="50891006"/>
          </w:sdtPr>
          <w:sdtContent>
            <w:tc>
              <w:tcPr>
                <w:tcW w:w="1488"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9480cd5806624557b975b5d0ce06575b"/>
            <w:id w:val="-697238666"/>
          </w:sdtPr>
          <w:sdtContent>
            <w:tc>
              <w:tcPr>
                <w:tcW w:w="1337"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tcPr>
          <w:p>
            <w:pPr>
              <w:pStyle w:val="48"/>
            </w:pPr>
            <w:r>
              <w:rPr>
                <w:rFonts w:hint="eastAsia"/>
              </w:rPr>
              <w:t>职工薪酬</w:t>
            </w:r>
          </w:p>
        </w:tc>
        <w:tc>
          <w:tcPr>
            <w:tcW w:w="1488" w:type="pct"/>
            <w:tcBorders>
              <w:top w:val="single" w:color="auto" w:sz="4" w:space="0"/>
              <w:left w:val="single" w:color="auto" w:sz="4" w:space="0"/>
              <w:bottom w:val="single" w:color="auto" w:sz="4" w:space="0"/>
              <w:right w:val="single" w:color="auto" w:sz="4" w:space="0"/>
            </w:tcBorders>
          </w:tcPr>
          <w:p>
            <w:pPr>
              <w:jc w:val="right"/>
            </w:pPr>
            <w:r>
              <w:t xml:space="preserve"> 23,804,216.13 </w:t>
            </w:r>
          </w:p>
        </w:tc>
        <w:tc>
          <w:tcPr>
            <w:tcW w:w="1337"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27,643,281.28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tcPr>
          <w:p>
            <w:pPr>
              <w:pStyle w:val="48"/>
            </w:pPr>
            <w:r>
              <w:rPr>
                <w:rFonts w:hint="eastAsia"/>
              </w:rPr>
              <w:t>业务招待费</w:t>
            </w:r>
          </w:p>
        </w:tc>
        <w:tc>
          <w:tcPr>
            <w:tcW w:w="1488" w:type="pct"/>
            <w:tcBorders>
              <w:top w:val="single" w:color="auto" w:sz="4" w:space="0"/>
              <w:left w:val="single" w:color="auto" w:sz="4" w:space="0"/>
              <w:bottom w:val="single" w:color="auto" w:sz="4" w:space="0"/>
              <w:right w:val="single" w:color="auto" w:sz="4" w:space="0"/>
            </w:tcBorders>
          </w:tcPr>
          <w:p>
            <w:pPr>
              <w:jc w:val="right"/>
            </w:pPr>
            <w:r>
              <w:t xml:space="preserve"> 10,458,085.15 </w:t>
            </w:r>
          </w:p>
        </w:tc>
        <w:tc>
          <w:tcPr>
            <w:tcW w:w="1337"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14,349,437.73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tcPr>
          <w:p>
            <w:pPr>
              <w:pStyle w:val="48"/>
            </w:pPr>
            <w:r>
              <w:rPr>
                <w:rFonts w:hint="eastAsia"/>
              </w:rPr>
              <w:t>办公及差旅费</w:t>
            </w:r>
          </w:p>
        </w:tc>
        <w:tc>
          <w:tcPr>
            <w:tcW w:w="1488" w:type="pct"/>
            <w:tcBorders>
              <w:top w:val="single" w:color="auto" w:sz="4" w:space="0"/>
              <w:left w:val="single" w:color="auto" w:sz="4" w:space="0"/>
              <w:bottom w:val="single" w:color="auto" w:sz="4" w:space="0"/>
              <w:right w:val="single" w:color="auto" w:sz="4" w:space="0"/>
            </w:tcBorders>
          </w:tcPr>
          <w:p>
            <w:pPr>
              <w:jc w:val="right"/>
            </w:pPr>
            <w:r>
              <w:t xml:space="preserve"> 7,237,586.89 </w:t>
            </w:r>
          </w:p>
        </w:tc>
        <w:tc>
          <w:tcPr>
            <w:tcW w:w="1337"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9,737,201.41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tcPr>
          <w:p>
            <w:pPr>
              <w:pStyle w:val="48"/>
            </w:pPr>
            <w:r>
              <w:rPr>
                <w:rFonts w:hint="eastAsia"/>
              </w:rPr>
              <w:t>投标服务费</w:t>
            </w:r>
          </w:p>
        </w:tc>
        <w:tc>
          <w:tcPr>
            <w:tcW w:w="1488" w:type="pct"/>
            <w:tcBorders>
              <w:top w:val="single" w:color="auto" w:sz="4" w:space="0"/>
              <w:left w:val="single" w:color="auto" w:sz="4" w:space="0"/>
              <w:bottom w:val="single" w:color="auto" w:sz="4" w:space="0"/>
              <w:right w:val="single" w:color="auto" w:sz="4" w:space="0"/>
            </w:tcBorders>
          </w:tcPr>
          <w:p>
            <w:pPr>
              <w:jc w:val="right"/>
            </w:pPr>
            <w:r>
              <w:t xml:space="preserve"> 4,994,933.36 </w:t>
            </w:r>
          </w:p>
        </w:tc>
        <w:tc>
          <w:tcPr>
            <w:tcW w:w="1337"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4,826,682.94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tcPr>
          <w:p>
            <w:pPr>
              <w:pStyle w:val="48"/>
            </w:pPr>
            <w:r>
              <w:rPr>
                <w:rFonts w:hint="eastAsia"/>
              </w:rPr>
              <w:t>其他</w:t>
            </w:r>
          </w:p>
        </w:tc>
        <w:tc>
          <w:tcPr>
            <w:tcW w:w="1488" w:type="pct"/>
            <w:tcBorders>
              <w:top w:val="single" w:color="auto" w:sz="4" w:space="0"/>
              <w:left w:val="single" w:color="auto" w:sz="4" w:space="0"/>
              <w:bottom w:val="single" w:color="auto" w:sz="4" w:space="0"/>
              <w:right w:val="single" w:color="auto" w:sz="4" w:space="0"/>
            </w:tcBorders>
          </w:tcPr>
          <w:p>
            <w:pPr>
              <w:jc w:val="right"/>
            </w:pPr>
            <w:r>
              <w:t xml:space="preserve"> 3,418,459.47 </w:t>
            </w:r>
          </w:p>
        </w:tc>
        <w:tc>
          <w:tcPr>
            <w:tcW w:w="1337"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2,934,843.17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88" w:type="pct"/>
            <w:tcBorders>
              <w:top w:val="single" w:color="auto" w:sz="4" w:space="0"/>
              <w:left w:val="single" w:color="auto" w:sz="4" w:space="0"/>
              <w:bottom w:val="single" w:color="auto" w:sz="4" w:space="0"/>
              <w:right w:val="single" w:color="auto" w:sz="4" w:space="0"/>
            </w:tcBorders>
          </w:tcPr>
          <w:p>
            <w:pPr>
              <w:jc w:val="right"/>
            </w:pPr>
            <w:r>
              <w:t xml:space="preserve"> 49,913,281.00 </w:t>
            </w:r>
          </w:p>
        </w:tc>
        <w:tc>
          <w:tcPr>
            <w:tcW w:w="1337" w:type="pct"/>
            <w:tcBorders>
              <w:top w:val="single" w:color="auto" w:sz="4" w:space="0"/>
              <w:left w:val="single" w:color="auto" w:sz="4" w:space="0"/>
              <w:bottom w:val="single" w:color="auto" w:sz="4" w:space="0"/>
              <w:right w:val="single" w:color="auto" w:sz="4" w:space="0"/>
            </w:tcBorders>
          </w:tcPr>
          <w:p>
            <w:pPr>
              <w:jc w:val="right"/>
            </w:pPr>
            <w:r>
              <w:t xml:space="preserve"> 59,491,446.53 </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销售费用的其他说明事项"/>
        <w:tag w:val="_GBC_42921bca5478449e9dd3932a8303975a"/>
        <w:id w:val="1520858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管理费用</w:t>
      </w:r>
    </w:p>
    <w:sdt>
      <w:sdtPr>
        <w:rPr>
          <w:color w:val="000000" w:themeColor="text1"/>
          <w14:textFill>
            <w14:solidFill>
              <w14:schemeClr w14:val="tx1"/>
            </w14:solidFill>
          </w14:textFill>
        </w:rPr>
        <w:alias w:val="是否适用：管理费用[双击切换]"/>
        <w:tag w:val="_GBC_864c9dd9adce435698261f1da02ab8fb"/>
        <w:id w:val="-15160264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管理费用"/>
          <w:tag w:val="_GBC_b8198aec3f7748d28785c1eebbf02df7"/>
          <w:id w:val="32340464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管理费用"/>
          <w:tag w:val="_GBC_f92af61f8b3b45ba9ec818ede9725428"/>
          <w:id w:val="-110935023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5"/>
        <w:gridCol w:w="2604"/>
        <w:gridCol w:w="2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49fd0c096ba421285089a0fada9d43a"/>
            <w:id w:val="-1909296277"/>
          </w:sdtPr>
          <w:sdtContent>
            <w:tc>
              <w:tcPr>
                <w:tcW w:w="2213"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acf5bcbf929244268be56ad5d0f3ea18"/>
            <w:id w:val="887764178"/>
          </w:sdtPr>
          <w:sdtContent>
            <w:tc>
              <w:tcPr>
                <w:tcW w:w="1439"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d37d8a59d4d74c26ac22dc33983efa29"/>
            <w:id w:val="-1676032466"/>
          </w:sdtPr>
          <w:sdtContent>
            <w:tc>
              <w:tcPr>
                <w:tcW w:w="1348"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职工薪酬</w:t>
            </w:r>
          </w:p>
        </w:tc>
        <w:tc>
          <w:tcPr>
            <w:tcW w:w="1439"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27,573,868.50 </w:t>
            </w:r>
          </w:p>
        </w:tc>
        <w:tc>
          <w:tcPr>
            <w:tcW w:w="1348"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29,369,803.37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t>折旧及摊销</w:t>
            </w:r>
          </w:p>
        </w:tc>
        <w:tc>
          <w:tcPr>
            <w:tcW w:w="1439" w:type="pct"/>
            <w:tcBorders>
              <w:top w:val="single" w:color="auto" w:sz="4" w:space="0"/>
              <w:left w:val="single" w:color="auto" w:sz="4" w:space="0"/>
              <w:bottom w:val="single" w:color="auto" w:sz="4" w:space="0"/>
              <w:right w:val="single" w:color="auto" w:sz="4" w:space="0"/>
            </w:tcBorders>
          </w:tcPr>
          <w:p>
            <w:pPr>
              <w:jc w:val="right"/>
            </w:pPr>
            <w:r>
              <w:t>13,882,756.19</w:t>
            </w:r>
          </w:p>
        </w:tc>
        <w:tc>
          <w:tcPr>
            <w:tcW w:w="1348" w:type="pct"/>
            <w:tcBorders>
              <w:top w:val="single" w:color="auto" w:sz="4" w:space="0"/>
              <w:left w:val="single" w:color="auto" w:sz="4" w:space="0"/>
              <w:bottom w:val="single" w:color="auto" w:sz="4" w:space="0"/>
              <w:right w:val="single" w:color="auto" w:sz="4" w:space="0"/>
            </w:tcBorders>
          </w:tcPr>
          <w:p>
            <w:pPr>
              <w:jc w:val="right"/>
            </w:pPr>
            <w:r>
              <w:t>12,002,098.77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t>安全生产费</w:t>
            </w:r>
          </w:p>
        </w:tc>
        <w:tc>
          <w:tcPr>
            <w:tcW w:w="1439" w:type="pct"/>
            <w:tcBorders>
              <w:top w:val="single" w:color="auto" w:sz="4" w:space="0"/>
              <w:left w:val="single" w:color="auto" w:sz="4" w:space="0"/>
              <w:bottom w:val="single" w:color="auto" w:sz="4" w:space="0"/>
              <w:right w:val="single" w:color="auto" w:sz="4" w:space="0"/>
            </w:tcBorders>
          </w:tcPr>
          <w:p>
            <w:pPr>
              <w:jc w:val="right"/>
            </w:pPr>
            <w:r>
              <w:t>7,834,400.94</w:t>
            </w:r>
          </w:p>
        </w:tc>
        <w:tc>
          <w:tcPr>
            <w:tcW w:w="1348" w:type="pct"/>
            <w:tcBorders>
              <w:top w:val="single" w:color="auto" w:sz="4" w:space="0"/>
              <w:left w:val="single" w:color="auto" w:sz="4" w:space="0"/>
              <w:bottom w:val="single" w:color="auto" w:sz="4" w:space="0"/>
              <w:right w:val="single" w:color="auto" w:sz="4" w:space="0"/>
            </w:tcBorders>
          </w:tcPr>
          <w:p>
            <w:pPr>
              <w:jc w:val="right"/>
            </w:pPr>
            <w:r>
              <w:t>6,375,888.16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t>中介机构服务费</w:t>
            </w:r>
          </w:p>
        </w:tc>
        <w:tc>
          <w:tcPr>
            <w:tcW w:w="1439" w:type="pct"/>
            <w:tcBorders>
              <w:top w:val="single" w:color="auto" w:sz="4" w:space="0"/>
              <w:left w:val="single" w:color="auto" w:sz="4" w:space="0"/>
              <w:bottom w:val="single" w:color="auto" w:sz="4" w:space="0"/>
              <w:right w:val="single" w:color="auto" w:sz="4" w:space="0"/>
            </w:tcBorders>
          </w:tcPr>
          <w:p>
            <w:pPr>
              <w:jc w:val="right"/>
            </w:pPr>
            <w:r>
              <w:t>4,246,106.02</w:t>
            </w:r>
          </w:p>
        </w:tc>
        <w:tc>
          <w:tcPr>
            <w:tcW w:w="1348" w:type="pct"/>
            <w:tcBorders>
              <w:top w:val="single" w:color="auto" w:sz="4" w:space="0"/>
              <w:left w:val="single" w:color="auto" w:sz="4" w:space="0"/>
              <w:bottom w:val="single" w:color="auto" w:sz="4" w:space="0"/>
              <w:right w:val="single" w:color="auto" w:sz="4" w:space="0"/>
            </w:tcBorders>
          </w:tcPr>
          <w:p>
            <w:pPr>
              <w:jc w:val="right"/>
            </w:pPr>
            <w:r>
              <w:t>2,577,120.50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业务招待费</w:t>
            </w:r>
          </w:p>
        </w:tc>
        <w:tc>
          <w:tcPr>
            <w:tcW w:w="1439"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2,531,224.12 </w:t>
            </w:r>
          </w:p>
        </w:tc>
        <w:tc>
          <w:tcPr>
            <w:tcW w:w="1348"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5,446,944.83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t>物业费用</w:t>
            </w:r>
          </w:p>
        </w:tc>
        <w:tc>
          <w:tcPr>
            <w:tcW w:w="1439" w:type="pct"/>
            <w:tcBorders>
              <w:top w:val="single" w:color="auto" w:sz="4" w:space="0"/>
              <w:left w:val="single" w:color="auto" w:sz="4" w:space="0"/>
              <w:bottom w:val="single" w:color="auto" w:sz="4" w:space="0"/>
              <w:right w:val="single" w:color="auto" w:sz="4" w:space="0"/>
            </w:tcBorders>
          </w:tcPr>
          <w:p>
            <w:pPr>
              <w:jc w:val="right"/>
            </w:pPr>
            <w:r>
              <w:t>1,813,994.48</w:t>
            </w:r>
          </w:p>
        </w:tc>
        <w:tc>
          <w:tcPr>
            <w:tcW w:w="1348" w:type="pct"/>
            <w:tcBorders>
              <w:top w:val="single" w:color="auto" w:sz="4" w:space="0"/>
              <w:left w:val="single" w:color="auto" w:sz="4" w:space="0"/>
              <w:bottom w:val="single" w:color="auto" w:sz="4" w:space="0"/>
              <w:right w:val="single" w:color="auto" w:sz="4" w:space="0"/>
            </w:tcBorders>
          </w:tcPr>
          <w:p>
            <w:pPr>
              <w:jc w:val="right"/>
            </w:pPr>
            <w:r>
              <w:t>1,652,446.11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办公费</w:t>
            </w:r>
          </w:p>
        </w:tc>
        <w:tc>
          <w:tcPr>
            <w:tcW w:w="1439"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1,251,899.19 </w:t>
            </w:r>
          </w:p>
        </w:tc>
        <w:tc>
          <w:tcPr>
            <w:tcW w:w="1348"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1,244,939.69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差旅费</w:t>
            </w:r>
          </w:p>
        </w:tc>
        <w:tc>
          <w:tcPr>
            <w:tcW w:w="1439"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1,030,465.09 </w:t>
            </w:r>
          </w:p>
        </w:tc>
        <w:tc>
          <w:tcPr>
            <w:tcW w:w="1348"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837,557.06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其他</w:t>
            </w:r>
          </w:p>
        </w:tc>
        <w:tc>
          <w:tcPr>
            <w:tcW w:w="1439"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3,580,288.96 </w:t>
            </w:r>
          </w:p>
        </w:tc>
        <w:tc>
          <w:tcPr>
            <w:tcW w:w="1348"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3,669,418.86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39" w:type="pct"/>
            <w:tcBorders>
              <w:top w:val="single" w:color="auto" w:sz="4" w:space="0"/>
              <w:left w:val="single" w:color="auto" w:sz="4" w:space="0"/>
              <w:bottom w:val="single" w:color="auto" w:sz="4" w:space="0"/>
              <w:right w:val="single" w:color="auto" w:sz="4" w:space="0"/>
            </w:tcBorders>
          </w:tcPr>
          <w:p>
            <w:pPr>
              <w:jc w:val="right"/>
            </w:pPr>
            <w:r>
              <w:t xml:space="preserve"> 63,745,003.49 </w:t>
            </w:r>
          </w:p>
        </w:tc>
        <w:tc>
          <w:tcPr>
            <w:tcW w:w="1348" w:type="pct"/>
            <w:tcBorders>
              <w:top w:val="single" w:color="auto" w:sz="4" w:space="0"/>
              <w:left w:val="single" w:color="auto" w:sz="4" w:space="0"/>
              <w:bottom w:val="single" w:color="auto" w:sz="4" w:space="0"/>
              <w:right w:val="single" w:color="auto" w:sz="4" w:space="0"/>
            </w:tcBorders>
          </w:tcPr>
          <w:p>
            <w:pPr>
              <w:jc w:val="right"/>
            </w:pPr>
            <w:r>
              <w:t xml:space="preserve"> 63,176,217.35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管理费用的其他说明事项"/>
        <w:tag w:val="_GBC_2ddba7c397f842b2a457e4f7fe020aca"/>
        <w:id w:val="169373099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41"/>
        </w:numPr>
        <w:rPr>
          <w:color w:val="000000" w:themeColor="text1"/>
          <w:szCs w:val="21"/>
          <w14:textFill>
            <w14:solidFill>
              <w14:schemeClr w14:val="tx1"/>
            </w14:solidFill>
          </w14:textFill>
        </w:rPr>
      </w:pPr>
      <w:bookmarkStart w:id="408" w:name="_Hlk10538261"/>
      <w:r>
        <w:rPr>
          <w:color w:val="000000" w:themeColor="text1"/>
          <w:szCs w:val="21"/>
          <w14:textFill>
            <w14:solidFill>
              <w14:schemeClr w14:val="tx1"/>
            </w14:solidFill>
          </w14:textFill>
        </w:rPr>
        <w:t>研发费用</w:t>
      </w:r>
    </w:p>
    <w:sdt>
      <w:sdtPr>
        <w:rPr>
          <w:color w:val="000000" w:themeColor="text1"/>
          <w14:textFill>
            <w14:solidFill>
              <w14:schemeClr w14:val="tx1"/>
            </w14:solidFill>
          </w14:textFill>
        </w:rPr>
        <w:alias w:val="是否适用：研发费用[双击切换]"/>
        <w:tag w:val="_GBC_48b4a6beb6f54c3ba7c01af3727337bb"/>
        <w:id w:val="-15761917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ind w:left="420"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研发费用"/>
          <w:tag w:val="_GBC_a0292321d82f46b8823ab163b1084fea"/>
          <w:id w:val="-180369396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研发费用"/>
          <w:tag w:val="_GBC_a0b2b92cacc24641a2d69fc025b920ea"/>
          <w:id w:val="78831916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5"/>
        <w:gridCol w:w="2604"/>
        <w:gridCol w:w="2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78c2bf88dff43e8bf48fe187921cf85"/>
            <w:id w:val="1228263217"/>
          </w:sdtPr>
          <w:sdtContent>
            <w:tc>
              <w:tcPr>
                <w:tcW w:w="2213"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043e1c3ae76a497c9be9c1eef3db33c6"/>
            <w:id w:val="5260363"/>
          </w:sdtPr>
          <w:sdtContent>
            <w:tc>
              <w:tcPr>
                <w:tcW w:w="1439"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d0588c88282b4dae9e42d7ffd38d27c6"/>
            <w:id w:val="1382904912"/>
          </w:sdtPr>
          <w:sdtContent>
            <w:tc>
              <w:tcPr>
                <w:tcW w:w="1348"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t>职工薪酬</w:t>
            </w:r>
          </w:p>
        </w:tc>
        <w:tc>
          <w:tcPr>
            <w:tcW w:w="1439" w:type="pct"/>
            <w:tcBorders>
              <w:top w:val="single" w:color="auto" w:sz="4" w:space="0"/>
              <w:left w:val="single" w:color="auto" w:sz="4" w:space="0"/>
              <w:bottom w:val="single" w:color="auto" w:sz="4" w:space="0"/>
              <w:right w:val="single" w:color="auto" w:sz="4" w:space="0"/>
            </w:tcBorders>
          </w:tcPr>
          <w:p>
            <w:pPr>
              <w:jc w:val="right"/>
            </w:pPr>
            <w:r>
              <w:t>8,157,887.47</w:t>
            </w:r>
          </w:p>
        </w:tc>
        <w:tc>
          <w:tcPr>
            <w:tcW w:w="1348" w:type="pct"/>
            <w:tcBorders>
              <w:top w:val="single" w:color="auto" w:sz="4" w:space="0"/>
              <w:left w:val="single" w:color="auto" w:sz="4" w:space="0"/>
              <w:bottom w:val="single" w:color="auto" w:sz="4" w:space="0"/>
              <w:right w:val="single" w:color="auto" w:sz="4" w:space="0"/>
            </w:tcBorders>
          </w:tcPr>
          <w:p>
            <w:pPr>
              <w:jc w:val="right"/>
            </w:pPr>
            <w:r>
              <w:t>8,424,753.77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t>检测费及委外研究费用</w:t>
            </w:r>
          </w:p>
        </w:tc>
        <w:tc>
          <w:tcPr>
            <w:tcW w:w="1439" w:type="pct"/>
            <w:tcBorders>
              <w:top w:val="single" w:color="auto" w:sz="4" w:space="0"/>
              <w:left w:val="single" w:color="auto" w:sz="4" w:space="0"/>
              <w:bottom w:val="single" w:color="auto" w:sz="4" w:space="0"/>
              <w:right w:val="single" w:color="auto" w:sz="4" w:space="0"/>
            </w:tcBorders>
          </w:tcPr>
          <w:p>
            <w:pPr>
              <w:jc w:val="right"/>
            </w:pPr>
            <w:r>
              <w:t>4,362,270.73</w:t>
            </w:r>
          </w:p>
        </w:tc>
        <w:tc>
          <w:tcPr>
            <w:tcW w:w="1348" w:type="pct"/>
            <w:tcBorders>
              <w:top w:val="single" w:color="auto" w:sz="4" w:space="0"/>
              <w:left w:val="single" w:color="auto" w:sz="4" w:space="0"/>
              <w:bottom w:val="single" w:color="auto" w:sz="4" w:space="0"/>
              <w:right w:val="single" w:color="auto" w:sz="4" w:space="0"/>
            </w:tcBorders>
          </w:tcPr>
          <w:p>
            <w:pPr>
              <w:jc w:val="right"/>
            </w:pPr>
            <w:r>
              <w:t>2,762,514.20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t>材料费</w:t>
            </w:r>
          </w:p>
        </w:tc>
        <w:tc>
          <w:tcPr>
            <w:tcW w:w="1439" w:type="pct"/>
            <w:tcBorders>
              <w:top w:val="single" w:color="auto" w:sz="4" w:space="0"/>
              <w:left w:val="single" w:color="auto" w:sz="4" w:space="0"/>
              <w:bottom w:val="single" w:color="auto" w:sz="4" w:space="0"/>
              <w:right w:val="single" w:color="auto" w:sz="4" w:space="0"/>
            </w:tcBorders>
          </w:tcPr>
          <w:p>
            <w:pPr>
              <w:jc w:val="right"/>
            </w:pPr>
            <w:r>
              <w:t>3,946,989.72</w:t>
            </w:r>
          </w:p>
        </w:tc>
        <w:tc>
          <w:tcPr>
            <w:tcW w:w="1348" w:type="pct"/>
            <w:tcBorders>
              <w:top w:val="single" w:color="auto" w:sz="4" w:space="0"/>
              <w:left w:val="single" w:color="auto" w:sz="4" w:space="0"/>
              <w:bottom w:val="single" w:color="auto" w:sz="4" w:space="0"/>
              <w:right w:val="single" w:color="auto" w:sz="4" w:space="0"/>
            </w:tcBorders>
          </w:tcPr>
          <w:p>
            <w:pPr>
              <w:jc w:val="right"/>
            </w:pPr>
            <w:r>
              <w:t>5,768,168.87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折旧费</w:t>
            </w:r>
          </w:p>
        </w:tc>
        <w:tc>
          <w:tcPr>
            <w:tcW w:w="1439" w:type="pct"/>
            <w:tcBorders>
              <w:top w:val="single" w:color="auto" w:sz="4" w:space="0"/>
              <w:left w:val="single" w:color="auto" w:sz="4" w:space="0"/>
              <w:bottom w:val="single" w:color="auto" w:sz="4" w:space="0"/>
              <w:right w:val="single" w:color="auto" w:sz="4" w:space="0"/>
            </w:tcBorders>
          </w:tcPr>
          <w:p>
            <w:pPr>
              <w:jc w:val="right"/>
            </w:pPr>
            <w:r>
              <w:t xml:space="preserve"> 3,493,806.11 </w:t>
            </w:r>
          </w:p>
        </w:tc>
        <w:tc>
          <w:tcPr>
            <w:tcW w:w="1348" w:type="pct"/>
            <w:tcBorders>
              <w:top w:val="single" w:color="auto" w:sz="4" w:space="0"/>
              <w:left w:val="single" w:color="auto" w:sz="4" w:space="0"/>
              <w:bottom w:val="single" w:color="auto" w:sz="4" w:space="0"/>
              <w:right w:val="single" w:color="auto" w:sz="4" w:space="0"/>
            </w:tcBorders>
          </w:tcPr>
          <w:p>
            <w:pPr>
              <w:jc w:val="right"/>
            </w:pPr>
            <w:r>
              <w:t xml:space="preserve"> 2,213,805.27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燃料及动力</w:t>
            </w:r>
          </w:p>
        </w:tc>
        <w:tc>
          <w:tcPr>
            <w:tcW w:w="1439" w:type="pct"/>
            <w:tcBorders>
              <w:top w:val="single" w:color="auto" w:sz="4" w:space="0"/>
              <w:left w:val="single" w:color="auto" w:sz="4" w:space="0"/>
              <w:bottom w:val="single" w:color="auto" w:sz="4" w:space="0"/>
              <w:right w:val="single" w:color="auto" w:sz="4" w:space="0"/>
            </w:tcBorders>
          </w:tcPr>
          <w:p>
            <w:pPr>
              <w:jc w:val="right"/>
            </w:pPr>
            <w:r>
              <w:t xml:space="preserve"> 141,261.73 </w:t>
            </w:r>
          </w:p>
        </w:tc>
        <w:tc>
          <w:tcPr>
            <w:tcW w:w="1348" w:type="pct"/>
            <w:tcBorders>
              <w:top w:val="single" w:color="auto" w:sz="4" w:space="0"/>
              <w:left w:val="single" w:color="auto" w:sz="4" w:space="0"/>
              <w:bottom w:val="single" w:color="auto" w:sz="4" w:space="0"/>
              <w:right w:val="single" w:color="auto" w:sz="4" w:space="0"/>
            </w:tcBorders>
          </w:tcPr>
          <w:p>
            <w:pPr>
              <w:jc w:val="right"/>
            </w:pPr>
            <w:r>
              <w:t xml:space="preserve"> 158,929.24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其他</w:t>
            </w:r>
          </w:p>
        </w:tc>
        <w:tc>
          <w:tcPr>
            <w:tcW w:w="1439" w:type="pct"/>
            <w:tcBorders>
              <w:top w:val="single" w:color="auto" w:sz="4" w:space="0"/>
              <w:left w:val="single" w:color="auto" w:sz="4" w:space="0"/>
              <w:bottom w:val="single" w:color="auto" w:sz="4" w:space="0"/>
              <w:right w:val="single" w:color="auto" w:sz="4" w:space="0"/>
            </w:tcBorders>
          </w:tcPr>
          <w:p>
            <w:pPr>
              <w:jc w:val="right"/>
            </w:pPr>
            <w:r>
              <w:t xml:space="preserve"> 652,686.74 </w:t>
            </w:r>
          </w:p>
        </w:tc>
        <w:tc>
          <w:tcPr>
            <w:tcW w:w="1348" w:type="pct"/>
            <w:tcBorders>
              <w:top w:val="single" w:color="auto" w:sz="4" w:space="0"/>
              <w:left w:val="single" w:color="auto" w:sz="4" w:space="0"/>
              <w:bottom w:val="single" w:color="auto" w:sz="4" w:space="0"/>
              <w:right w:val="single" w:color="auto" w:sz="4" w:space="0"/>
            </w:tcBorders>
          </w:tcPr>
          <w:p>
            <w:pPr>
              <w:jc w:val="right"/>
            </w:pPr>
            <w:r>
              <w:t xml:space="preserve"> 1,236,872.69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39" w:type="pct"/>
            <w:tcBorders>
              <w:top w:val="single" w:color="auto" w:sz="4" w:space="0"/>
              <w:left w:val="single" w:color="auto" w:sz="4" w:space="0"/>
              <w:bottom w:val="single" w:color="auto" w:sz="4" w:space="0"/>
              <w:right w:val="single" w:color="auto" w:sz="4" w:space="0"/>
            </w:tcBorders>
          </w:tcPr>
          <w:p>
            <w:pPr>
              <w:jc w:val="right"/>
            </w:pPr>
            <w:r>
              <w:t xml:space="preserve"> 20,754,902.50 </w:t>
            </w:r>
          </w:p>
        </w:tc>
        <w:tc>
          <w:tcPr>
            <w:tcW w:w="1348" w:type="pct"/>
            <w:tcBorders>
              <w:top w:val="single" w:color="auto" w:sz="4" w:space="0"/>
              <w:left w:val="single" w:color="auto" w:sz="4" w:space="0"/>
              <w:bottom w:val="single" w:color="auto" w:sz="4" w:space="0"/>
              <w:right w:val="single" w:color="auto" w:sz="4" w:space="0"/>
            </w:tcBorders>
          </w:tcPr>
          <w:p>
            <w:pPr>
              <w:jc w:val="right"/>
            </w:pPr>
            <w:r>
              <w:t xml:space="preserve"> 20,565,044.04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研发费用其他说明"/>
        <w:tag w:val="_GBC_f09ad1e9748e43059f8db34f9454426c"/>
        <w:id w:val="-117425777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408"/>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财务费用</w:t>
      </w:r>
    </w:p>
    <w:sdt>
      <w:sdtPr>
        <w:rPr>
          <w:color w:val="000000" w:themeColor="text1"/>
          <w14:textFill>
            <w14:solidFill>
              <w14:schemeClr w14:val="tx1"/>
            </w14:solidFill>
          </w14:textFill>
        </w:rPr>
        <w:alias w:val="是否适用：财务费用[双击切换]"/>
        <w:tag w:val="_GBC_699d8bdb2f1f4504a0ea4ccbc8889cfa"/>
        <w:id w:val="-207480390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费用"/>
          <w:tag w:val="_GBC_eb9e02dce68144759561a3427fb3099a"/>
          <w:id w:val="-63293881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费用"/>
          <w:tag w:val="_GBC_8e992a76854b4bd0a3f5cd49b31a4604"/>
          <w:id w:val="-6331720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5"/>
        <w:gridCol w:w="2604"/>
        <w:gridCol w:w="2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c57c227174f044c4bfa2c0fda1e37156"/>
            <w:id w:val="1358468815"/>
          </w:sdtPr>
          <w:sdtContent>
            <w:tc>
              <w:tcPr>
                <w:tcW w:w="2213"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7b23aa0bcb6433894875c858270ab7f"/>
            <w:id w:val="-489019616"/>
          </w:sdtPr>
          <w:sdtContent>
            <w:tc>
              <w:tcPr>
                <w:tcW w:w="1439"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d79245f93e3d475b953b3e44bb1c6425"/>
            <w:id w:val="970322443"/>
          </w:sdtPr>
          <w:sdtContent>
            <w:tc>
              <w:tcPr>
                <w:tcW w:w="1348"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利息支出</w:t>
            </w:r>
          </w:p>
        </w:tc>
        <w:tc>
          <w:tcPr>
            <w:tcW w:w="1439" w:type="pct"/>
            <w:tcBorders>
              <w:top w:val="single" w:color="auto" w:sz="4" w:space="0"/>
              <w:left w:val="single" w:color="auto" w:sz="4" w:space="0"/>
              <w:bottom w:val="single" w:color="auto" w:sz="4" w:space="0"/>
              <w:right w:val="single" w:color="auto" w:sz="4" w:space="0"/>
            </w:tcBorders>
          </w:tcPr>
          <w:p>
            <w:pPr>
              <w:jc w:val="right"/>
            </w:pPr>
            <w:r>
              <w:t xml:space="preserve"> 30,028,458.04 </w:t>
            </w:r>
          </w:p>
        </w:tc>
        <w:tc>
          <w:tcPr>
            <w:tcW w:w="1348" w:type="pct"/>
            <w:tcBorders>
              <w:top w:val="single" w:color="auto" w:sz="4" w:space="0"/>
              <w:left w:val="single" w:color="auto" w:sz="4" w:space="0"/>
              <w:bottom w:val="single" w:color="auto" w:sz="4" w:space="0"/>
              <w:right w:val="single" w:color="auto" w:sz="4" w:space="0"/>
            </w:tcBorders>
          </w:tcPr>
          <w:p>
            <w:pPr>
              <w:jc w:val="right"/>
            </w:pPr>
            <w:r>
              <w:t xml:space="preserve"> 26,894,497.85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减：利息收入</w:t>
            </w:r>
          </w:p>
        </w:tc>
        <w:tc>
          <w:tcPr>
            <w:tcW w:w="1439" w:type="pct"/>
            <w:tcBorders>
              <w:top w:val="single" w:color="auto" w:sz="4" w:space="0"/>
              <w:left w:val="single" w:color="auto" w:sz="4" w:space="0"/>
              <w:bottom w:val="single" w:color="auto" w:sz="4" w:space="0"/>
              <w:right w:val="single" w:color="auto" w:sz="4" w:space="0"/>
            </w:tcBorders>
          </w:tcPr>
          <w:p>
            <w:pPr>
              <w:jc w:val="right"/>
            </w:pPr>
            <w:r>
              <w:t xml:space="preserve"> 14,283,100.99 </w:t>
            </w:r>
          </w:p>
        </w:tc>
        <w:tc>
          <w:tcPr>
            <w:tcW w:w="1348" w:type="pct"/>
            <w:tcBorders>
              <w:top w:val="single" w:color="auto" w:sz="4" w:space="0"/>
              <w:left w:val="single" w:color="auto" w:sz="4" w:space="0"/>
              <w:bottom w:val="single" w:color="auto" w:sz="4" w:space="0"/>
              <w:right w:val="single" w:color="auto" w:sz="4" w:space="0"/>
            </w:tcBorders>
          </w:tcPr>
          <w:p>
            <w:pPr>
              <w:jc w:val="right"/>
            </w:pPr>
            <w:r>
              <w:t xml:space="preserve"> 18,082,394.86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汇兑损益</w:t>
            </w:r>
          </w:p>
        </w:tc>
        <w:tc>
          <w:tcPr>
            <w:tcW w:w="1439" w:type="pct"/>
            <w:tcBorders>
              <w:top w:val="single" w:color="auto" w:sz="4" w:space="0"/>
              <w:left w:val="single" w:color="auto" w:sz="4" w:space="0"/>
              <w:bottom w:val="single" w:color="auto" w:sz="4" w:space="0"/>
              <w:right w:val="single" w:color="auto" w:sz="4" w:space="0"/>
            </w:tcBorders>
          </w:tcPr>
          <w:p>
            <w:pPr>
              <w:jc w:val="right"/>
            </w:pPr>
            <w:r>
              <w:t xml:space="preserve"> 2,860,821.27 </w:t>
            </w:r>
          </w:p>
        </w:tc>
        <w:tc>
          <w:tcPr>
            <w:tcW w:w="1348" w:type="pct"/>
            <w:tcBorders>
              <w:top w:val="single" w:color="auto" w:sz="4" w:space="0"/>
              <w:left w:val="single" w:color="auto" w:sz="4" w:space="0"/>
              <w:bottom w:val="single" w:color="auto" w:sz="4" w:space="0"/>
              <w:right w:val="single" w:color="auto" w:sz="4" w:space="0"/>
            </w:tcBorders>
          </w:tcPr>
          <w:p>
            <w:pPr>
              <w:jc w:val="right"/>
            </w:pPr>
            <w:r>
              <w:t xml:space="preserve"> 182,450.58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手续费</w:t>
            </w:r>
          </w:p>
        </w:tc>
        <w:tc>
          <w:tcPr>
            <w:tcW w:w="1439" w:type="pct"/>
            <w:tcBorders>
              <w:top w:val="single" w:color="auto" w:sz="4" w:space="0"/>
              <w:left w:val="single" w:color="auto" w:sz="4" w:space="0"/>
              <w:bottom w:val="single" w:color="auto" w:sz="4" w:space="0"/>
              <w:right w:val="single" w:color="auto" w:sz="4" w:space="0"/>
            </w:tcBorders>
          </w:tcPr>
          <w:p>
            <w:pPr>
              <w:jc w:val="right"/>
            </w:pPr>
            <w:r>
              <w:t xml:space="preserve"> 933,983.00 </w:t>
            </w:r>
          </w:p>
        </w:tc>
        <w:tc>
          <w:tcPr>
            <w:tcW w:w="1348" w:type="pct"/>
            <w:tcBorders>
              <w:top w:val="single" w:color="auto" w:sz="4" w:space="0"/>
              <w:left w:val="single" w:color="auto" w:sz="4" w:space="0"/>
              <w:bottom w:val="single" w:color="auto" w:sz="4" w:space="0"/>
              <w:right w:val="single" w:color="auto" w:sz="4" w:space="0"/>
            </w:tcBorders>
          </w:tcPr>
          <w:p>
            <w:pPr>
              <w:jc w:val="right"/>
            </w:pPr>
            <w:r>
              <w:t xml:space="preserve"> 622,818.28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13"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39" w:type="pct"/>
            <w:tcBorders>
              <w:top w:val="single" w:color="auto" w:sz="4" w:space="0"/>
              <w:left w:val="single" w:color="auto" w:sz="4" w:space="0"/>
              <w:bottom w:val="single" w:color="auto" w:sz="4" w:space="0"/>
              <w:right w:val="single" w:color="auto" w:sz="4" w:space="0"/>
            </w:tcBorders>
          </w:tcPr>
          <w:p>
            <w:pPr>
              <w:jc w:val="right"/>
            </w:pPr>
            <w:r>
              <w:t xml:space="preserve"> 19,540,161.32 </w:t>
            </w:r>
          </w:p>
        </w:tc>
        <w:tc>
          <w:tcPr>
            <w:tcW w:w="1348" w:type="pct"/>
            <w:tcBorders>
              <w:top w:val="single" w:color="auto" w:sz="4" w:space="0"/>
              <w:left w:val="single" w:color="auto" w:sz="4" w:space="0"/>
              <w:bottom w:val="single" w:color="auto" w:sz="4" w:space="0"/>
              <w:right w:val="single" w:color="auto" w:sz="4" w:space="0"/>
            </w:tcBorders>
          </w:tcPr>
          <w:p>
            <w:pPr>
              <w:jc w:val="right"/>
            </w:pPr>
            <w:r>
              <w:t xml:space="preserve"> 9,617,371.85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财务费用的其他说明事项"/>
        <w:tag w:val="_GBC_5bd15645edcc4a51b94ddca48ee9be98"/>
        <w:id w:val="-15330210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其他收益</w:t>
      </w:r>
    </w:p>
    <w:sdt>
      <w:sdtPr>
        <w:rPr>
          <w:color w:val="000000" w:themeColor="text1"/>
          <w14:textFill>
            <w14:solidFill>
              <w14:schemeClr w14:val="tx1"/>
            </w14:solidFill>
          </w14:textFill>
        </w:rPr>
        <w:alias w:val="是否适用：财务报表其他收益[双击切换]"/>
        <w:tag w:val="_GBC_86fde94b0d4e4b1f997adc6f063babf7"/>
        <w:id w:val="74246110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rFonts w:cstheme="minorBidi"/>
          <w:bCs w:val="0"/>
          <w:color w:val="000000" w:themeColor="text1"/>
          <w:szCs w:val="22"/>
          <w14:textFill>
            <w14:solidFill>
              <w14:schemeClr w14:val="tx1"/>
            </w14:solidFill>
          </w14:textFill>
        </w:rPr>
      </w:pPr>
      <w:r>
        <w:rPr>
          <w:rFonts w:cstheme="minorBidi"/>
          <w:color w:val="000000" w:themeColor="text1"/>
          <w:szCs w:val="22"/>
          <w14:textFill>
            <w14:solidFill>
              <w14:schemeClr w14:val="tx1"/>
            </w14:solidFill>
          </w14:textFill>
        </w:rPr>
        <w:t>单位：</w:t>
      </w:r>
      <w:sdt>
        <w:sdtPr>
          <w:rPr>
            <w:rFonts w:cstheme="minorBidi"/>
            <w:bCs w:val="0"/>
            <w:color w:val="000000" w:themeColor="text1"/>
            <w:szCs w:val="22"/>
            <w14:textFill>
              <w14:solidFill>
                <w14:schemeClr w14:val="tx1"/>
              </w14:solidFill>
            </w14:textFill>
          </w:rPr>
          <w:alias w:val="单位：财务报表其他收益明细"/>
          <w:tag w:val="_GBC_12755937dc3b48a489abda6cc5cda8d6"/>
          <w:id w:val="177851258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cstheme="minorBidi"/>
            <w:bCs w:val="0"/>
            <w:color w:val="000000" w:themeColor="text1"/>
            <w:szCs w:val="22"/>
            <w14:textFill>
              <w14:solidFill>
                <w14:schemeClr w14:val="tx1"/>
              </w14:solidFill>
            </w14:textFill>
          </w:rPr>
        </w:sdtEndPr>
        <w:sdtContent>
          <w:r>
            <w:rPr>
              <w:rFonts w:cstheme="minorBidi"/>
              <w:bCs w:val="0"/>
              <w:color w:val="000000" w:themeColor="text1"/>
              <w:szCs w:val="22"/>
              <w14:textFill>
                <w14:solidFill>
                  <w14:schemeClr w14:val="tx1"/>
                </w14:solidFill>
              </w14:textFill>
            </w:rPr>
            <w:t>元</w:t>
          </w:r>
        </w:sdtContent>
      </w:sdt>
      <w:r>
        <w:rPr>
          <w:rFonts w:cstheme="minorBidi"/>
          <w:color w:val="000000" w:themeColor="text1"/>
          <w:szCs w:val="22"/>
          <w14:textFill>
            <w14:solidFill>
              <w14:schemeClr w14:val="tx1"/>
            </w14:solidFill>
          </w14:textFill>
        </w:rPr>
        <w:t xml:space="preserve">  币种：</w:t>
      </w:r>
      <w:sdt>
        <w:sdtPr>
          <w:rPr>
            <w:rFonts w:cstheme="minorBidi"/>
            <w:bCs w:val="0"/>
            <w:color w:val="000000" w:themeColor="text1"/>
            <w:szCs w:val="22"/>
            <w14:textFill>
              <w14:solidFill>
                <w14:schemeClr w14:val="tx1"/>
              </w14:solidFill>
            </w14:textFill>
          </w:rPr>
          <w:alias w:val="币种：财务报表其他收益明细"/>
          <w:tag w:val="_GBC_3daaaf66c73e4201b067378f3d17e13f"/>
          <w:id w:val="187133566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cstheme="minorBidi"/>
            <w:bCs w:val="0"/>
            <w:color w:val="000000" w:themeColor="text1"/>
            <w:szCs w:val="22"/>
            <w14:textFill>
              <w14:solidFill>
                <w14:schemeClr w14:val="tx1"/>
              </w14:solidFill>
            </w14:textFill>
          </w:rPr>
        </w:sdtEndPr>
        <w:sdtContent>
          <w:r>
            <w:rPr>
              <w:rFonts w:cstheme="minorBidi"/>
              <w:bCs w:val="0"/>
              <w:color w:val="000000" w:themeColor="text1"/>
              <w:szCs w:val="22"/>
              <w14:textFill>
                <w14:solidFill>
                  <w14:schemeClr w14:val="tx1"/>
                </w14:solidFill>
              </w14:textFill>
            </w:rPr>
            <w:t>人民币</w:t>
          </w:r>
        </w:sdtContent>
      </w:sdt>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71"/>
        <w:gridCol w:w="2490"/>
        <w:gridCol w:w="2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1" w:type="dxa"/>
          </w:tcPr>
          <w:sdt>
            <w:sdtPr>
              <w:tag w:val="_PLD_92b33ced889140b7b84894c5f486f4e6"/>
              <w:id w:val="-993715759"/>
            </w:sdtPr>
            <w:sdtContent>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按性质分类</w:t>
                </w:r>
              </w:p>
            </w:sdtContent>
          </w:sdt>
        </w:tc>
        <w:tc>
          <w:tcPr>
            <w:tcW w:w="2490" w:type="dxa"/>
          </w:tcPr>
          <w:sdt>
            <w:sdtPr>
              <w:tag w:val="_PLD_73b3023fbaed423bbb8ca1ec42a2eaf9"/>
              <w:id w:val="-1523469463"/>
            </w:sdtPr>
            <w:sdtContent>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sdtContent>
          </w:sdt>
        </w:tc>
        <w:tc>
          <w:tcPr>
            <w:tcW w:w="2362" w:type="dxa"/>
          </w:tcPr>
          <w:sdt>
            <w:sdtPr>
              <w:tag w:val="_PLD_9f39351a333c497da22a0955aff07b4c"/>
              <w:id w:val="390698632"/>
            </w:sdtPr>
            <w:sdtContent>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1" w:type="dxa"/>
          </w:tcPr>
          <w:p>
            <w:pPr>
              <w:pStyle w:val="48"/>
              <w:widowControl w:val="0"/>
              <w:jc w:val="both"/>
            </w:pPr>
            <w:r>
              <w:rPr>
                <w:rFonts w:hint="eastAsia"/>
              </w:rPr>
              <w:t>与资产相关的政府补助</w:t>
            </w:r>
          </w:p>
        </w:tc>
        <w:tc>
          <w:tcPr>
            <w:tcW w:w="2490" w:type="dxa"/>
          </w:tcPr>
          <w:p>
            <w:pPr>
              <w:widowControl w:val="0"/>
              <w:jc w:val="right"/>
            </w:pPr>
            <w:r>
              <w:t xml:space="preserve"> 2,628,550.78 </w:t>
            </w:r>
          </w:p>
        </w:tc>
        <w:tc>
          <w:tcPr>
            <w:tcW w:w="2362" w:type="dxa"/>
          </w:tcPr>
          <w:p>
            <w:pPr>
              <w:widowControl w:val="0"/>
              <w:jc w:val="right"/>
            </w:pPr>
            <w:r>
              <w:t xml:space="preserve"> 3,384,091.14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1" w:type="dxa"/>
          </w:tcPr>
          <w:p>
            <w:pPr>
              <w:pStyle w:val="48"/>
              <w:widowControl w:val="0"/>
              <w:jc w:val="both"/>
            </w:pPr>
            <w:r>
              <w:rPr>
                <w:rFonts w:hint="eastAsia"/>
              </w:rPr>
              <w:t>与收益相关的政府补助</w:t>
            </w:r>
          </w:p>
        </w:tc>
        <w:tc>
          <w:tcPr>
            <w:tcW w:w="2490" w:type="dxa"/>
          </w:tcPr>
          <w:p>
            <w:pPr>
              <w:widowControl w:val="0"/>
              <w:jc w:val="right"/>
            </w:pPr>
            <w:r>
              <w:t xml:space="preserve"> 16,092,635.76 </w:t>
            </w:r>
          </w:p>
        </w:tc>
        <w:tc>
          <w:tcPr>
            <w:tcW w:w="2362" w:type="dxa"/>
          </w:tcPr>
          <w:p>
            <w:pPr>
              <w:widowControl w:val="0"/>
              <w:jc w:val="right"/>
            </w:pPr>
            <w:r>
              <w:t xml:space="preserve"> 4,001,045.46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1" w:type="dxa"/>
          </w:tcPr>
          <w:p>
            <w:pPr>
              <w:pStyle w:val="48"/>
              <w:widowControl w:val="0"/>
              <w:jc w:val="both"/>
            </w:pPr>
            <w:r>
              <w:rPr>
                <w:rFonts w:hint="eastAsia"/>
              </w:rPr>
              <w:t>增值税加计抵减</w:t>
            </w:r>
          </w:p>
        </w:tc>
        <w:tc>
          <w:tcPr>
            <w:tcW w:w="2490" w:type="dxa"/>
          </w:tcPr>
          <w:p>
            <w:pPr>
              <w:widowControl w:val="0"/>
              <w:jc w:val="right"/>
            </w:pPr>
            <w:r>
              <w:t xml:space="preserve"> 10,422,701.66 </w:t>
            </w:r>
          </w:p>
        </w:tc>
        <w:tc>
          <w:tcPr>
            <w:tcW w:w="2362" w:type="dxa"/>
          </w:tcPr>
          <w:p>
            <w:pPr>
              <w:widowControl w:val="0"/>
              <w:jc w:val="right"/>
            </w:pPr>
            <w:r>
              <w:t xml:space="preserve"> 8,821,964.04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71" w:type="dxa"/>
          </w:tcPr>
          <w:p>
            <w:pPr>
              <w:pStyle w:val="48"/>
              <w:widowControl w:val="0"/>
              <w:jc w:val="both"/>
            </w:pPr>
            <w:r>
              <w:rPr>
                <w:rFonts w:hint="eastAsia"/>
              </w:rPr>
              <w:t>代扣个人所得税手续费返还</w:t>
            </w:r>
          </w:p>
        </w:tc>
        <w:tc>
          <w:tcPr>
            <w:tcW w:w="2490" w:type="dxa"/>
          </w:tcPr>
          <w:p>
            <w:pPr>
              <w:widowControl w:val="0"/>
              <w:jc w:val="right"/>
            </w:pPr>
            <w:r>
              <w:t xml:space="preserve"> 141,356.69 </w:t>
            </w:r>
          </w:p>
        </w:tc>
        <w:tc>
          <w:tcPr>
            <w:tcW w:w="2362" w:type="dxa"/>
          </w:tcPr>
          <w:p>
            <w:pPr>
              <w:widowControl w:val="0"/>
              <w:jc w:val="right"/>
            </w:pPr>
            <w:r>
              <w:t xml:space="preserve"> 204,486.41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1" w:type="dxa"/>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2490" w:type="dxa"/>
          </w:tcPr>
          <w:p>
            <w:pPr>
              <w:widowControl w:val="0"/>
              <w:jc w:val="right"/>
            </w:pPr>
            <w:r>
              <w:t xml:space="preserve"> 29,285,244.89 </w:t>
            </w:r>
          </w:p>
        </w:tc>
        <w:tc>
          <w:tcPr>
            <w:tcW w:w="2362" w:type="dxa"/>
          </w:tcPr>
          <w:p>
            <w:pPr>
              <w:widowControl w:val="0"/>
              <w:jc w:val="right"/>
            </w:pPr>
            <w:r>
              <w:t xml:space="preserve"> 16,411,587.05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color w:val="000000" w:themeColor="text1"/>
          <w14:textFill>
            <w14:solidFill>
              <w14:schemeClr w14:val="tx1"/>
            </w14:solidFill>
          </w14:textFill>
        </w:rPr>
        <w:alias w:val="财务报表其他收益其他说明"/>
        <w:tag w:val="_GBC_9489a93c45754a9ea78d3a872093a735"/>
        <w:id w:val="108865989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41"/>
        </w:numPr>
        <w:rPr>
          <w:color w:val="000000" w:themeColor="text1"/>
          <w:szCs w:val="21"/>
          <w14:textFill>
            <w14:solidFill>
              <w14:schemeClr w14:val="tx1"/>
            </w14:solidFill>
          </w14:textFill>
        </w:rPr>
      </w:pPr>
      <w:bookmarkStart w:id="409" w:name="_Hlk11857276"/>
      <w:r>
        <w:rPr>
          <w:color w:val="000000" w:themeColor="text1"/>
          <w:szCs w:val="21"/>
          <w14:textFill>
            <w14:solidFill>
              <w14:schemeClr w14:val="tx1"/>
            </w14:solidFill>
          </w14:textFill>
        </w:rPr>
        <w:t>投资收益</w:t>
      </w:r>
    </w:p>
    <w:sdt>
      <w:sdtPr>
        <w:rPr>
          <w:color w:val="000000" w:themeColor="text1"/>
          <w14:textFill>
            <w14:solidFill>
              <w14:schemeClr w14:val="tx1"/>
            </w14:solidFill>
          </w14:textFill>
        </w:rPr>
        <w:alias w:val="是否适用：投资收益[双击切换]"/>
        <w:tag w:val="_GBC_39356fd9dd9e4f5497d61d781210b2fe"/>
        <w:id w:val="-20233315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b/>
          <w:color w:val="000000" w:themeColor="text1"/>
          <w14:textFill>
            <w14:solidFill>
              <w14:schemeClr w14:val="tx1"/>
            </w14:solidFill>
          </w14:textFill>
        </w:rPr>
      </w:pPr>
      <w:bookmarkStart w:id="410" w:name="_Hlk10538462"/>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单位：财务附注：会计报表中的投资收益项目增加"/>
          <w:tag w:val="_GBC_8785b82a02ca4b0db1de3227128775b4"/>
          <w:id w:val="-3579738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会计报表中的投资收益项目增加"/>
          <w:tag w:val="_GBC_c4394dc445a94e9a8a4b83889c79fcb1"/>
          <w:id w:val="211431355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2"/>
        <w:gridCol w:w="2693"/>
        <w:gridCol w:w="2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fef67a5db2c453288257a2dfe03fd6e"/>
            <w:id w:val="1746836828"/>
          </w:sdtPr>
          <w:sdtContent>
            <w:tc>
              <w:tcPr>
                <w:tcW w:w="2018" w:type="pct"/>
                <w:vAlign w:val="center"/>
              </w:tcPr>
              <w:p>
                <w:pPr>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f927d0ff25c47abb0f9b18794554af6"/>
            <w:id w:val="836969259"/>
          </w:sdtPr>
          <w:sdtContent>
            <w:tc>
              <w:tcPr>
                <w:tcW w:w="148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a6cbfed1438f48b7947079a5821a9eba"/>
            <w:id w:val="1698273817"/>
          </w:sdtPr>
          <w:sdtContent>
            <w:tc>
              <w:tcPr>
                <w:tcW w:w="149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权益法核算的长期股权投资收益</w:t>
            </w:r>
          </w:p>
        </w:tc>
        <w:tc>
          <w:tcPr>
            <w:tcW w:w="1488" w:type="pct"/>
          </w:tcPr>
          <w:p>
            <w:pPr>
              <w:jc w:val="right"/>
            </w:pPr>
            <w:r>
              <w:t xml:space="preserve"> -1,368,108.91 </w:t>
            </w:r>
          </w:p>
        </w:tc>
        <w:tc>
          <w:tcPr>
            <w:tcW w:w="1494" w:type="pct"/>
            <w:vAlign w:val="center"/>
          </w:tcPr>
          <w:p>
            <w:pPr>
              <w:jc w:val="right"/>
            </w:pPr>
            <w:r>
              <w:t xml:space="preserve"> -1,373,937.85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处置长期股权投资产生的投资收益</w:t>
            </w:r>
          </w:p>
        </w:tc>
        <w:tc>
          <w:tcPr>
            <w:tcW w:w="1488" w:type="pct"/>
          </w:tcPr>
          <w:p>
            <w:pPr>
              <w:jc w:val="right"/>
            </w:pPr>
            <w:r>
              <w:t xml:space="preserve"> -199,284.96 </w:t>
            </w:r>
          </w:p>
        </w:tc>
        <w:tc>
          <w:tcPr>
            <w:tcW w:w="1494"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其他权益工具投资在持有期间取得的股利收入</w:t>
            </w:r>
          </w:p>
        </w:tc>
        <w:tc>
          <w:tcPr>
            <w:tcW w:w="1488" w:type="pct"/>
          </w:tcPr>
          <w:p>
            <w:pPr>
              <w:jc w:val="right"/>
            </w:pPr>
          </w:p>
        </w:tc>
        <w:tc>
          <w:tcPr>
            <w:tcW w:w="1494" w:type="pct"/>
            <w:vAlign w:val="center"/>
          </w:tcPr>
          <w:p>
            <w:pPr>
              <w:jc w:val="right"/>
            </w:pPr>
            <w:r>
              <w:t xml:space="preserve"> 790,567.47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处置交易性金融资产取得的投资收益</w:t>
            </w:r>
          </w:p>
        </w:tc>
        <w:tc>
          <w:tcPr>
            <w:tcW w:w="1488" w:type="pct"/>
          </w:tcPr>
          <w:p>
            <w:pPr>
              <w:jc w:val="right"/>
            </w:pPr>
          </w:p>
        </w:tc>
        <w:tc>
          <w:tcPr>
            <w:tcW w:w="1494" w:type="pct"/>
            <w:vAlign w:val="center"/>
          </w:tcPr>
          <w:p>
            <w:pPr>
              <w:jc w:val="right"/>
            </w:pPr>
            <w:r>
              <w:t xml:space="preserve"> 70,897.54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债务重组收益</w:t>
            </w:r>
          </w:p>
        </w:tc>
        <w:tc>
          <w:tcPr>
            <w:tcW w:w="1488" w:type="pct"/>
          </w:tcPr>
          <w:p>
            <w:pPr>
              <w:jc w:val="right"/>
            </w:pPr>
            <w:r>
              <w:t xml:space="preserve"> -796.99 </w:t>
            </w:r>
          </w:p>
        </w:tc>
        <w:tc>
          <w:tcPr>
            <w:tcW w:w="1494"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pPr>
              <w:pStyle w:val="48"/>
            </w:pPr>
            <w:r>
              <w:t>贴现未到期票据终止确认贴现息</w:t>
            </w:r>
          </w:p>
        </w:tc>
        <w:tc>
          <w:tcPr>
            <w:tcW w:w="1488" w:type="pct"/>
          </w:tcPr>
          <w:p>
            <w:pPr>
              <w:jc w:val="right"/>
            </w:pPr>
            <w:r>
              <w:t xml:space="preserve"> -254,349.86 </w:t>
            </w:r>
          </w:p>
        </w:tc>
        <w:tc>
          <w:tcPr>
            <w:tcW w:w="1494"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88" w:type="pct"/>
          </w:tcPr>
          <w:p>
            <w:pPr>
              <w:jc w:val="right"/>
            </w:pPr>
            <w:r>
              <w:t xml:space="preserve"> -1,822,540.72 </w:t>
            </w:r>
          </w:p>
        </w:tc>
        <w:tc>
          <w:tcPr>
            <w:tcW w:w="1494" w:type="pct"/>
            <w:vAlign w:val="center"/>
          </w:tcPr>
          <w:p>
            <w:pPr>
              <w:jc w:val="right"/>
            </w:pPr>
            <w:r>
              <w:t xml:space="preserve"> -512,472.84 </w:t>
            </w:r>
          </w:p>
        </w:tc>
      </w:tr>
      <w:bookmarkEnd w:id="410"/>
    </w:tbl>
    <w:p>
      <w:pPr>
        <w:spacing w:before="60" w:after="60"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投资收益说明"/>
        <w:tag w:val="_GBC_911712f239a14e98b4c6c89180ceef27"/>
        <w:id w:val="-25868230"/>
        <w:placeholder>
          <w:docPart w:val="GBC22222222222222222222222222222"/>
        </w:placeholder>
      </w:sdtPr>
      <w:sdtEndPr>
        <w:rPr>
          <w:rFonts w:hint="eastAsia"/>
          <w:color w:val="000000" w:themeColor="text1"/>
          <w14:textFill>
            <w14:solidFill>
              <w14:schemeClr w14:val="tx1"/>
            </w14:solidFill>
          </w14:textFill>
        </w:rPr>
      </w:sdtEndPr>
      <w:sdtContent>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409"/>
    <w:p>
      <w:pPr>
        <w:pStyle w:val="4"/>
        <w:numPr>
          <w:ilvl w:val="0"/>
          <w:numId w:val="41"/>
        </w:numPr>
        <w:rPr>
          <w:color w:val="000000" w:themeColor="text1"/>
          <w:szCs w:val="21"/>
          <w14:textFill>
            <w14:solidFill>
              <w14:schemeClr w14:val="tx1"/>
            </w14:solidFill>
          </w14:textFill>
        </w:rPr>
      </w:pPr>
      <w:bookmarkStart w:id="411" w:name="_Hlk10538831"/>
      <w:r>
        <w:rPr>
          <w:color w:val="000000" w:themeColor="text1"/>
          <w:szCs w:val="21"/>
          <w14:textFill>
            <w14:solidFill>
              <w14:schemeClr w14:val="tx1"/>
            </w14:solidFill>
          </w14:textFill>
        </w:rPr>
        <w:t>净敞口套期收益</w:t>
      </w:r>
    </w:p>
    <w:sdt>
      <w:sdtPr>
        <w:rPr>
          <w:color w:val="000000" w:themeColor="text1"/>
          <w14:textFill>
            <w14:solidFill>
              <w14:schemeClr w14:val="tx1"/>
            </w14:solidFill>
          </w14:textFill>
        </w:rPr>
        <w:alias w:val="是否适用：净敞口套期收益[双击切换]"/>
        <w:tag w:val="_GBC_33e106b71ec640cd9126570421557bda"/>
        <w:id w:val="54626723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11"/>
    <w:p>
      <w:pPr>
        <w:pStyle w:val="4"/>
        <w:numPr>
          <w:ilvl w:val="0"/>
          <w:numId w:val="41"/>
        </w:numPr>
        <w:rPr>
          <w:color w:val="000000" w:themeColor="text1"/>
          <w:szCs w:val="21"/>
          <w14:textFill>
            <w14:solidFill>
              <w14:schemeClr w14:val="tx1"/>
            </w14:solidFill>
          </w14:textFill>
        </w:rPr>
      </w:pPr>
      <w:bookmarkStart w:id="412" w:name="_Hlk10538896"/>
      <w:r>
        <w:rPr>
          <w:color w:val="000000" w:themeColor="text1"/>
          <w:szCs w:val="21"/>
          <w14:textFill>
            <w14:solidFill>
              <w14:schemeClr w14:val="tx1"/>
            </w14:solidFill>
          </w14:textFill>
        </w:rPr>
        <w:t>公允价值变动收益</w:t>
      </w:r>
    </w:p>
    <w:sdt>
      <w:sdtPr>
        <w:rPr>
          <w:color w:val="000000" w:themeColor="text1"/>
          <w14:textFill>
            <w14:solidFill>
              <w14:schemeClr w14:val="tx1"/>
            </w14:solidFill>
          </w14:textFill>
        </w:rPr>
        <w:alias w:val="是否适用：公允价值变动收益[双击切换]"/>
        <w:tag w:val="_GBC_21669fdeb74c4273a55facece1a56109"/>
        <w:id w:val="-170416340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12"/>
    <w:p>
      <w:pPr>
        <w:pStyle w:val="4"/>
        <w:numPr>
          <w:ilvl w:val="0"/>
          <w:numId w:val="41"/>
        </w:numPr>
        <w:rPr>
          <w:color w:val="000000" w:themeColor="text1"/>
          <w:szCs w:val="21"/>
          <w14:textFill>
            <w14:solidFill>
              <w14:schemeClr w14:val="tx1"/>
            </w14:solidFill>
          </w14:textFill>
        </w:rPr>
      </w:pPr>
      <w:bookmarkStart w:id="413" w:name="_Hlk167969990"/>
      <w:r>
        <w:rPr>
          <w:color w:val="000000" w:themeColor="text1"/>
          <w:szCs w:val="21"/>
          <w14:textFill>
            <w14:solidFill>
              <w14:schemeClr w14:val="tx1"/>
            </w14:solidFill>
          </w14:textFill>
        </w:rPr>
        <w:t>信用减值损失</w:t>
      </w:r>
    </w:p>
    <w:sdt>
      <w:sdtPr>
        <w:rPr>
          <w:color w:val="000000" w:themeColor="text1"/>
          <w14:textFill>
            <w14:solidFill>
              <w14:schemeClr w14:val="tx1"/>
            </w14:solidFill>
          </w14:textFill>
        </w:rPr>
        <w:alias w:val="是否适用：信用减值损失[双击切换]"/>
        <w:tag w:val="_GBC_7f51453d7f2c4601a61d6f9899836b88"/>
        <w:id w:val="-90128917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ind w:left="420" w:firstLine="0" w:firstLineChars="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信用减值损失"/>
          <w:tag w:val="_GBC_04574a815f0f459c8817f0fb84a3e2d6"/>
          <w:id w:val="-14451741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信用减值损失"/>
          <w:tag w:val="_GBC_5ba737d77bb34cc79c6966984148e6e6"/>
          <w:id w:val="-10698807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0"/>
        <w:gridCol w:w="2688"/>
        <w:gridCol w:w="2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cc5ebd0cdc447b691d0c5739979c390"/>
            <w:id w:val="1816145139"/>
          </w:sdtPr>
          <w:sdtContent>
            <w:tc>
              <w:tcPr>
                <w:tcW w:w="201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67ef9498e104cfdabeee4ef172c6ab3"/>
            <w:id w:val="-1005592325"/>
          </w:sdtPr>
          <w:sdtContent>
            <w:tc>
              <w:tcPr>
                <w:tcW w:w="148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8c64052cb7e64d9095f4b7e849e06d53"/>
            <w:id w:val="1710837117"/>
          </w:sdtPr>
          <w:sdtContent>
            <w:tc>
              <w:tcPr>
                <w:tcW w:w="149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pPr>
              <w:rPr>
                <w:color w:val="000000" w:themeColor="text1"/>
                <w14:textFill>
                  <w14:solidFill>
                    <w14:schemeClr w14:val="tx1"/>
                  </w14:solidFill>
                </w14:textFill>
              </w:rPr>
            </w:pPr>
            <w:r>
              <w:rPr>
                <w:rFonts w:hint="eastAsia"/>
              </w:rPr>
              <w:t>应收票据坏账损失</w:t>
            </w:r>
          </w:p>
        </w:tc>
        <w:tc>
          <w:tcPr>
            <w:tcW w:w="1485" w:type="pct"/>
          </w:tcPr>
          <w:p>
            <w:pPr>
              <w:jc w:val="right"/>
            </w:pPr>
            <w:r>
              <w:t xml:space="preserve"> 2,585,885.64 </w:t>
            </w:r>
          </w:p>
        </w:tc>
        <w:tc>
          <w:tcPr>
            <w:tcW w:w="1498" w:type="pct"/>
          </w:tcPr>
          <w:p>
            <w:pPr>
              <w:jc w:val="right"/>
            </w:pPr>
            <w:r>
              <w:t xml:space="preserve"> 3,306,269.47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pPr>
              <w:rPr>
                <w:color w:val="000000" w:themeColor="text1"/>
                <w14:textFill>
                  <w14:solidFill>
                    <w14:schemeClr w14:val="tx1"/>
                  </w14:solidFill>
                </w14:textFill>
              </w:rPr>
            </w:pPr>
            <w:r>
              <w:rPr>
                <w:rFonts w:hint="eastAsia"/>
              </w:rPr>
              <w:t>应收账款坏账损失</w:t>
            </w:r>
          </w:p>
        </w:tc>
        <w:tc>
          <w:tcPr>
            <w:tcW w:w="1485" w:type="pct"/>
          </w:tcPr>
          <w:p>
            <w:pPr>
              <w:jc w:val="right"/>
            </w:pPr>
            <w:r>
              <w:t xml:space="preserve"> -7,520,251.79 </w:t>
            </w:r>
          </w:p>
        </w:tc>
        <w:tc>
          <w:tcPr>
            <w:tcW w:w="1498" w:type="pct"/>
          </w:tcPr>
          <w:p>
            <w:pPr>
              <w:jc w:val="right"/>
            </w:pPr>
            <w:r>
              <w:t xml:space="preserve"> -7,290,501.46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pPr>
              <w:rPr>
                <w:color w:val="000000" w:themeColor="text1"/>
                <w14:textFill>
                  <w14:solidFill>
                    <w14:schemeClr w14:val="tx1"/>
                  </w14:solidFill>
                </w14:textFill>
              </w:rPr>
            </w:pPr>
            <w:r>
              <w:rPr>
                <w:rFonts w:hint="eastAsia"/>
              </w:rPr>
              <w:t>应收款项融资坏账损失</w:t>
            </w:r>
          </w:p>
        </w:tc>
        <w:tc>
          <w:tcPr>
            <w:tcW w:w="1485" w:type="pct"/>
          </w:tcPr>
          <w:p>
            <w:pPr>
              <w:jc w:val="right"/>
            </w:pPr>
            <w:r>
              <w:t xml:space="preserve"> 173,433.58 </w:t>
            </w:r>
          </w:p>
        </w:tc>
        <w:tc>
          <w:tcPr>
            <w:tcW w:w="1498" w:type="pct"/>
          </w:tcPr>
          <w:p>
            <w:pPr>
              <w:jc w:val="right"/>
            </w:pPr>
            <w:r>
              <w:t xml:space="preserve"> -45,157.14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tcPr>
          <w:p>
            <w:pPr>
              <w:rPr>
                <w:color w:val="000000" w:themeColor="text1"/>
                <w14:textFill>
                  <w14:solidFill>
                    <w14:schemeClr w14:val="tx1"/>
                  </w14:solidFill>
                </w14:textFill>
              </w:rPr>
            </w:pPr>
            <w:r>
              <w:rPr>
                <w:rFonts w:hint="eastAsia"/>
              </w:rPr>
              <w:t>其他应收款坏账损失</w:t>
            </w:r>
          </w:p>
        </w:tc>
        <w:tc>
          <w:tcPr>
            <w:tcW w:w="1485" w:type="pct"/>
          </w:tcPr>
          <w:p>
            <w:pPr>
              <w:jc w:val="right"/>
            </w:pPr>
            <w:r>
              <w:t xml:space="preserve"> -1,060,208.28 </w:t>
            </w:r>
          </w:p>
        </w:tc>
        <w:tc>
          <w:tcPr>
            <w:tcW w:w="1498" w:type="pct"/>
          </w:tcPr>
          <w:p>
            <w:pPr>
              <w:jc w:val="right"/>
            </w:pPr>
            <w:r>
              <w:t xml:space="preserve"> -542,653.00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17" w:type="pct"/>
          </w:tcPr>
          <w:p>
            <w:pPr>
              <w:rPr>
                <w:color w:val="000000" w:themeColor="text1"/>
                <w14:textFill>
                  <w14:solidFill>
                    <w14:schemeClr w14:val="tx1"/>
                  </w14:solidFill>
                </w14:textFill>
              </w:rPr>
            </w:pPr>
            <w:r>
              <w:rPr>
                <w:rFonts w:hint="eastAsia"/>
              </w:rPr>
              <w:t>长期应收款坏账损失</w:t>
            </w:r>
          </w:p>
        </w:tc>
        <w:tc>
          <w:tcPr>
            <w:tcW w:w="1485" w:type="pct"/>
          </w:tcPr>
          <w:p>
            <w:pPr>
              <w:jc w:val="right"/>
            </w:pPr>
            <w:r>
              <w:t xml:space="preserve"> -3,368.08 </w:t>
            </w:r>
          </w:p>
        </w:tc>
        <w:tc>
          <w:tcPr>
            <w:tcW w:w="1498" w:type="pct"/>
          </w:tcPr>
          <w:p>
            <w:pPr>
              <w:jc w:val="right"/>
            </w:pPr>
            <w:r>
              <w:t xml:space="preserve"> -635,776.34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85" w:type="pct"/>
          </w:tcPr>
          <w:p>
            <w:pPr>
              <w:jc w:val="right"/>
            </w:pPr>
            <w:r>
              <w:t xml:space="preserve"> -5,824,508.93 </w:t>
            </w:r>
          </w:p>
        </w:tc>
        <w:tc>
          <w:tcPr>
            <w:tcW w:w="1498" w:type="pct"/>
          </w:tcPr>
          <w:p>
            <w:pPr>
              <w:jc w:val="right"/>
            </w:pPr>
            <w:r>
              <w:t xml:space="preserve"> -5,207,818.47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r>
        <w:rPr>
          <w:rFonts w:hint="eastAsia"/>
          <w:color w:val="000000" w:themeColor="text1"/>
          <w14:textFill>
            <w14:solidFill>
              <w14:schemeClr w14:val="tx1"/>
            </w14:solidFill>
          </w14:textFill>
        </w:rPr>
        <w:t>：</w:t>
      </w:r>
    </w:p>
    <w:sdt>
      <w:sdtPr>
        <w:rPr>
          <w:color w:val="000000" w:themeColor="text1"/>
          <w14:textFill>
            <w14:solidFill>
              <w14:schemeClr w14:val="tx1"/>
            </w14:solidFill>
          </w14:textFill>
        </w:rPr>
        <w:alias w:val="信用减值损失其他说明"/>
        <w:tag w:val="_GBC_9228576c4e3741acb19023ad6b79421f"/>
        <w:id w:val="-5562476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413"/>
    <w:p>
      <w:pPr>
        <w:pStyle w:val="4"/>
        <w:numPr>
          <w:ilvl w:val="0"/>
          <w:numId w:val="41"/>
        </w:numPr>
        <w:rPr>
          <w:color w:val="000000" w:themeColor="text1"/>
          <w:szCs w:val="21"/>
          <w14:textFill>
            <w14:solidFill>
              <w14:schemeClr w14:val="tx1"/>
            </w14:solidFill>
          </w14:textFill>
        </w:rPr>
      </w:pPr>
      <w:bookmarkStart w:id="414" w:name="_Hlk167970079"/>
      <w:r>
        <w:rPr>
          <w:color w:val="000000" w:themeColor="text1"/>
          <w:szCs w:val="21"/>
          <w14:textFill>
            <w14:solidFill>
              <w14:schemeClr w14:val="tx1"/>
            </w14:solidFill>
          </w14:textFill>
        </w:rPr>
        <w:t>资产减值损失</w:t>
      </w:r>
    </w:p>
    <w:sdt>
      <w:sdtPr>
        <w:rPr>
          <w:color w:val="000000" w:themeColor="text1"/>
          <w14:textFill>
            <w14:solidFill>
              <w14:schemeClr w14:val="tx1"/>
            </w14:solidFill>
          </w14:textFill>
        </w:rPr>
        <w:alias w:val="是否适用：资产减值损失[双击切换]"/>
        <w:tag w:val="_GBC_d729834ad00147fc807d3aad7ca8698d"/>
        <w:id w:val="196176337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资产减值损失"/>
          <w:tag w:val="_GBC_5d74a968092c4c99a3fdb43c04a992ef"/>
          <w:id w:val="-40498819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资产减值损失"/>
          <w:tag w:val="_GBC_9cac437936ec413c943d5e1475abfd21"/>
          <w:id w:val="-16633901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8"/>
        <w:gridCol w:w="2574"/>
        <w:gridCol w:w="3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f6f45e6360d44d4b7b42549a3560832"/>
            <w:id w:val="-1885016872"/>
          </w:sdtPr>
          <w:sdtContent>
            <w:tc>
              <w:tcPr>
                <w:tcW w:w="1878"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f2aa2c829b6428e99a0c7c8da36e428"/>
            <w:id w:val="-2101396131"/>
          </w:sdtPr>
          <w:sdtContent>
            <w:tc>
              <w:tcPr>
                <w:tcW w:w="1422"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071b09715e3b43be922c6fbde3b45eb6"/>
            <w:id w:val="1807809279"/>
          </w:sdtPr>
          <w:sdtContent>
            <w:tc>
              <w:tcPr>
                <w:tcW w:w="170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一、合同资产减值损失</w:t>
            </w:r>
          </w:p>
        </w:tc>
        <w:tc>
          <w:tcPr>
            <w:tcW w:w="1422" w:type="pct"/>
            <w:tcBorders>
              <w:top w:val="single" w:color="auto" w:sz="4" w:space="0"/>
              <w:left w:val="single" w:color="auto" w:sz="4" w:space="0"/>
              <w:bottom w:val="single" w:color="auto" w:sz="4" w:space="0"/>
              <w:right w:val="single" w:color="auto" w:sz="4" w:space="0"/>
            </w:tcBorders>
          </w:tcPr>
          <w:p>
            <w:pPr>
              <w:jc w:val="right"/>
            </w:pPr>
          </w:p>
        </w:tc>
        <w:tc>
          <w:tcPr>
            <w:tcW w:w="170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二、存货跌价损失及合同履约成本减值损失</w:t>
            </w:r>
          </w:p>
        </w:tc>
        <w:tc>
          <w:tcPr>
            <w:tcW w:w="1422" w:type="pct"/>
            <w:tcBorders>
              <w:top w:val="single" w:color="auto" w:sz="4" w:space="0"/>
              <w:left w:val="single" w:color="auto" w:sz="4" w:space="0"/>
              <w:bottom w:val="single" w:color="auto" w:sz="4" w:space="0"/>
              <w:right w:val="single" w:color="auto" w:sz="4" w:space="0"/>
            </w:tcBorders>
            <w:vAlign w:val="center"/>
          </w:tcPr>
          <w:p>
            <w:pPr>
              <w:jc w:val="right"/>
            </w:pPr>
            <w:r>
              <w:t xml:space="preserve">-8,634,235.54 </w:t>
            </w:r>
          </w:p>
        </w:tc>
        <w:tc>
          <w:tcPr>
            <w:tcW w:w="1700" w:type="pct"/>
            <w:tcBorders>
              <w:top w:val="single" w:color="auto" w:sz="4" w:space="0"/>
              <w:left w:val="single" w:color="auto" w:sz="4" w:space="0"/>
              <w:bottom w:val="single" w:color="auto" w:sz="4" w:space="0"/>
              <w:right w:val="single" w:color="auto" w:sz="4" w:space="0"/>
            </w:tcBorders>
            <w:vAlign w:val="center"/>
          </w:tcPr>
          <w:p>
            <w:pPr>
              <w:jc w:val="right"/>
            </w:pPr>
            <w:r>
              <w:t xml:space="preserve"> -9,228,094.05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三、长期股权投资减值损失</w:t>
            </w:r>
          </w:p>
        </w:tc>
        <w:tc>
          <w:tcPr>
            <w:tcW w:w="1422"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p>
        </w:tc>
        <w:tc>
          <w:tcPr>
            <w:tcW w:w="170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四、投资性房地产减值损失</w:t>
            </w:r>
          </w:p>
        </w:tc>
        <w:tc>
          <w:tcPr>
            <w:tcW w:w="1422" w:type="pct"/>
            <w:tcBorders>
              <w:top w:val="single" w:color="auto" w:sz="4" w:space="0"/>
              <w:left w:val="single" w:color="auto" w:sz="4" w:space="0"/>
              <w:bottom w:val="single" w:color="auto" w:sz="4" w:space="0"/>
              <w:right w:val="single" w:color="auto" w:sz="4" w:space="0"/>
            </w:tcBorders>
          </w:tcPr>
          <w:p>
            <w:pPr>
              <w:jc w:val="right"/>
            </w:pPr>
          </w:p>
        </w:tc>
        <w:tc>
          <w:tcPr>
            <w:tcW w:w="170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五、固定资产减值损失</w:t>
            </w:r>
          </w:p>
        </w:tc>
        <w:tc>
          <w:tcPr>
            <w:tcW w:w="1422" w:type="pct"/>
            <w:tcBorders>
              <w:top w:val="single" w:color="auto" w:sz="4" w:space="0"/>
              <w:left w:val="single" w:color="auto" w:sz="4" w:space="0"/>
              <w:bottom w:val="single" w:color="auto" w:sz="4" w:space="0"/>
              <w:right w:val="single" w:color="auto" w:sz="4" w:space="0"/>
            </w:tcBorders>
          </w:tcPr>
          <w:p>
            <w:pPr>
              <w:jc w:val="right"/>
            </w:pPr>
          </w:p>
        </w:tc>
        <w:tc>
          <w:tcPr>
            <w:tcW w:w="170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六、工程物资减值损失</w:t>
            </w:r>
          </w:p>
        </w:tc>
        <w:tc>
          <w:tcPr>
            <w:tcW w:w="1422" w:type="pct"/>
            <w:tcBorders>
              <w:top w:val="single" w:color="auto" w:sz="4" w:space="0"/>
              <w:left w:val="single" w:color="auto" w:sz="4" w:space="0"/>
              <w:bottom w:val="single" w:color="auto" w:sz="4" w:space="0"/>
              <w:right w:val="single" w:color="auto" w:sz="4" w:space="0"/>
            </w:tcBorders>
          </w:tcPr>
          <w:p>
            <w:pPr>
              <w:jc w:val="right"/>
            </w:pPr>
          </w:p>
        </w:tc>
        <w:tc>
          <w:tcPr>
            <w:tcW w:w="170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七、在建工程减值损失</w:t>
            </w:r>
          </w:p>
        </w:tc>
        <w:tc>
          <w:tcPr>
            <w:tcW w:w="1422" w:type="pct"/>
            <w:tcBorders>
              <w:top w:val="single" w:color="auto" w:sz="4" w:space="0"/>
              <w:left w:val="single" w:color="auto" w:sz="4" w:space="0"/>
              <w:bottom w:val="single" w:color="auto" w:sz="4" w:space="0"/>
              <w:right w:val="single" w:color="auto" w:sz="4" w:space="0"/>
            </w:tcBorders>
          </w:tcPr>
          <w:p>
            <w:pPr>
              <w:jc w:val="right"/>
            </w:pPr>
          </w:p>
        </w:tc>
        <w:tc>
          <w:tcPr>
            <w:tcW w:w="170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八、生产性生物资产减值损失</w:t>
            </w:r>
          </w:p>
        </w:tc>
        <w:tc>
          <w:tcPr>
            <w:tcW w:w="1422" w:type="pct"/>
            <w:tcBorders>
              <w:top w:val="single" w:color="auto" w:sz="4" w:space="0"/>
              <w:left w:val="single" w:color="auto" w:sz="4" w:space="0"/>
              <w:bottom w:val="single" w:color="auto" w:sz="4" w:space="0"/>
              <w:right w:val="single" w:color="auto" w:sz="4" w:space="0"/>
            </w:tcBorders>
          </w:tcPr>
          <w:p>
            <w:pPr>
              <w:jc w:val="right"/>
            </w:pPr>
          </w:p>
        </w:tc>
        <w:tc>
          <w:tcPr>
            <w:tcW w:w="170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九、油气资产减值损失</w:t>
            </w:r>
          </w:p>
        </w:tc>
        <w:tc>
          <w:tcPr>
            <w:tcW w:w="1422" w:type="pct"/>
            <w:tcBorders>
              <w:top w:val="single" w:color="auto" w:sz="4" w:space="0"/>
              <w:left w:val="single" w:color="auto" w:sz="4" w:space="0"/>
              <w:bottom w:val="single" w:color="auto" w:sz="4" w:space="0"/>
              <w:right w:val="single" w:color="auto" w:sz="4" w:space="0"/>
            </w:tcBorders>
          </w:tcPr>
          <w:p>
            <w:pPr>
              <w:jc w:val="right"/>
            </w:pPr>
          </w:p>
        </w:tc>
        <w:tc>
          <w:tcPr>
            <w:tcW w:w="170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十、无形资产减值损失</w:t>
            </w:r>
          </w:p>
        </w:tc>
        <w:tc>
          <w:tcPr>
            <w:tcW w:w="1422" w:type="pct"/>
            <w:tcBorders>
              <w:top w:val="single" w:color="auto" w:sz="4" w:space="0"/>
              <w:left w:val="single" w:color="auto" w:sz="4" w:space="0"/>
              <w:bottom w:val="single" w:color="auto" w:sz="4" w:space="0"/>
              <w:right w:val="single" w:color="auto" w:sz="4" w:space="0"/>
            </w:tcBorders>
          </w:tcPr>
          <w:p>
            <w:pPr>
              <w:jc w:val="right"/>
            </w:pPr>
          </w:p>
        </w:tc>
        <w:tc>
          <w:tcPr>
            <w:tcW w:w="170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十一、商誉减值损失</w:t>
            </w:r>
          </w:p>
        </w:tc>
        <w:tc>
          <w:tcPr>
            <w:tcW w:w="1422" w:type="pct"/>
            <w:tcBorders>
              <w:top w:val="single" w:color="auto" w:sz="4" w:space="0"/>
              <w:left w:val="single" w:color="auto" w:sz="4" w:space="0"/>
              <w:bottom w:val="single" w:color="auto" w:sz="4" w:space="0"/>
              <w:right w:val="single" w:color="auto" w:sz="4" w:space="0"/>
            </w:tcBorders>
          </w:tcPr>
          <w:p>
            <w:pPr>
              <w:jc w:val="right"/>
            </w:pPr>
          </w:p>
        </w:tc>
        <w:tc>
          <w:tcPr>
            <w:tcW w:w="170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十二、其他</w:t>
            </w:r>
          </w:p>
        </w:tc>
        <w:tc>
          <w:tcPr>
            <w:tcW w:w="1422" w:type="pct"/>
            <w:tcBorders>
              <w:top w:val="single" w:color="auto" w:sz="4" w:space="0"/>
              <w:left w:val="single" w:color="auto" w:sz="4" w:space="0"/>
              <w:bottom w:val="single" w:color="auto" w:sz="4" w:space="0"/>
              <w:right w:val="single" w:color="auto" w:sz="4" w:space="0"/>
            </w:tcBorders>
          </w:tcPr>
          <w:p>
            <w:pPr>
              <w:jc w:val="right"/>
            </w:pPr>
          </w:p>
        </w:tc>
        <w:tc>
          <w:tcPr>
            <w:tcW w:w="170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8"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22" w:type="pct"/>
            <w:tcBorders>
              <w:top w:val="single" w:color="auto" w:sz="4" w:space="0"/>
              <w:left w:val="single" w:color="auto" w:sz="4" w:space="0"/>
              <w:bottom w:val="single" w:color="auto" w:sz="4" w:space="0"/>
              <w:right w:val="single" w:color="auto" w:sz="4" w:space="0"/>
            </w:tcBorders>
            <w:vAlign w:val="center"/>
          </w:tcPr>
          <w:p>
            <w:pPr>
              <w:jc w:val="right"/>
            </w:pPr>
            <w:r>
              <w:t>-8,634,235.54</w:t>
            </w:r>
          </w:p>
        </w:tc>
        <w:tc>
          <w:tcPr>
            <w:tcW w:w="1700" w:type="pct"/>
            <w:tcBorders>
              <w:top w:val="single" w:color="auto" w:sz="4" w:space="0"/>
              <w:left w:val="single" w:color="auto" w:sz="4" w:space="0"/>
              <w:bottom w:val="single" w:color="auto" w:sz="4" w:space="0"/>
              <w:right w:val="single" w:color="auto" w:sz="4" w:space="0"/>
            </w:tcBorders>
            <w:vAlign w:val="center"/>
          </w:tcPr>
          <w:p>
            <w:pPr>
              <w:jc w:val="right"/>
            </w:pPr>
            <w:r>
              <w:t xml:space="preserve"> -9,228,094.05 </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资产减值损失的说明"/>
        <w:tag w:val="_GBC_72181df9e6ac4b4492c9dfa445964871"/>
        <w:id w:val="211447204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414"/>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资产处置收益</w:t>
      </w:r>
    </w:p>
    <w:sdt>
      <w:sdtPr>
        <w:rPr>
          <w:rFonts w:hint="eastAsia"/>
          <w:color w:val="000000" w:themeColor="text1"/>
          <w14:textFill>
            <w14:solidFill>
              <w14:schemeClr w14:val="tx1"/>
            </w14:solidFill>
          </w14:textFill>
        </w:rPr>
        <w:alias w:val="是否适用：资产处置收益[双击切换]"/>
        <w:tag w:val="_GBC_9e584d6f46c648d195946caa434a4619"/>
        <w:id w:val="-939058442"/>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bCs w:val="0"/>
          <w:color w:val="000000" w:themeColor="text1"/>
          <w14:textFill>
            <w14:solidFill>
              <w14:schemeClr w14:val="tx1"/>
            </w14:solidFill>
          </w14:textFill>
        </w:rPr>
      </w:pPr>
      <w:r>
        <w:rPr>
          <w:color w:val="000000" w:themeColor="text1"/>
          <w14:textFill>
            <w14:solidFill>
              <w14:schemeClr w14:val="tx1"/>
            </w14:solidFill>
          </w14:textFill>
        </w:rPr>
        <w:t>单位：</w:t>
      </w:r>
      <w:sdt>
        <w:sdtPr>
          <w:rPr>
            <w:bCs w:val="0"/>
            <w:color w:val="000000" w:themeColor="text1"/>
            <w14:textFill>
              <w14:solidFill>
                <w14:schemeClr w14:val="tx1"/>
              </w14:solidFill>
            </w14:textFill>
          </w:rPr>
          <w:alias w:val="单位：资产处置收益明细"/>
          <w:tag w:val="_GBC_72dc168499e249b988d6753a6df1ce44"/>
          <w:id w:val="-191268629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bCs w:val="0"/>
            <w:color w:val="000000" w:themeColor="text1"/>
            <w14:textFill>
              <w14:solidFill>
                <w14:schemeClr w14:val="tx1"/>
              </w14:solidFill>
            </w14:textFill>
          </w:rPr>
        </w:sdtEndPr>
        <w:sdtContent>
          <w:r>
            <w:rPr>
              <w:bCs w:val="0"/>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bCs w:val="0"/>
            <w:color w:val="000000" w:themeColor="text1"/>
            <w14:textFill>
              <w14:solidFill>
                <w14:schemeClr w14:val="tx1"/>
              </w14:solidFill>
            </w14:textFill>
          </w:rPr>
          <w:alias w:val="币种：资产处置收益明细"/>
          <w:tag w:val="_GBC_d68880ec5b074fdc8846b703ead631e2"/>
          <w:id w:val="64893671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bCs w:val="0"/>
            <w:color w:val="000000" w:themeColor="text1"/>
            <w14:textFill>
              <w14:solidFill>
                <w14:schemeClr w14:val="tx1"/>
              </w14:solidFill>
            </w14:textFill>
          </w:rPr>
        </w:sdtEndPr>
        <w:sdtContent>
          <w:r>
            <w:rPr>
              <w:bCs w:val="0"/>
              <w:color w:val="000000" w:themeColor="text1"/>
              <w14:textFill>
                <w14:solidFill>
                  <w14:schemeClr w14:val="tx1"/>
                </w14:solidFill>
              </w14:textFill>
            </w:rPr>
            <w:t>人民币</w:t>
          </w:r>
        </w:sdtContent>
      </w:sdt>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0"/>
        <w:gridCol w:w="2941"/>
        <w:gridCol w:w="2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sdt>
            <w:sdtPr>
              <w:tag w:val="_PLD_5ae5d7d7d48342e7bc1da8d90a245459"/>
              <w:id w:val="438723138"/>
            </w:sdtPr>
            <w:sdtContent>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sdtContent>
          </w:sdt>
        </w:tc>
        <w:tc>
          <w:tcPr>
            <w:tcW w:w="2941" w:type="dxa"/>
          </w:tcPr>
          <w:sdt>
            <w:sdtPr>
              <w:tag w:val="_PLD_879cf215b86c45c790218e646c831e7d"/>
              <w:id w:val="-949468142"/>
            </w:sdtPr>
            <w:sdtContent>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sdtContent>
          </w:sdt>
        </w:tc>
        <w:tc>
          <w:tcPr>
            <w:tcW w:w="2942" w:type="dxa"/>
          </w:tcPr>
          <w:sdt>
            <w:sdtPr>
              <w:tag w:val="_PLD_8860a002ccc44e14bf36aa3e10fb5d70"/>
              <w:id w:val="-883252210"/>
            </w:sdtPr>
            <w:sdtContent>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pPr>
              <w:pStyle w:val="48"/>
              <w:widowControl w:val="0"/>
              <w:jc w:val="both"/>
            </w:pPr>
            <w:r>
              <w:rPr>
                <w:rFonts w:hint="eastAsia"/>
              </w:rPr>
              <w:t>固定资产处置收益</w:t>
            </w:r>
          </w:p>
        </w:tc>
        <w:tc>
          <w:tcPr>
            <w:tcW w:w="2941" w:type="dxa"/>
          </w:tcPr>
          <w:p>
            <w:pPr>
              <w:widowControl w:val="0"/>
              <w:jc w:val="right"/>
            </w:pPr>
            <w:r>
              <w:t xml:space="preserve"> -9,418.54 </w:t>
            </w:r>
          </w:p>
        </w:tc>
        <w:tc>
          <w:tcPr>
            <w:tcW w:w="2942" w:type="dxa"/>
          </w:tcPr>
          <w:p>
            <w:pPr>
              <w:widowControl w:val="0"/>
              <w:jc w:val="right"/>
            </w:pPr>
            <w:r>
              <w:t xml:space="preserve"> 96,562.33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pPr>
              <w:pStyle w:val="48"/>
              <w:widowControl w:val="0"/>
              <w:jc w:val="both"/>
            </w:pPr>
            <w:r>
              <w:rPr>
                <w:rFonts w:hint="eastAsia"/>
              </w:rPr>
              <w:t>使用权资产处置收益</w:t>
            </w:r>
          </w:p>
        </w:tc>
        <w:tc>
          <w:tcPr>
            <w:tcW w:w="2941" w:type="dxa"/>
          </w:tcPr>
          <w:p>
            <w:pPr>
              <w:widowControl w:val="0"/>
              <w:jc w:val="right"/>
            </w:pPr>
            <w:r>
              <w:t xml:space="preserve"> -81,538.51 </w:t>
            </w:r>
          </w:p>
        </w:tc>
        <w:tc>
          <w:tcPr>
            <w:tcW w:w="2942" w:type="dxa"/>
          </w:tcPr>
          <w:p>
            <w:pPr>
              <w:widowControl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2941" w:type="dxa"/>
          </w:tcPr>
          <w:p>
            <w:pPr>
              <w:widowControl w:val="0"/>
              <w:jc w:val="right"/>
            </w:pPr>
            <w:r>
              <w:t xml:space="preserve"> -90,957.05 </w:t>
            </w:r>
          </w:p>
        </w:tc>
        <w:tc>
          <w:tcPr>
            <w:tcW w:w="2942" w:type="dxa"/>
          </w:tcPr>
          <w:p>
            <w:pPr>
              <w:widowControl w:val="0"/>
              <w:jc w:val="right"/>
            </w:pPr>
            <w:r>
              <w:t xml:space="preserve"> 96,562.33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rFonts w:hint="eastAsia"/>
          <w:color w:val="000000" w:themeColor="text1"/>
          <w14:textFill>
            <w14:solidFill>
              <w14:schemeClr w14:val="tx1"/>
            </w14:solidFill>
          </w14:textFill>
        </w:rPr>
        <w:alias w:val="是否适用：资产处置收益其他说明[双击切换]"/>
        <w:tag w:val="_GBC_15965d17bc0a4e6788b5c6faf8c51b58"/>
        <w:id w:val="329177472"/>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营业外收入</w:t>
      </w:r>
    </w:p>
    <w:sdt>
      <w:sdtPr>
        <w:rPr>
          <w:rFonts w:hint="eastAsia" w:cstheme="minorBidi"/>
          <w:bCs w:val="0"/>
          <w:color w:val="000000" w:themeColor="text1"/>
          <w:szCs w:val="22"/>
          <w14:textFill>
            <w14:solidFill>
              <w14:schemeClr w14:val="tx1"/>
            </w14:solidFill>
          </w14:textFill>
        </w:rPr>
        <w:alias w:val="是否适用：营业外收入情况 [双击切换]"/>
        <w:tag w:val="_GBC_b6e9df1124844122abb2dde58392c605"/>
        <w:id w:val="1552581457"/>
        <w:lock w:val="contentLocked"/>
        <w:placeholder>
          <w:docPart w:val="GBC22222222222222222222222222222"/>
        </w:placeholder>
      </w:sdtPr>
      <w:sdtEndPr>
        <w:rPr>
          <w:rFonts w:hint="eastAsia" w:cstheme="minorBidi"/>
          <w:bCs w:val="0"/>
          <w:color w:val="000000" w:themeColor="text1"/>
          <w:szCs w:val="22"/>
          <w14:textFill>
            <w14:solidFill>
              <w14:schemeClr w14:val="tx1"/>
            </w14:solidFill>
          </w14:textFill>
        </w:rPr>
      </w:sdtEndPr>
      <w:sdtContent>
        <w:p>
          <w:pPr>
            <w:rPr>
              <w:rFonts w:cstheme="minorBidi"/>
              <w:bCs w:val="0"/>
              <w:color w:val="000000" w:themeColor="text1"/>
              <w:szCs w:val="22"/>
              <w14:textFill>
                <w14:solidFill>
                  <w14:schemeClr w14:val="tx1"/>
                </w14:solidFill>
              </w14:textFill>
            </w:rPr>
          </w:pPr>
          <w:r>
            <w:rPr>
              <w:rFonts w:ascii="宋体" w:hAnsi="宋体" w:cstheme="minorBidi"/>
              <w:bCs w:val="0"/>
              <w:color w:val="000000" w:themeColor="text1"/>
              <w:szCs w:val="22"/>
              <w14:textFill>
                <w14:solidFill>
                  <w14:schemeClr w14:val="tx1"/>
                </w14:solidFill>
              </w14:textFill>
            </w:rPr>
            <w:fldChar w:fldCharType="begin"/>
          </w:r>
          <w:r>
            <w:rPr>
              <w:rFonts w:ascii="宋体" w:hAnsi="宋体" w:cstheme="minorBidi"/>
              <w:color w:val="000000" w:themeColor="text1"/>
              <w:szCs w:val="22"/>
              <w14:textFill>
                <w14:solidFill>
                  <w14:schemeClr w14:val="tx1"/>
                </w14:solidFill>
              </w14:textFill>
            </w:rPr>
            <w:instrText xml:space="preserve"> </w:instrText>
          </w:r>
          <w:r>
            <w:rPr>
              <w:rFonts w:hint="eastAsia" w:ascii="宋体" w:hAnsi="宋体" w:cstheme="minorBidi"/>
              <w:color w:val="000000" w:themeColor="text1"/>
              <w:szCs w:val="22"/>
              <w14:textFill>
                <w14:solidFill>
                  <w14:schemeClr w14:val="tx1"/>
                </w14:solidFill>
              </w14:textFill>
            </w:rPr>
            <w:instrText xml:space="preserve">MACROBUTTON  SnrToggleCheckbox √适用</w:instrText>
          </w:r>
          <w:r>
            <w:rPr>
              <w:rFonts w:ascii="宋体" w:hAnsi="宋体" w:cstheme="minorBidi"/>
              <w:color w:val="000000" w:themeColor="text1"/>
              <w:szCs w:val="22"/>
              <w14:textFill>
                <w14:solidFill>
                  <w14:schemeClr w14:val="tx1"/>
                </w14:solidFill>
              </w14:textFill>
            </w:rPr>
            <w:instrText xml:space="preserve"> </w:instrText>
          </w:r>
          <w:r>
            <w:rPr>
              <w:rFonts w:ascii="宋体" w:hAnsi="宋体" w:cstheme="minorBidi"/>
              <w:bCs w:val="0"/>
              <w:color w:val="000000" w:themeColor="text1"/>
              <w:szCs w:val="22"/>
              <w14:textFill>
                <w14:solidFill>
                  <w14:schemeClr w14:val="tx1"/>
                </w14:solidFill>
              </w14:textFill>
            </w:rPr>
            <w:fldChar w:fldCharType="end"/>
          </w:r>
          <w:r>
            <w:rPr>
              <w:rFonts w:ascii="宋体" w:hAnsi="宋体" w:cstheme="minorBidi"/>
              <w:bCs w:val="0"/>
              <w:color w:val="000000" w:themeColor="text1"/>
              <w:szCs w:val="22"/>
              <w14:textFill>
                <w14:solidFill>
                  <w14:schemeClr w14:val="tx1"/>
                </w14:solidFill>
              </w14:textFill>
            </w:rPr>
            <w:fldChar w:fldCharType="begin"/>
          </w:r>
          <w:r>
            <w:rPr>
              <w:rFonts w:ascii="宋体" w:hAnsi="宋体" w:cstheme="minorBidi"/>
              <w:color w:val="000000" w:themeColor="text1"/>
              <w:szCs w:val="22"/>
              <w14:textFill>
                <w14:solidFill>
                  <w14:schemeClr w14:val="tx1"/>
                </w14:solidFill>
              </w14:textFill>
            </w:rPr>
            <w:instrText xml:space="preserve"> MACROBUTTON  SnrToggleCheckbox □不适用 </w:instrText>
          </w:r>
          <w:r>
            <w:rPr>
              <w:rFonts w:ascii="宋体" w:hAnsi="宋体" w:cstheme="minorBidi"/>
              <w:bCs w:val="0"/>
              <w:color w:val="000000" w:themeColor="text1"/>
              <w:szCs w:val="22"/>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营业外收入"/>
          <w:tag w:val="_GBC_dd93a692e0c045038f9ddf46f86e7289"/>
          <w:id w:val="62551451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营业外收入"/>
          <w:tag w:val="_GBC_598cac7504eb4ef39ddc19fb969bdd53"/>
          <w:id w:val="-127817623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8"/>
        <w:gridCol w:w="2034"/>
        <w:gridCol w:w="1940"/>
        <w:gridCol w:w="2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649e0d07dd047a497e69591bf3e322c"/>
            <w:id w:val="260508280"/>
          </w:sdtPr>
          <w:sdtContent>
            <w:tc>
              <w:tcPr>
                <w:tcW w:w="1524"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abf358cb2c947a9b4e7bacb394074db"/>
            <w:id w:val="-517462383"/>
          </w:sdtPr>
          <w:sdtContent>
            <w:tc>
              <w:tcPr>
                <w:tcW w:w="1124"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0469d808d7334ff0ab3460273b0c8f8f"/>
            <w:id w:val="-570265569"/>
          </w:sdtPr>
          <w:sdtContent>
            <w:tc>
              <w:tcPr>
                <w:tcW w:w="1072"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sdt>
          <w:sdtPr>
            <w:tag w:val="_PLD_121bda757dda46918753fabf9329298f"/>
            <w:id w:val="-1515608389"/>
          </w:sdtPr>
          <w:sdtContent>
            <w:tc>
              <w:tcPr>
                <w:tcW w:w="128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计入当期非经常性损益的金额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非流动资产处置利得合计</w:t>
            </w:r>
          </w:p>
        </w:tc>
        <w:tc>
          <w:tcPr>
            <w:tcW w:w="1124" w:type="pct"/>
            <w:tcBorders>
              <w:top w:val="single" w:color="auto" w:sz="4" w:space="0"/>
              <w:left w:val="single" w:color="auto" w:sz="4" w:space="0"/>
              <w:bottom w:val="single" w:color="auto" w:sz="4" w:space="0"/>
              <w:right w:val="single" w:color="auto" w:sz="4" w:space="0"/>
            </w:tcBorders>
          </w:tcPr>
          <w:p>
            <w:pPr>
              <w:jc w:val="right"/>
            </w:pPr>
            <w:r>
              <w:t xml:space="preserve"> 354,550.23 </w:t>
            </w:r>
          </w:p>
        </w:tc>
        <w:tc>
          <w:tcPr>
            <w:tcW w:w="1072" w:type="pct"/>
            <w:tcBorders>
              <w:top w:val="single" w:color="auto" w:sz="4" w:space="0"/>
              <w:left w:val="single" w:color="auto" w:sz="4" w:space="0"/>
              <w:bottom w:val="single" w:color="auto" w:sz="4" w:space="0"/>
              <w:right w:val="single" w:color="auto" w:sz="4" w:space="0"/>
            </w:tcBorders>
          </w:tcPr>
          <w:p>
            <w:pPr>
              <w:jc w:val="right"/>
            </w:pPr>
            <w:r>
              <w:t xml:space="preserve"> 4,259.50 </w:t>
            </w: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r>
              <w:t xml:space="preserve"> 354,550.23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其中：固定资产处置利得</w:t>
            </w:r>
          </w:p>
        </w:tc>
        <w:tc>
          <w:tcPr>
            <w:tcW w:w="1124" w:type="pct"/>
            <w:tcBorders>
              <w:top w:val="single" w:color="auto" w:sz="4" w:space="0"/>
              <w:left w:val="single" w:color="auto" w:sz="4" w:space="0"/>
              <w:bottom w:val="single" w:color="auto" w:sz="4" w:space="0"/>
              <w:right w:val="single" w:color="auto" w:sz="4" w:space="0"/>
            </w:tcBorders>
          </w:tcPr>
          <w:p>
            <w:pPr>
              <w:jc w:val="right"/>
            </w:pPr>
            <w:r>
              <w:t xml:space="preserve"> 354,550.23 </w:t>
            </w:r>
          </w:p>
        </w:tc>
        <w:tc>
          <w:tcPr>
            <w:tcW w:w="1072" w:type="pct"/>
            <w:tcBorders>
              <w:top w:val="single" w:color="auto" w:sz="4" w:space="0"/>
              <w:left w:val="single" w:color="auto" w:sz="4" w:space="0"/>
              <w:bottom w:val="single" w:color="auto" w:sz="4" w:space="0"/>
              <w:right w:val="single" w:color="auto" w:sz="4" w:space="0"/>
            </w:tcBorders>
          </w:tcPr>
          <w:p>
            <w:pPr>
              <w:jc w:val="right"/>
            </w:pPr>
            <w:r>
              <w:t xml:space="preserve"> 4,259.50 </w:t>
            </w: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r>
              <w:t xml:space="preserve"> 354,550.23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tcPr>
          <w:p>
            <w:pPr>
              <w:autoSpaceDE w:val="0"/>
              <w:autoSpaceDN w:val="0"/>
              <w:adjustRightInd w:val="0"/>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无形资产处置利得</w:t>
            </w:r>
          </w:p>
        </w:tc>
        <w:tc>
          <w:tcPr>
            <w:tcW w:w="1124" w:type="pct"/>
            <w:tcBorders>
              <w:top w:val="single" w:color="auto" w:sz="4" w:space="0"/>
              <w:left w:val="single" w:color="auto" w:sz="4" w:space="0"/>
              <w:bottom w:val="single" w:color="auto" w:sz="4" w:space="0"/>
              <w:right w:val="single" w:color="auto" w:sz="4" w:space="0"/>
            </w:tcBorders>
          </w:tcPr>
          <w:p>
            <w:pPr>
              <w:jc w:val="right"/>
            </w:pPr>
          </w:p>
        </w:tc>
        <w:tc>
          <w:tcPr>
            <w:tcW w:w="1072" w:type="pct"/>
            <w:tcBorders>
              <w:top w:val="single" w:color="auto" w:sz="4" w:space="0"/>
              <w:left w:val="single" w:color="auto" w:sz="4" w:space="0"/>
              <w:bottom w:val="single" w:color="auto" w:sz="4" w:space="0"/>
              <w:right w:val="single" w:color="auto" w:sz="4" w:space="0"/>
            </w:tcBorders>
          </w:tcPr>
          <w:p>
            <w:pPr>
              <w:jc w:val="right"/>
            </w:pP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非货币性资产交换利得</w:t>
            </w:r>
          </w:p>
        </w:tc>
        <w:tc>
          <w:tcPr>
            <w:tcW w:w="1124" w:type="pct"/>
            <w:tcBorders>
              <w:top w:val="single" w:color="auto" w:sz="4" w:space="0"/>
              <w:left w:val="single" w:color="auto" w:sz="4" w:space="0"/>
              <w:bottom w:val="single" w:color="auto" w:sz="4" w:space="0"/>
              <w:right w:val="single" w:color="auto" w:sz="4" w:space="0"/>
            </w:tcBorders>
          </w:tcPr>
          <w:p>
            <w:pPr>
              <w:jc w:val="right"/>
            </w:pPr>
          </w:p>
        </w:tc>
        <w:tc>
          <w:tcPr>
            <w:tcW w:w="1072" w:type="pct"/>
            <w:tcBorders>
              <w:top w:val="single" w:color="auto" w:sz="4" w:space="0"/>
              <w:left w:val="single" w:color="auto" w:sz="4" w:space="0"/>
              <w:bottom w:val="single" w:color="auto" w:sz="4" w:space="0"/>
              <w:right w:val="single" w:color="auto" w:sz="4" w:space="0"/>
            </w:tcBorders>
          </w:tcPr>
          <w:p>
            <w:pPr>
              <w:jc w:val="right"/>
            </w:pP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接受捐赠</w:t>
            </w:r>
          </w:p>
        </w:tc>
        <w:tc>
          <w:tcPr>
            <w:tcW w:w="1124" w:type="pct"/>
            <w:tcBorders>
              <w:top w:val="single" w:color="auto" w:sz="4" w:space="0"/>
              <w:left w:val="single" w:color="auto" w:sz="4" w:space="0"/>
              <w:bottom w:val="single" w:color="auto" w:sz="4" w:space="0"/>
              <w:right w:val="single" w:color="auto" w:sz="4" w:space="0"/>
            </w:tcBorders>
          </w:tcPr>
          <w:p>
            <w:pPr>
              <w:jc w:val="right"/>
            </w:pPr>
          </w:p>
        </w:tc>
        <w:tc>
          <w:tcPr>
            <w:tcW w:w="1072" w:type="pct"/>
            <w:tcBorders>
              <w:top w:val="single" w:color="auto" w:sz="4" w:space="0"/>
              <w:left w:val="single" w:color="auto" w:sz="4" w:space="0"/>
              <w:bottom w:val="single" w:color="auto" w:sz="4" w:space="0"/>
              <w:right w:val="single" w:color="auto" w:sz="4" w:space="0"/>
            </w:tcBorders>
          </w:tcPr>
          <w:p>
            <w:pPr>
              <w:jc w:val="right"/>
            </w:pP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tcPr>
          <w:p>
            <w:pPr>
              <w:ind w:right="6"/>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政府补助</w:t>
            </w:r>
          </w:p>
        </w:tc>
        <w:tc>
          <w:tcPr>
            <w:tcW w:w="1124" w:type="pct"/>
            <w:tcBorders>
              <w:top w:val="single" w:color="auto" w:sz="4" w:space="0"/>
              <w:left w:val="single" w:color="auto" w:sz="4" w:space="0"/>
              <w:bottom w:val="single" w:color="auto" w:sz="4" w:space="0"/>
              <w:right w:val="single" w:color="auto" w:sz="4" w:space="0"/>
            </w:tcBorders>
          </w:tcPr>
          <w:p>
            <w:pPr>
              <w:jc w:val="right"/>
            </w:pPr>
          </w:p>
        </w:tc>
        <w:tc>
          <w:tcPr>
            <w:tcW w:w="1072" w:type="pct"/>
            <w:tcBorders>
              <w:top w:val="single" w:color="auto" w:sz="4" w:space="0"/>
              <w:left w:val="single" w:color="auto" w:sz="4" w:space="0"/>
              <w:bottom w:val="single" w:color="auto" w:sz="4" w:space="0"/>
              <w:right w:val="single" w:color="auto" w:sz="4" w:space="0"/>
            </w:tcBorders>
          </w:tcPr>
          <w:p>
            <w:pPr>
              <w:jc w:val="right"/>
            </w:pP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tcPr>
          <w:p>
            <w:pPr>
              <w:pStyle w:val="48"/>
            </w:pPr>
            <w:r>
              <w:t>其他</w:t>
            </w:r>
          </w:p>
        </w:tc>
        <w:tc>
          <w:tcPr>
            <w:tcW w:w="1124" w:type="pct"/>
            <w:tcBorders>
              <w:top w:val="single" w:color="auto" w:sz="4" w:space="0"/>
              <w:left w:val="single" w:color="auto" w:sz="4" w:space="0"/>
              <w:bottom w:val="single" w:color="auto" w:sz="4" w:space="0"/>
              <w:right w:val="single" w:color="auto" w:sz="4" w:space="0"/>
            </w:tcBorders>
          </w:tcPr>
          <w:p>
            <w:pPr>
              <w:jc w:val="right"/>
            </w:pPr>
            <w:r>
              <w:t xml:space="preserve"> 41,000.00 </w:t>
            </w:r>
          </w:p>
        </w:tc>
        <w:tc>
          <w:tcPr>
            <w:tcW w:w="1072" w:type="pct"/>
            <w:tcBorders>
              <w:top w:val="single" w:color="auto" w:sz="4" w:space="0"/>
              <w:left w:val="single" w:color="auto" w:sz="4" w:space="0"/>
              <w:bottom w:val="single" w:color="auto" w:sz="4" w:space="0"/>
              <w:right w:val="single" w:color="auto" w:sz="4" w:space="0"/>
            </w:tcBorders>
          </w:tcPr>
          <w:p>
            <w:pPr>
              <w:jc w:val="right"/>
            </w:pPr>
          </w:p>
        </w:tc>
        <w:tc>
          <w:tcPr>
            <w:tcW w:w="1280" w:type="pct"/>
            <w:tcBorders>
              <w:top w:val="single" w:color="auto" w:sz="4" w:space="0"/>
              <w:left w:val="single" w:color="auto" w:sz="4" w:space="0"/>
              <w:bottom w:val="single" w:color="auto" w:sz="4" w:space="0"/>
              <w:right w:val="single" w:color="auto" w:sz="4" w:space="0"/>
            </w:tcBorders>
          </w:tcPr>
          <w:p>
            <w:pPr>
              <w:jc w:val="right"/>
            </w:pPr>
            <w:r>
              <w:t xml:space="preserve"> 41,000.00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4"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124" w:type="pct"/>
            <w:tcBorders>
              <w:top w:val="single" w:color="auto" w:sz="4" w:space="0"/>
              <w:left w:val="single" w:color="auto" w:sz="4" w:space="0"/>
              <w:bottom w:val="single" w:color="auto" w:sz="4" w:space="0"/>
              <w:right w:val="single" w:color="auto" w:sz="4" w:space="0"/>
            </w:tcBorders>
          </w:tcPr>
          <w:p>
            <w:pPr>
              <w:jc w:val="right"/>
            </w:pPr>
            <w:r>
              <w:t xml:space="preserve"> 395,550.23 </w:t>
            </w:r>
          </w:p>
        </w:tc>
        <w:tc>
          <w:tcPr>
            <w:tcW w:w="1072" w:type="pct"/>
            <w:tcBorders>
              <w:top w:val="single" w:color="auto" w:sz="4" w:space="0"/>
              <w:left w:val="single" w:color="auto" w:sz="4" w:space="0"/>
              <w:bottom w:val="single" w:color="auto" w:sz="4" w:space="0"/>
              <w:right w:val="single" w:color="auto" w:sz="4" w:space="0"/>
            </w:tcBorders>
          </w:tcPr>
          <w:p>
            <w:pPr>
              <w:jc w:val="right"/>
            </w:pPr>
            <w:r>
              <w:t xml:space="preserve"> 4,259.50 </w:t>
            </w: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r>
              <w:t xml:space="preserve"> 395,550.23 </w:t>
            </w:r>
          </w:p>
        </w:tc>
      </w:tr>
    </w:tbl>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营业外收入说明[双击切换]"/>
        <w:tag w:val="_GBC_9bd4fc9f0fcc4e85bee85b3ce60c8b2c"/>
        <w:id w:val="-144168412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营业外支出</w:t>
      </w:r>
    </w:p>
    <w:sdt>
      <w:sdtPr>
        <w:rPr>
          <w:color w:val="000000" w:themeColor="text1"/>
          <w14:textFill>
            <w14:solidFill>
              <w14:schemeClr w14:val="tx1"/>
            </w14:solidFill>
          </w14:textFill>
        </w:rPr>
        <w:alias w:val="是否适用：营业外支出[双击切换]"/>
        <w:tag w:val="_GBC_6d4b8ac674ce425b8c798e92aa1fe455"/>
        <w:id w:val="-107866853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营业外支出"/>
          <w:tag w:val="_GBC_f8678a9a1bbf4b0697744c5d21146839"/>
          <w:id w:val="36734270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营业外支出"/>
          <w:tag w:val="_GBC_61e3e82ad5404a9987623525ac03d95e"/>
          <w:id w:val="194155904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1"/>
        <w:gridCol w:w="2181"/>
        <w:gridCol w:w="1940"/>
        <w:gridCol w:w="2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abf292cb0a7463788e39d1bdabb85fc"/>
            <w:id w:val="-807165125"/>
          </w:sdtPr>
          <w:sdtContent>
            <w:tc>
              <w:tcPr>
                <w:tcW w:w="1443"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6a30142728e41bb9c215b73cfe3204c"/>
            <w:id w:val="1698730672"/>
          </w:sdtPr>
          <w:sdtContent>
            <w:tc>
              <w:tcPr>
                <w:tcW w:w="1205"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16b0936bf8024bdf99cf883b1827419f"/>
            <w:id w:val="-1062946623"/>
          </w:sdtPr>
          <w:sdtContent>
            <w:tc>
              <w:tcPr>
                <w:tcW w:w="1072"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sdt>
          <w:sdtPr>
            <w:tag w:val="_PLD_92014506c2824f6fbe79731f91aa61bc"/>
            <w:id w:val="675773471"/>
          </w:sdtPr>
          <w:sdtContent>
            <w:tc>
              <w:tcPr>
                <w:tcW w:w="1280"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计入当期非经常性损益的金额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非流动资产处置损失合计</w:t>
            </w:r>
          </w:p>
        </w:tc>
        <w:tc>
          <w:tcPr>
            <w:tcW w:w="1205" w:type="pct"/>
            <w:tcBorders>
              <w:top w:val="single" w:color="auto" w:sz="4" w:space="0"/>
              <w:left w:val="single" w:color="auto" w:sz="4" w:space="0"/>
              <w:bottom w:val="single" w:color="auto" w:sz="4" w:space="0"/>
              <w:right w:val="single" w:color="auto" w:sz="4" w:space="0"/>
            </w:tcBorders>
          </w:tcPr>
          <w:p>
            <w:pPr>
              <w:jc w:val="right"/>
            </w:pPr>
            <w:r>
              <w:t xml:space="preserve"> 11,312.58 </w:t>
            </w:r>
          </w:p>
        </w:tc>
        <w:tc>
          <w:tcPr>
            <w:tcW w:w="1072" w:type="pct"/>
            <w:tcBorders>
              <w:top w:val="single" w:color="auto" w:sz="4" w:space="0"/>
              <w:left w:val="single" w:color="auto" w:sz="4" w:space="0"/>
              <w:bottom w:val="single" w:color="auto" w:sz="4" w:space="0"/>
              <w:right w:val="single" w:color="auto" w:sz="4" w:space="0"/>
            </w:tcBorders>
          </w:tcPr>
          <w:p>
            <w:pPr>
              <w:jc w:val="right"/>
            </w:pPr>
            <w:r>
              <w:t xml:space="preserve"> 6,388.04 </w:t>
            </w: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r>
              <w:t xml:space="preserve"> 11,312.58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其中：固定资产处置损失</w:t>
            </w:r>
          </w:p>
        </w:tc>
        <w:tc>
          <w:tcPr>
            <w:tcW w:w="1205" w:type="pct"/>
            <w:tcBorders>
              <w:top w:val="single" w:color="auto" w:sz="4" w:space="0"/>
              <w:left w:val="single" w:color="auto" w:sz="4" w:space="0"/>
              <w:bottom w:val="single" w:color="auto" w:sz="4" w:space="0"/>
              <w:right w:val="single" w:color="auto" w:sz="4" w:space="0"/>
            </w:tcBorders>
          </w:tcPr>
          <w:p>
            <w:pPr>
              <w:jc w:val="right"/>
            </w:pPr>
            <w:r>
              <w:t xml:space="preserve"> 11,312.58 </w:t>
            </w:r>
          </w:p>
        </w:tc>
        <w:tc>
          <w:tcPr>
            <w:tcW w:w="1072" w:type="pct"/>
            <w:tcBorders>
              <w:top w:val="single" w:color="auto" w:sz="4" w:space="0"/>
              <w:left w:val="single" w:color="auto" w:sz="4" w:space="0"/>
              <w:bottom w:val="single" w:color="auto" w:sz="4" w:space="0"/>
              <w:right w:val="single" w:color="auto" w:sz="4" w:space="0"/>
            </w:tcBorders>
          </w:tcPr>
          <w:p>
            <w:pPr>
              <w:jc w:val="right"/>
            </w:pPr>
            <w:r>
              <w:t xml:space="preserve"> 6,388.04 </w:t>
            </w: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r>
              <w:t xml:space="preserve"> 11,312.58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tcBorders>
              <w:top w:val="single" w:color="auto" w:sz="4" w:space="0"/>
              <w:left w:val="single" w:color="auto" w:sz="4" w:space="0"/>
              <w:bottom w:val="single" w:color="auto" w:sz="4" w:space="0"/>
              <w:right w:val="single" w:color="auto" w:sz="4" w:space="0"/>
            </w:tcBorders>
          </w:tcPr>
          <w:p>
            <w:pPr>
              <w:autoSpaceDE w:val="0"/>
              <w:autoSpaceDN w:val="0"/>
              <w:adjustRightInd w:val="0"/>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无形资产处置损失</w:t>
            </w:r>
          </w:p>
        </w:tc>
        <w:tc>
          <w:tcPr>
            <w:tcW w:w="1205" w:type="pct"/>
            <w:tcBorders>
              <w:top w:val="single" w:color="auto" w:sz="4" w:space="0"/>
              <w:left w:val="single" w:color="auto" w:sz="4" w:space="0"/>
              <w:bottom w:val="single" w:color="auto" w:sz="4" w:space="0"/>
              <w:right w:val="single" w:color="auto" w:sz="4" w:space="0"/>
            </w:tcBorders>
          </w:tcPr>
          <w:p>
            <w:pPr>
              <w:jc w:val="right"/>
            </w:pPr>
          </w:p>
        </w:tc>
        <w:tc>
          <w:tcPr>
            <w:tcW w:w="1072" w:type="pct"/>
            <w:tcBorders>
              <w:top w:val="single" w:color="auto" w:sz="4" w:space="0"/>
              <w:left w:val="single" w:color="auto" w:sz="4" w:space="0"/>
              <w:bottom w:val="single" w:color="auto" w:sz="4" w:space="0"/>
              <w:right w:val="single" w:color="auto" w:sz="4" w:space="0"/>
            </w:tcBorders>
          </w:tcPr>
          <w:p>
            <w:pPr>
              <w:jc w:val="right"/>
            </w:pP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非货币性资产交换损失</w:t>
            </w:r>
          </w:p>
        </w:tc>
        <w:tc>
          <w:tcPr>
            <w:tcW w:w="1205" w:type="pct"/>
            <w:tcBorders>
              <w:top w:val="single" w:color="auto" w:sz="4" w:space="0"/>
              <w:left w:val="single" w:color="auto" w:sz="4" w:space="0"/>
              <w:bottom w:val="single" w:color="auto" w:sz="4" w:space="0"/>
              <w:right w:val="single" w:color="auto" w:sz="4" w:space="0"/>
            </w:tcBorders>
          </w:tcPr>
          <w:p>
            <w:pPr>
              <w:jc w:val="right"/>
            </w:pPr>
          </w:p>
        </w:tc>
        <w:tc>
          <w:tcPr>
            <w:tcW w:w="1072" w:type="pct"/>
            <w:tcBorders>
              <w:top w:val="single" w:color="auto" w:sz="4" w:space="0"/>
              <w:left w:val="single" w:color="auto" w:sz="4" w:space="0"/>
              <w:bottom w:val="single" w:color="auto" w:sz="4" w:space="0"/>
              <w:right w:val="single" w:color="auto" w:sz="4" w:space="0"/>
            </w:tcBorders>
          </w:tcPr>
          <w:p>
            <w:pPr>
              <w:jc w:val="right"/>
            </w:pP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tcBorders>
              <w:top w:val="single" w:color="auto" w:sz="4" w:space="0"/>
              <w:left w:val="single" w:color="auto" w:sz="4" w:space="0"/>
              <w:bottom w:val="single" w:color="auto" w:sz="4" w:space="0"/>
              <w:right w:val="single" w:color="auto" w:sz="4" w:space="0"/>
            </w:tcBorders>
          </w:tcPr>
          <w:p>
            <w:pPr>
              <w:autoSpaceDE w:val="0"/>
              <w:autoSpaceDN w:val="0"/>
              <w:adjustRightInd w:val="0"/>
              <w:rPr>
                <w:color w:val="000000" w:themeColor="text1"/>
                <w14:textFill>
                  <w14:solidFill>
                    <w14:schemeClr w14:val="tx1"/>
                  </w14:solidFill>
                </w14:textFill>
              </w:rPr>
            </w:pPr>
            <w:r>
              <w:rPr>
                <w:rFonts w:hint="eastAsia"/>
                <w:color w:val="000000" w:themeColor="text1"/>
                <w14:textFill>
                  <w14:solidFill>
                    <w14:schemeClr w14:val="tx1"/>
                  </w14:solidFill>
                </w14:textFill>
              </w:rPr>
              <w:t>对外捐赠</w:t>
            </w:r>
          </w:p>
        </w:tc>
        <w:tc>
          <w:tcPr>
            <w:tcW w:w="1205" w:type="pct"/>
            <w:tcBorders>
              <w:top w:val="single" w:color="auto" w:sz="4" w:space="0"/>
              <w:left w:val="single" w:color="auto" w:sz="4" w:space="0"/>
              <w:bottom w:val="single" w:color="auto" w:sz="4" w:space="0"/>
              <w:right w:val="single" w:color="auto" w:sz="4" w:space="0"/>
            </w:tcBorders>
          </w:tcPr>
          <w:p>
            <w:pPr>
              <w:jc w:val="right"/>
            </w:pPr>
            <w:r>
              <w:t xml:space="preserve"> 1,023,000.00 </w:t>
            </w:r>
          </w:p>
        </w:tc>
        <w:tc>
          <w:tcPr>
            <w:tcW w:w="1072" w:type="pct"/>
            <w:tcBorders>
              <w:top w:val="single" w:color="auto" w:sz="4" w:space="0"/>
              <w:left w:val="single" w:color="auto" w:sz="4" w:space="0"/>
              <w:bottom w:val="single" w:color="auto" w:sz="4" w:space="0"/>
              <w:right w:val="single" w:color="auto" w:sz="4" w:space="0"/>
            </w:tcBorders>
          </w:tcPr>
          <w:p>
            <w:pPr>
              <w:jc w:val="right"/>
            </w:pPr>
            <w:r>
              <w:t xml:space="preserve"> 2,253,000.00 </w:t>
            </w: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r>
              <w:t xml:space="preserve"> 1,023,000.00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tcBorders>
              <w:top w:val="single" w:color="auto" w:sz="4" w:space="0"/>
              <w:left w:val="single" w:color="auto" w:sz="4" w:space="0"/>
              <w:bottom w:val="single" w:color="auto" w:sz="4" w:space="0"/>
              <w:right w:val="single" w:color="auto" w:sz="4" w:space="0"/>
            </w:tcBorders>
          </w:tcPr>
          <w:p>
            <w:pPr>
              <w:pStyle w:val="48"/>
            </w:pPr>
            <w:r>
              <w:t>其他</w:t>
            </w:r>
          </w:p>
        </w:tc>
        <w:tc>
          <w:tcPr>
            <w:tcW w:w="1205" w:type="pct"/>
            <w:tcBorders>
              <w:top w:val="single" w:color="auto" w:sz="4" w:space="0"/>
              <w:left w:val="single" w:color="auto" w:sz="4" w:space="0"/>
              <w:bottom w:val="single" w:color="auto" w:sz="4" w:space="0"/>
              <w:right w:val="single" w:color="auto" w:sz="4" w:space="0"/>
            </w:tcBorders>
          </w:tcPr>
          <w:p>
            <w:pPr>
              <w:jc w:val="right"/>
            </w:pPr>
            <w:r>
              <w:t xml:space="preserve"> 2,291.24 </w:t>
            </w:r>
          </w:p>
        </w:tc>
        <w:tc>
          <w:tcPr>
            <w:tcW w:w="1072" w:type="pct"/>
            <w:tcBorders>
              <w:top w:val="single" w:color="auto" w:sz="4" w:space="0"/>
              <w:left w:val="single" w:color="auto" w:sz="4" w:space="0"/>
              <w:bottom w:val="single" w:color="auto" w:sz="4" w:space="0"/>
              <w:right w:val="single" w:color="auto" w:sz="4" w:space="0"/>
            </w:tcBorders>
          </w:tcPr>
          <w:p>
            <w:pPr>
              <w:jc w:val="right"/>
            </w:pPr>
            <w:r>
              <w:t xml:space="preserve"> 4,178.35 </w:t>
            </w:r>
          </w:p>
        </w:tc>
        <w:tc>
          <w:tcPr>
            <w:tcW w:w="1280" w:type="pct"/>
            <w:tcBorders>
              <w:top w:val="single" w:color="auto" w:sz="4" w:space="0"/>
              <w:left w:val="single" w:color="auto" w:sz="4" w:space="0"/>
              <w:bottom w:val="single" w:color="auto" w:sz="4" w:space="0"/>
              <w:right w:val="single" w:color="auto" w:sz="4" w:space="0"/>
            </w:tcBorders>
          </w:tcPr>
          <w:p>
            <w:pPr>
              <w:jc w:val="right"/>
            </w:pPr>
            <w:r>
              <w:t xml:space="preserve"> 2,291.24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3" w:type="pct"/>
            <w:tcBorders>
              <w:top w:val="single" w:color="auto" w:sz="4" w:space="0"/>
              <w:left w:val="single" w:color="auto" w:sz="4" w:space="0"/>
              <w:bottom w:val="single" w:color="auto" w:sz="4" w:space="0"/>
              <w:right w:val="single" w:color="auto" w:sz="4" w:space="0"/>
            </w:tcBorders>
          </w:tcPr>
          <w:p>
            <w:pPr>
              <w:ind w:right="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205" w:type="pct"/>
            <w:tcBorders>
              <w:top w:val="single" w:color="auto" w:sz="4" w:space="0"/>
              <w:left w:val="single" w:color="auto" w:sz="4" w:space="0"/>
              <w:bottom w:val="single" w:color="auto" w:sz="4" w:space="0"/>
              <w:right w:val="single" w:color="auto" w:sz="4" w:space="0"/>
            </w:tcBorders>
          </w:tcPr>
          <w:p>
            <w:pPr>
              <w:jc w:val="right"/>
            </w:pPr>
            <w:r>
              <w:t xml:space="preserve"> 1,036,603.82 </w:t>
            </w:r>
          </w:p>
        </w:tc>
        <w:tc>
          <w:tcPr>
            <w:tcW w:w="1072" w:type="pct"/>
            <w:tcBorders>
              <w:top w:val="single" w:color="auto" w:sz="4" w:space="0"/>
              <w:left w:val="single" w:color="auto" w:sz="4" w:space="0"/>
              <w:bottom w:val="single" w:color="auto" w:sz="4" w:space="0"/>
              <w:right w:val="single" w:color="auto" w:sz="4" w:space="0"/>
            </w:tcBorders>
          </w:tcPr>
          <w:p>
            <w:pPr>
              <w:jc w:val="right"/>
            </w:pPr>
            <w:r>
              <w:t xml:space="preserve"> 2,263,566.39 </w:t>
            </w:r>
          </w:p>
        </w:tc>
        <w:tc>
          <w:tcPr>
            <w:tcW w:w="1280" w:type="pct"/>
            <w:tcBorders>
              <w:top w:val="single" w:color="auto" w:sz="4" w:space="0"/>
              <w:left w:val="single" w:color="auto" w:sz="4" w:space="0"/>
              <w:bottom w:val="single" w:color="auto" w:sz="4" w:space="0"/>
              <w:right w:val="single" w:color="auto" w:sz="4" w:space="0"/>
            </w:tcBorders>
          </w:tcPr>
          <w:p>
            <w:pPr>
              <w:autoSpaceDE w:val="0"/>
              <w:autoSpaceDN w:val="0"/>
              <w:adjustRightInd w:val="0"/>
              <w:jc w:val="right"/>
            </w:pPr>
            <w:r>
              <w:t xml:space="preserve"> 1,036,603.82 </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rFonts w:hint="eastAsia"/>
          <w:color w:val="000000" w:themeColor="text1"/>
          <w14:textFill>
            <w14:solidFill>
              <w14:schemeClr w14:val="tx1"/>
            </w14:solidFill>
          </w14:textFill>
        </w:rPr>
        <w:alias w:val="营业外支出说明"/>
        <w:tag w:val="_GBC_948d4d2c5cfc43b999d968de3476bc75"/>
        <w:id w:val="139471595"/>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所得税费用</w:t>
      </w:r>
    </w:p>
    <w:p>
      <w:pPr>
        <w:pStyle w:val="5"/>
        <w:numPr>
          <w:ilvl w:val="0"/>
          <w:numId w:val="72"/>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所得税费用表</w:t>
      </w:r>
    </w:p>
    <w:sdt>
      <w:sdtPr>
        <w:rPr>
          <w:color w:val="000000" w:themeColor="text1"/>
          <w14:textFill>
            <w14:solidFill>
              <w14:schemeClr w14:val="tx1"/>
            </w14:solidFill>
          </w14:textFill>
        </w:rPr>
        <w:alias w:val="是否适用：所得税费用表[双击切换]"/>
        <w:tag w:val="_GBC_61ff35087b014685a6e03347957ab922"/>
        <w:id w:val="-70980241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wordWrap w:val="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所得税费用"/>
          <w:tag w:val="_GBC_18ed8ed511fe4791a90ee25fc956bd2b"/>
          <w:id w:val="-202686289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所得税费用"/>
          <w:tag w:val="_GBC_ecc6df02f1744ff084d6c0d30045219a"/>
          <w:id w:val="-15330193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3157"/>
        <w:gridCol w:w="2877"/>
        <w:gridCol w:w="2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87" w:hRule="atLeast"/>
        </w:trPr>
        <w:sdt>
          <w:sdtPr>
            <w:tag w:val="_PLD_951f380ec376457cb80126c7d6018f65"/>
            <w:id w:val="1266115997"/>
          </w:sdtPr>
          <w:sdtContent>
            <w:tc>
              <w:tcPr>
                <w:tcW w:w="1774" w:type="pct"/>
                <w:vAlign w:val="center"/>
              </w:tcPr>
              <w:p>
                <w:pPr>
                  <w:ind w:right="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e59791ce9d340b7b60e63b833f13708"/>
            <w:id w:val="-2115198931"/>
          </w:sdtPr>
          <w:sdtContent>
            <w:tc>
              <w:tcPr>
                <w:tcW w:w="1617" w:type="pct"/>
                <w:vAlign w:val="center"/>
              </w:tcPr>
              <w:p>
                <w:pPr>
                  <w:ind w:right="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23c0825dcbc74481a17a7811dee40e02"/>
            <w:id w:val="1263037489"/>
          </w:sdtPr>
          <w:sdtContent>
            <w:tc>
              <w:tcPr>
                <w:tcW w:w="1608" w:type="pct"/>
                <w:vAlign w:val="center"/>
              </w:tcPr>
              <w:p>
                <w:pPr>
                  <w:ind w:right="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774" w:type="pct"/>
          </w:tcPr>
          <w:p>
            <w:pPr>
              <w:ind w:right="6"/>
              <w:rPr>
                <w:b/>
                <w:bCs w:val="0"/>
                <w:color w:val="000000" w:themeColor="text1"/>
                <w14:textFill>
                  <w14:solidFill>
                    <w14:schemeClr w14:val="tx1"/>
                  </w14:solidFill>
                </w14:textFill>
              </w:rPr>
            </w:pPr>
            <w:r>
              <w:rPr>
                <w:rFonts w:hint="eastAsia"/>
                <w:color w:val="000000" w:themeColor="text1"/>
                <w14:textFill>
                  <w14:solidFill>
                    <w14:schemeClr w14:val="tx1"/>
                  </w14:solidFill>
                </w14:textFill>
              </w:rPr>
              <w:t>当期所得税费用</w:t>
            </w:r>
          </w:p>
        </w:tc>
        <w:tc>
          <w:tcPr>
            <w:tcW w:w="1617" w:type="pct"/>
          </w:tcPr>
          <w:p>
            <w:pPr>
              <w:jc w:val="right"/>
            </w:pPr>
            <w:r>
              <w:t xml:space="preserve"> 5,241,777.24 </w:t>
            </w:r>
          </w:p>
        </w:tc>
        <w:tc>
          <w:tcPr>
            <w:tcW w:w="1608" w:type="pct"/>
          </w:tcPr>
          <w:p>
            <w:pPr>
              <w:ind w:right="6"/>
              <w:jc w:val="right"/>
            </w:pPr>
            <w:r>
              <w:t xml:space="preserve"> 6,567,686.14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774" w:type="pct"/>
          </w:tcPr>
          <w:p>
            <w:pPr>
              <w:ind w:right="6"/>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递延所得税费用</w:t>
            </w:r>
          </w:p>
        </w:tc>
        <w:tc>
          <w:tcPr>
            <w:tcW w:w="1617" w:type="pct"/>
          </w:tcPr>
          <w:p>
            <w:pPr>
              <w:jc w:val="right"/>
            </w:pPr>
            <w:r>
              <w:t xml:space="preserve"> -5,186,964.41 </w:t>
            </w:r>
          </w:p>
        </w:tc>
        <w:tc>
          <w:tcPr>
            <w:tcW w:w="1608" w:type="pct"/>
          </w:tcPr>
          <w:p>
            <w:pPr>
              <w:ind w:right="6"/>
              <w:jc w:val="right"/>
            </w:pPr>
            <w:r>
              <w:t xml:space="preserve"> 3,558,601.23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1774" w:type="pct"/>
          </w:tcPr>
          <w:p>
            <w:pPr>
              <w:ind w:right="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17" w:type="pct"/>
          </w:tcPr>
          <w:p>
            <w:pPr>
              <w:ind w:right="6"/>
              <w:jc w:val="right"/>
            </w:pPr>
            <w:r>
              <w:t xml:space="preserve"> 54,812.83 </w:t>
            </w:r>
          </w:p>
        </w:tc>
        <w:tc>
          <w:tcPr>
            <w:tcW w:w="1608" w:type="pct"/>
          </w:tcPr>
          <w:p>
            <w:pPr>
              <w:ind w:right="6"/>
              <w:jc w:val="right"/>
            </w:pPr>
            <w:r>
              <w:t xml:space="preserve"> 10,126,287.37 </w:t>
            </w:r>
          </w:p>
        </w:tc>
      </w:tr>
    </w:tbl>
    <w:p>
      <w:pPr>
        <w:pStyle w:val="5"/>
        <w:numPr>
          <w:ilvl w:val="0"/>
          <w:numId w:val="72"/>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会计利润与所得税费用调整过程</w:t>
      </w:r>
    </w:p>
    <w:sdt>
      <w:sdtPr>
        <w:rPr>
          <w:color w:val="000000" w:themeColor="text1"/>
          <w14:textFill>
            <w14:solidFill>
              <w14:schemeClr w14:val="tx1"/>
            </w14:solidFill>
          </w14:textFill>
        </w:rPr>
        <w:alias w:val="是否适用：会计利润与所得税费用调整过程[双击切换]"/>
        <w:tag w:val="_GBC_92a49ce6320645cc9101c809f426c9db"/>
        <w:id w:val="-166441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会计利润与所得税费用调整过程"/>
          <w:tag w:val="_GBC_8b3d0d6296b944dcbc6077158d5eb7ca"/>
          <w:id w:val="59514737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会计利润与所得税费用调整过程"/>
          <w:tag w:val="_GBC_f07b399def8f4b49bdebcbb56994fb61"/>
          <w:id w:val="-199077728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4301"/>
        <w:gridCol w:w="4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sdt>
          <w:sdtPr>
            <w:tag w:val="_PLD_762c770e68ab4734ab4b1455db567f92"/>
            <w:id w:val="209390488"/>
          </w:sdtPr>
          <w:sdtContent>
            <w:tc>
              <w:tcPr>
                <w:tcW w:w="2419"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dbffde77b3344828a64e53b9962d0e3a"/>
            <w:id w:val="593447870"/>
          </w:sdtPr>
          <w:sdtContent>
            <w:tc>
              <w:tcPr>
                <w:tcW w:w="2581"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pPr>
              <w:ind w:right="6"/>
              <w:rPr>
                <w:b/>
                <w:bCs w:val="0"/>
                <w:color w:val="000000" w:themeColor="text1"/>
                <w14:textFill>
                  <w14:solidFill>
                    <w14:schemeClr w14:val="tx1"/>
                  </w14:solidFill>
                </w14:textFill>
              </w:rPr>
            </w:pPr>
            <w:r>
              <w:rPr>
                <w:rFonts w:hint="eastAsia"/>
              </w:rPr>
              <w:t>利润总额</w:t>
            </w:r>
          </w:p>
        </w:tc>
        <w:tc>
          <w:tcPr>
            <w:tcW w:w="2581" w:type="pct"/>
            <w:vAlign w:val="center"/>
          </w:tcPr>
          <w:p>
            <w:pPr>
              <w:jc w:val="right"/>
            </w:pPr>
            <w:r>
              <w:t xml:space="preserve"> 20,893,494.40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pPr>
              <w:ind w:right="6"/>
              <w:rPr>
                <w:color w:val="000000" w:themeColor="text1"/>
                <w14:textFill>
                  <w14:solidFill>
                    <w14:schemeClr w14:val="tx1"/>
                  </w14:solidFill>
                </w14:textFill>
              </w:rPr>
            </w:pPr>
            <w:r>
              <w:rPr>
                <w:rFonts w:hint="eastAsia"/>
              </w:rPr>
              <w:t>按法定/适用税率计算的所得税费用</w:t>
            </w:r>
          </w:p>
        </w:tc>
        <w:tc>
          <w:tcPr>
            <w:tcW w:w="2581" w:type="pct"/>
            <w:vAlign w:val="center"/>
          </w:tcPr>
          <w:p>
            <w:pPr>
              <w:jc w:val="right"/>
            </w:pPr>
            <w:r>
              <w:t xml:space="preserve"> 3,134,024.16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trHeight w:val="139" w:hRule="atLeast"/>
        </w:trPr>
        <w:tc>
          <w:tcPr>
            <w:tcW w:w="2419" w:type="pct"/>
          </w:tcPr>
          <w:p>
            <w:pPr>
              <w:ind w:right="6"/>
              <w:rPr>
                <w:color w:val="000000" w:themeColor="text1"/>
                <w14:textFill>
                  <w14:solidFill>
                    <w14:schemeClr w14:val="tx1"/>
                  </w14:solidFill>
                </w14:textFill>
              </w:rPr>
            </w:pPr>
            <w:r>
              <w:rPr>
                <w:rFonts w:hint="eastAsia"/>
              </w:rPr>
              <w:t>子公司适用不同税率的影响</w:t>
            </w:r>
          </w:p>
        </w:tc>
        <w:tc>
          <w:tcPr>
            <w:tcW w:w="2581" w:type="pct"/>
            <w:vAlign w:val="center"/>
          </w:tcPr>
          <w:p>
            <w:pPr>
              <w:jc w:val="right"/>
            </w:pPr>
            <w:r>
              <w:t xml:space="preserve"> 300,869.13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pPr>
              <w:ind w:right="6"/>
              <w:rPr>
                <w:color w:val="000000" w:themeColor="text1"/>
                <w14:textFill>
                  <w14:solidFill>
                    <w14:schemeClr w14:val="tx1"/>
                  </w14:solidFill>
                </w14:textFill>
              </w:rPr>
            </w:pPr>
            <w:r>
              <w:rPr>
                <w:rFonts w:hint="eastAsia"/>
              </w:rPr>
              <w:t>调整以前期间所得税的影响</w:t>
            </w:r>
          </w:p>
        </w:tc>
        <w:tc>
          <w:tcPr>
            <w:tcW w:w="2581" w:type="pct"/>
            <w:vAlign w:val="center"/>
          </w:tcPr>
          <w:p>
            <w:pPr>
              <w:jc w:val="right"/>
            </w:pPr>
            <w:r>
              <w:t xml:space="preserve"> -1,930,395.13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pPr>
              <w:ind w:right="6"/>
              <w:rPr>
                <w:color w:val="000000" w:themeColor="text1"/>
                <w14:textFill>
                  <w14:solidFill>
                    <w14:schemeClr w14:val="tx1"/>
                  </w14:solidFill>
                </w14:textFill>
              </w:rPr>
            </w:pPr>
            <w:r>
              <w:rPr>
                <w:rFonts w:hint="eastAsia"/>
              </w:rPr>
              <w:t>非应税收入的影响</w:t>
            </w:r>
          </w:p>
        </w:tc>
        <w:tc>
          <w:tcPr>
            <w:tcW w:w="258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pPr>
              <w:ind w:right="6"/>
              <w:rPr>
                <w:color w:val="000000" w:themeColor="text1"/>
                <w14:textFill>
                  <w14:solidFill>
                    <w14:schemeClr w14:val="tx1"/>
                  </w14:solidFill>
                </w14:textFill>
              </w:rPr>
            </w:pPr>
            <w:r>
              <w:rPr>
                <w:rFonts w:hint="eastAsia"/>
              </w:rPr>
              <w:t>研发费用等加计扣除项目的影响</w:t>
            </w:r>
          </w:p>
        </w:tc>
        <w:tc>
          <w:tcPr>
            <w:tcW w:w="2581" w:type="pct"/>
            <w:vAlign w:val="center"/>
          </w:tcPr>
          <w:p>
            <w:pPr>
              <w:jc w:val="right"/>
            </w:pPr>
            <w:r>
              <w:t xml:space="preserve"> -2,933,966.03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pPr>
              <w:ind w:right="6"/>
              <w:rPr>
                <w:color w:val="000000" w:themeColor="text1"/>
                <w14:textFill>
                  <w14:solidFill>
                    <w14:schemeClr w14:val="tx1"/>
                  </w14:solidFill>
                </w14:textFill>
              </w:rPr>
            </w:pPr>
            <w:r>
              <w:rPr>
                <w:rFonts w:hint="eastAsia"/>
              </w:rPr>
              <w:t>不可抵扣的成本、费用和损失的影响</w:t>
            </w:r>
          </w:p>
        </w:tc>
        <w:tc>
          <w:tcPr>
            <w:tcW w:w="2581" w:type="pct"/>
            <w:vAlign w:val="center"/>
          </w:tcPr>
          <w:p>
            <w:pPr>
              <w:jc w:val="right"/>
            </w:pPr>
            <w:r>
              <w:t xml:space="preserve"> 1,306,899.39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pPr>
              <w:ind w:right="6"/>
              <w:rPr>
                <w:color w:val="000000" w:themeColor="text1"/>
                <w14:textFill>
                  <w14:solidFill>
                    <w14:schemeClr w14:val="tx1"/>
                  </w14:solidFill>
                </w14:textFill>
              </w:rPr>
            </w:pPr>
            <w:r>
              <w:rPr>
                <w:rFonts w:hint="eastAsia"/>
              </w:rPr>
              <w:t>使用前期未确认递延所得税资产的可抵扣亏损的影响</w:t>
            </w:r>
          </w:p>
        </w:tc>
        <w:tc>
          <w:tcPr>
            <w:tcW w:w="258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pPr>
              <w:pStyle w:val="48"/>
            </w:pPr>
            <w:r>
              <w:rPr>
                <w:rFonts w:hint="eastAsia"/>
              </w:rPr>
              <w:t>本期未确认递延所得税资产的可抵扣暂时性差异或可抵扣亏损的影响</w:t>
            </w:r>
          </w:p>
        </w:tc>
        <w:tc>
          <w:tcPr>
            <w:tcW w:w="2581" w:type="pct"/>
            <w:vAlign w:val="center"/>
          </w:tcPr>
          <w:p>
            <w:pPr>
              <w:jc w:val="right"/>
            </w:pPr>
            <w:r>
              <w:t xml:space="preserve"> 177,381.31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19" w:type="pct"/>
          </w:tcPr>
          <w:p>
            <w:pPr>
              <w:pStyle w:val="48"/>
            </w:pPr>
            <w:r>
              <w:rPr>
                <w:rFonts w:hint="eastAsia"/>
              </w:rPr>
              <w:t>内部销售未实现利润暂时性差异</w:t>
            </w:r>
          </w:p>
        </w:tc>
        <w:tc>
          <w:tcPr>
            <w:tcW w:w="258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pPr>
              <w:pStyle w:val="48"/>
            </w:pPr>
            <w:r>
              <w:rPr>
                <w:rFonts w:hint="eastAsia"/>
              </w:rPr>
              <w:t>税率调整导致期初递延所得税资产/负债余额的变化</w:t>
            </w:r>
          </w:p>
        </w:tc>
        <w:tc>
          <w:tcPr>
            <w:tcW w:w="2581"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c>
          <w:tcPr>
            <w:tcW w:w="2419" w:type="pct"/>
          </w:tcPr>
          <w:p>
            <w:pPr>
              <w:rPr>
                <w:color w:val="000000" w:themeColor="text1"/>
                <w14:textFill>
                  <w14:solidFill>
                    <w14:schemeClr w14:val="tx1"/>
                  </w14:solidFill>
                </w14:textFill>
              </w:rPr>
            </w:pPr>
            <w:r>
              <w:rPr>
                <w:rFonts w:hint="eastAsia"/>
              </w:rPr>
              <w:t>所得税费用</w:t>
            </w:r>
          </w:p>
        </w:tc>
        <w:tc>
          <w:tcPr>
            <w:tcW w:w="2581" w:type="pct"/>
            <w:vAlign w:val="center"/>
          </w:tcPr>
          <w:p>
            <w:pPr>
              <w:jc w:val="right"/>
            </w:pPr>
            <w:r>
              <w:t xml:space="preserve"> 54,812.83 </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所得税费用的说明[双击切换]"/>
        <w:tag w:val="_GBC_0363d79a647b4d96aa5d7b72c93b1e45"/>
        <w:id w:val="-32812646"/>
        <w:placeholder>
          <w:docPart w:val="GBC22222222222222222222222222222"/>
        </w:placeholder>
      </w:sdtPr>
      <w:sdtEndPr>
        <w:rPr>
          <w:color w:val="000000" w:themeColor="text1"/>
          <w14:textFill>
            <w14:solidFill>
              <w14:schemeClr w14:val="tx1"/>
            </w14:solidFill>
          </w14:textFill>
        </w:rPr>
      </w:sdtEndPr>
      <w:sdtContent>
        <w:p>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其他综合收益</w:t>
      </w:r>
    </w:p>
    <w:sdt>
      <w:sdtPr>
        <w:rPr>
          <w:color w:val="000000" w:themeColor="text1"/>
          <w14:textFill>
            <w14:solidFill>
              <w14:schemeClr w14:val="tx1"/>
            </w14:solidFill>
          </w14:textFill>
        </w:rPr>
        <w:alias w:val="是否适用：其他综合收益[双击切换]"/>
        <w:tag w:val="_GBC_bef6c47936994e5e94c77d5dd812be30"/>
        <w:id w:val="-80083741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其他综合收益详见附注"/>
          <w:tag w:val="_GBC_6f59ae7e2b78472ea4fa736cbb8f062d"/>
          <w:id w:val="1099067567"/>
          <w:placeholder>
            <w:docPart w:val="GBC22222222222222222222222222222"/>
          </w:placeholder>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详见“第八节.七、合并财务报表项目注释.57、其他综合收益”</w:t>
          </w:r>
          <w:r>
            <w:rPr>
              <w:rFonts w:hint="eastAsia"/>
              <w:color w:val="000000" w:themeColor="text1"/>
              <w14:textFill>
                <w14:solidFill>
                  <w14:schemeClr w14:val="tx1"/>
                </w14:solidFill>
              </w14:textFill>
            </w:rPr>
            <w:t>。</w:t>
          </w:r>
        </w:sdtContent>
      </w:sdt>
    </w:p>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现金流量表项目</w:t>
      </w:r>
    </w:p>
    <w:p>
      <w:pPr>
        <w:pStyle w:val="5"/>
        <w:numPr>
          <w:ilvl w:val="0"/>
          <w:numId w:val="73"/>
        </w:numPr>
        <w:rPr>
          <w:color w:val="000000" w:themeColor="text1"/>
          <w14:textFill>
            <w14:solidFill>
              <w14:schemeClr w14:val="tx1"/>
            </w14:solidFill>
          </w14:textFill>
        </w:rPr>
      </w:pPr>
      <w:r>
        <w:rPr>
          <w:rFonts w:hint="eastAsia"/>
          <w:color w:val="000000" w:themeColor="text1"/>
          <w14:textFill>
            <w14:solidFill>
              <w14:schemeClr w14:val="tx1"/>
            </w14:solidFill>
          </w14:textFill>
        </w:rPr>
        <w:t>与经营活动有关的现金</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收到的其他与经营活动有关的现金</w:t>
      </w:r>
    </w:p>
    <w:sdt>
      <w:sdtPr>
        <w:rPr>
          <w:color w:val="000000" w:themeColor="text1"/>
          <w14:textFill>
            <w14:solidFill>
              <w14:schemeClr w14:val="tx1"/>
            </w14:solidFill>
          </w14:textFill>
        </w:rPr>
        <w:alias w:val="是否适用：收到的其他与经营活动有关的现金[双击切换]"/>
        <w:tag w:val="_GBC_c5c1fd7856fd40f88e814da378eb1220"/>
        <w:id w:val="95174893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收到的其他与经营活动有关的现金"/>
          <w:tag w:val="_GBC_5ccae82b68484e708f12fda90762616a"/>
          <w:id w:val="-22900708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收到的其他与经营活动有关的现金"/>
          <w:tag w:val="_GBC_fab1e143b1314991a3aebb857ed68a09"/>
          <w:id w:val="168548192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47"/>
        <w:gridCol w:w="2778"/>
        <w:gridCol w:w="2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37a08d49f8e14506929ae8c9544c259e"/>
            <w:id w:val="-235015304"/>
          </w:sdtPr>
          <w:sdtContent>
            <w:tc>
              <w:tcPr>
                <w:tcW w:w="1882"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6cb8d17057e4de79000a7b7c263b07e"/>
            <w:id w:val="-1309548828"/>
          </w:sdtPr>
          <w:sdtContent>
            <w:tc>
              <w:tcPr>
                <w:tcW w:w="1562"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28d6db3ec51c43eb8751b53e93c8f270"/>
            <w:id w:val="737203949"/>
          </w:sdtPr>
          <w:sdtContent>
            <w:tc>
              <w:tcPr>
                <w:tcW w:w="1556"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spacing w:line="240" w:lineRule="atLeast"/>
            </w:pPr>
            <w:r>
              <w:rPr>
                <w:rFonts w:hint="eastAsia"/>
              </w:rPr>
              <w:t>收到政府补助</w:t>
            </w:r>
          </w:p>
        </w:tc>
        <w:tc>
          <w:tcPr>
            <w:tcW w:w="1562" w:type="pct"/>
          </w:tcPr>
          <w:p>
            <w:pPr>
              <w:jc w:val="right"/>
            </w:pPr>
            <w:r>
              <w:t xml:space="preserve"> 16,412,635.76 </w:t>
            </w:r>
          </w:p>
        </w:tc>
        <w:tc>
          <w:tcPr>
            <w:tcW w:w="1556" w:type="pct"/>
          </w:tcPr>
          <w:p>
            <w:pPr>
              <w:jc w:val="right"/>
            </w:pPr>
            <w:r>
              <w:t xml:space="preserve"> 5,456,350.96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spacing w:line="240" w:lineRule="atLeast"/>
            </w:pPr>
            <w:r>
              <w:rPr>
                <w:rFonts w:hint="eastAsia"/>
              </w:rPr>
              <w:t>收到银行利息收入</w:t>
            </w:r>
          </w:p>
        </w:tc>
        <w:tc>
          <w:tcPr>
            <w:tcW w:w="1562" w:type="pct"/>
          </w:tcPr>
          <w:p>
            <w:pPr>
              <w:jc w:val="right"/>
            </w:pPr>
            <w:r>
              <w:t xml:space="preserve"> 14,283,100.99 </w:t>
            </w:r>
          </w:p>
        </w:tc>
        <w:tc>
          <w:tcPr>
            <w:tcW w:w="1556" w:type="pct"/>
          </w:tcPr>
          <w:p>
            <w:pPr>
              <w:jc w:val="right"/>
            </w:pPr>
            <w:r>
              <w:t xml:space="preserve"> 18,082,394.86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spacing w:line="240" w:lineRule="atLeast"/>
            </w:pPr>
            <w:r>
              <w:rPr>
                <w:rFonts w:hint="eastAsia"/>
              </w:rPr>
              <w:t>收到保证金及押金净额</w:t>
            </w:r>
          </w:p>
        </w:tc>
        <w:tc>
          <w:tcPr>
            <w:tcW w:w="1562" w:type="pct"/>
          </w:tcPr>
          <w:p>
            <w:pPr>
              <w:jc w:val="right"/>
            </w:pPr>
            <w:r>
              <w:t xml:space="preserve"> 288,800.00 </w:t>
            </w:r>
          </w:p>
        </w:tc>
        <w:tc>
          <w:tcPr>
            <w:tcW w:w="1556" w:type="pct"/>
          </w:tcPr>
          <w:p>
            <w:pPr>
              <w:jc w:val="right"/>
            </w:pPr>
            <w:r>
              <w:t xml:space="preserve"> 18,423,960.02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spacing w:line="240" w:lineRule="atLeast"/>
            </w:pPr>
            <w:r>
              <w:rPr>
                <w:rFonts w:hint="eastAsia"/>
              </w:rPr>
              <w:t>收到其他</w:t>
            </w:r>
          </w:p>
        </w:tc>
        <w:tc>
          <w:tcPr>
            <w:tcW w:w="1562" w:type="pct"/>
          </w:tcPr>
          <w:p>
            <w:pPr>
              <w:jc w:val="right"/>
            </w:pPr>
            <w:r>
              <w:t xml:space="preserve"> 2,807,564.43 </w:t>
            </w:r>
          </w:p>
        </w:tc>
        <w:tc>
          <w:tcPr>
            <w:tcW w:w="1556" w:type="pct"/>
          </w:tcPr>
          <w:p>
            <w:pPr>
              <w:jc w:val="right"/>
            </w:pPr>
            <w:r>
              <w:t xml:space="preserve"> 18,039,027.96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62" w:type="pct"/>
          </w:tcPr>
          <w:p>
            <w:pPr>
              <w:jc w:val="right"/>
            </w:pPr>
            <w:r>
              <w:t xml:space="preserve"> 33,792,101.18 </w:t>
            </w:r>
          </w:p>
        </w:tc>
        <w:tc>
          <w:tcPr>
            <w:tcW w:w="1556" w:type="pct"/>
          </w:tcPr>
          <w:p>
            <w:pPr>
              <w:jc w:val="right"/>
            </w:pPr>
            <w:r>
              <w:t xml:space="preserve"> 60,001,733.80 </w:t>
            </w:r>
          </w:p>
        </w:tc>
      </w:tr>
    </w:tbl>
    <w:p>
      <w:pPr>
        <w:snapToGrid w:val="0"/>
        <w:spacing w:before="60" w:after="60"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收到的其他与经营活动有关的现金说明：</w:t>
      </w:r>
    </w:p>
    <w:sdt>
      <w:sdtPr>
        <w:rPr>
          <w:color w:val="000000" w:themeColor="text1"/>
          <w14:textFill>
            <w14:solidFill>
              <w14:schemeClr w14:val="tx1"/>
            </w14:solidFill>
          </w14:textFill>
        </w:rPr>
        <w:alias w:val="收到的其他与经营活动有关的现金说明"/>
        <w:tag w:val="_GBC_1204b17e37bf4cc187a1ffb6f9463f05"/>
        <w:id w:val="-168713145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支付的其他与经营活动有关的现金</w:t>
      </w:r>
    </w:p>
    <w:sdt>
      <w:sdtPr>
        <w:rPr>
          <w:color w:val="000000" w:themeColor="text1"/>
          <w14:textFill>
            <w14:solidFill>
              <w14:schemeClr w14:val="tx1"/>
            </w14:solidFill>
          </w14:textFill>
        </w:rPr>
        <w:alias w:val="是否适用：支付的其他与经营活动有关的现金[双击切换]"/>
        <w:tag w:val="_GBC_73331002c48743d9a4438c6eb4a07c95"/>
        <w:id w:val="-155916848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支付的其他与经营活动有关的现金"/>
          <w:tag w:val="_GBC_8252d4ac9be64f04b08b1dc08e270310"/>
          <w:id w:val="-17641982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支付的其他与经营活动有关的现金"/>
          <w:tag w:val="_GBC_37de812db19b41c8a01d10d8b0365268"/>
          <w:id w:val="-203487625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47"/>
        <w:gridCol w:w="2759"/>
        <w:gridCol w:w="27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164da6d2b96e42688b06fe557d996ac2"/>
            <w:id w:val="1600916410"/>
          </w:sdtPr>
          <w:sdtContent>
            <w:tc>
              <w:tcPr>
                <w:tcW w:w="1882"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9d21b5f023448adbd8c69a7e96e585d"/>
            <w:id w:val="-1732372206"/>
          </w:sdtPr>
          <w:sdtContent>
            <w:tc>
              <w:tcPr>
                <w:tcW w:w="1551"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fccf4811cdbb443297a0ce875715525f"/>
            <w:id w:val="540483912"/>
          </w:sdtPr>
          <w:sdtContent>
            <w:tc>
              <w:tcPr>
                <w:tcW w:w="1567"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支付期间费用</w:t>
            </w:r>
          </w:p>
        </w:tc>
        <w:tc>
          <w:tcPr>
            <w:tcW w:w="1551" w:type="pct"/>
          </w:tcPr>
          <w:p>
            <w:pPr>
              <w:jc w:val="right"/>
            </w:pPr>
            <w:r>
              <w:t xml:space="preserve"> 48,402,987.51 </w:t>
            </w:r>
          </w:p>
        </w:tc>
        <w:tc>
          <w:tcPr>
            <w:tcW w:w="1567" w:type="pct"/>
          </w:tcPr>
          <w:p>
            <w:pPr>
              <w:jc w:val="right"/>
            </w:pPr>
            <w:r>
              <w:t xml:space="preserve"> 58,794,673.76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支付保证金及押金净额</w:t>
            </w:r>
          </w:p>
        </w:tc>
        <w:tc>
          <w:tcPr>
            <w:tcW w:w="1551" w:type="pct"/>
          </w:tcPr>
          <w:p>
            <w:pPr>
              <w:jc w:val="right"/>
            </w:pPr>
            <w:r>
              <w:t xml:space="preserve"> 33,543,787.99 </w:t>
            </w:r>
          </w:p>
        </w:tc>
        <w:tc>
          <w:tcPr>
            <w:tcW w:w="1567" w:type="pct"/>
          </w:tcPr>
          <w:p>
            <w:pPr>
              <w:jc w:val="right"/>
            </w:pPr>
            <w:r>
              <w:t xml:space="preserve"> 51,792,118.14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支付捐赠款</w:t>
            </w:r>
          </w:p>
        </w:tc>
        <w:tc>
          <w:tcPr>
            <w:tcW w:w="1551" w:type="pct"/>
          </w:tcPr>
          <w:p>
            <w:pPr>
              <w:jc w:val="right"/>
            </w:pPr>
            <w:r>
              <w:t xml:space="preserve"> 1,023,000.00 </w:t>
            </w:r>
          </w:p>
        </w:tc>
        <w:tc>
          <w:tcPr>
            <w:tcW w:w="1567" w:type="pct"/>
          </w:tcPr>
          <w:p>
            <w:pPr>
              <w:jc w:val="right"/>
            </w:pPr>
            <w:r>
              <w:t xml:space="preserve"> 2,253,000.00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支付其他</w:t>
            </w:r>
          </w:p>
        </w:tc>
        <w:tc>
          <w:tcPr>
            <w:tcW w:w="1551" w:type="pct"/>
          </w:tcPr>
          <w:p>
            <w:pPr>
              <w:jc w:val="right"/>
            </w:pPr>
            <w:r>
              <w:t xml:space="preserve"> 1,624,376.85 </w:t>
            </w:r>
          </w:p>
        </w:tc>
        <w:tc>
          <w:tcPr>
            <w:tcW w:w="1567" w:type="pct"/>
          </w:tcPr>
          <w:p>
            <w:pPr>
              <w:jc w:val="right"/>
            </w:pPr>
            <w:r>
              <w:t xml:space="preserve"> 270,036.59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51" w:type="pct"/>
          </w:tcPr>
          <w:p>
            <w:pPr>
              <w:jc w:val="right"/>
            </w:pPr>
            <w:r>
              <w:t xml:space="preserve"> 84,594,152.35 </w:t>
            </w:r>
          </w:p>
        </w:tc>
        <w:tc>
          <w:tcPr>
            <w:tcW w:w="1567" w:type="pct"/>
          </w:tcPr>
          <w:p>
            <w:pPr>
              <w:jc w:val="right"/>
            </w:pPr>
            <w:r>
              <w:t xml:space="preserve"> 113,109,828.49 </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支付的其他与经营活动有关的现金说明：</w:t>
      </w:r>
    </w:p>
    <w:sdt>
      <w:sdtPr>
        <w:rPr>
          <w:rFonts w:hint="eastAsia"/>
          <w:color w:val="000000" w:themeColor="text1"/>
          <w14:textFill>
            <w14:solidFill>
              <w14:schemeClr w14:val="tx1"/>
            </w14:solidFill>
          </w14:textFill>
        </w:rPr>
        <w:alias w:val="支付的其他与经营活动有关的现金说明"/>
        <w:tag w:val="_GBC_632dc3caefd547b5b57f9340a021af22"/>
        <w:id w:val="177550685"/>
        <w:placeholder>
          <w:docPart w:val="GBC22222222222222222222222222222"/>
        </w:placeholder>
      </w:sdtPr>
      <w:sdtEndPr>
        <w:rPr>
          <w:rFonts w:hint="eastAsia"/>
          <w:color w:val="000000" w:themeColor="text1"/>
          <w14:textFill>
            <w14:solidFill>
              <w14:schemeClr w14:val="tx1"/>
            </w14:solidFill>
          </w14:textFill>
        </w:rPr>
      </w:sdtEndPr>
      <w:sdtContent>
        <w:p>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5"/>
        <w:numPr>
          <w:ilvl w:val="0"/>
          <w:numId w:val="73"/>
        </w:numPr>
        <w:rPr>
          <w:color w:val="000000" w:themeColor="text1"/>
          <w14:textFill>
            <w14:solidFill>
              <w14:schemeClr w14:val="tx1"/>
            </w14:solidFill>
          </w14:textFill>
        </w:rPr>
      </w:pPr>
      <w:bookmarkStart w:id="415" w:name="_Hlk167970426"/>
      <w:r>
        <w:rPr>
          <w:rFonts w:hint="eastAsia"/>
          <w:color w:val="000000" w:themeColor="text1"/>
          <w14:textFill>
            <w14:solidFill>
              <w14:schemeClr w14:val="tx1"/>
            </w14:solidFill>
          </w14:textFill>
        </w:rPr>
        <w:t>与投资活动有关的现金</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收到的重要的投资活动有关的现金</w:t>
      </w:r>
    </w:p>
    <w:sdt>
      <w:sdtPr>
        <w:rPr>
          <w:color w:val="000000" w:themeColor="text1"/>
          <w14:textFill>
            <w14:solidFill>
              <w14:schemeClr w14:val="tx1"/>
            </w14:solidFill>
          </w14:textFill>
        </w:rPr>
        <w:alias w:val="是否适用：收到的重要的投资活动有关的现金[双击切换]"/>
        <w:tag w:val="_GBC_f56d2779677b47b3ba2b7e5e0b1d3d89"/>
        <w:id w:val="201240782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支付的重要的投资活动有关的现金</w:t>
      </w:r>
    </w:p>
    <w:sdt>
      <w:sdtPr>
        <w:rPr>
          <w:color w:val="000000" w:themeColor="text1"/>
          <w14:textFill>
            <w14:solidFill>
              <w14:schemeClr w14:val="tx1"/>
            </w14:solidFill>
          </w14:textFill>
        </w:rPr>
        <w:alias w:val="是否适用：支付的重要的投资活动有关的现金[双击切换]"/>
        <w:tag w:val="_GBC_e489b143c5a245a9bd1fb9c8c46d7528"/>
        <w:id w:val="210775973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单位：</w:t>
      </w:r>
      <w:sdt>
        <w:sdtPr>
          <w:rPr>
            <w:rFonts w:hint="eastAsia"/>
            <w:color w:val="000000" w:themeColor="text1"/>
            <w14:textFill>
              <w14:solidFill>
                <w14:schemeClr w14:val="tx1"/>
              </w14:solidFill>
            </w14:textFill>
          </w:rPr>
          <w:alias w:val="单位：支付的重要的投资活动有关的现金"/>
          <w:tag w:val="_GBC_dd865b1779ff4e65a600058244346633"/>
          <w:id w:val="-168258209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支付的重要的投资活动有关的现金"/>
          <w:tag w:val="_GBC_b2be4d7fd00f4a1d873d8c3b35ece58d"/>
          <w:id w:val="-5384287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3410"/>
        <w:gridCol w:w="2830"/>
        <w:gridCol w:w="2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sdt>
          <w:sdtPr>
            <w:tag w:val="_PLD_6fd2a5f2ac0244d08f803c4693ced7de"/>
            <w:id w:val="-582063470"/>
          </w:sdtPr>
          <w:sdtContent>
            <w:tc>
              <w:tcPr>
                <w:tcW w:w="1882"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f2d6bba65494492af2cde1da634a814"/>
            <w:id w:val="-1040966097"/>
          </w:sdtPr>
          <w:sdtContent>
            <w:tc>
              <w:tcPr>
                <w:tcW w:w="1562"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4535b64933e04581a81ff0c2f6d60aee"/>
            <w:id w:val="912974757"/>
          </w:sdtPr>
          <w:sdtContent>
            <w:tc>
              <w:tcPr>
                <w:tcW w:w="1556"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pPr>
              <w:autoSpaceDE w:val="0"/>
              <w:autoSpaceDN w:val="0"/>
              <w:adjustRightInd w:val="0"/>
              <w:snapToGrid w:val="0"/>
              <w:spacing w:line="240" w:lineRule="atLeast"/>
            </w:pPr>
            <w:r>
              <w:rPr>
                <w:rFonts w:hint="eastAsia"/>
              </w:rPr>
              <w:t>购建固定资产和其他长期资产支付的现金</w:t>
            </w:r>
          </w:p>
        </w:tc>
        <w:tc>
          <w:tcPr>
            <w:tcW w:w="1562" w:type="pct"/>
            <w:vAlign w:val="center"/>
          </w:tcPr>
          <w:p>
            <w:pPr>
              <w:jc w:val="right"/>
            </w:pPr>
            <w:r>
              <w:rPr>
                <w:rFonts w:hint="eastAsia"/>
              </w:rPr>
              <w:t xml:space="preserve"> </w:t>
            </w:r>
            <w:r>
              <w:t xml:space="preserve"> 24,775,008.55</w:t>
            </w:r>
          </w:p>
        </w:tc>
        <w:tc>
          <w:tcPr>
            <w:tcW w:w="1556" w:type="pct"/>
            <w:vAlign w:val="center"/>
          </w:tcPr>
          <w:p>
            <w:pPr>
              <w:jc w:val="right"/>
            </w:pPr>
            <w:r>
              <w:rPr>
                <w:rFonts w:hint="eastAsia"/>
              </w:rPr>
              <w:t xml:space="preserve"> 57,251,389.13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1882"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562" w:type="pct"/>
          </w:tcPr>
          <w:p>
            <w:pPr>
              <w:jc w:val="right"/>
            </w:pPr>
            <w:r>
              <w:t xml:space="preserve">  24,775,008.55</w:t>
            </w:r>
          </w:p>
        </w:tc>
        <w:tc>
          <w:tcPr>
            <w:tcW w:w="1556" w:type="pct"/>
          </w:tcPr>
          <w:p>
            <w:pPr>
              <w:jc w:val="right"/>
            </w:pPr>
            <w:r>
              <w:t xml:space="preserve"> 57,251,389.13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支付的重要的投资活动有关的现金说明</w:t>
      </w:r>
    </w:p>
    <w:sdt>
      <w:sdtPr>
        <w:rPr>
          <w:color w:val="000000" w:themeColor="text1"/>
          <w14:textFill>
            <w14:solidFill>
              <w14:schemeClr w14:val="tx1"/>
            </w14:solidFill>
          </w14:textFill>
        </w:rPr>
        <w:alias w:val="支付的重要的投资活动有关的现金的说明"/>
        <w:tag w:val="_GBC_0d5eb9a515964348b1a6a780e6c2e850"/>
        <w:id w:val="-154181828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415"/>
    <w:p>
      <w:pPr>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收到的其他与投资活动有关的现金</w:t>
      </w:r>
    </w:p>
    <w:sdt>
      <w:sdtPr>
        <w:rPr>
          <w:color w:val="000000" w:themeColor="text1"/>
          <w14:textFill>
            <w14:solidFill>
              <w14:schemeClr w14:val="tx1"/>
            </w14:solidFill>
          </w14:textFill>
        </w:rPr>
        <w:alias w:val="是否适用：收到的其他与投资活动有关的现金[双击切换]"/>
        <w:tag w:val="_GBC_ae3b1cf9e3aa408a8867e76d71769712"/>
        <w:id w:val="134506187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收到的其他与投资活动有关的现金"/>
          <w:tag w:val="_GBC_864c08420ed74aa18dcf838d10153475"/>
          <w:id w:val="157378422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收到的其他与投资活动有关的现金"/>
          <w:tag w:val="_GBC_557bfe9cc4b045ff8684fc828911efc1"/>
          <w:id w:val="-188732425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47"/>
        <w:gridCol w:w="2862"/>
        <w:gridCol w:w="26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fe329b3300fe449c869fda5c957ed9e6"/>
            <w:id w:val="-760444155"/>
          </w:sdtPr>
          <w:sdtContent>
            <w:tc>
              <w:tcPr>
                <w:tcW w:w="1882"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828a524680d4faeb14e148b152d9982"/>
            <w:id w:val="-1660220963"/>
          </w:sdtPr>
          <w:sdtContent>
            <w:tc>
              <w:tcPr>
                <w:tcW w:w="1609"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a8eb20dbb1b143d399d3bde1f6e00fa3"/>
            <w:id w:val="-1304701482"/>
          </w:sdtPr>
          <w:sdtContent>
            <w:tc>
              <w:tcPr>
                <w:tcW w:w="1509"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spacing w:line="240" w:lineRule="atLeast"/>
            </w:pPr>
            <w:r>
              <w:rPr>
                <w:rFonts w:hint="eastAsia"/>
              </w:rPr>
              <w:t>收回保证金</w:t>
            </w:r>
          </w:p>
        </w:tc>
        <w:tc>
          <w:tcPr>
            <w:tcW w:w="1609" w:type="pct"/>
          </w:tcPr>
          <w:p>
            <w:pPr>
              <w:jc w:val="right"/>
            </w:pPr>
            <w:r>
              <w:t xml:space="preserve"> 75,000.00 </w:t>
            </w:r>
          </w:p>
        </w:tc>
        <w:tc>
          <w:tcPr>
            <w:tcW w:w="1509"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82" w:type="pct"/>
          </w:tcPr>
          <w:p>
            <w:pPr>
              <w:autoSpaceDE w:val="0"/>
              <w:autoSpaceDN w:val="0"/>
              <w:adjustRightInd w:val="0"/>
              <w:snapToGrid w:val="0"/>
              <w:spacing w:line="240" w:lineRule="atLeast"/>
            </w:pPr>
            <w:r>
              <w:rPr>
                <w:rFonts w:hint="eastAsia"/>
              </w:rPr>
              <w:t>取得南海电气收到的现金净额</w:t>
            </w:r>
          </w:p>
        </w:tc>
        <w:tc>
          <w:tcPr>
            <w:tcW w:w="1609" w:type="pct"/>
          </w:tcPr>
          <w:p>
            <w:pPr>
              <w:jc w:val="right"/>
            </w:pPr>
            <w:r>
              <w:t xml:space="preserve"> 1,412,043.51 </w:t>
            </w:r>
          </w:p>
        </w:tc>
        <w:tc>
          <w:tcPr>
            <w:tcW w:w="1509"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09" w:type="pct"/>
          </w:tcPr>
          <w:p>
            <w:pPr>
              <w:jc w:val="right"/>
            </w:pPr>
            <w:r>
              <w:t xml:space="preserve"> 1,487,043.51 </w:t>
            </w:r>
          </w:p>
        </w:tc>
        <w:tc>
          <w:tcPr>
            <w:tcW w:w="1509" w:type="pct"/>
          </w:tcPr>
          <w:p>
            <w:pPr>
              <w:jc w:val="right"/>
            </w:pPr>
          </w:p>
        </w:tc>
      </w:tr>
    </w:tbl>
    <w:p>
      <w:pPr>
        <w:snapToGrid w:val="0"/>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收到的其他与投资活动有关的现金说明：</w:t>
      </w:r>
    </w:p>
    <w:sdt>
      <w:sdtPr>
        <w:rPr>
          <w:color w:val="000000" w:themeColor="text1"/>
          <w14:textFill>
            <w14:solidFill>
              <w14:schemeClr w14:val="tx1"/>
            </w14:solidFill>
          </w14:textFill>
        </w:rPr>
        <w:alias w:val="收到的其他与投资活动有关的现金说明"/>
        <w:tag w:val="_GBC_10ad2bcf624d4c49924f65fcffdeebbc"/>
        <w:id w:val="-476224138"/>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支付的其他与投资活动有关的现金</w:t>
      </w:r>
    </w:p>
    <w:sdt>
      <w:sdtPr>
        <w:rPr>
          <w:color w:val="000000" w:themeColor="text1"/>
          <w14:textFill>
            <w14:solidFill>
              <w14:schemeClr w14:val="tx1"/>
            </w14:solidFill>
          </w14:textFill>
        </w:rPr>
        <w:alias w:val="是否适用：支付的其他与投资活动有关的现金[双击切换]"/>
        <w:tag w:val="_GBC_8862c0a38548482cb3b55a82757e3e33"/>
        <w:id w:val="-119484063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73"/>
        </w:numPr>
        <w:rPr>
          <w:color w:val="000000" w:themeColor="text1"/>
          <w14:textFill>
            <w14:solidFill>
              <w14:schemeClr w14:val="tx1"/>
            </w14:solidFill>
          </w14:textFill>
        </w:rPr>
      </w:pPr>
      <w:r>
        <w:rPr>
          <w:rFonts w:hint="eastAsia"/>
          <w:color w:val="000000" w:themeColor="text1"/>
          <w14:textFill>
            <w14:solidFill>
              <w14:schemeClr w14:val="tx1"/>
            </w14:solidFill>
          </w14:textFill>
        </w:rPr>
        <w:t>与筹资活动有关的现金</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收到的其他与筹资活动有关的现金</w:t>
      </w:r>
    </w:p>
    <w:sdt>
      <w:sdtPr>
        <w:rPr>
          <w:color w:val="000000" w:themeColor="text1"/>
          <w14:textFill>
            <w14:solidFill>
              <w14:schemeClr w14:val="tx1"/>
            </w14:solidFill>
          </w14:textFill>
        </w:rPr>
        <w:alias w:val="是否适用：收到的其他与筹资活动有关的现金[双击切换]"/>
        <w:tag w:val="_GBC_6e82da4b55134cf6aacd6132e71f2c27"/>
        <w:id w:val="156961689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收到的其他与筹资活动有关的现金"/>
          <w:tag w:val="_GBC_54c629439974499c9df52a114b0272b9"/>
          <w:id w:val="140896883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收到的其他与筹资活动有关的现金"/>
          <w:tag w:val="_GBC_0d3b28d58a83411db264b55c970f7fc6"/>
          <w:id w:val="-57837420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47"/>
        <w:gridCol w:w="2864"/>
        <w:gridCol w:w="2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45e71f75634d40e399bff943b12676a7"/>
            <w:id w:val="939341096"/>
          </w:sdtPr>
          <w:sdtContent>
            <w:tc>
              <w:tcPr>
                <w:tcW w:w="1882"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7b1d7d1151a486eb8533f96d22cda73"/>
            <w:id w:val="-2000255837"/>
          </w:sdtPr>
          <w:sdtContent>
            <w:tc>
              <w:tcPr>
                <w:tcW w:w="1610"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fcd73629839441d485ad661b0568d6af"/>
            <w:id w:val="-1298140481"/>
          </w:sdtPr>
          <w:sdtContent>
            <w:tc>
              <w:tcPr>
                <w:tcW w:w="1508"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收到中银金融租赁有限公司借款</w:t>
            </w:r>
          </w:p>
        </w:tc>
        <w:tc>
          <w:tcPr>
            <w:tcW w:w="1610" w:type="pct"/>
          </w:tcPr>
          <w:p>
            <w:pPr>
              <w:jc w:val="right"/>
            </w:pPr>
          </w:p>
        </w:tc>
        <w:tc>
          <w:tcPr>
            <w:tcW w:w="1508" w:type="pct"/>
          </w:tcPr>
          <w:p>
            <w:pPr>
              <w:jc w:val="right"/>
            </w:pPr>
            <w:r>
              <w:rPr>
                <w:rFonts w:hint="eastAsia"/>
              </w:rPr>
              <w:t xml:space="preserve"> 200,000,000.00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收到员工股权激励款</w:t>
            </w:r>
          </w:p>
        </w:tc>
        <w:tc>
          <w:tcPr>
            <w:tcW w:w="1610" w:type="pct"/>
          </w:tcPr>
          <w:p>
            <w:pPr>
              <w:jc w:val="right"/>
            </w:pPr>
          </w:p>
        </w:tc>
        <w:tc>
          <w:tcPr>
            <w:tcW w:w="1508" w:type="pct"/>
          </w:tcPr>
          <w:p>
            <w:pPr>
              <w:jc w:val="right"/>
            </w:pPr>
            <w:r>
              <w:rPr>
                <w:rFonts w:hint="eastAsia"/>
              </w:rPr>
              <w:t xml:space="preserve"> 4,605,200.00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10" w:type="pct"/>
            <w:vAlign w:val="bottom"/>
          </w:tcPr>
          <w:p>
            <w:pPr>
              <w:jc w:val="right"/>
            </w:pPr>
          </w:p>
        </w:tc>
        <w:tc>
          <w:tcPr>
            <w:tcW w:w="1508" w:type="pct"/>
          </w:tcPr>
          <w:p>
            <w:pPr>
              <w:jc w:val="right"/>
            </w:pPr>
            <w:r>
              <w:t>204,605,200.00</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收到的其他与筹资活动有关的现金说明：</w:t>
      </w:r>
    </w:p>
    <w:sdt>
      <w:sdtPr>
        <w:rPr>
          <w:rFonts w:hint="eastAsia"/>
          <w:color w:val="000000" w:themeColor="text1"/>
          <w14:textFill>
            <w14:solidFill>
              <w14:schemeClr w14:val="tx1"/>
            </w14:solidFill>
          </w14:textFill>
        </w:rPr>
        <w:alias w:val="收到的其他与筹资活动有关的现金说明"/>
        <w:tag w:val="_GBC_cf160106b6d34224a1fbd183426812af"/>
        <w:id w:val="4798805"/>
        <w:placeholder>
          <w:docPart w:val="GBC22222222222222222222222222222"/>
        </w:placeholder>
      </w:sdtPr>
      <w:sdtEndPr>
        <w:rPr>
          <w:rFonts w:hint="eastAsia"/>
          <w:color w:val="000000" w:themeColor="text1"/>
          <w:szCs w:val="22"/>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支付的其他与筹资活动有关的现金</w:t>
      </w:r>
    </w:p>
    <w:sdt>
      <w:sdtPr>
        <w:rPr>
          <w:color w:val="000000" w:themeColor="text1"/>
          <w14:textFill>
            <w14:solidFill>
              <w14:schemeClr w14:val="tx1"/>
            </w14:solidFill>
          </w14:textFill>
        </w:rPr>
        <w:alias w:val="是否适用：支付的其他与筹资活动有关的现金[双击切换]"/>
        <w:tag w:val="_GBC_cf7fd4869f8d4d98a07243e22bf22793"/>
        <w:id w:val="-78549919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支付的其他与筹资活动有关的现金"/>
          <w:tag w:val="_GBC_323ca3d874214911880818d387e0c63b"/>
          <w:id w:val="115217389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支付的其他与筹资活动有关的现金"/>
          <w:tag w:val="_GBC_d6726952256941209f32bac8fffa568d"/>
          <w:id w:val="-13410351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3347"/>
        <w:gridCol w:w="2864"/>
        <w:gridCol w:w="2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2b9da6111f3f4cacb3afcfc0de00e1e9"/>
            <w:id w:val="-323047097"/>
          </w:sdtPr>
          <w:sdtContent>
            <w:tc>
              <w:tcPr>
                <w:tcW w:w="1882"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b6791a7f5c234d80be8964d8fb7b3ce6"/>
            <w:id w:val="1563834521"/>
          </w:sdtPr>
          <w:sdtContent>
            <w:tc>
              <w:tcPr>
                <w:tcW w:w="1610"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b4a33da4012d47bd8013a6c570bcad87"/>
            <w:id w:val="-1745870563"/>
          </w:sdtPr>
          <w:sdtContent>
            <w:tc>
              <w:tcPr>
                <w:tcW w:w="1508"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支付票据保证金</w:t>
            </w:r>
          </w:p>
        </w:tc>
        <w:tc>
          <w:tcPr>
            <w:tcW w:w="1610" w:type="pct"/>
          </w:tcPr>
          <w:p>
            <w:pPr>
              <w:jc w:val="right"/>
            </w:pPr>
            <w:r>
              <w:t xml:space="preserve"> 27,871,014.63 </w:t>
            </w:r>
          </w:p>
        </w:tc>
        <w:tc>
          <w:tcPr>
            <w:tcW w:w="1508" w:type="pct"/>
          </w:tcPr>
          <w:p>
            <w:pPr>
              <w:jc w:val="right"/>
            </w:pPr>
            <w:r>
              <w:t xml:space="preserve"> 20,979,544.99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归还中银金融租赁有限公司借款</w:t>
            </w:r>
          </w:p>
        </w:tc>
        <w:tc>
          <w:tcPr>
            <w:tcW w:w="1610" w:type="pct"/>
          </w:tcPr>
          <w:p>
            <w:pPr>
              <w:jc w:val="right"/>
            </w:pPr>
            <w:r>
              <w:t xml:space="preserve"> 22,806,000.00 </w:t>
            </w:r>
          </w:p>
        </w:tc>
        <w:tc>
          <w:tcPr>
            <w:tcW w:w="1508"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支付限制性股票回购款</w:t>
            </w:r>
          </w:p>
        </w:tc>
        <w:tc>
          <w:tcPr>
            <w:tcW w:w="1610" w:type="pct"/>
          </w:tcPr>
          <w:p>
            <w:pPr>
              <w:jc w:val="right"/>
            </w:pPr>
            <w:r>
              <w:t xml:space="preserve"> 18,273,240.00 </w:t>
            </w:r>
          </w:p>
        </w:tc>
        <w:tc>
          <w:tcPr>
            <w:tcW w:w="1508"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支付使用权资产租赁费</w:t>
            </w:r>
          </w:p>
        </w:tc>
        <w:tc>
          <w:tcPr>
            <w:tcW w:w="1610" w:type="pct"/>
          </w:tcPr>
          <w:p>
            <w:pPr>
              <w:jc w:val="right"/>
            </w:pPr>
            <w:r>
              <w:t xml:space="preserve"> 5,681,585.85 </w:t>
            </w:r>
          </w:p>
        </w:tc>
        <w:tc>
          <w:tcPr>
            <w:tcW w:w="1508" w:type="pct"/>
          </w:tcPr>
          <w:p>
            <w:pPr>
              <w:jc w:val="right"/>
            </w:pPr>
            <w:r>
              <w:t xml:space="preserve"> 2,852,392.57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支付应收票据贴现息</w:t>
            </w:r>
          </w:p>
        </w:tc>
        <w:tc>
          <w:tcPr>
            <w:tcW w:w="1610" w:type="pct"/>
          </w:tcPr>
          <w:p>
            <w:pPr>
              <w:jc w:val="right"/>
            </w:pPr>
            <w:r>
              <w:t xml:space="preserve"> 254,349.86 </w:t>
            </w:r>
          </w:p>
        </w:tc>
        <w:tc>
          <w:tcPr>
            <w:tcW w:w="1508"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支付红利手续费</w:t>
            </w:r>
          </w:p>
        </w:tc>
        <w:tc>
          <w:tcPr>
            <w:tcW w:w="1610" w:type="pct"/>
          </w:tcPr>
          <w:p>
            <w:pPr>
              <w:jc w:val="right"/>
            </w:pPr>
            <w:r>
              <w:t xml:space="preserve"> 4,990.44 </w:t>
            </w:r>
          </w:p>
        </w:tc>
        <w:tc>
          <w:tcPr>
            <w:tcW w:w="1508" w:type="pct"/>
          </w:tcPr>
          <w:p>
            <w:pPr>
              <w:jc w:val="right"/>
            </w:pPr>
            <w:r>
              <w:t xml:space="preserve"> 5,005.39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其他</w:t>
            </w:r>
          </w:p>
        </w:tc>
        <w:tc>
          <w:tcPr>
            <w:tcW w:w="1610" w:type="pct"/>
            <w:vAlign w:val="center"/>
          </w:tcPr>
          <w:p>
            <w:pPr>
              <w:jc w:val="right"/>
            </w:pPr>
          </w:p>
        </w:tc>
        <w:tc>
          <w:tcPr>
            <w:tcW w:w="1508" w:type="pct"/>
          </w:tcPr>
          <w:p>
            <w:pPr>
              <w:jc w:val="right"/>
            </w:pPr>
            <w:r>
              <w:t xml:space="preserve"> 158,800.00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pPr>
            <w:r>
              <w:rPr>
                <w:rFonts w:hint="eastAsia"/>
              </w:rPr>
              <w:t>购买云变电气少数股东股权支付的现金</w:t>
            </w:r>
          </w:p>
        </w:tc>
        <w:tc>
          <w:tcPr>
            <w:tcW w:w="1610" w:type="pct"/>
            <w:vAlign w:val="center"/>
          </w:tcPr>
          <w:p>
            <w:pPr>
              <w:jc w:val="right"/>
            </w:pPr>
          </w:p>
        </w:tc>
        <w:tc>
          <w:tcPr>
            <w:tcW w:w="1508" w:type="pct"/>
            <w:vAlign w:val="center"/>
          </w:tcPr>
          <w:p>
            <w:pPr>
              <w:jc w:val="right"/>
            </w:pPr>
            <w:r>
              <w:t xml:space="preserve"> 128,412,481.68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1882" w:type="pct"/>
          </w:tcPr>
          <w:p>
            <w:pPr>
              <w:autoSpaceDE w:val="0"/>
              <w:autoSpaceDN w:val="0"/>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10" w:type="pct"/>
            <w:vAlign w:val="center"/>
          </w:tcPr>
          <w:p>
            <w:pPr>
              <w:jc w:val="right"/>
            </w:pPr>
            <w:r>
              <w:t>74,891,180.78</w:t>
            </w:r>
          </w:p>
        </w:tc>
        <w:tc>
          <w:tcPr>
            <w:tcW w:w="1508" w:type="pct"/>
          </w:tcPr>
          <w:p>
            <w:pPr>
              <w:jc w:val="right"/>
            </w:pPr>
            <w:r>
              <w:t xml:space="preserve"> 152,408,224.63 </w:t>
            </w: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支付的其他与筹资活动有关的现金说明：</w:t>
      </w:r>
    </w:p>
    <w:sdt>
      <w:sdtPr>
        <w:rPr>
          <w:rFonts w:hint="eastAsia"/>
          <w:color w:val="000000" w:themeColor="text1"/>
          <w14:textFill>
            <w14:solidFill>
              <w14:schemeClr w14:val="tx1"/>
            </w14:solidFill>
          </w14:textFill>
        </w:rPr>
        <w:alias w:val="支付的其他与筹资活动有关的现金说明"/>
        <w:tag w:val="_GBC_7240a9be12a64ca5b011a2561db068a1"/>
        <w:id w:val="-1640332193"/>
        <w:placeholder>
          <w:docPart w:val="GBC22222222222222222222222222222"/>
        </w:placeholder>
      </w:sdtPr>
      <w:sdtEndPr>
        <w:rPr>
          <w:rFonts w:hint="eastAsia"/>
          <w:color w:val="000000" w:themeColor="text1"/>
          <w14:textFill>
            <w14:solidFill>
              <w14:schemeClr w14:val="tx1"/>
            </w14:solidFill>
          </w14:textFill>
        </w:rPr>
      </w:sdtEndPr>
      <w:sdtContent>
        <w:p>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ind w:right="5"/>
        <w:rPr>
          <w:color w:val="000000" w:themeColor="text1"/>
          <w14:textFill>
            <w14:solidFill>
              <w14:schemeClr w14:val="tx1"/>
            </w14:solidFill>
          </w14:textFill>
        </w:rPr>
      </w:pPr>
      <w:bookmarkStart w:id="416" w:name="_Hlk167970634"/>
      <w:r>
        <w:rPr>
          <w:rFonts w:hint="eastAsia"/>
          <w:color w:val="000000" w:themeColor="text1"/>
          <w14:textFill>
            <w14:solidFill>
              <w14:schemeClr w14:val="tx1"/>
            </w14:solidFill>
          </w14:textFill>
        </w:rPr>
        <w:t>筹资活动产生的各项负债变动情况</w:t>
      </w:r>
    </w:p>
    <w:sdt>
      <w:sdtPr>
        <w:rPr>
          <w:color w:val="000000" w:themeColor="text1"/>
          <w14:textFill>
            <w14:solidFill>
              <w14:schemeClr w14:val="tx1"/>
            </w14:solidFill>
          </w14:textFill>
        </w:rPr>
        <w:alias w:val="是否适用：筹资活动产生的各项负债变动情况[双击切换]"/>
        <w:tag w:val="_GBC_48125ca45f014b0db6560676c7f940e6"/>
        <w:id w:val="-210325400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筹资活动产生的各项负债变动情况"/>
          <w:tag w:val="_GBC_b2115f4b0ede479da8748ac4d1759102"/>
          <w:id w:val="1752778683"/>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筹资活动产生的各项负债变动情况"/>
          <w:tag w:val="_GBC_4afc8b10e1f7417d98697a1f635a7718"/>
          <w:id w:val="30567428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1343"/>
        <w:gridCol w:w="1382"/>
        <w:gridCol w:w="1259"/>
        <w:gridCol w:w="1259"/>
        <w:gridCol w:w="1259"/>
        <w:gridCol w:w="1176"/>
        <w:gridCol w:w="1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35" w:hRule="atLeast"/>
        </w:trPr>
        <w:sdt>
          <w:sdtPr>
            <w:rPr>
              <w:sz w:val="16"/>
              <w:szCs w:val="16"/>
            </w:rPr>
            <w:tag w:val="_PLD_5a6b6a267e0e40e3bc26d2b61cac8198"/>
            <w:id w:val="36473494"/>
          </w:sdtPr>
          <w:sdtEndPr>
            <w:rPr>
              <w:sz w:val="16"/>
              <w:szCs w:val="16"/>
            </w:rPr>
          </w:sdtEndPr>
          <w:sdtContent>
            <w:tc>
              <w:tcPr>
                <w:tcW w:w="741" w:type="pct"/>
                <w:vMerge w:val="restart"/>
                <w:vAlign w:val="center"/>
              </w:tcPr>
              <w:p>
                <w:pPr>
                  <w:autoSpaceDE w:val="0"/>
                  <w:autoSpaceDN w:val="0"/>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项目</w:t>
                </w:r>
              </w:p>
            </w:tc>
          </w:sdtContent>
        </w:sdt>
        <w:sdt>
          <w:sdtPr>
            <w:rPr>
              <w:sz w:val="16"/>
              <w:szCs w:val="16"/>
            </w:rPr>
            <w:tag w:val="_PLD_36925a1427f44fc9ad2d6b19462366bd"/>
            <w:id w:val="-334383715"/>
          </w:sdtPr>
          <w:sdtEndPr>
            <w:rPr>
              <w:sz w:val="16"/>
              <w:szCs w:val="16"/>
            </w:rPr>
          </w:sdtEndPr>
          <w:sdtContent>
            <w:tc>
              <w:tcPr>
                <w:tcW w:w="763" w:type="pct"/>
                <w:vMerge w:val="restart"/>
                <w:vAlign w:val="center"/>
              </w:tcPr>
              <w:p>
                <w:pPr>
                  <w:autoSpaceDE w:val="0"/>
                  <w:autoSpaceDN w:val="0"/>
                  <w:adjustRightInd w:val="0"/>
                  <w:snapToGrid w:val="0"/>
                  <w:jc w:val="center"/>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期初余额</w:t>
                </w:r>
              </w:p>
            </w:tc>
          </w:sdtContent>
        </w:sdt>
        <w:sdt>
          <w:sdtPr>
            <w:rPr>
              <w:sz w:val="16"/>
              <w:szCs w:val="16"/>
            </w:rPr>
            <w:tag w:val="_PLD_176eed8443cb4d22bd65c7b5b358dc6c"/>
            <w:id w:val="-1625217467"/>
          </w:sdtPr>
          <w:sdtEndPr>
            <w:rPr>
              <w:sz w:val="16"/>
              <w:szCs w:val="16"/>
            </w:rPr>
          </w:sdtEndPr>
          <w:sdtContent>
            <w:tc>
              <w:tcPr>
                <w:tcW w:w="1390" w:type="pct"/>
                <w:gridSpan w:val="2"/>
                <w:vAlign w:val="center"/>
              </w:tcPr>
              <w:p>
                <w:pPr>
                  <w:autoSpaceDE w:val="0"/>
                  <w:autoSpaceDN w:val="0"/>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本期增加</w:t>
                </w:r>
              </w:p>
            </w:tc>
          </w:sdtContent>
        </w:sdt>
        <w:sdt>
          <w:sdtPr>
            <w:rPr>
              <w:sz w:val="16"/>
              <w:szCs w:val="16"/>
            </w:rPr>
            <w:tag w:val="_PLD_cac06696e80c47f5b5568a75d3febe74"/>
            <w:id w:val="2048715365"/>
          </w:sdtPr>
          <w:sdtEndPr>
            <w:rPr>
              <w:sz w:val="16"/>
              <w:szCs w:val="16"/>
            </w:rPr>
          </w:sdtEndPr>
          <w:sdtContent>
            <w:tc>
              <w:tcPr>
                <w:tcW w:w="1344" w:type="pct"/>
                <w:gridSpan w:val="2"/>
                <w:vAlign w:val="center"/>
              </w:tcPr>
              <w:p>
                <w:pPr>
                  <w:autoSpaceDE w:val="0"/>
                  <w:autoSpaceDN w:val="0"/>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本期减少</w:t>
                </w:r>
              </w:p>
            </w:tc>
          </w:sdtContent>
        </w:sdt>
        <w:sdt>
          <w:sdtPr>
            <w:rPr>
              <w:sz w:val="16"/>
              <w:szCs w:val="16"/>
            </w:rPr>
            <w:tag w:val="_PLD_e21e0332db6f456baa78cdaed3e13bfb"/>
            <w:id w:val="2135753124"/>
          </w:sdtPr>
          <w:sdtEndPr>
            <w:rPr>
              <w:sz w:val="16"/>
              <w:szCs w:val="16"/>
            </w:rPr>
          </w:sdtEndPr>
          <w:sdtContent>
            <w:tc>
              <w:tcPr>
                <w:tcW w:w="763" w:type="pct"/>
                <w:vMerge w:val="restart"/>
                <w:vAlign w:val="center"/>
              </w:tcPr>
              <w:p>
                <w:pPr>
                  <w:autoSpaceDE w:val="0"/>
                  <w:autoSpaceDN w:val="0"/>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135" w:hRule="atLeast"/>
        </w:trPr>
        <w:tc>
          <w:tcPr>
            <w:tcW w:w="741" w:type="pct"/>
            <w:vMerge w:val="continue"/>
          </w:tcPr>
          <w:p>
            <w:pPr>
              <w:autoSpaceDE w:val="0"/>
              <w:autoSpaceDN w:val="0"/>
              <w:adjustRightInd w:val="0"/>
              <w:snapToGrid w:val="0"/>
              <w:jc w:val="center"/>
              <w:rPr>
                <w:color w:val="000000" w:themeColor="text1"/>
                <w:sz w:val="16"/>
                <w:szCs w:val="16"/>
                <w14:textFill>
                  <w14:solidFill>
                    <w14:schemeClr w14:val="tx1"/>
                  </w14:solidFill>
                </w14:textFill>
              </w:rPr>
            </w:pPr>
          </w:p>
        </w:tc>
        <w:tc>
          <w:tcPr>
            <w:tcW w:w="763" w:type="pct"/>
            <w:vMerge w:val="continue"/>
          </w:tcPr>
          <w:p>
            <w:pPr>
              <w:autoSpaceDE w:val="0"/>
              <w:autoSpaceDN w:val="0"/>
              <w:adjustRightInd w:val="0"/>
              <w:snapToGrid w:val="0"/>
              <w:jc w:val="center"/>
              <w:rPr>
                <w:color w:val="000000" w:themeColor="text1"/>
                <w:sz w:val="16"/>
                <w:szCs w:val="16"/>
                <w14:textFill>
                  <w14:solidFill>
                    <w14:schemeClr w14:val="tx1"/>
                  </w14:solidFill>
                </w14:textFill>
              </w:rPr>
            </w:pPr>
          </w:p>
        </w:tc>
        <w:sdt>
          <w:sdtPr>
            <w:rPr>
              <w:sz w:val="16"/>
              <w:szCs w:val="16"/>
            </w:rPr>
            <w:tag w:val="_PLD_91886e77e3aa45f593f23a58a4371259"/>
            <w:id w:val="1098683030"/>
          </w:sdtPr>
          <w:sdtEndPr>
            <w:rPr>
              <w:sz w:val="16"/>
              <w:szCs w:val="16"/>
            </w:rPr>
          </w:sdtEndPr>
          <w:sdtContent>
            <w:tc>
              <w:tcPr>
                <w:tcW w:w="695" w:type="pct"/>
              </w:tcPr>
              <w:p>
                <w:pPr>
                  <w:autoSpaceDE w:val="0"/>
                  <w:autoSpaceDN w:val="0"/>
                  <w:adjustRightInd w:val="0"/>
                  <w:snapToGrid w:val="0"/>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现金变动</w:t>
                </w:r>
              </w:p>
            </w:tc>
          </w:sdtContent>
        </w:sdt>
        <w:sdt>
          <w:sdtPr>
            <w:rPr>
              <w:sz w:val="16"/>
              <w:szCs w:val="16"/>
            </w:rPr>
            <w:tag w:val="_PLD_bb55d31edc784a1a9201d9cfc35cfb0a"/>
            <w:id w:val="-658303308"/>
          </w:sdtPr>
          <w:sdtEndPr>
            <w:rPr>
              <w:sz w:val="16"/>
              <w:szCs w:val="16"/>
            </w:rPr>
          </w:sdtEndPr>
          <w:sdtContent>
            <w:tc>
              <w:tcPr>
                <w:tcW w:w="695" w:type="pct"/>
              </w:tcPr>
              <w:p>
                <w:pPr>
                  <w:autoSpaceDE w:val="0"/>
                  <w:autoSpaceDN w:val="0"/>
                  <w:adjustRightInd w:val="0"/>
                  <w:snapToGrid w:val="0"/>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非现金变动</w:t>
                </w:r>
              </w:p>
            </w:tc>
          </w:sdtContent>
        </w:sdt>
        <w:sdt>
          <w:sdtPr>
            <w:rPr>
              <w:sz w:val="16"/>
              <w:szCs w:val="16"/>
            </w:rPr>
            <w:tag w:val="_PLD_54bb1edd4a3647d0b36572ae06e87dcc"/>
            <w:id w:val="1142775306"/>
          </w:sdtPr>
          <w:sdtEndPr>
            <w:rPr>
              <w:sz w:val="16"/>
              <w:szCs w:val="16"/>
            </w:rPr>
          </w:sdtEndPr>
          <w:sdtContent>
            <w:tc>
              <w:tcPr>
                <w:tcW w:w="695" w:type="pct"/>
              </w:tcPr>
              <w:p>
                <w:pPr>
                  <w:autoSpaceDE w:val="0"/>
                  <w:autoSpaceDN w:val="0"/>
                  <w:adjustRightInd w:val="0"/>
                  <w:snapToGrid w:val="0"/>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现金变动</w:t>
                </w:r>
              </w:p>
            </w:tc>
          </w:sdtContent>
        </w:sdt>
        <w:sdt>
          <w:sdtPr>
            <w:rPr>
              <w:sz w:val="16"/>
              <w:szCs w:val="16"/>
            </w:rPr>
            <w:tag w:val="_PLD_d089b8baa83c4cc6b03f3dd0078bbdbc"/>
            <w:id w:val="-123238578"/>
          </w:sdtPr>
          <w:sdtEndPr>
            <w:rPr>
              <w:sz w:val="16"/>
              <w:szCs w:val="16"/>
            </w:rPr>
          </w:sdtEndPr>
          <w:sdtContent>
            <w:tc>
              <w:tcPr>
                <w:tcW w:w="649" w:type="pct"/>
              </w:tcPr>
              <w:p>
                <w:pPr>
                  <w:autoSpaceDE w:val="0"/>
                  <w:autoSpaceDN w:val="0"/>
                  <w:adjustRightInd w:val="0"/>
                  <w:snapToGrid w:val="0"/>
                  <w:rPr>
                    <w:color w:val="000000" w:themeColor="text1"/>
                    <w:sz w:val="16"/>
                    <w:szCs w:val="16"/>
                    <w14:textFill>
                      <w14:solidFill>
                        <w14:schemeClr w14:val="tx1"/>
                      </w14:solidFill>
                    </w14:textFill>
                  </w:rPr>
                </w:pPr>
                <w:r>
                  <w:rPr>
                    <w:color w:val="000000" w:themeColor="text1"/>
                    <w:sz w:val="16"/>
                    <w:szCs w:val="16"/>
                    <w14:textFill>
                      <w14:solidFill>
                        <w14:schemeClr w14:val="tx1"/>
                      </w14:solidFill>
                    </w14:textFill>
                  </w:rPr>
                  <w:t>非现金变动</w:t>
                </w:r>
              </w:p>
            </w:tc>
          </w:sdtContent>
        </w:sdt>
        <w:tc>
          <w:tcPr>
            <w:tcW w:w="763" w:type="pct"/>
            <w:vMerge w:val="continue"/>
          </w:tcPr>
          <w:p>
            <w:pPr>
              <w:autoSpaceDE w:val="0"/>
              <w:autoSpaceDN w:val="0"/>
              <w:adjustRightInd w:val="0"/>
              <w:snapToGrid w:val="0"/>
              <w:jc w:val="center"/>
              <w:rPr>
                <w:color w:val="000000" w:themeColor="text1"/>
                <w:sz w:val="16"/>
                <w:szCs w:val="16"/>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41" w:type="pct"/>
          </w:tcPr>
          <w:p>
            <w:pPr>
              <w:autoSpaceDE w:val="0"/>
              <w:autoSpaceDN w:val="0"/>
              <w:adjustRightInd w:val="0"/>
              <w:snapToGrid w:val="0"/>
              <w:rPr>
                <w:sz w:val="16"/>
                <w:szCs w:val="16"/>
              </w:rPr>
            </w:pPr>
            <w:r>
              <w:rPr>
                <w:rFonts w:hint="eastAsia"/>
                <w:sz w:val="16"/>
                <w:szCs w:val="16"/>
              </w:rPr>
              <w:t>短期借款</w:t>
            </w:r>
          </w:p>
        </w:tc>
        <w:tc>
          <w:tcPr>
            <w:tcW w:w="763" w:type="pct"/>
          </w:tcPr>
          <w:p>
            <w:pPr>
              <w:jc w:val="right"/>
              <w:rPr>
                <w:sz w:val="16"/>
                <w:szCs w:val="16"/>
              </w:rPr>
            </w:pPr>
            <w:r>
              <w:rPr>
                <w:sz w:val="16"/>
                <w:szCs w:val="16"/>
              </w:rPr>
              <w:t xml:space="preserve"> 260,133,690.90 </w:t>
            </w:r>
          </w:p>
        </w:tc>
        <w:tc>
          <w:tcPr>
            <w:tcW w:w="695" w:type="pct"/>
          </w:tcPr>
          <w:p>
            <w:pPr>
              <w:jc w:val="right"/>
              <w:rPr>
                <w:sz w:val="16"/>
                <w:szCs w:val="16"/>
              </w:rPr>
            </w:pPr>
            <w:r>
              <w:rPr>
                <w:sz w:val="16"/>
                <w:szCs w:val="16"/>
              </w:rPr>
              <w:t xml:space="preserve"> 20,235,280.84 </w:t>
            </w:r>
          </w:p>
        </w:tc>
        <w:tc>
          <w:tcPr>
            <w:tcW w:w="695" w:type="pct"/>
          </w:tcPr>
          <w:p>
            <w:pPr>
              <w:jc w:val="right"/>
              <w:rPr>
                <w:sz w:val="16"/>
                <w:szCs w:val="16"/>
              </w:rPr>
            </w:pPr>
            <w:r>
              <w:rPr>
                <w:sz w:val="16"/>
                <w:szCs w:val="16"/>
              </w:rPr>
              <w:t>223,467,441.67</w:t>
            </w:r>
          </w:p>
        </w:tc>
        <w:tc>
          <w:tcPr>
            <w:tcW w:w="695" w:type="pct"/>
          </w:tcPr>
          <w:p>
            <w:pPr>
              <w:jc w:val="right"/>
              <w:rPr>
                <w:sz w:val="16"/>
                <w:szCs w:val="16"/>
              </w:rPr>
            </w:pPr>
            <w:r>
              <w:rPr>
                <w:sz w:val="16"/>
                <w:szCs w:val="16"/>
              </w:rPr>
              <w:t>158,654,347.82</w:t>
            </w:r>
          </w:p>
        </w:tc>
        <w:tc>
          <w:tcPr>
            <w:tcW w:w="649" w:type="pct"/>
          </w:tcPr>
          <w:p>
            <w:pPr>
              <w:jc w:val="right"/>
              <w:rPr>
                <w:sz w:val="16"/>
                <w:szCs w:val="16"/>
              </w:rPr>
            </w:pPr>
            <w:r>
              <w:rPr>
                <w:sz w:val="16"/>
                <w:szCs w:val="16"/>
              </w:rPr>
              <w:t>31,124,605.71</w:t>
            </w:r>
          </w:p>
        </w:tc>
        <w:tc>
          <w:tcPr>
            <w:tcW w:w="763" w:type="pct"/>
          </w:tcPr>
          <w:p>
            <w:pPr>
              <w:jc w:val="right"/>
              <w:rPr>
                <w:sz w:val="16"/>
                <w:szCs w:val="16"/>
              </w:rPr>
            </w:pPr>
            <w:r>
              <w:rPr>
                <w:sz w:val="16"/>
                <w:szCs w:val="16"/>
              </w:rPr>
              <w:t>314,057,459.88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41" w:type="pct"/>
          </w:tcPr>
          <w:p>
            <w:pPr>
              <w:autoSpaceDE w:val="0"/>
              <w:autoSpaceDN w:val="0"/>
              <w:adjustRightInd w:val="0"/>
              <w:snapToGrid w:val="0"/>
              <w:rPr>
                <w:sz w:val="16"/>
                <w:szCs w:val="16"/>
              </w:rPr>
            </w:pPr>
            <w:r>
              <w:rPr>
                <w:rFonts w:hint="eastAsia"/>
                <w:sz w:val="16"/>
                <w:szCs w:val="16"/>
              </w:rPr>
              <w:t>长期借款</w:t>
            </w:r>
          </w:p>
        </w:tc>
        <w:tc>
          <w:tcPr>
            <w:tcW w:w="763" w:type="pct"/>
          </w:tcPr>
          <w:p>
            <w:pPr>
              <w:jc w:val="right"/>
              <w:rPr>
                <w:sz w:val="16"/>
                <w:szCs w:val="16"/>
              </w:rPr>
            </w:pPr>
            <w:r>
              <w:rPr>
                <w:sz w:val="16"/>
                <w:szCs w:val="16"/>
              </w:rPr>
              <w:t xml:space="preserve">1,942,676,410.91 </w:t>
            </w:r>
          </w:p>
        </w:tc>
        <w:tc>
          <w:tcPr>
            <w:tcW w:w="695" w:type="pct"/>
          </w:tcPr>
          <w:p>
            <w:pPr>
              <w:jc w:val="right"/>
              <w:rPr>
                <w:sz w:val="16"/>
                <w:szCs w:val="16"/>
              </w:rPr>
            </w:pPr>
            <w:r>
              <w:rPr>
                <w:sz w:val="16"/>
                <w:szCs w:val="16"/>
              </w:rPr>
              <w:t xml:space="preserve">319,982,533.09 </w:t>
            </w:r>
          </w:p>
        </w:tc>
        <w:tc>
          <w:tcPr>
            <w:tcW w:w="695" w:type="pct"/>
          </w:tcPr>
          <w:p>
            <w:pPr>
              <w:jc w:val="right"/>
              <w:rPr>
                <w:sz w:val="16"/>
                <w:szCs w:val="16"/>
              </w:rPr>
            </w:pPr>
            <w:r>
              <w:rPr>
                <w:sz w:val="16"/>
                <w:szCs w:val="16"/>
              </w:rPr>
              <w:t>24,600,474.00</w:t>
            </w:r>
          </w:p>
        </w:tc>
        <w:tc>
          <w:tcPr>
            <w:tcW w:w="695" w:type="pct"/>
          </w:tcPr>
          <w:p>
            <w:pPr>
              <w:jc w:val="right"/>
              <w:rPr>
                <w:sz w:val="16"/>
                <w:szCs w:val="16"/>
              </w:rPr>
            </w:pPr>
            <w:r>
              <w:rPr>
                <w:sz w:val="16"/>
                <w:szCs w:val="16"/>
              </w:rPr>
              <w:t>276,013,863.80</w:t>
            </w:r>
          </w:p>
        </w:tc>
        <w:tc>
          <w:tcPr>
            <w:tcW w:w="649" w:type="pct"/>
          </w:tcPr>
          <w:p>
            <w:pPr>
              <w:jc w:val="right"/>
              <w:rPr>
                <w:sz w:val="16"/>
                <w:szCs w:val="16"/>
              </w:rPr>
            </w:pPr>
          </w:p>
        </w:tc>
        <w:tc>
          <w:tcPr>
            <w:tcW w:w="763" w:type="pct"/>
          </w:tcPr>
          <w:p>
            <w:pPr>
              <w:jc w:val="right"/>
              <w:rPr>
                <w:sz w:val="16"/>
                <w:szCs w:val="16"/>
              </w:rPr>
            </w:pPr>
            <w:r>
              <w:rPr>
                <w:sz w:val="16"/>
                <w:szCs w:val="16"/>
              </w:rPr>
              <w:t>2,011,245,554.20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41" w:type="pct"/>
          </w:tcPr>
          <w:p>
            <w:pPr>
              <w:autoSpaceDE w:val="0"/>
              <w:autoSpaceDN w:val="0"/>
              <w:adjustRightInd w:val="0"/>
              <w:snapToGrid w:val="0"/>
              <w:rPr>
                <w:sz w:val="16"/>
                <w:szCs w:val="16"/>
              </w:rPr>
            </w:pPr>
            <w:r>
              <w:rPr>
                <w:rFonts w:hint="eastAsia"/>
                <w:sz w:val="16"/>
                <w:szCs w:val="16"/>
              </w:rPr>
              <w:t>租赁负债</w:t>
            </w:r>
          </w:p>
        </w:tc>
        <w:tc>
          <w:tcPr>
            <w:tcW w:w="763" w:type="pct"/>
          </w:tcPr>
          <w:p>
            <w:pPr>
              <w:jc w:val="right"/>
              <w:rPr>
                <w:sz w:val="16"/>
                <w:szCs w:val="16"/>
              </w:rPr>
            </w:pPr>
            <w:r>
              <w:rPr>
                <w:sz w:val="16"/>
                <w:szCs w:val="16"/>
              </w:rPr>
              <w:t xml:space="preserve"> 22,208,854.09 </w:t>
            </w:r>
          </w:p>
        </w:tc>
        <w:tc>
          <w:tcPr>
            <w:tcW w:w="695" w:type="pct"/>
          </w:tcPr>
          <w:p>
            <w:pPr>
              <w:jc w:val="right"/>
              <w:rPr>
                <w:sz w:val="16"/>
                <w:szCs w:val="16"/>
              </w:rPr>
            </w:pPr>
          </w:p>
        </w:tc>
        <w:tc>
          <w:tcPr>
            <w:tcW w:w="695" w:type="pct"/>
          </w:tcPr>
          <w:p>
            <w:pPr>
              <w:jc w:val="right"/>
              <w:rPr>
                <w:sz w:val="16"/>
                <w:szCs w:val="16"/>
              </w:rPr>
            </w:pPr>
            <w:r>
              <w:rPr>
                <w:sz w:val="16"/>
                <w:szCs w:val="16"/>
              </w:rPr>
              <w:t>25,838,941.42</w:t>
            </w:r>
          </w:p>
        </w:tc>
        <w:tc>
          <w:tcPr>
            <w:tcW w:w="695" w:type="pct"/>
          </w:tcPr>
          <w:p>
            <w:pPr>
              <w:jc w:val="right"/>
              <w:rPr>
                <w:sz w:val="16"/>
                <w:szCs w:val="16"/>
              </w:rPr>
            </w:pPr>
            <w:r>
              <w:rPr>
                <w:sz w:val="16"/>
                <w:szCs w:val="16"/>
              </w:rPr>
              <w:t>3,390,724.45</w:t>
            </w:r>
          </w:p>
        </w:tc>
        <w:tc>
          <w:tcPr>
            <w:tcW w:w="649" w:type="pct"/>
          </w:tcPr>
          <w:p>
            <w:pPr>
              <w:jc w:val="right"/>
              <w:rPr>
                <w:sz w:val="16"/>
                <w:szCs w:val="16"/>
              </w:rPr>
            </w:pPr>
            <w:r>
              <w:rPr>
                <w:sz w:val="16"/>
                <w:szCs w:val="16"/>
              </w:rPr>
              <w:t xml:space="preserve"> 3,278,106.59 </w:t>
            </w:r>
          </w:p>
        </w:tc>
        <w:tc>
          <w:tcPr>
            <w:tcW w:w="763" w:type="pct"/>
          </w:tcPr>
          <w:p>
            <w:pPr>
              <w:jc w:val="right"/>
              <w:rPr>
                <w:sz w:val="16"/>
                <w:szCs w:val="16"/>
              </w:rPr>
            </w:pPr>
            <w:r>
              <w:rPr>
                <w:sz w:val="16"/>
                <w:szCs w:val="16"/>
              </w:rPr>
              <w:t>41,378,964.47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41" w:type="pct"/>
          </w:tcPr>
          <w:p>
            <w:pPr>
              <w:autoSpaceDE w:val="0"/>
              <w:autoSpaceDN w:val="0"/>
              <w:adjustRightInd w:val="0"/>
              <w:snapToGrid w:val="0"/>
              <w:rPr>
                <w:sz w:val="16"/>
                <w:szCs w:val="16"/>
              </w:rPr>
            </w:pPr>
            <w:r>
              <w:rPr>
                <w:rFonts w:hint="eastAsia"/>
                <w:sz w:val="16"/>
                <w:szCs w:val="16"/>
              </w:rPr>
              <w:t>长期应付款</w:t>
            </w:r>
          </w:p>
        </w:tc>
        <w:tc>
          <w:tcPr>
            <w:tcW w:w="763" w:type="pct"/>
          </w:tcPr>
          <w:p>
            <w:pPr>
              <w:jc w:val="right"/>
              <w:rPr>
                <w:sz w:val="16"/>
                <w:szCs w:val="16"/>
              </w:rPr>
            </w:pPr>
            <w:r>
              <w:rPr>
                <w:sz w:val="16"/>
                <w:szCs w:val="16"/>
              </w:rPr>
              <w:t xml:space="preserve"> 181,929,540.89 </w:t>
            </w:r>
          </w:p>
        </w:tc>
        <w:tc>
          <w:tcPr>
            <w:tcW w:w="695" w:type="pct"/>
          </w:tcPr>
          <w:p>
            <w:pPr>
              <w:jc w:val="right"/>
              <w:rPr>
                <w:sz w:val="16"/>
                <w:szCs w:val="16"/>
              </w:rPr>
            </w:pPr>
          </w:p>
        </w:tc>
        <w:tc>
          <w:tcPr>
            <w:tcW w:w="695" w:type="pct"/>
          </w:tcPr>
          <w:p>
            <w:pPr>
              <w:jc w:val="right"/>
              <w:rPr>
                <w:sz w:val="16"/>
                <w:szCs w:val="16"/>
              </w:rPr>
            </w:pPr>
            <w:r>
              <w:rPr>
                <w:sz w:val="16"/>
                <w:szCs w:val="16"/>
              </w:rPr>
              <w:t>2,557,505.36</w:t>
            </w:r>
          </w:p>
        </w:tc>
        <w:tc>
          <w:tcPr>
            <w:tcW w:w="695" w:type="pct"/>
          </w:tcPr>
          <w:p>
            <w:pPr>
              <w:jc w:val="right"/>
              <w:rPr>
                <w:sz w:val="16"/>
                <w:szCs w:val="16"/>
              </w:rPr>
            </w:pPr>
            <w:r>
              <w:rPr>
                <w:sz w:val="16"/>
                <w:szCs w:val="16"/>
              </w:rPr>
              <w:t>22,806,000.00</w:t>
            </w:r>
          </w:p>
        </w:tc>
        <w:tc>
          <w:tcPr>
            <w:tcW w:w="649" w:type="pct"/>
          </w:tcPr>
          <w:p>
            <w:pPr>
              <w:jc w:val="right"/>
              <w:rPr>
                <w:sz w:val="16"/>
                <w:szCs w:val="16"/>
              </w:rPr>
            </w:pPr>
          </w:p>
        </w:tc>
        <w:tc>
          <w:tcPr>
            <w:tcW w:w="763" w:type="pct"/>
          </w:tcPr>
          <w:p>
            <w:pPr>
              <w:jc w:val="right"/>
              <w:rPr>
                <w:sz w:val="16"/>
                <w:szCs w:val="16"/>
              </w:rPr>
            </w:pPr>
            <w:r>
              <w:rPr>
                <w:sz w:val="16"/>
                <w:szCs w:val="16"/>
              </w:rPr>
              <w:t>161,681,046.25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c>
          <w:tcPr>
            <w:tcW w:w="741" w:type="pct"/>
          </w:tcPr>
          <w:p>
            <w:pPr>
              <w:autoSpaceDE w:val="0"/>
              <w:autoSpaceDN w:val="0"/>
              <w:adjustRightInd w:val="0"/>
              <w:snapToGrid w:val="0"/>
              <w:jc w:val="center"/>
              <w:rPr>
                <w:color w:val="000000" w:themeColor="text1"/>
                <w:sz w:val="16"/>
                <w:szCs w:val="16"/>
                <w14:textFill>
                  <w14:solidFill>
                    <w14:schemeClr w14:val="tx1"/>
                  </w14:solidFill>
                </w14:textFill>
              </w:rPr>
            </w:pPr>
            <w:r>
              <w:rPr>
                <w:rFonts w:hint="eastAsia"/>
                <w:color w:val="000000" w:themeColor="text1"/>
                <w:sz w:val="16"/>
                <w:szCs w:val="16"/>
                <w14:textFill>
                  <w14:solidFill>
                    <w14:schemeClr w14:val="tx1"/>
                  </w14:solidFill>
                </w14:textFill>
              </w:rPr>
              <w:t>合计</w:t>
            </w:r>
          </w:p>
        </w:tc>
        <w:tc>
          <w:tcPr>
            <w:tcW w:w="763" w:type="pct"/>
          </w:tcPr>
          <w:p>
            <w:pPr>
              <w:jc w:val="right"/>
              <w:rPr>
                <w:sz w:val="16"/>
                <w:szCs w:val="16"/>
              </w:rPr>
            </w:pPr>
            <w:r>
              <w:rPr>
                <w:sz w:val="16"/>
                <w:szCs w:val="16"/>
              </w:rPr>
              <w:t xml:space="preserve">2,406,948,496.79 </w:t>
            </w:r>
          </w:p>
        </w:tc>
        <w:tc>
          <w:tcPr>
            <w:tcW w:w="695" w:type="pct"/>
          </w:tcPr>
          <w:p>
            <w:pPr>
              <w:jc w:val="right"/>
              <w:rPr>
                <w:sz w:val="16"/>
                <w:szCs w:val="16"/>
              </w:rPr>
            </w:pPr>
            <w:r>
              <w:rPr>
                <w:sz w:val="16"/>
                <w:szCs w:val="16"/>
              </w:rPr>
              <w:t xml:space="preserve">340,217,813.93 </w:t>
            </w:r>
          </w:p>
        </w:tc>
        <w:tc>
          <w:tcPr>
            <w:tcW w:w="695" w:type="pct"/>
          </w:tcPr>
          <w:p>
            <w:pPr>
              <w:jc w:val="right"/>
              <w:rPr>
                <w:sz w:val="16"/>
                <w:szCs w:val="16"/>
              </w:rPr>
            </w:pPr>
            <w:r>
              <w:rPr>
                <w:sz w:val="16"/>
                <w:szCs w:val="16"/>
              </w:rPr>
              <w:t xml:space="preserve">276,464,362.45 </w:t>
            </w:r>
          </w:p>
        </w:tc>
        <w:tc>
          <w:tcPr>
            <w:tcW w:w="695" w:type="pct"/>
          </w:tcPr>
          <w:p>
            <w:pPr>
              <w:jc w:val="right"/>
              <w:rPr>
                <w:sz w:val="16"/>
                <w:szCs w:val="16"/>
              </w:rPr>
            </w:pPr>
            <w:r>
              <w:rPr>
                <w:sz w:val="16"/>
                <w:szCs w:val="16"/>
              </w:rPr>
              <w:t xml:space="preserve">460,864,936.07 </w:t>
            </w:r>
          </w:p>
        </w:tc>
        <w:tc>
          <w:tcPr>
            <w:tcW w:w="649" w:type="pct"/>
          </w:tcPr>
          <w:p>
            <w:pPr>
              <w:jc w:val="right"/>
              <w:rPr>
                <w:sz w:val="16"/>
                <w:szCs w:val="16"/>
              </w:rPr>
            </w:pPr>
            <w:r>
              <w:rPr>
                <w:sz w:val="16"/>
                <w:szCs w:val="16"/>
              </w:rPr>
              <w:t xml:space="preserve">34,402,712.30 </w:t>
            </w:r>
          </w:p>
        </w:tc>
        <w:tc>
          <w:tcPr>
            <w:tcW w:w="763" w:type="pct"/>
          </w:tcPr>
          <w:p>
            <w:pPr>
              <w:jc w:val="right"/>
              <w:rPr>
                <w:sz w:val="16"/>
                <w:szCs w:val="16"/>
              </w:rPr>
            </w:pPr>
            <w:r>
              <w:rPr>
                <w:sz w:val="16"/>
                <w:szCs w:val="16"/>
              </w:rPr>
              <w:t>2,528,363,024.80</w:t>
            </w:r>
          </w:p>
        </w:tc>
      </w:tr>
    </w:tbl>
    <w:p>
      <w:pPr>
        <w:spacing w:line="360" w:lineRule="exact"/>
        <w:ind w:firstLine="420" w:firstLineChars="200"/>
        <w:jc w:val="both"/>
        <w:rPr>
          <w:color w:val="000000" w:themeColor="text1"/>
          <w14:textFill>
            <w14:solidFill>
              <w14:schemeClr w14:val="tx1"/>
            </w14:solidFill>
          </w14:textFill>
        </w:rPr>
      </w:pPr>
      <w:r>
        <w:rPr>
          <w:color w:val="000000" w:themeColor="text1"/>
          <w14:textFill>
            <w14:solidFill>
              <w14:schemeClr w14:val="tx1"/>
            </w14:solidFill>
          </w14:textFill>
        </w:rPr>
        <w:t>长期借款、租赁负债、长期应付款分别包含了重分类至一年内到期的非流动负债列报的部分；短期借款非现金变动系：供应商融资安排转入短期借款139,355,073.07元，信用证借款82,037,169.04元，计提短期借款利息2,075,199.56元，同时票据融资及保理到期31,124,605.71元；长期借款非现金变动系：计提长期借款利息24,600,474.00元；租赁负债非现金变动系：新增租赁资产及摊销25,838,941.42元，同时终止租赁3,278,106.59元；长期应付款非现金变动系：计提长期应付款利息2,557,505.36元。</w:t>
      </w:r>
    </w:p>
    <w:p>
      <w:pPr>
        <w:pStyle w:val="5"/>
        <w:numPr>
          <w:ilvl w:val="0"/>
          <w:numId w:val="73"/>
        </w:numPr>
        <w:rPr>
          <w:color w:val="000000" w:themeColor="text1"/>
          <w14:textFill>
            <w14:solidFill>
              <w14:schemeClr w14:val="tx1"/>
            </w14:solidFill>
          </w14:textFill>
        </w:rPr>
      </w:pPr>
      <w:r>
        <w:rPr>
          <w:rFonts w:hint="eastAsia"/>
          <w:color w:val="000000" w:themeColor="text1"/>
          <w14:textFill>
            <w14:solidFill>
              <w14:schemeClr w14:val="tx1"/>
            </w14:solidFill>
          </w14:textFill>
        </w:rPr>
        <w:t>以净额列报现金流量的说明</w:t>
      </w:r>
    </w:p>
    <w:sdt>
      <w:sdtPr>
        <w:rPr>
          <w:color w:val="000000" w:themeColor="text1"/>
          <w14:textFill>
            <w14:solidFill>
              <w14:schemeClr w14:val="tx1"/>
            </w14:solidFill>
          </w14:textFill>
        </w:rPr>
        <w:alias w:val="是否适用：以净额列报现金流量的说明[双击切换]"/>
        <w:tag w:val="_GBC_7e5edd2dccad4675a4426511c2fa01e0"/>
        <w:id w:val="34058383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5"/>
        <w:gridCol w:w="2206"/>
        <w:gridCol w:w="2206"/>
        <w:gridCol w:w="2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a10a220deb04ef5b8ece130e7c5d2f4"/>
            <w:id w:val="-243106545"/>
          </w:sdtPr>
          <w:sdtContent>
            <w:tc>
              <w:tcPr>
                <w:tcW w:w="2205" w:type="dxa"/>
              </w:tcPr>
              <w:p>
                <w:pPr>
                  <w:widowControl w:val="0"/>
                  <w:ind w:right="5"/>
                  <w:jc w:val="center"/>
                  <w:rPr>
                    <w:color w:val="000000" w:themeColor="text1"/>
                    <w14:textFill>
                      <w14:solidFill>
                        <w14:schemeClr w14:val="tx1"/>
                      </w14:solidFill>
                    </w14:textFill>
                  </w:rPr>
                </w:pPr>
                <w:r>
                  <w:rPr>
                    <w:color w:val="000000" w:themeColor="text1"/>
                    <w14:textFill>
                      <w14:solidFill>
                        <w14:schemeClr w14:val="tx1"/>
                      </w14:solidFill>
                    </w14:textFill>
                  </w:rPr>
                  <w:t>项目</w:t>
                </w:r>
              </w:p>
            </w:tc>
          </w:sdtContent>
        </w:sdt>
        <w:sdt>
          <w:sdtPr>
            <w:tag w:val="_PLD_20f0712dadc64c4181a8d4e6feffec90"/>
            <w:id w:val="320477615"/>
          </w:sdtPr>
          <w:sdtContent>
            <w:tc>
              <w:tcPr>
                <w:tcW w:w="2206" w:type="dxa"/>
              </w:tcPr>
              <w:p>
                <w:pPr>
                  <w:widowControl w:val="0"/>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相关事实情况</w:t>
                </w:r>
              </w:p>
            </w:tc>
          </w:sdtContent>
        </w:sdt>
        <w:sdt>
          <w:sdtPr>
            <w:tag w:val="_PLD_05f5c1ef5c964d4a8a59230cf6322f6f"/>
            <w:id w:val="-1509354689"/>
          </w:sdtPr>
          <w:sdtContent>
            <w:tc>
              <w:tcPr>
                <w:tcW w:w="2206" w:type="dxa"/>
              </w:tcPr>
              <w:p>
                <w:pPr>
                  <w:widowControl w:val="0"/>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采用净额列报的依据</w:t>
                </w:r>
              </w:p>
            </w:tc>
          </w:sdtContent>
        </w:sdt>
        <w:sdt>
          <w:sdtPr>
            <w:tag w:val="_PLD_857618e07f284dbdbeaf13864837b199"/>
            <w:id w:val="-1396811828"/>
          </w:sdtPr>
          <w:sdtContent>
            <w:tc>
              <w:tcPr>
                <w:tcW w:w="2206" w:type="dxa"/>
              </w:tcPr>
              <w:p>
                <w:pPr>
                  <w:widowControl w:val="0"/>
                  <w:ind w:right="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财务影响</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vAlign w:val="center"/>
          </w:tcPr>
          <w:p>
            <w:pPr>
              <w:widowControl w:val="0"/>
              <w:ind w:right="5"/>
              <w:jc w:val="both"/>
            </w:pPr>
            <w:r>
              <w:rPr>
                <w:rFonts w:hint="eastAsia"/>
              </w:rPr>
              <w:t>收到其他与经营活动有关的现金</w:t>
            </w:r>
          </w:p>
        </w:tc>
        <w:tc>
          <w:tcPr>
            <w:tcW w:w="2206" w:type="dxa"/>
            <w:vAlign w:val="center"/>
          </w:tcPr>
          <w:p>
            <w:pPr>
              <w:widowControl w:val="0"/>
              <w:ind w:right="5"/>
              <w:jc w:val="both"/>
            </w:pPr>
            <w:r>
              <w:rPr>
                <w:rFonts w:hint="eastAsia"/>
              </w:rPr>
              <w:t xml:space="preserve">相关现金流系向客户收取和支付的周转快、金额大、期限短的现金流入和流出 </w:t>
            </w:r>
          </w:p>
        </w:tc>
        <w:tc>
          <w:tcPr>
            <w:tcW w:w="2206" w:type="dxa"/>
            <w:vAlign w:val="center"/>
          </w:tcPr>
          <w:p>
            <w:pPr>
              <w:widowControl w:val="0"/>
              <w:ind w:right="5"/>
              <w:jc w:val="both"/>
            </w:pPr>
            <w:r>
              <w:rPr>
                <w:rFonts w:hint="eastAsia"/>
              </w:rPr>
              <w:t xml:space="preserve">以净额列报更能反映公司现金流情况，更有助于评价公司的支付能力和偿债能力、分析公司的现金流量 </w:t>
            </w:r>
          </w:p>
        </w:tc>
        <w:tc>
          <w:tcPr>
            <w:tcW w:w="2206" w:type="dxa"/>
            <w:vAlign w:val="center"/>
          </w:tcPr>
          <w:p>
            <w:pPr>
              <w:widowControl w:val="0"/>
              <w:ind w:right="5"/>
              <w:jc w:val="right"/>
            </w:pPr>
            <w:r>
              <w:rPr>
                <w:rFonts w:hint="eastAsia"/>
              </w:rPr>
              <w:t>194,343,040.03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vAlign w:val="center"/>
          </w:tcPr>
          <w:p>
            <w:pPr>
              <w:widowControl w:val="0"/>
              <w:ind w:right="5"/>
              <w:jc w:val="both"/>
            </w:pPr>
            <w:r>
              <w:rPr>
                <w:rFonts w:hint="eastAsia"/>
              </w:rPr>
              <w:t>支付其他与经营活动有关的现金</w:t>
            </w:r>
          </w:p>
        </w:tc>
        <w:tc>
          <w:tcPr>
            <w:tcW w:w="2206" w:type="dxa"/>
            <w:vAlign w:val="center"/>
          </w:tcPr>
          <w:p>
            <w:pPr>
              <w:widowControl w:val="0"/>
              <w:ind w:right="5"/>
              <w:jc w:val="both"/>
            </w:pPr>
            <w:r>
              <w:rPr>
                <w:rFonts w:hint="eastAsia"/>
              </w:rPr>
              <w:t xml:space="preserve">相关现金流系向客户收取和支付的周转快、金额大、期限短的现金流入和流出 </w:t>
            </w:r>
          </w:p>
        </w:tc>
        <w:tc>
          <w:tcPr>
            <w:tcW w:w="2206" w:type="dxa"/>
            <w:vAlign w:val="center"/>
          </w:tcPr>
          <w:p>
            <w:pPr>
              <w:widowControl w:val="0"/>
              <w:ind w:right="5"/>
              <w:jc w:val="both"/>
            </w:pPr>
            <w:r>
              <w:rPr>
                <w:rFonts w:hint="eastAsia"/>
              </w:rPr>
              <w:t xml:space="preserve">以净额列报更能反映公司现金流情况，更有助于评价公司的支付能力和偿债能力、分析公司的现金流量 </w:t>
            </w:r>
          </w:p>
        </w:tc>
        <w:tc>
          <w:tcPr>
            <w:tcW w:w="2206" w:type="dxa"/>
            <w:vAlign w:val="center"/>
          </w:tcPr>
          <w:p>
            <w:pPr>
              <w:widowControl w:val="0"/>
              <w:ind w:right="5"/>
              <w:jc w:val="right"/>
            </w:pPr>
            <w:r>
              <w:rPr>
                <w:rFonts w:hint="eastAsia"/>
              </w:rPr>
              <w:t>194,343,040.03</w:t>
            </w:r>
          </w:p>
        </w:tc>
      </w:tr>
    </w:tbl>
    <w:p>
      <w:pPr>
        <w:ind w:right="5"/>
        <w:rPr>
          <w:color w:val="000000" w:themeColor="text1"/>
          <w14:textFill>
            <w14:solidFill>
              <w14:schemeClr w14:val="tx1"/>
            </w14:solidFill>
          </w14:textFill>
        </w:rPr>
      </w:pPr>
    </w:p>
    <w:p>
      <w:pPr>
        <w:pStyle w:val="5"/>
        <w:numPr>
          <w:ilvl w:val="0"/>
          <w:numId w:val="73"/>
        </w:numPr>
        <w:rPr>
          <w:color w:val="000000" w:themeColor="text1"/>
          <w14:textFill>
            <w14:solidFill>
              <w14:schemeClr w14:val="tx1"/>
            </w14:solidFill>
          </w14:textFill>
        </w:rPr>
      </w:pPr>
      <w:r>
        <w:rPr>
          <w:rFonts w:hint="eastAsia"/>
          <w:color w:val="000000" w:themeColor="text1"/>
          <w14:textFill>
            <w14:solidFill>
              <w14:schemeClr w14:val="tx1"/>
            </w14:solidFill>
          </w14:textFill>
        </w:rPr>
        <w:t>不涉及当期现金收支、但影响企业财务状况或在未来可能影响企业现金流量的重大活动及财务影响</w:t>
      </w:r>
    </w:p>
    <w:sdt>
      <w:sdtPr>
        <w:rPr>
          <w:color w:val="000000" w:themeColor="text1"/>
          <w14:textFill>
            <w14:solidFill>
              <w14:schemeClr w14:val="tx1"/>
            </w14:solidFill>
          </w14:textFill>
        </w:rPr>
        <w:alias w:val="是否适用：不涉及当期现金收支、但影响企业财务状况或在未来可能影响企业现金流量的重大活动及财务影响[双击切换]"/>
        <w:tag w:val="_GBC_07ea2264f8804cb2922afb33860595fb"/>
        <w:id w:val="-201606427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不涉及当期现金收支、但影响企业财务状况或在未来可能影响企业现金流量的重大活动及财务影响"/>
        <w:tag w:val="_GBC_43c4123be30e494ba7abfd0dcb4fee1b"/>
        <w:id w:val="519444950"/>
        <w:lock w:val="sdtLocked"/>
        <w:placeholder>
          <w:docPart w:val="GBC22222222222222222222222222222"/>
        </w:placeholder>
      </w:sdtPr>
      <w:sdtEndPr>
        <w:rPr>
          <w:color w:val="000000" w:themeColor="text1"/>
          <w14:textFill>
            <w14:solidFill>
              <w14:schemeClr w14:val="tx1"/>
            </w14:solidFill>
          </w14:textFill>
        </w:rPr>
      </w:sdtEndPr>
      <w:sdtContent>
        <w:p>
          <w:pPr>
            <w:spacing w:line="36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1）不涉及现金收支的重大投资和筹资活动详见“第八节.七、合并财务报表项目注释.79、现金流量表补充资料”</w:t>
          </w:r>
        </w:p>
        <w:p>
          <w:pPr>
            <w:spacing w:line="360"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2）不涉及现金收支的商业汇票背书转让金额</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65"/>
            <w:gridCol w:w="2618"/>
            <w:gridCol w:w="2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46" w:type="pct"/>
                <w:vAlign w:val="center"/>
              </w:tcPr>
              <w:p>
                <w:pPr>
                  <w:widowControl w:val="0"/>
                  <w:ind w:right="5"/>
                  <w:jc w:val="center"/>
                  <w:rPr>
                    <w:color w:val="000000" w:themeColor="text1"/>
                    <w14:textFill>
                      <w14:solidFill>
                        <w14:schemeClr w14:val="tx1"/>
                      </w14:solidFill>
                    </w14:textFill>
                  </w:rPr>
                </w:pPr>
                <w:r>
                  <w:rPr>
                    <w:rFonts w:hint="eastAsia"/>
                  </w:rPr>
                  <w:t>项  目</w:t>
                </w:r>
              </w:p>
            </w:tc>
            <w:tc>
              <w:tcPr>
                <w:tcW w:w="1446" w:type="pct"/>
                <w:vAlign w:val="center"/>
              </w:tcPr>
              <w:p>
                <w:pPr>
                  <w:widowControl w:val="0"/>
                  <w:ind w:right="5"/>
                  <w:jc w:val="center"/>
                  <w:rPr>
                    <w:color w:val="000000" w:themeColor="text1"/>
                    <w14:textFill>
                      <w14:solidFill>
                        <w14:schemeClr w14:val="tx1"/>
                      </w14:solidFill>
                    </w14:textFill>
                  </w:rPr>
                </w:pPr>
                <w:r>
                  <w:rPr>
                    <w:rFonts w:hint="eastAsia"/>
                  </w:rPr>
                  <w:t>本期数</w:t>
                </w:r>
              </w:p>
            </w:tc>
            <w:tc>
              <w:tcPr>
                <w:tcW w:w="1307" w:type="pct"/>
                <w:vAlign w:val="center"/>
              </w:tcPr>
              <w:p>
                <w:pPr>
                  <w:widowControl w:val="0"/>
                  <w:ind w:right="5"/>
                  <w:jc w:val="center"/>
                  <w:rPr>
                    <w:color w:val="000000" w:themeColor="text1"/>
                    <w14:textFill>
                      <w14:solidFill>
                        <w14:schemeClr w14:val="tx1"/>
                      </w14:solidFill>
                    </w14:textFill>
                  </w:rPr>
                </w:pPr>
                <w:r>
                  <w:rPr>
                    <w:rFonts w:hint="eastAsia"/>
                  </w:rPr>
                  <w:t>上年同期数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46" w:type="pct"/>
                <w:vAlign w:val="center"/>
              </w:tcPr>
              <w:p>
                <w:pPr>
                  <w:widowControl w:val="0"/>
                  <w:ind w:right="5"/>
                  <w:jc w:val="both"/>
                  <w:rPr>
                    <w:color w:val="000000" w:themeColor="text1"/>
                    <w14:textFill>
                      <w14:solidFill>
                        <w14:schemeClr w14:val="tx1"/>
                      </w14:solidFill>
                    </w14:textFill>
                  </w:rPr>
                </w:pPr>
                <w:r>
                  <w:rPr>
                    <w:rFonts w:hint="eastAsia"/>
                  </w:rPr>
                  <w:t>背书转让的商业汇票金额</w:t>
                </w:r>
              </w:p>
            </w:tc>
            <w:tc>
              <w:tcPr>
                <w:tcW w:w="1446" w:type="pct"/>
                <w:vAlign w:val="center"/>
              </w:tcPr>
              <w:p>
                <w:pPr>
                  <w:widowControl w:val="0"/>
                  <w:ind w:right="5"/>
                  <w:jc w:val="right"/>
                  <w:rPr>
                    <w:color w:val="000000" w:themeColor="text1"/>
                    <w14:textFill>
                      <w14:solidFill>
                        <w14:schemeClr w14:val="tx1"/>
                      </w14:solidFill>
                    </w14:textFill>
                  </w:rPr>
                </w:pPr>
                <w:r>
                  <w:rPr>
                    <w:rFonts w:hint="eastAsia"/>
                  </w:rPr>
                  <w:t xml:space="preserve"> 427,651,123.26 </w:t>
                </w:r>
              </w:p>
            </w:tc>
            <w:tc>
              <w:tcPr>
                <w:tcW w:w="1307" w:type="pct"/>
                <w:vAlign w:val="center"/>
              </w:tcPr>
              <w:p>
                <w:pPr>
                  <w:widowControl w:val="0"/>
                  <w:ind w:right="5"/>
                  <w:jc w:val="right"/>
                  <w:rPr>
                    <w:color w:val="000000" w:themeColor="text1"/>
                    <w14:textFill>
                      <w14:solidFill>
                        <w14:schemeClr w14:val="tx1"/>
                      </w14:solidFill>
                    </w14:textFill>
                  </w:rPr>
                </w:pPr>
                <w:r>
                  <w:rPr>
                    <w:rFonts w:hint="eastAsia"/>
                  </w:rPr>
                  <w:t xml:space="preserve"> 364,587,183.41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46" w:type="pct"/>
                <w:vAlign w:val="center"/>
              </w:tcPr>
              <w:p>
                <w:pPr>
                  <w:widowControl w:val="0"/>
                  <w:ind w:right="5"/>
                  <w:jc w:val="both"/>
                  <w:rPr>
                    <w:color w:val="000000" w:themeColor="text1"/>
                    <w14:textFill>
                      <w14:solidFill>
                        <w14:schemeClr w14:val="tx1"/>
                      </w14:solidFill>
                    </w14:textFill>
                  </w:rPr>
                </w:pPr>
                <w:r>
                  <w:rPr>
                    <w:rFonts w:hint="eastAsia"/>
                  </w:rPr>
                  <w:t>其中：支付货款</w:t>
                </w:r>
              </w:p>
            </w:tc>
            <w:tc>
              <w:tcPr>
                <w:tcW w:w="1446" w:type="pct"/>
                <w:vAlign w:val="center"/>
              </w:tcPr>
              <w:p>
                <w:pPr>
                  <w:widowControl w:val="0"/>
                  <w:ind w:right="5"/>
                  <w:jc w:val="right"/>
                  <w:rPr>
                    <w:color w:val="000000" w:themeColor="text1"/>
                    <w14:textFill>
                      <w14:solidFill>
                        <w14:schemeClr w14:val="tx1"/>
                      </w14:solidFill>
                    </w14:textFill>
                  </w:rPr>
                </w:pPr>
                <w:r>
                  <w:rPr>
                    <w:rFonts w:hint="eastAsia"/>
                  </w:rPr>
                  <w:t xml:space="preserve"> 406,238,128.85 </w:t>
                </w:r>
              </w:p>
            </w:tc>
            <w:tc>
              <w:tcPr>
                <w:tcW w:w="1307" w:type="pct"/>
                <w:vAlign w:val="center"/>
              </w:tcPr>
              <w:p>
                <w:pPr>
                  <w:widowControl w:val="0"/>
                  <w:ind w:right="5"/>
                  <w:jc w:val="right"/>
                  <w:rPr>
                    <w:color w:val="000000" w:themeColor="text1"/>
                    <w14:textFill>
                      <w14:solidFill>
                        <w14:schemeClr w14:val="tx1"/>
                      </w14:solidFill>
                    </w14:textFill>
                  </w:rPr>
                </w:pPr>
                <w:r>
                  <w:rPr>
                    <w:rFonts w:hint="eastAsia"/>
                  </w:rPr>
                  <w:t xml:space="preserve"> 343,769,996.73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46" w:type="pct"/>
                <w:vAlign w:val="center"/>
              </w:tcPr>
              <w:p>
                <w:pPr>
                  <w:widowControl w:val="0"/>
                  <w:ind w:right="5" w:firstLine="630" w:firstLineChars="300"/>
                  <w:jc w:val="both"/>
                  <w:rPr>
                    <w:color w:val="000000" w:themeColor="text1"/>
                    <w14:textFill>
                      <w14:solidFill>
                        <w14:schemeClr w14:val="tx1"/>
                      </w14:solidFill>
                    </w14:textFill>
                  </w:rPr>
                </w:pPr>
                <w:r>
                  <w:rPr>
                    <w:rFonts w:hint="eastAsia"/>
                  </w:rPr>
                  <w:t>支付固定资产等长期资产购置款</w:t>
                </w:r>
              </w:p>
            </w:tc>
            <w:tc>
              <w:tcPr>
                <w:tcW w:w="1446" w:type="pct"/>
                <w:vAlign w:val="center"/>
              </w:tcPr>
              <w:p>
                <w:pPr>
                  <w:widowControl w:val="0"/>
                  <w:ind w:right="5"/>
                  <w:jc w:val="right"/>
                  <w:rPr>
                    <w:color w:val="000000" w:themeColor="text1"/>
                    <w14:textFill>
                      <w14:solidFill>
                        <w14:schemeClr w14:val="tx1"/>
                      </w14:solidFill>
                    </w14:textFill>
                  </w:rPr>
                </w:pPr>
                <w:r>
                  <w:rPr>
                    <w:rFonts w:hint="eastAsia"/>
                  </w:rPr>
                  <w:t xml:space="preserve"> 21,412,994.41 </w:t>
                </w:r>
              </w:p>
            </w:tc>
            <w:tc>
              <w:tcPr>
                <w:tcW w:w="1307" w:type="pct"/>
                <w:vAlign w:val="center"/>
              </w:tcPr>
              <w:p>
                <w:pPr>
                  <w:widowControl w:val="0"/>
                  <w:ind w:right="5"/>
                  <w:jc w:val="right"/>
                  <w:rPr>
                    <w:color w:val="000000" w:themeColor="text1"/>
                    <w14:textFill>
                      <w14:solidFill>
                        <w14:schemeClr w14:val="tx1"/>
                      </w14:solidFill>
                    </w14:textFill>
                  </w:rPr>
                </w:pPr>
                <w:r>
                  <w:rPr>
                    <w:rFonts w:hint="eastAsia"/>
                  </w:rPr>
                  <w:t xml:space="preserve"> 20,817,186.68 </w:t>
                </w:r>
              </w:p>
            </w:tc>
          </w:tr>
        </w:tbl>
        <w:p>
          <w:pPr>
            <w:ind w:right="5"/>
            <w:rPr>
              <w:color w:val="000000" w:themeColor="text1"/>
              <w14:textFill>
                <w14:solidFill>
                  <w14:schemeClr w14:val="tx1"/>
                </w14:solidFill>
              </w14:textFill>
            </w:rPr>
          </w:pPr>
        </w:p>
      </w:sdtContent>
    </w:sdt>
    <w:bookmarkEnd w:id="416"/>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现金流量表补充资料</w:t>
      </w:r>
    </w:p>
    <w:p>
      <w:pPr>
        <w:pStyle w:val="5"/>
        <w:numPr>
          <w:ilvl w:val="0"/>
          <w:numId w:val="74"/>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现金流量表补充资料</w:t>
      </w:r>
    </w:p>
    <w:sdt>
      <w:sdtPr>
        <w:rPr>
          <w:color w:val="000000" w:themeColor="text1"/>
          <w14:textFill>
            <w14:solidFill>
              <w14:schemeClr w14:val="tx1"/>
            </w14:solidFill>
          </w14:textFill>
        </w:rPr>
        <w:alias w:val="是否适用：现金流量表补充资料[双击切换]"/>
        <w:tag w:val="_GBC_3ee8e178479245ea907bff86e4dcd54a"/>
        <w:id w:val="192399014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现金流量表补充资料"/>
          <w:tag w:val="_GBC_ba7cd13a54fa44929e0fd4c276876d0e"/>
          <w:id w:val="87381723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现金流量表补充资料"/>
          <w:tag w:val="_GBC_715164ef2f2b4f258a0908b254229361"/>
          <w:id w:val="-6048592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2"/>
        <w:gridCol w:w="2800"/>
        <w:gridCol w:w="2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6ea455751354381bc869d5865ef3d8f"/>
            <w:id w:val="-128864151"/>
          </w:sdtPr>
          <w:sdtContent>
            <w:tc>
              <w:tcPr>
                <w:tcW w:w="1924" w:type="pct"/>
                <w:vAlign w:val="center"/>
              </w:tcPr>
              <w:p>
                <w:pPr>
                  <w:jc w:val="center"/>
                  <w:rPr>
                    <w:bCs w:val="0"/>
                    <w:color w:val="000000" w:themeColor="text1"/>
                    <w14:textFill>
                      <w14:solidFill>
                        <w14:schemeClr w14:val="tx1"/>
                      </w14:solidFill>
                    </w14:textFill>
                  </w:rPr>
                </w:pPr>
                <w:r>
                  <w:rPr>
                    <w:rFonts w:hint="eastAsia"/>
                    <w:color w:val="000000" w:themeColor="text1"/>
                    <w14:textFill>
                      <w14:solidFill>
                        <w14:schemeClr w14:val="tx1"/>
                      </w14:solidFill>
                    </w14:textFill>
                  </w:rPr>
                  <w:t>补充资料</w:t>
                </w:r>
              </w:p>
            </w:tc>
          </w:sdtContent>
        </w:sdt>
        <w:sdt>
          <w:sdtPr>
            <w:tag w:val="_PLD_0687e3743a4e4e2db7b08855f23641e8"/>
            <w:id w:val="87591760"/>
          </w:sdtPr>
          <w:sdtContent>
            <w:tc>
              <w:tcPr>
                <w:tcW w:w="154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本期金额</w:t>
                </w:r>
              </w:p>
            </w:tc>
          </w:sdtContent>
        </w:sdt>
        <w:sdt>
          <w:sdtPr>
            <w:tag w:val="_PLD_f90342638d124edea40aa264bbe65e8e"/>
            <w:id w:val="-690690696"/>
          </w:sdtPr>
          <w:sdtContent>
            <w:tc>
              <w:tcPr>
                <w:tcW w:w="152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上期金额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a799a1250f946df9181881c4b1f3829"/>
            <w:id w:val="-1533567684"/>
          </w:sdtPr>
          <w:sdtContent>
            <w:tc>
              <w:tcPr>
                <w:tcW w:w="5000" w:type="pct"/>
                <w:gridSpan w:val="3"/>
              </w:tcPr>
              <w:p>
                <w:pPr>
                  <w:jc w:val="both"/>
                  <w:rPr>
                    <w:b/>
                    <w:color w:val="000000" w:themeColor="text1"/>
                    <w14:textFill>
                      <w14:solidFill>
                        <w14:schemeClr w14:val="tx1"/>
                      </w14:solidFill>
                    </w14:textFill>
                  </w:rPr>
                </w:pPr>
                <w:r>
                  <w:rPr>
                    <w:b/>
                    <w:color w:val="000000" w:themeColor="text1"/>
                    <w14:textFill>
                      <w14:solidFill>
                        <w14:schemeClr w14:val="tx1"/>
                      </w14:solidFill>
                    </w14:textFill>
                  </w:rPr>
                  <w:t>1</w:t>
                </w:r>
                <w:r>
                  <w:rPr>
                    <w:rFonts w:hint="eastAsia"/>
                    <w:b/>
                    <w:color w:val="000000" w:themeColor="text1"/>
                    <w14:textFill>
                      <w14:solidFill>
                        <w14:schemeClr w14:val="tx1"/>
                      </w14:solidFill>
                    </w14:textFill>
                  </w:rPr>
                  <w:t>．将净利润调节为经营活动现金流量：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净利润</w:t>
            </w:r>
          </w:p>
        </w:tc>
        <w:tc>
          <w:tcPr>
            <w:tcW w:w="1547" w:type="pct"/>
            <w:vAlign w:val="center"/>
          </w:tcPr>
          <w:p>
            <w:pPr>
              <w:jc w:val="right"/>
            </w:pPr>
            <w:r>
              <w:t xml:space="preserve"> 20,838,681.57 </w:t>
            </w:r>
          </w:p>
        </w:tc>
        <w:tc>
          <w:tcPr>
            <w:tcW w:w="1529" w:type="pct"/>
            <w:vAlign w:val="center"/>
          </w:tcPr>
          <w:p>
            <w:pPr>
              <w:jc w:val="right"/>
            </w:pPr>
            <w:r>
              <w:t xml:space="preserve"> 59,665,625.37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加：资产减值准备</w:t>
            </w:r>
          </w:p>
        </w:tc>
        <w:tc>
          <w:tcPr>
            <w:tcW w:w="1547" w:type="pct"/>
            <w:vAlign w:val="center"/>
          </w:tcPr>
          <w:p>
            <w:pPr>
              <w:jc w:val="right"/>
            </w:pPr>
            <w:r>
              <w:t xml:space="preserve"> 8,634,235.54 </w:t>
            </w:r>
          </w:p>
        </w:tc>
        <w:tc>
          <w:tcPr>
            <w:tcW w:w="1529" w:type="pct"/>
            <w:vAlign w:val="center"/>
          </w:tcPr>
          <w:p>
            <w:pPr>
              <w:jc w:val="right"/>
            </w:pPr>
            <w:r>
              <w:t xml:space="preserve"> 9,228,094.05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信用减值损失</w:t>
            </w:r>
          </w:p>
        </w:tc>
        <w:tc>
          <w:tcPr>
            <w:tcW w:w="1547" w:type="pct"/>
            <w:vAlign w:val="center"/>
          </w:tcPr>
          <w:p>
            <w:pPr>
              <w:jc w:val="right"/>
            </w:pPr>
            <w:r>
              <w:t xml:space="preserve"> 5,824,508.93 </w:t>
            </w:r>
          </w:p>
        </w:tc>
        <w:tc>
          <w:tcPr>
            <w:tcW w:w="1529" w:type="pct"/>
            <w:vAlign w:val="center"/>
          </w:tcPr>
          <w:p>
            <w:pPr>
              <w:jc w:val="right"/>
            </w:pPr>
            <w:r>
              <w:t xml:space="preserve"> 5,207,818.47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固定资产折旧、油气资产折耗、生产性生物资产折旧</w:t>
            </w:r>
          </w:p>
        </w:tc>
        <w:tc>
          <w:tcPr>
            <w:tcW w:w="1547" w:type="pct"/>
            <w:vAlign w:val="center"/>
          </w:tcPr>
          <w:p>
            <w:pPr>
              <w:jc w:val="right"/>
            </w:pPr>
            <w:r>
              <w:t xml:space="preserve"> 104,786,060.92 </w:t>
            </w:r>
          </w:p>
        </w:tc>
        <w:tc>
          <w:tcPr>
            <w:tcW w:w="1529" w:type="pct"/>
            <w:vAlign w:val="center"/>
          </w:tcPr>
          <w:p>
            <w:pPr>
              <w:jc w:val="right"/>
            </w:pPr>
            <w:r>
              <w:t xml:space="preserve"> 99,005,256.98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使用权资产摊销</w:t>
            </w:r>
          </w:p>
        </w:tc>
        <w:tc>
          <w:tcPr>
            <w:tcW w:w="1547" w:type="pct"/>
            <w:vAlign w:val="center"/>
          </w:tcPr>
          <w:p>
            <w:pPr>
              <w:jc w:val="right"/>
            </w:pPr>
            <w:r>
              <w:t xml:space="preserve"> 3,173,945.87 </w:t>
            </w:r>
          </w:p>
        </w:tc>
        <w:tc>
          <w:tcPr>
            <w:tcW w:w="1529" w:type="pct"/>
            <w:vAlign w:val="center"/>
          </w:tcPr>
          <w:p>
            <w:pPr>
              <w:jc w:val="right"/>
            </w:pPr>
            <w:r>
              <w:t xml:space="preserve"> 2,012,976.51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无形资产摊销</w:t>
            </w:r>
          </w:p>
        </w:tc>
        <w:tc>
          <w:tcPr>
            <w:tcW w:w="1547" w:type="pct"/>
            <w:vAlign w:val="center"/>
          </w:tcPr>
          <w:p>
            <w:pPr>
              <w:jc w:val="right"/>
            </w:pPr>
            <w:r>
              <w:t xml:space="preserve"> 4,263,279.22 </w:t>
            </w:r>
          </w:p>
        </w:tc>
        <w:tc>
          <w:tcPr>
            <w:tcW w:w="1529" w:type="pct"/>
            <w:vAlign w:val="center"/>
          </w:tcPr>
          <w:p>
            <w:pPr>
              <w:jc w:val="right"/>
            </w:pPr>
            <w:r>
              <w:t xml:space="preserve"> 3,847,868.58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长期待摊费用摊销</w:t>
            </w:r>
          </w:p>
        </w:tc>
        <w:tc>
          <w:tcPr>
            <w:tcW w:w="1547" w:type="pct"/>
            <w:vAlign w:val="center"/>
          </w:tcPr>
          <w:p>
            <w:pPr>
              <w:jc w:val="right"/>
            </w:pPr>
            <w:r>
              <w:t xml:space="preserve"> 425,333.81 </w:t>
            </w:r>
          </w:p>
        </w:tc>
        <w:tc>
          <w:tcPr>
            <w:tcW w:w="1529" w:type="pct"/>
            <w:vAlign w:val="center"/>
          </w:tcPr>
          <w:p>
            <w:pPr>
              <w:jc w:val="right"/>
            </w:pPr>
            <w:r>
              <w:t xml:space="preserve"> 664,922.67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处置固定资产、无形资产和其他长期资产的损失（收益以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pPr>
              <w:jc w:val="right"/>
            </w:pPr>
            <w:r>
              <w:t xml:space="preserve"> 90,957.05 </w:t>
            </w:r>
          </w:p>
        </w:tc>
        <w:tc>
          <w:tcPr>
            <w:tcW w:w="1529" w:type="pct"/>
            <w:vAlign w:val="center"/>
          </w:tcPr>
          <w:p>
            <w:pPr>
              <w:jc w:val="right"/>
            </w:pPr>
            <w:r>
              <w:t xml:space="preserve"> -96,562.33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固定资产报废损失（收益以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pPr>
              <w:jc w:val="right"/>
            </w:pPr>
            <w:r>
              <w:t xml:space="preserve"> -343,237.65 </w:t>
            </w:r>
          </w:p>
        </w:tc>
        <w:tc>
          <w:tcPr>
            <w:tcW w:w="1529" w:type="pct"/>
            <w:vAlign w:val="center"/>
          </w:tcPr>
          <w:p>
            <w:pPr>
              <w:jc w:val="right"/>
            </w:pPr>
            <w:r>
              <w:t xml:space="preserve"> 2,128.54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公允价值变动损失（收益以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pPr>
              <w:jc w:val="right"/>
            </w:pPr>
            <w:r>
              <w:t xml:space="preserve">  </w:t>
            </w:r>
          </w:p>
        </w:tc>
        <w:tc>
          <w:tcPr>
            <w:tcW w:w="1529"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财务费用（收益以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pPr>
              <w:jc w:val="right"/>
            </w:pPr>
            <w:r>
              <w:t xml:space="preserve"> 32,439,538.25 </w:t>
            </w:r>
          </w:p>
        </w:tc>
        <w:tc>
          <w:tcPr>
            <w:tcW w:w="1529" w:type="pct"/>
            <w:vAlign w:val="center"/>
          </w:tcPr>
          <w:p>
            <w:pPr>
              <w:jc w:val="right"/>
            </w:pPr>
            <w:r>
              <w:t xml:space="preserve"> 26,582,761.21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投资损失（收益以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pPr>
              <w:jc w:val="right"/>
            </w:pPr>
            <w:r>
              <w:t xml:space="preserve"> 1,822,540.72 </w:t>
            </w:r>
          </w:p>
        </w:tc>
        <w:tc>
          <w:tcPr>
            <w:tcW w:w="1529" w:type="pct"/>
            <w:vAlign w:val="center"/>
          </w:tcPr>
          <w:p>
            <w:pPr>
              <w:jc w:val="right"/>
            </w:pPr>
            <w:r>
              <w:t xml:space="preserve"> 512,472.84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递延所得税资产减少（增加以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pPr>
              <w:jc w:val="right"/>
            </w:pPr>
            <w:r>
              <w:t xml:space="preserve"> 443,397.89 </w:t>
            </w:r>
          </w:p>
        </w:tc>
        <w:tc>
          <w:tcPr>
            <w:tcW w:w="1529" w:type="pct"/>
            <w:vAlign w:val="center"/>
          </w:tcPr>
          <w:p>
            <w:pPr>
              <w:jc w:val="right"/>
            </w:pPr>
            <w:r>
              <w:t xml:space="preserve"> -2,533,284.30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递延所得税负债增加（减少以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pPr>
              <w:jc w:val="right"/>
            </w:pPr>
            <w:r>
              <w:t xml:space="preserve"> -5,643,930.08 </w:t>
            </w:r>
          </w:p>
        </w:tc>
        <w:tc>
          <w:tcPr>
            <w:tcW w:w="1529" w:type="pct"/>
            <w:vAlign w:val="center"/>
          </w:tcPr>
          <w:p>
            <w:pPr>
              <w:jc w:val="right"/>
            </w:pPr>
            <w:r>
              <w:t xml:space="preserve"> 5,873,638.83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存货的减少（增加以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pPr>
              <w:jc w:val="right"/>
            </w:pPr>
            <w:r>
              <w:t xml:space="preserve"> -120,400,421.63 </w:t>
            </w:r>
          </w:p>
        </w:tc>
        <w:tc>
          <w:tcPr>
            <w:tcW w:w="1529" w:type="pct"/>
            <w:vAlign w:val="center"/>
          </w:tcPr>
          <w:p>
            <w:pPr>
              <w:jc w:val="right"/>
            </w:pPr>
            <w:r>
              <w:t xml:space="preserve"> -98,906,612.03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经营性应收项目的减少（增加以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pPr>
              <w:jc w:val="right"/>
            </w:pPr>
            <w:r>
              <w:t xml:space="preserve"> -95,266,456.68 </w:t>
            </w:r>
          </w:p>
        </w:tc>
        <w:tc>
          <w:tcPr>
            <w:tcW w:w="1529" w:type="pct"/>
            <w:vAlign w:val="center"/>
          </w:tcPr>
          <w:p>
            <w:pPr>
              <w:jc w:val="right"/>
            </w:pPr>
            <w:r>
              <w:t xml:space="preserve"> -145,755,574.11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经营性应付项目的增加（减少以</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号填列）</w:t>
            </w:r>
          </w:p>
        </w:tc>
        <w:tc>
          <w:tcPr>
            <w:tcW w:w="1547" w:type="pct"/>
            <w:vAlign w:val="center"/>
          </w:tcPr>
          <w:p>
            <w:pPr>
              <w:jc w:val="right"/>
            </w:pPr>
            <w:r>
              <w:t xml:space="preserve"> -81,071,404.16 </w:t>
            </w:r>
          </w:p>
        </w:tc>
        <w:tc>
          <w:tcPr>
            <w:tcW w:w="1529" w:type="pct"/>
            <w:vAlign w:val="center"/>
          </w:tcPr>
          <w:p>
            <w:pPr>
              <w:jc w:val="right"/>
            </w:pPr>
            <w:r>
              <w:t xml:space="preserve"> 50,938,876.58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tc>
          <w:tcPr>
            <w:tcW w:w="1547" w:type="pct"/>
            <w:vAlign w:val="center"/>
          </w:tcPr>
          <w:p>
            <w:pPr>
              <w:jc w:val="right"/>
            </w:pPr>
          </w:p>
        </w:tc>
        <w:tc>
          <w:tcPr>
            <w:tcW w:w="1529" w:type="pct"/>
            <w:vAlign w:val="center"/>
          </w:tcPr>
          <w:p>
            <w:pPr>
              <w:jc w:val="right"/>
            </w:pPr>
            <w:r>
              <w:t xml:space="preserve"> 3,580,781.36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经营活动产生的现金流量净额</w:t>
            </w:r>
          </w:p>
        </w:tc>
        <w:tc>
          <w:tcPr>
            <w:tcW w:w="1547" w:type="pct"/>
            <w:vAlign w:val="center"/>
          </w:tcPr>
          <w:p>
            <w:pPr>
              <w:jc w:val="right"/>
            </w:pPr>
            <w:r>
              <w:t xml:space="preserve"> -119,982,970.43 </w:t>
            </w:r>
          </w:p>
        </w:tc>
        <w:tc>
          <w:tcPr>
            <w:tcW w:w="1529" w:type="pct"/>
            <w:vAlign w:val="center"/>
          </w:tcPr>
          <w:p>
            <w:pPr>
              <w:jc w:val="right"/>
            </w:pPr>
            <w:r>
              <w:t xml:space="preserve"> 19,831,189.23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db693429a97d44a2848da029ca6a724c"/>
            <w:id w:val="1761329147"/>
          </w:sdtPr>
          <w:sdtContent>
            <w:tc>
              <w:tcPr>
                <w:tcW w:w="5000" w:type="pct"/>
                <w:gridSpan w:val="3"/>
              </w:tcPr>
              <w:p>
                <w:pPr>
                  <w:rPr>
                    <w:color w:val="000000" w:themeColor="text1"/>
                    <w14:textFill>
                      <w14:solidFill>
                        <w14:schemeClr w14:val="tx1"/>
                      </w14:solidFill>
                    </w14:textFill>
                  </w:rPr>
                </w:pPr>
                <w:r>
                  <w:rPr>
                    <w:b/>
                    <w:color w:val="000000" w:themeColor="text1"/>
                    <w14:textFill>
                      <w14:solidFill>
                        <w14:schemeClr w14:val="tx1"/>
                      </w14:solidFill>
                    </w14:textFill>
                  </w:rPr>
                  <w:t>2</w:t>
                </w:r>
                <w:r>
                  <w:rPr>
                    <w:rFonts w:hint="eastAsia"/>
                    <w:b/>
                    <w:color w:val="000000" w:themeColor="text1"/>
                    <w14:textFill>
                      <w14:solidFill>
                        <w14:schemeClr w14:val="tx1"/>
                      </w14:solidFill>
                    </w14:textFill>
                  </w:rPr>
                  <w:t>．不涉及现金收支的重大投资和筹资活动：</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债务转为资本</w:t>
            </w:r>
          </w:p>
        </w:tc>
        <w:tc>
          <w:tcPr>
            <w:tcW w:w="1547" w:type="pct"/>
          </w:tcPr>
          <w:p>
            <w:pPr>
              <w:jc w:val="right"/>
            </w:pPr>
          </w:p>
        </w:tc>
        <w:tc>
          <w:tcPr>
            <w:tcW w:w="1529"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一年内到期的可转换公司债券</w:t>
            </w:r>
          </w:p>
        </w:tc>
        <w:tc>
          <w:tcPr>
            <w:tcW w:w="1547" w:type="pct"/>
          </w:tcPr>
          <w:p>
            <w:pPr>
              <w:jc w:val="right"/>
            </w:pPr>
          </w:p>
        </w:tc>
        <w:tc>
          <w:tcPr>
            <w:tcW w:w="1529"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color w:val="000000" w:themeColor="text1"/>
                <w14:textFill>
                  <w14:solidFill>
                    <w14:schemeClr w14:val="tx1"/>
                  </w14:solidFill>
                </w14:textFill>
              </w:rPr>
              <w:t>新增使用权资产</w:t>
            </w:r>
          </w:p>
        </w:tc>
        <w:tc>
          <w:tcPr>
            <w:tcW w:w="1547" w:type="pct"/>
          </w:tcPr>
          <w:p>
            <w:pPr>
              <w:jc w:val="right"/>
            </w:pPr>
            <w:r>
              <w:t xml:space="preserve"> 27,242,038.96 </w:t>
            </w:r>
          </w:p>
        </w:tc>
        <w:tc>
          <w:tcPr>
            <w:tcW w:w="1529" w:type="pct"/>
          </w:tcPr>
          <w:p>
            <w:pPr>
              <w:jc w:val="right"/>
            </w:pPr>
            <w:r>
              <w:t xml:space="preserve"> 5,013,752.17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294459fe7ee46638b8d4b78b8d8c436"/>
            <w:id w:val="-1230456424"/>
          </w:sdtPr>
          <w:sdtContent>
            <w:tc>
              <w:tcPr>
                <w:tcW w:w="5000" w:type="pct"/>
                <w:gridSpan w:val="3"/>
              </w:tcPr>
              <w:p>
                <w:pPr>
                  <w:rPr>
                    <w:color w:val="000000" w:themeColor="text1"/>
                    <w14:textFill>
                      <w14:solidFill>
                        <w14:schemeClr w14:val="tx1"/>
                      </w14:solidFill>
                    </w14:textFill>
                  </w:rPr>
                </w:pPr>
                <w:r>
                  <w:rPr>
                    <w:b/>
                    <w:color w:val="000000" w:themeColor="text1"/>
                    <w14:textFill>
                      <w14:solidFill>
                        <w14:schemeClr w14:val="tx1"/>
                      </w14:solidFill>
                    </w14:textFill>
                  </w:rPr>
                  <w:t>3</w:t>
                </w:r>
                <w:r>
                  <w:rPr>
                    <w:rFonts w:hint="eastAsia"/>
                    <w:b/>
                    <w:color w:val="000000" w:themeColor="text1"/>
                    <w14:textFill>
                      <w14:solidFill>
                        <w14:schemeClr w14:val="tx1"/>
                      </w14:solidFill>
                    </w14:textFill>
                  </w:rPr>
                  <w:t>．现金及现金等价物净变动情况：</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现金的期末余额</w:t>
            </w:r>
          </w:p>
        </w:tc>
        <w:tc>
          <w:tcPr>
            <w:tcW w:w="1547" w:type="pct"/>
          </w:tcPr>
          <w:p>
            <w:pPr>
              <w:jc w:val="right"/>
            </w:pPr>
            <w:r>
              <w:t xml:space="preserve"> 886,474,457.77 </w:t>
            </w:r>
          </w:p>
        </w:tc>
        <w:tc>
          <w:tcPr>
            <w:tcW w:w="1529" w:type="pct"/>
          </w:tcPr>
          <w:p>
            <w:pPr>
              <w:jc w:val="right"/>
            </w:pPr>
            <w:r>
              <w:t xml:space="preserve"> 1,054,683,435.41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减：现金的期初余额</w:t>
            </w:r>
          </w:p>
        </w:tc>
        <w:tc>
          <w:tcPr>
            <w:tcW w:w="1547" w:type="pct"/>
          </w:tcPr>
          <w:p>
            <w:pPr>
              <w:jc w:val="right"/>
              <w:rPr>
                <w:bCs w:val="0"/>
              </w:rPr>
            </w:pPr>
            <w:r>
              <w:t xml:space="preserve"> 1,205,429,662.37 </w:t>
            </w:r>
          </w:p>
        </w:tc>
        <w:tc>
          <w:tcPr>
            <w:tcW w:w="1529" w:type="pct"/>
          </w:tcPr>
          <w:p>
            <w:pPr>
              <w:jc w:val="right"/>
              <w:rPr>
                <w:bCs w:val="0"/>
              </w:rPr>
            </w:pPr>
            <w:r>
              <w:t xml:space="preserve"> 996,421,333.80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加：现金等价物的期末余额</w:t>
            </w:r>
          </w:p>
        </w:tc>
        <w:tc>
          <w:tcPr>
            <w:tcW w:w="1547" w:type="pct"/>
          </w:tcPr>
          <w:p>
            <w:pPr>
              <w:jc w:val="right"/>
            </w:pPr>
          </w:p>
        </w:tc>
        <w:tc>
          <w:tcPr>
            <w:tcW w:w="1529"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减：现金等价物的期初余额</w:t>
            </w:r>
          </w:p>
        </w:tc>
        <w:tc>
          <w:tcPr>
            <w:tcW w:w="1547" w:type="pct"/>
          </w:tcPr>
          <w:p>
            <w:pPr>
              <w:jc w:val="right"/>
              <w:rPr>
                <w:bCs w:val="0"/>
              </w:rPr>
            </w:pPr>
          </w:p>
        </w:tc>
        <w:tc>
          <w:tcPr>
            <w:tcW w:w="1529" w:type="pct"/>
          </w:tcPr>
          <w:p>
            <w:pPr>
              <w:jc w:val="right"/>
              <w:rPr>
                <w:bCs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现金及现金等价物净增加额</w:t>
            </w:r>
          </w:p>
        </w:tc>
        <w:tc>
          <w:tcPr>
            <w:tcW w:w="1547" w:type="pct"/>
          </w:tcPr>
          <w:p>
            <w:pPr>
              <w:jc w:val="right"/>
            </w:pPr>
            <w:r>
              <w:t xml:space="preserve"> -318,955,204.60 </w:t>
            </w:r>
          </w:p>
        </w:tc>
        <w:tc>
          <w:tcPr>
            <w:tcW w:w="1529" w:type="pct"/>
          </w:tcPr>
          <w:p>
            <w:pPr>
              <w:jc w:val="right"/>
              <w:rPr>
                <w:bCs w:val="0"/>
              </w:rPr>
            </w:pPr>
            <w:r>
              <w:t xml:space="preserve"> 58,262,101.61 </w:t>
            </w:r>
          </w:p>
        </w:tc>
      </w:tr>
    </w:tbl>
    <w:p>
      <w:pPr>
        <w:pStyle w:val="5"/>
        <w:numPr>
          <w:ilvl w:val="0"/>
          <w:numId w:val="74"/>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本期支付的取得子公司的现金净额</w:t>
      </w:r>
    </w:p>
    <w:sdt>
      <w:sdtPr>
        <w:rPr>
          <w:color w:val="000000" w:themeColor="text1"/>
          <w14:textFill>
            <w14:solidFill>
              <w14:schemeClr w14:val="tx1"/>
            </w14:solidFill>
          </w14:textFill>
        </w:rPr>
        <w:alias w:val="是否适用：本期支付的取得子公司的现金净额[双击切换]"/>
        <w:tag w:val="_GBC_903abae67cad448caac446eb8c11fd79"/>
        <w:id w:val="830720398"/>
        <w:placeholder>
          <w:docPart w:val="GBC22222222222222222222222222222"/>
        </w:placeholder>
      </w:sdtPr>
      <w:sdtEndPr>
        <w:rPr>
          <w:color w:val="000000" w:themeColor="text1"/>
          <w14:textFill>
            <w14:solidFill>
              <w14:schemeClr w14:val="tx1"/>
            </w14:solidFill>
          </w14:textFill>
        </w:rPr>
      </w:sdtEndPr>
      <w:sdtContent>
        <w:p>
          <w:pPr>
            <w:pStyle w:val="48"/>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74"/>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本期收到的处置子公司的现金净额</w:t>
      </w:r>
    </w:p>
    <w:sdt>
      <w:sdtPr>
        <w:rPr>
          <w:color w:val="000000" w:themeColor="text1"/>
          <w14:textFill>
            <w14:solidFill>
              <w14:schemeClr w14:val="tx1"/>
            </w14:solidFill>
          </w14:textFill>
        </w:rPr>
        <w:alias w:val="是否适用：本期收到的处置子公司的现金净额[双击切换]"/>
        <w:tag w:val="_GBC_2b4b13c85bb94d13bb7b7edebe0a9f5a"/>
        <w:id w:val="-121557705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74"/>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现金和现金等价物的构成</w:t>
      </w:r>
    </w:p>
    <w:sdt>
      <w:sdtPr>
        <w:rPr>
          <w:color w:val="000000" w:themeColor="text1"/>
          <w14:textFill>
            <w14:solidFill>
              <w14:schemeClr w14:val="tx1"/>
            </w14:solidFill>
          </w14:textFill>
        </w:rPr>
        <w:alias w:val="是否适用：现金和现金等价物的构成[双击切换]"/>
        <w:tag w:val="_GBC_4f1d477972634410a6ea7bdfaf766947"/>
        <w:id w:val="-24417966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现金和现金等价物的构成"/>
          <w:tag w:val="_GBC_b65333ba6aec402382c4acbbb6696560"/>
          <w:id w:val="-17973660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现金和现金等价物的构成"/>
          <w:tag w:val="_GBC_15cada3a52264083942ef83a40fa25a0"/>
          <w:id w:val="-54753222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6"/>
        <w:gridCol w:w="1958"/>
        <w:gridCol w:w="2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sdt>
          <w:sdtPr>
            <w:tag w:val="_PLD_d5bf85e9303e4843a7623f09eae933c6"/>
            <w:id w:val="1492220522"/>
          </w:sdtPr>
          <w:sdtContent>
            <w:tc>
              <w:tcPr>
                <w:tcW w:w="2407" w:type="pct"/>
                <w:tcBorders>
                  <w:bottom w:val="single" w:color="auto" w:sz="4" w:space="0"/>
                </w:tcBorders>
                <w:vAlign w:val="center"/>
              </w:tcPr>
              <w:p>
                <w:pPr>
                  <w:ind w:left="-107" w:leftChars="-51"/>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e3a960d2f6474687b9cbaec3f1075e19"/>
            <w:id w:val="-1638250229"/>
          </w:sdtPr>
          <w:sdtContent>
            <w:tc>
              <w:tcPr>
                <w:tcW w:w="108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0d0909eba9344c8ab96c7fb88f0b117a"/>
            <w:id w:val="-2008817693"/>
          </w:sdtPr>
          <w:sdtContent>
            <w:tc>
              <w:tcPr>
                <w:tcW w:w="1511" w:type="pct"/>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07"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一、现金</w:t>
            </w:r>
          </w:p>
        </w:tc>
        <w:tc>
          <w:tcPr>
            <w:tcW w:w="1082" w:type="pct"/>
          </w:tcPr>
          <w:p>
            <w:pPr>
              <w:jc w:val="right"/>
            </w:pPr>
            <w:r>
              <w:t xml:space="preserve"> 886,474,457.77 </w:t>
            </w:r>
          </w:p>
        </w:tc>
        <w:tc>
          <w:tcPr>
            <w:tcW w:w="1511" w:type="pct"/>
          </w:tcPr>
          <w:p>
            <w:pPr>
              <w:jc w:val="right"/>
            </w:pPr>
            <w:r>
              <w:t xml:space="preserve"> 1,205,429,662.37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07"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其中：库存现金</w:t>
            </w:r>
          </w:p>
        </w:tc>
        <w:tc>
          <w:tcPr>
            <w:tcW w:w="1082" w:type="pct"/>
          </w:tcPr>
          <w:p>
            <w:pPr>
              <w:jc w:val="right"/>
            </w:pPr>
            <w:r>
              <w:t xml:space="preserve"> 900.00 </w:t>
            </w:r>
          </w:p>
        </w:tc>
        <w:tc>
          <w:tcPr>
            <w:tcW w:w="1511" w:type="pct"/>
          </w:tcPr>
          <w:p>
            <w:pPr>
              <w:jc w:val="right"/>
            </w:pPr>
            <w:r>
              <w:t xml:space="preserve"> 57,564.84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07" w:type="pct"/>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可随时用于支付的银行存款</w:t>
            </w:r>
          </w:p>
        </w:tc>
        <w:tc>
          <w:tcPr>
            <w:tcW w:w="1082" w:type="pct"/>
          </w:tcPr>
          <w:p>
            <w:pPr>
              <w:jc w:val="right"/>
            </w:pPr>
            <w:r>
              <w:t xml:space="preserve"> 886,473,557.77 </w:t>
            </w:r>
          </w:p>
        </w:tc>
        <w:tc>
          <w:tcPr>
            <w:tcW w:w="1511" w:type="pct"/>
          </w:tcPr>
          <w:p>
            <w:pPr>
              <w:jc w:val="right"/>
            </w:pPr>
            <w:r>
              <w:t xml:space="preserve"> 1,205,372,097.53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07" w:type="pct"/>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可随时用于支付的其他货币资金</w:t>
            </w:r>
          </w:p>
        </w:tc>
        <w:tc>
          <w:tcPr>
            <w:tcW w:w="1082" w:type="pct"/>
          </w:tcPr>
          <w:p>
            <w:pPr>
              <w:jc w:val="right"/>
            </w:pPr>
          </w:p>
        </w:tc>
        <w:tc>
          <w:tcPr>
            <w:tcW w:w="151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07"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二、现金等价物</w:t>
            </w:r>
          </w:p>
        </w:tc>
        <w:tc>
          <w:tcPr>
            <w:tcW w:w="1082" w:type="pct"/>
          </w:tcPr>
          <w:p>
            <w:pPr>
              <w:jc w:val="right"/>
            </w:pPr>
          </w:p>
        </w:tc>
        <w:tc>
          <w:tcPr>
            <w:tcW w:w="1511"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07" w:type="pct"/>
            <w:tcBorders>
              <w:bottom w:val="single"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其中：三个月内到期的债券投资</w:t>
            </w:r>
          </w:p>
        </w:tc>
        <w:tc>
          <w:tcPr>
            <w:tcW w:w="1082" w:type="pct"/>
            <w:tcBorders>
              <w:bottom w:val="single" w:color="auto" w:sz="4" w:space="0"/>
            </w:tcBorders>
          </w:tcPr>
          <w:p>
            <w:pPr>
              <w:jc w:val="right"/>
            </w:pPr>
          </w:p>
        </w:tc>
        <w:tc>
          <w:tcPr>
            <w:tcW w:w="1511" w:type="pct"/>
            <w:tcBorders>
              <w:bottom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07"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三、期末现金及现金等价物余额</w:t>
            </w:r>
          </w:p>
        </w:tc>
        <w:tc>
          <w:tcPr>
            <w:tcW w:w="1082" w:type="pct"/>
          </w:tcPr>
          <w:p>
            <w:pPr>
              <w:jc w:val="right"/>
            </w:pPr>
            <w:r>
              <w:t xml:space="preserve"> 886,474,457.77 </w:t>
            </w:r>
          </w:p>
        </w:tc>
        <w:tc>
          <w:tcPr>
            <w:tcW w:w="1511" w:type="pct"/>
          </w:tcPr>
          <w:p>
            <w:pPr>
              <w:jc w:val="right"/>
            </w:pPr>
            <w:r>
              <w:t xml:space="preserve"> 1,205,429,662.37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07" w:type="pct"/>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其中：母公司或集团内子公司使用受限制的现金和现金等价物</w:t>
            </w:r>
          </w:p>
        </w:tc>
        <w:tc>
          <w:tcPr>
            <w:tcW w:w="1082" w:type="pct"/>
          </w:tcPr>
          <w:p>
            <w:pPr>
              <w:jc w:val="right"/>
            </w:pPr>
          </w:p>
        </w:tc>
        <w:tc>
          <w:tcPr>
            <w:tcW w:w="1511" w:type="pct"/>
          </w:tcPr>
          <w:p>
            <w:pPr>
              <w:jc w:val="right"/>
            </w:pPr>
          </w:p>
        </w:tc>
      </w:tr>
    </w:tbl>
    <w:p>
      <w:pPr>
        <w:pStyle w:val="5"/>
        <w:numPr>
          <w:ilvl w:val="0"/>
          <w:numId w:val="74"/>
        </w:numPr>
        <w:rPr>
          <w:rFonts w:hint="eastAsia" w:ascii="宋体" w:hAnsi="宋体"/>
          <w:color w:val="000000" w:themeColor="text1"/>
          <w14:textFill>
            <w14:solidFill>
              <w14:schemeClr w14:val="tx1"/>
            </w14:solidFill>
          </w14:textFill>
        </w:rPr>
      </w:pPr>
      <w:bookmarkStart w:id="417" w:name="_Hlk167970923"/>
      <w:r>
        <w:rPr>
          <w:rFonts w:hint="eastAsia" w:ascii="宋体" w:hAnsi="宋体"/>
          <w:color w:val="000000" w:themeColor="text1"/>
          <w14:textFill>
            <w14:solidFill>
              <w14:schemeClr w14:val="tx1"/>
            </w14:solidFill>
          </w14:textFill>
        </w:rPr>
        <w:t>使用范围受限但仍作为现金和现金等价物列示的情况</w:t>
      </w:r>
    </w:p>
    <w:sdt>
      <w:sdtPr>
        <w:rPr>
          <w:color w:val="000000" w:themeColor="text1"/>
          <w14:textFill>
            <w14:solidFill>
              <w14:schemeClr w14:val="tx1"/>
            </w14:solidFill>
          </w14:textFill>
        </w:rPr>
        <w:alias w:val="是否适用：使用范围受限但仍作为现金和现金等价物列示的情况[双击切换]"/>
        <w:tag w:val="_GBC_dcbbdbc5a8524c8299b810908077aebe"/>
        <w:id w:val="161347673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74"/>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不属于现金及现金等价物的货币资金</w:t>
      </w:r>
    </w:p>
    <w:sdt>
      <w:sdtPr>
        <w:rPr>
          <w:color w:val="000000" w:themeColor="text1"/>
          <w14:textFill>
            <w14:solidFill>
              <w14:schemeClr w14:val="tx1"/>
            </w14:solidFill>
          </w14:textFill>
        </w:rPr>
        <w:alias w:val="是否适用：不属于现金及现金等价物的货币资金[双击切换]"/>
        <w:tag w:val="_GBC_191a966fa63441a7bf4a17ba6bb3802a"/>
        <w:id w:val="-127331970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b/>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不属于现金及现金等价物的货币资金"/>
          <w:tag w:val="_GBC_f61896005e924ae38677ec69b7155f61"/>
          <w:id w:val="-87954193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不属于现金及现金等价物的货币资金"/>
          <w:tag w:val="_GBC_0a0043c6530c4ab2bc30ec98d82b63cf"/>
          <w:id w:val="-6827128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8"/>
        <w:gridCol w:w="2069"/>
        <w:gridCol w:w="2069"/>
        <w:gridCol w:w="2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sdt>
          <w:sdtPr>
            <w:tag w:val="_PLD_edb7da4f96fd483da0db9e51774f40a2"/>
            <w:id w:val="-1593466520"/>
          </w:sdtPr>
          <w:sdtContent>
            <w:tc>
              <w:tcPr>
                <w:tcW w:w="1143" w:type="pct"/>
                <w:tcBorders>
                  <w:bottom w:val="single" w:color="auto" w:sz="4" w:space="0"/>
                </w:tcBorders>
                <w:vAlign w:val="center"/>
              </w:tcPr>
              <w:p>
                <w:pPr>
                  <w:ind w:left="-107" w:leftChars="-51"/>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50a645135c3c4998a58aa2994c543dfe"/>
            <w:id w:val="2082250366"/>
          </w:sdtPr>
          <w:sdtContent>
            <w:tc>
              <w:tcPr>
                <w:tcW w:w="114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2c47585cf5e64606bc9eaa265f16279c"/>
            <w:id w:val="-1460025524"/>
          </w:sdtPr>
          <w:sdtContent>
            <w:tc>
              <w:tcPr>
                <w:tcW w:w="114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60a5c86051274f1fa875f5d9c6ee937b"/>
            <w:id w:val="679089063"/>
          </w:sdtPr>
          <w:sdtContent>
            <w:tc>
              <w:tcPr>
                <w:tcW w:w="157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理由</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143" w:type="pct"/>
          </w:tcPr>
          <w:p>
            <w:pPr>
              <w:pStyle w:val="48"/>
            </w:pPr>
            <w:r>
              <w:rPr>
                <w:rFonts w:hint="eastAsia"/>
              </w:rPr>
              <w:t>货币资金</w:t>
            </w:r>
          </w:p>
        </w:tc>
        <w:tc>
          <w:tcPr>
            <w:tcW w:w="1143" w:type="pct"/>
          </w:tcPr>
          <w:p>
            <w:pPr>
              <w:jc w:val="right"/>
            </w:pPr>
            <w:r>
              <w:rPr>
                <w:rFonts w:hint="eastAsia"/>
              </w:rPr>
              <w:t xml:space="preserve"> 96,831,922.71 </w:t>
            </w:r>
          </w:p>
        </w:tc>
        <w:tc>
          <w:tcPr>
            <w:tcW w:w="1143" w:type="pct"/>
          </w:tcPr>
          <w:p>
            <w:pPr>
              <w:jc w:val="right"/>
            </w:pPr>
            <w:r>
              <w:rPr>
                <w:rFonts w:hint="eastAsia"/>
              </w:rPr>
              <w:t xml:space="preserve"> 141,381,785.26 </w:t>
            </w:r>
          </w:p>
        </w:tc>
        <w:tc>
          <w:tcPr>
            <w:tcW w:w="1571" w:type="pct"/>
          </w:tcPr>
          <w:p>
            <w:pPr>
              <w:pStyle w:val="48"/>
            </w:pPr>
            <w:r>
              <w:rPr>
                <w:rFonts w:hint="eastAsia"/>
              </w:rPr>
              <w:t xml:space="preserve"> 银行承兑汇票保证金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143" w:type="pct"/>
          </w:tcPr>
          <w:p>
            <w:pPr>
              <w:pStyle w:val="48"/>
            </w:pPr>
            <w:r>
              <w:rPr>
                <w:rFonts w:hint="eastAsia"/>
              </w:rPr>
              <w:t>货币资金</w:t>
            </w:r>
          </w:p>
        </w:tc>
        <w:tc>
          <w:tcPr>
            <w:tcW w:w="1143" w:type="pct"/>
          </w:tcPr>
          <w:p>
            <w:pPr>
              <w:jc w:val="right"/>
            </w:pPr>
            <w:r>
              <w:rPr>
                <w:rFonts w:hint="eastAsia"/>
              </w:rPr>
              <w:t xml:space="preserve"> 40,755,380.90 </w:t>
            </w:r>
          </w:p>
        </w:tc>
        <w:tc>
          <w:tcPr>
            <w:tcW w:w="1143" w:type="pct"/>
          </w:tcPr>
          <w:p>
            <w:pPr>
              <w:jc w:val="right"/>
            </w:pPr>
            <w:r>
              <w:rPr>
                <w:rFonts w:hint="eastAsia"/>
              </w:rPr>
              <w:t xml:space="preserve"> 34,473,358.69 </w:t>
            </w:r>
          </w:p>
        </w:tc>
        <w:tc>
          <w:tcPr>
            <w:tcW w:w="1571" w:type="pct"/>
          </w:tcPr>
          <w:p>
            <w:pPr>
              <w:pStyle w:val="48"/>
            </w:pPr>
            <w:r>
              <w:rPr>
                <w:rFonts w:hint="eastAsia"/>
              </w:rPr>
              <w:t xml:space="preserve"> 保函保证金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143" w:type="pct"/>
          </w:tcPr>
          <w:p>
            <w:pPr>
              <w:pStyle w:val="48"/>
            </w:pPr>
            <w:r>
              <w:rPr>
                <w:rFonts w:hint="eastAsia"/>
              </w:rPr>
              <w:t>货币资金</w:t>
            </w:r>
          </w:p>
        </w:tc>
        <w:tc>
          <w:tcPr>
            <w:tcW w:w="1143" w:type="pct"/>
          </w:tcPr>
          <w:p>
            <w:pPr>
              <w:jc w:val="right"/>
            </w:pPr>
            <w:r>
              <w:rPr>
                <w:rFonts w:hint="eastAsia"/>
              </w:rPr>
              <w:t xml:space="preserve"> 5,000,000.00 </w:t>
            </w:r>
          </w:p>
        </w:tc>
        <w:tc>
          <w:tcPr>
            <w:tcW w:w="1143" w:type="pct"/>
          </w:tcPr>
          <w:p>
            <w:pPr>
              <w:jc w:val="right"/>
            </w:pPr>
          </w:p>
        </w:tc>
        <w:tc>
          <w:tcPr>
            <w:tcW w:w="1571" w:type="pct"/>
          </w:tcPr>
          <w:p>
            <w:pPr>
              <w:pStyle w:val="48"/>
            </w:pPr>
            <w:r>
              <w:rPr>
                <w:rFonts w:hint="eastAsia"/>
              </w:rPr>
              <w:t xml:space="preserve"> 信用证保证金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143" w:type="pct"/>
          </w:tcPr>
          <w:p>
            <w:pPr>
              <w:pStyle w:val="48"/>
            </w:pPr>
            <w:r>
              <w:rPr>
                <w:rFonts w:hint="eastAsia"/>
              </w:rPr>
              <w:t>货币资金</w:t>
            </w:r>
          </w:p>
        </w:tc>
        <w:tc>
          <w:tcPr>
            <w:tcW w:w="1143" w:type="pct"/>
          </w:tcPr>
          <w:p>
            <w:pPr>
              <w:jc w:val="right"/>
            </w:pPr>
            <w:r>
              <w:rPr>
                <w:rFonts w:hint="eastAsia"/>
              </w:rPr>
              <w:t xml:space="preserve"> 3,932,283.65 </w:t>
            </w:r>
          </w:p>
        </w:tc>
        <w:tc>
          <w:tcPr>
            <w:tcW w:w="1143" w:type="pct"/>
          </w:tcPr>
          <w:p>
            <w:pPr>
              <w:jc w:val="right"/>
            </w:pPr>
            <w:r>
              <w:rPr>
                <w:rFonts w:hint="eastAsia"/>
              </w:rPr>
              <w:t xml:space="preserve"> 3,919,864.95 </w:t>
            </w:r>
          </w:p>
        </w:tc>
        <w:tc>
          <w:tcPr>
            <w:tcW w:w="1571" w:type="pct"/>
          </w:tcPr>
          <w:p>
            <w:pPr>
              <w:pStyle w:val="48"/>
            </w:pPr>
            <w:r>
              <w:rPr>
                <w:rFonts w:hint="eastAsia"/>
              </w:rPr>
              <w:t xml:space="preserve"> 代管住房公积金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1143"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143" w:type="pct"/>
          </w:tcPr>
          <w:p>
            <w:pPr>
              <w:jc w:val="right"/>
            </w:pPr>
            <w:r>
              <w:t xml:space="preserve"> 146,519,587.26 </w:t>
            </w:r>
          </w:p>
        </w:tc>
        <w:tc>
          <w:tcPr>
            <w:tcW w:w="1143" w:type="pct"/>
          </w:tcPr>
          <w:p>
            <w:pPr>
              <w:jc w:val="right"/>
            </w:pPr>
            <w:r>
              <w:t xml:space="preserve"> 179,775,008.90 </w:t>
            </w:r>
          </w:p>
        </w:tc>
        <w:tc>
          <w:tcPr>
            <w:tcW w:w="1571" w:type="pct"/>
          </w:tcPr>
          <w:p>
            <w:pPr>
              <w:jc w:val="center"/>
              <w:rPr>
                <w:color w:val="000000" w:themeColor="text1"/>
                <w14:textFill>
                  <w14:solidFill>
                    <w14:schemeClr w14:val="tx1"/>
                  </w14:solidFill>
                </w14:textFill>
              </w:rPr>
            </w:pPr>
            <w:r>
              <w:t>/</w:t>
            </w:r>
          </w:p>
        </w:tc>
      </w:tr>
      <w:bookmarkEnd w:id="417"/>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现金流量表补充资料的说明[双击切换]"/>
        <w:tag w:val="_GBC_2212775a699e4804b260767f3ce34d12"/>
        <w:id w:val="962858999"/>
        <w:placeholder>
          <w:docPart w:val="GBC22222222222222222222222222222"/>
        </w:placeholder>
      </w:sdtPr>
      <w:sdtEndPr>
        <w:rPr>
          <w:color w:val="000000" w:themeColor="text1"/>
          <w14:textFill>
            <w14:solidFill>
              <w14:schemeClr w14:val="tx1"/>
            </w14:solidFill>
          </w14:textFill>
        </w:rPr>
      </w:sdtEndPr>
      <w:sdtContent>
        <w:p>
          <w:pPr>
            <w:spacing w:before="60" w:after="6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所有者权益变动表项目注释</w:t>
      </w: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说明对上年期末余额进行调整的“其他”项目名称及调整金额等事项：</w:t>
      </w:r>
    </w:p>
    <w:sdt>
      <w:sdtPr>
        <w:rPr>
          <w:color w:val="000000" w:themeColor="text1"/>
          <w14:textFill>
            <w14:solidFill>
              <w14:schemeClr w14:val="tx1"/>
            </w14:solidFill>
          </w14:textFill>
        </w:rPr>
        <w:alias w:val="是否适用：所有者权益变动表项目注释[双击切换]"/>
        <w:tag w:val="_GBC_61e84760a3fd4a58bb2421e95114d9b8"/>
        <w:id w:val="-74025591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bookmarkStart w:id="418" w:name="_Hlk42158948"/>
      <w:r>
        <w:rPr>
          <w:color w:val="000000" w:themeColor="text1"/>
          <w:szCs w:val="21"/>
          <w14:textFill>
            <w14:solidFill>
              <w14:schemeClr w14:val="tx1"/>
            </w14:solidFill>
          </w14:textFill>
        </w:rPr>
        <w:t>外币货币性项目</w:t>
      </w:r>
    </w:p>
    <w:p>
      <w:pPr>
        <w:pStyle w:val="5"/>
        <w:numPr>
          <w:ilvl w:val="0"/>
          <w:numId w:val="75"/>
        </w:numPr>
        <w:rPr>
          <w:b w:val="0"/>
          <w:bCs/>
          <w:color w:val="000000" w:themeColor="text1"/>
          <w14:textFill>
            <w14:solidFill>
              <w14:schemeClr w14:val="tx1"/>
            </w14:solidFill>
          </w14:textFill>
        </w:rPr>
      </w:pPr>
      <w:r>
        <w:rPr>
          <w:rStyle w:val="27"/>
          <w:rFonts w:hint="eastAsia" w:ascii="宋体" w:hAnsi="宋体"/>
          <w:b/>
          <w:color w:val="000000" w:themeColor="text1"/>
          <w:szCs w:val="21"/>
          <w14:textFill>
            <w14:solidFill>
              <w14:schemeClr w14:val="tx1"/>
            </w14:solidFill>
          </w14:textFill>
        </w:rPr>
        <w:t>外币货币性项目</w:t>
      </w:r>
    </w:p>
    <w:sdt>
      <w:sdtPr>
        <w:rPr>
          <w:color w:val="000000" w:themeColor="text1"/>
          <w14:textFill>
            <w14:solidFill>
              <w14:schemeClr w14:val="tx1"/>
            </w14:solidFill>
          </w14:textFill>
        </w:rPr>
        <w:alias w:val="是否适用：外币货币性项目[双击切换]"/>
        <w:tag w:val="_GBC_7b0870ec262840d78495babcff3639aa"/>
        <w:id w:val="-90984796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ind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财务附注：外币货币性项目"/>
          <w:tag w:val="_GBC_52ed5330bd884651892991446f0f1ae0"/>
          <w:id w:val="115325866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7"/>
        <w:gridCol w:w="2049"/>
        <w:gridCol w:w="2058"/>
        <w:gridCol w:w="2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28ce5153e9cf4914a550a6d253e7c465"/>
            <w:id w:val="-200473181"/>
          </w:sdtPr>
          <w:sdtContent>
            <w:tc>
              <w:tcPr>
                <w:tcW w:w="1601"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295b6f310e534b62bde0e2c632482ed9"/>
            <w:id w:val="-1826656008"/>
          </w:sdtPr>
          <w:sdtContent>
            <w:tc>
              <w:tcPr>
                <w:tcW w:w="1132"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期末外币余额</w:t>
                </w:r>
              </w:p>
            </w:tc>
          </w:sdtContent>
        </w:sdt>
        <w:sdt>
          <w:sdtPr>
            <w:tag w:val="_PLD_aa43af2545cb40668f2670b6f1569a92"/>
            <w:id w:val="870114068"/>
          </w:sdtPr>
          <w:sdtContent>
            <w:tc>
              <w:tcPr>
                <w:tcW w:w="1137"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折算汇率</w:t>
                </w:r>
              </w:p>
            </w:tc>
          </w:sdtContent>
        </w:sdt>
        <w:sdt>
          <w:sdtPr>
            <w:tag w:val="_PLD_8cdd9579b3964f01966c0b0c4cbacb2f"/>
            <w:id w:val="-395058769"/>
          </w:sdtPr>
          <w:sdtContent>
            <w:tc>
              <w:tcPr>
                <w:tcW w:w="1130"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期末折算人民币</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color w:val="000000" w:themeColor="text1"/>
                <w14:textFill>
                  <w14:solidFill>
                    <w14:schemeClr w14:val="tx1"/>
                  </w14:solidFill>
                </w14:textFill>
              </w:rPr>
              <w:t>货币资金</w:t>
            </w:r>
          </w:p>
        </w:tc>
        <w:tc>
          <w:tcPr>
            <w:tcW w:w="1132"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1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13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sdt>
              <w:sdtPr>
                <w:rPr>
                  <w:color w:val="000000" w:themeColor="text1"/>
                  <w14:textFill>
                    <w14:solidFill>
                      <w14:schemeClr w14:val="tx1"/>
                    </w14:solidFill>
                  </w14:textFill>
                </w:rPr>
                <w:alias w:val="以外币核算的币种明细-币种名称"/>
                <w:tag w:val="_GBC_21765b5e64364f62971250478e4ff572"/>
                <w:id w:val="1490911235"/>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美元</w:t>
                </w:r>
              </w:sdtContent>
            </w:sdt>
          </w:p>
        </w:tc>
        <w:tc>
          <w:tcPr>
            <w:tcW w:w="1132" w:type="pct"/>
            <w:tcBorders>
              <w:top w:val="single" w:color="auto" w:sz="4" w:space="0"/>
              <w:left w:val="single" w:color="auto" w:sz="4" w:space="0"/>
              <w:bottom w:val="single" w:color="auto" w:sz="4" w:space="0"/>
              <w:right w:val="single" w:color="auto" w:sz="4" w:space="0"/>
            </w:tcBorders>
          </w:tcPr>
          <w:p>
            <w:pPr>
              <w:jc w:val="right"/>
            </w:pPr>
            <w:r>
              <w:t xml:space="preserve"> 15,822,552.41 </w:t>
            </w:r>
          </w:p>
        </w:tc>
        <w:tc>
          <w:tcPr>
            <w:tcW w:w="1137" w:type="pct"/>
            <w:tcBorders>
              <w:top w:val="single" w:color="auto" w:sz="4" w:space="0"/>
              <w:left w:val="single" w:color="auto" w:sz="4" w:space="0"/>
              <w:bottom w:val="single" w:color="auto" w:sz="4" w:space="0"/>
              <w:right w:val="single" w:color="auto" w:sz="4" w:space="0"/>
            </w:tcBorders>
          </w:tcPr>
          <w:p>
            <w:pPr>
              <w:jc w:val="right"/>
            </w:pPr>
            <w:r>
              <w:t xml:space="preserve"> 6.8109 </w:t>
            </w:r>
          </w:p>
        </w:tc>
        <w:tc>
          <w:tcPr>
            <w:tcW w:w="1130" w:type="pct"/>
            <w:tcBorders>
              <w:top w:val="single" w:color="auto" w:sz="4" w:space="0"/>
              <w:left w:val="single" w:color="auto" w:sz="4" w:space="0"/>
              <w:bottom w:val="single" w:color="auto" w:sz="4" w:space="0"/>
              <w:right w:val="single" w:color="auto" w:sz="4" w:space="0"/>
            </w:tcBorders>
          </w:tcPr>
          <w:p>
            <w:pPr>
              <w:jc w:val="right"/>
            </w:pPr>
            <w:r>
              <w:t xml:space="preserve"> 107,765,845.05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t>　　　</w:t>
            </w:r>
            <w:sdt>
              <w:sdtPr>
                <w:rPr>
                  <w:color w:val="000000" w:themeColor="text1"/>
                  <w14:textFill>
                    <w14:solidFill>
                      <w14:schemeClr w14:val="tx1"/>
                    </w14:solidFill>
                  </w14:textFill>
                </w:rPr>
                <w:alias w:val="以外币核算的币种明细-币种名称"/>
                <w:tag w:val="_GBC_21765b5e64364f62971250478e4ff572"/>
                <w:id w:val="1620725654"/>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欧元</w:t>
                </w:r>
              </w:sdtContent>
            </w:sdt>
          </w:p>
        </w:tc>
        <w:tc>
          <w:tcPr>
            <w:tcW w:w="1132" w:type="pct"/>
            <w:tcBorders>
              <w:top w:val="single" w:color="auto" w:sz="4" w:space="0"/>
              <w:left w:val="single" w:color="auto" w:sz="4" w:space="0"/>
              <w:bottom w:val="single" w:color="auto" w:sz="4" w:space="0"/>
              <w:right w:val="single" w:color="auto" w:sz="4" w:space="0"/>
            </w:tcBorders>
          </w:tcPr>
          <w:p>
            <w:pPr>
              <w:jc w:val="right"/>
            </w:pPr>
          </w:p>
        </w:tc>
        <w:tc>
          <w:tcPr>
            <w:tcW w:w="1137" w:type="pct"/>
            <w:tcBorders>
              <w:top w:val="single" w:color="auto" w:sz="4" w:space="0"/>
              <w:left w:val="single" w:color="auto" w:sz="4" w:space="0"/>
              <w:bottom w:val="single" w:color="auto" w:sz="4" w:space="0"/>
              <w:right w:val="single" w:color="auto" w:sz="4" w:space="0"/>
            </w:tcBorders>
          </w:tcPr>
          <w:p>
            <w:pPr>
              <w:jc w:val="right"/>
            </w:pPr>
          </w:p>
        </w:tc>
        <w:tc>
          <w:tcPr>
            <w:tcW w:w="113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t>　　　</w:t>
            </w:r>
            <w:sdt>
              <w:sdtPr>
                <w:rPr>
                  <w:color w:val="000000" w:themeColor="text1"/>
                  <w14:textFill>
                    <w14:solidFill>
                      <w14:schemeClr w14:val="tx1"/>
                    </w14:solidFill>
                  </w14:textFill>
                </w:rPr>
                <w:alias w:val="以外币核算的币种明细-币种名称"/>
                <w:tag w:val="_GBC_21765b5e64364f62971250478e4ff572"/>
                <w:id w:val="2020503397"/>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港币</w:t>
                </w:r>
              </w:sdtContent>
            </w:sdt>
          </w:p>
        </w:tc>
        <w:tc>
          <w:tcPr>
            <w:tcW w:w="1132" w:type="pct"/>
            <w:tcBorders>
              <w:top w:val="single" w:color="auto" w:sz="4" w:space="0"/>
              <w:left w:val="single" w:color="auto" w:sz="4" w:space="0"/>
              <w:bottom w:val="single" w:color="auto" w:sz="4" w:space="0"/>
              <w:right w:val="single" w:color="auto" w:sz="4" w:space="0"/>
            </w:tcBorders>
          </w:tcPr>
          <w:p>
            <w:pPr>
              <w:jc w:val="right"/>
            </w:pPr>
          </w:p>
        </w:tc>
        <w:tc>
          <w:tcPr>
            <w:tcW w:w="1137" w:type="pct"/>
            <w:tcBorders>
              <w:top w:val="single" w:color="auto" w:sz="4" w:space="0"/>
              <w:left w:val="single" w:color="auto" w:sz="4" w:space="0"/>
              <w:bottom w:val="single" w:color="auto" w:sz="4" w:space="0"/>
              <w:right w:val="single" w:color="auto" w:sz="4" w:space="0"/>
            </w:tcBorders>
          </w:tcPr>
          <w:p>
            <w:pPr>
              <w:jc w:val="right"/>
            </w:pPr>
          </w:p>
        </w:tc>
        <w:tc>
          <w:tcPr>
            <w:tcW w:w="113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pStyle w:val="48"/>
            </w:pPr>
            <w:r>
              <w:t>应收账款</w:t>
            </w:r>
          </w:p>
        </w:tc>
        <w:tc>
          <w:tcPr>
            <w:tcW w:w="1132"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1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13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sdt>
              <w:sdtPr>
                <w:alias w:val="以外币核算的币种明细-币种名称"/>
                <w:tag w:val="_GBC_21765b5e64364f62971250478e4ff572"/>
                <w:id w:val="-874077173"/>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美元</w:t>
                </w:r>
              </w:sdtContent>
            </w:sdt>
          </w:p>
        </w:tc>
        <w:tc>
          <w:tcPr>
            <w:tcW w:w="1132" w:type="pct"/>
            <w:tcBorders>
              <w:top w:val="single" w:color="auto" w:sz="4" w:space="0"/>
              <w:left w:val="single" w:color="auto" w:sz="4" w:space="0"/>
              <w:bottom w:val="single" w:color="auto" w:sz="4" w:space="0"/>
              <w:right w:val="single" w:color="auto" w:sz="4" w:space="0"/>
            </w:tcBorders>
          </w:tcPr>
          <w:p>
            <w:pPr>
              <w:jc w:val="right"/>
            </w:pPr>
            <w:r>
              <w:t xml:space="preserve"> 3,396,830.81 </w:t>
            </w:r>
          </w:p>
        </w:tc>
        <w:tc>
          <w:tcPr>
            <w:tcW w:w="1137" w:type="pct"/>
            <w:tcBorders>
              <w:top w:val="single" w:color="auto" w:sz="4" w:space="0"/>
              <w:left w:val="single" w:color="auto" w:sz="4" w:space="0"/>
              <w:bottom w:val="single" w:color="auto" w:sz="4" w:space="0"/>
              <w:right w:val="single" w:color="auto" w:sz="4" w:space="0"/>
            </w:tcBorders>
          </w:tcPr>
          <w:p>
            <w:pPr>
              <w:jc w:val="right"/>
            </w:pPr>
            <w:r>
              <w:t xml:space="preserve"> 6.8109 </w:t>
            </w:r>
          </w:p>
        </w:tc>
        <w:tc>
          <w:tcPr>
            <w:tcW w:w="1130" w:type="pct"/>
            <w:tcBorders>
              <w:top w:val="single" w:color="auto" w:sz="4" w:space="0"/>
              <w:left w:val="single" w:color="auto" w:sz="4" w:space="0"/>
              <w:bottom w:val="single" w:color="auto" w:sz="4" w:space="0"/>
              <w:right w:val="single" w:color="auto" w:sz="4" w:space="0"/>
            </w:tcBorders>
          </w:tcPr>
          <w:p>
            <w:pPr>
              <w:jc w:val="right"/>
            </w:pPr>
            <w:r>
              <w:t xml:space="preserve"> 23,135,474.94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t>　　　</w:t>
            </w:r>
            <w:sdt>
              <w:sdtPr>
                <w:alias w:val="以外币核算的币种明细-币种名称"/>
                <w:tag w:val="_GBC_21765b5e64364f62971250478e4ff572"/>
                <w:id w:val="-1752504313"/>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欧元</w:t>
                </w:r>
              </w:sdtContent>
            </w:sdt>
          </w:p>
        </w:tc>
        <w:tc>
          <w:tcPr>
            <w:tcW w:w="1132" w:type="pct"/>
            <w:tcBorders>
              <w:top w:val="single" w:color="auto" w:sz="4" w:space="0"/>
              <w:left w:val="single" w:color="auto" w:sz="4" w:space="0"/>
              <w:bottom w:val="single" w:color="auto" w:sz="4" w:space="0"/>
              <w:right w:val="single" w:color="auto" w:sz="4" w:space="0"/>
            </w:tcBorders>
          </w:tcPr>
          <w:p>
            <w:pPr>
              <w:jc w:val="right"/>
            </w:pPr>
          </w:p>
        </w:tc>
        <w:tc>
          <w:tcPr>
            <w:tcW w:w="1137" w:type="pct"/>
            <w:tcBorders>
              <w:top w:val="single" w:color="auto" w:sz="4" w:space="0"/>
              <w:left w:val="single" w:color="auto" w:sz="4" w:space="0"/>
              <w:bottom w:val="single" w:color="auto" w:sz="4" w:space="0"/>
              <w:right w:val="single" w:color="auto" w:sz="4" w:space="0"/>
            </w:tcBorders>
          </w:tcPr>
          <w:p>
            <w:pPr>
              <w:jc w:val="right"/>
            </w:pPr>
          </w:p>
        </w:tc>
        <w:tc>
          <w:tcPr>
            <w:tcW w:w="113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t>　　　</w:t>
            </w:r>
            <w:sdt>
              <w:sdtPr>
                <w:alias w:val="以外币核算的币种明细-币种名称"/>
                <w:tag w:val="_GBC_21765b5e64364f62971250478e4ff572"/>
                <w:id w:val="-832675842"/>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港币</w:t>
                </w:r>
              </w:sdtContent>
            </w:sdt>
          </w:p>
        </w:tc>
        <w:tc>
          <w:tcPr>
            <w:tcW w:w="1132" w:type="pct"/>
            <w:tcBorders>
              <w:top w:val="single" w:color="auto" w:sz="4" w:space="0"/>
              <w:left w:val="single" w:color="auto" w:sz="4" w:space="0"/>
              <w:bottom w:val="single" w:color="auto" w:sz="4" w:space="0"/>
              <w:right w:val="single" w:color="auto" w:sz="4" w:space="0"/>
            </w:tcBorders>
          </w:tcPr>
          <w:p>
            <w:pPr>
              <w:jc w:val="right"/>
            </w:pPr>
          </w:p>
        </w:tc>
        <w:tc>
          <w:tcPr>
            <w:tcW w:w="1137" w:type="pct"/>
            <w:tcBorders>
              <w:top w:val="single" w:color="auto" w:sz="4" w:space="0"/>
              <w:left w:val="single" w:color="auto" w:sz="4" w:space="0"/>
              <w:bottom w:val="single" w:color="auto" w:sz="4" w:space="0"/>
              <w:right w:val="single" w:color="auto" w:sz="4" w:space="0"/>
            </w:tcBorders>
          </w:tcPr>
          <w:p>
            <w:pPr>
              <w:jc w:val="right"/>
            </w:pPr>
          </w:p>
        </w:tc>
        <w:tc>
          <w:tcPr>
            <w:tcW w:w="113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pStyle w:val="48"/>
            </w:pPr>
            <w:r>
              <w:t>应付账款</w:t>
            </w:r>
          </w:p>
        </w:tc>
        <w:tc>
          <w:tcPr>
            <w:tcW w:w="1132"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1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13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sdt>
              <w:sdtPr>
                <w:alias w:val="以外币核算的币种明细-币种名称"/>
                <w:tag w:val="_GBC_21765b5e64364f62971250478e4ff572"/>
                <w:id w:val="-196855457"/>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美元</w:t>
                </w:r>
              </w:sdtContent>
            </w:sdt>
          </w:p>
        </w:tc>
        <w:tc>
          <w:tcPr>
            <w:tcW w:w="1132" w:type="pct"/>
            <w:tcBorders>
              <w:top w:val="single" w:color="auto" w:sz="4" w:space="0"/>
              <w:left w:val="single" w:color="auto" w:sz="4" w:space="0"/>
              <w:bottom w:val="single" w:color="auto" w:sz="4" w:space="0"/>
              <w:right w:val="single" w:color="auto" w:sz="4" w:space="0"/>
            </w:tcBorders>
          </w:tcPr>
          <w:p>
            <w:pPr>
              <w:jc w:val="right"/>
            </w:pPr>
            <w:r>
              <w:t xml:space="preserve"> 1,504,688.17 </w:t>
            </w:r>
          </w:p>
        </w:tc>
        <w:tc>
          <w:tcPr>
            <w:tcW w:w="1137" w:type="pct"/>
            <w:tcBorders>
              <w:top w:val="single" w:color="auto" w:sz="4" w:space="0"/>
              <w:left w:val="single" w:color="auto" w:sz="4" w:space="0"/>
              <w:bottom w:val="single" w:color="auto" w:sz="4" w:space="0"/>
              <w:right w:val="single" w:color="auto" w:sz="4" w:space="0"/>
            </w:tcBorders>
          </w:tcPr>
          <w:p>
            <w:pPr>
              <w:jc w:val="right"/>
            </w:pPr>
            <w:r>
              <w:t xml:space="preserve"> 6.8109 </w:t>
            </w:r>
          </w:p>
        </w:tc>
        <w:tc>
          <w:tcPr>
            <w:tcW w:w="1130" w:type="pct"/>
            <w:tcBorders>
              <w:top w:val="single" w:color="auto" w:sz="4" w:space="0"/>
              <w:left w:val="single" w:color="auto" w:sz="4" w:space="0"/>
              <w:bottom w:val="single" w:color="auto" w:sz="4" w:space="0"/>
              <w:right w:val="single" w:color="auto" w:sz="4" w:space="0"/>
            </w:tcBorders>
          </w:tcPr>
          <w:p>
            <w:pPr>
              <w:jc w:val="right"/>
            </w:pPr>
            <w:r>
              <w:t xml:space="preserve"> 10,248,280.65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t>　　　</w:t>
            </w:r>
            <w:sdt>
              <w:sdtPr>
                <w:alias w:val="以外币核算的币种明细-币种名称"/>
                <w:tag w:val="_GBC_21765b5e64364f62971250478e4ff572"/>
                <w:id w:val="1277361501"/>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欧元</w:t>
                </w:r>
              </w:sdtContent>
            </w:sdt>
          </w:p>
        </w:tc>
        <w:tc>
          <w:tcPr>
            <w:tcW w:w="1132" w:type="pct"/>
            <w:tcBorders>
              <w:top w:val="single" w:color="auto" w:sz="4" w:space="0"/>
              <w:left w:val="single" w:color="auto" w:sz="4" w:space="0"/>
              <w:bottom w:val="single" w:color="auto" w:sz="4" w:space="0"/>
              <w:right w:val="single" w:color="auto" w:sz="4" w:space="0"/>
            </w:tcBorders>
          </w:tcPr>
          <w:p>
            <w:pPr>
              <w:jc w:val="right"/>
            </w:pPr>
            <w:r>
              <w:t xml:space="preserve"> 254,682.00 </w:t>
            </w:r>
          </w:p>
        </w:tc>
        <w:tc>
          <w:tcPr>
            <w:tcW w:w="1137" w:type="pct"/>
            <w:tcBorders>
              <w:top w:val="single" w:color="auto" w:sz="4" w:space="0"/>
              <w:left w:val="single" w:color="auto" w:sz="4" w:space="0"/>
              <w:bottom w:val="single" w:color="auto" w:sz="4" w:space="0"/>
              <w:right w:val="single" w:color="auto" w:sz="4" w:space="0"/>
            </w:tcBorders>
          </w:tcPr>
          <w:p>
            <w:pPr>
              <w:jc w:val="right"/>
            </w:pPr>
            <w:r>
              <w:t xml:space="preserve"> 7.7671 </w:t>
            </w:r>
          </w:p>
        </w:tc>
        <w:tc>
          <w:tcPr>
            <w:tcW w:w="1130" w:type="pct"/>
            <w:tcBorders>
              <w:top w:val="single" w:color="auto" w:sz="4" w:space="0"/>
              <w:left w:val="single" w:color="auto" w:sz="4" w:space="0"/>
              <w:bottom w:val="single" w:color="auto" w:sz="4" w:space="0"/>
              <w:right w:val="single" w:color="auto" w:sz="4" w:space="0"/>
            </w:tcBorders>
          </w:tcPr>
          <w:p>
            <w:pPr>
              <w:jc w:val="right"/>
            </w:pPr>
            <w:r>
              <w:t xml:space="preserve"> 1,978,140.56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t>　　　</w:t>
            </w:r>
            <w:sdt>
              <w:sdtPr>
                <w:alias w:val="以外币核算的币种明细-币种名称"/>
                <w:tag w:val="_GBC_21765b5e64364f62971250478e4ff572"/>
                <w:id w:val="1243837497"/>
                <w:comboBox>
                  <w:listItem w:displayText="美元" w:value="美元"/>
                  <w:listItem w:displayText="欧元" w:value="欧元"/>
                  <w:listItem w:displayText="港币" w:value="港币"/>
                  <w:listItem w:displayText="澳门元" w:value="澳门元"/>
                  <w:listItem w:displayText="日元" w:value="日元"/>
                  <w:listItem w:displayText="韩元" w:value="韩元"/>
                  <w:listItem w:displayText="瑞士法郎" w:value="瑞士法郎"/>
                  <w:listItem w:displayText="加拿大元" w:value="加拿大元"/>
                </w:comboBox>
              </w:sdtPr>
              <w:sdtContent>
                <w:r>
                  <w:t>港币</w:t>
                </w:r>
              </w:sdtContent>
            </w:sdt>
          </w:p>
        </w:tc>
        <w:tc>
          <w:tcPr>
            <w:tcW w:w="1132" w:type="pct"/>
            <w:tcBorders>
              <w:top w:val="single" w:color="auto" w:sz="4" w:space="0"/>
              <w:left w:val="single" w:color="auto" w:sz="4" w:space="0"/>
              <w:bottom w:val="single" w:color="auto" w:sz="4" w:space="0"/>
              <w:right w:val="single" w:color="auto" w:sz="4" w:space="0"/>
            </w:tcBorders>
          </w:tcPr>
          <w:p>
            <w:pPr>
              <w:jc w:val="right"/>
            </w:pPr>
          </w:p>
        </w:tc>
        <w:tc>
          <w:tcPr>
            <w:tcW w:w="1137" w:type="pct"/>
            <w:tcBorders>
              <w:top w:val="single" w:color="auto" w:sz="4" w:space="0"/>
              <w:left w:val="single" w:color="auto" w:sz="4" w:space="0"/>
              <w:bottom w:val="single" w:color="auto" w:sz="4" w:space="0"/>
              <w:right w:val="single" w:color="auto" w:sz="4" w:space="0"/>
            </w:tcBorders>
          </w:tcPr>
          <w:p>
            <w:pPr>
              <w:jc w:val="right"/>
            </w:pPr>
          </w:p>
        </w:tc>
        <w:tc>
          <w:tcPr>
            <w:tcW w:w="1130" w:type="pct"/>
            <w:tcBorders>
              <w:top w:val="single" w:color="auto" w:sz="4" w:space="0"/>
              <w:left w:val="single" w:color="auto" w:sz="4" w:space="0"/>
              <w:bottom w:val="single" w:color="auto" w:sz="4" w:space="0"/>
              <w:right w:val="single" w:color="auto" w:sz="4" w:space="0"/>
            </w:tcBorders>
          </w:tcPr>
          <w:p>
            <w:pPr>
              <w:jc w:val="right"/>
            </w:pPr>
          </w:p>
        </w:tc>
      </w:tr>
    </w:tbl>
    <w:p>
      <w:pPr>
        <w:spacing w:before="60" w:after="60"/>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外币货币性项目的其他说明"/>
        <w:tag w:val="_GBC_a16b850d98e24762adbee5a1d5628893"/>
        <w:id w:val="19149434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5"/>
        <w:numPr>
          <w:ilvl w:val="0"/>
          <w:numId w:val="75"/>
        </w:numPr>
        <w:rPr>
          <w:b w:val="0"/>
          <w:bCs/>
          <w:color w:val="000000" w:themeColor="text1"/>
          <w14:textFill>
            <w14:solidFill>
              <w14:schemeClr w14:val="tx1"/>
            </w14:solidFill>
          </w14:textFill>
        </w:rPr>
      </w:pPr>
      <w:r>
        <w:rPr>
          <w:rStyle w:val="27"/>
          <w:rFonts w:hint="eastAsia" w:ascii="宋体" w:hAnsi="宋体"/>
          <w:b/>
          <w:color w:val="000000" w:themeColor="text1"/>
          <w:szCs w:val="21"/>
          <w14:textFill>
            <w14:solidFill>
              <w14:schemeClr w14:val="tx1"/>
            </w14:solidFill>
          </w14:textFill>
        </w:rPr>
        <w:t>货币缺乏可兑换性的性质及其财务影响、所采用的即期汇率及其估计过程，以及企业因货币缺乏可兑换性而面临的风险</w:t>
      </w:r>
    </w:p>
    <w:sdt>
      <w:sdtPr>
        <w:rPr>
          <w:color w:val="000000"/>
        </w:rPr>
        <w:alias w:val="是否适用：货币缺乏可兑换性的影响[双击切换]"/>
        <w:tag w:val="_GBC_18043b21e3c54c11b5aa41a19786fc15"/>
        <w:id w:val="447746598"/>
        <w:placeholder>
          <w:docPart w:val="GBC22222222222222222222222222222"/>
        </w:placeholder>
      </w:sdtPr>
      <w:sdtEndPr>
        <w:rPr>
          <w:color w:val="000000"/>
        </w:rPr>
      </w:sdtEndPr>
      <w:sdtContent>
        <w:p>
          <w:pPr>
            <w:rPr>
              <w:color w:val="000000"/>
            </w:rPr>
          </w:pPr>
          <w:r>
            <w:rPr>
              <w:rFonts w:ascii="宋体" w:hAnsi="宋体"/>
              <w:color w:val="000000"/>
            </w:rPr>
            <w:fldChar w:fldCharType="begin"/>
          </w:r>
          <w:r>
            <w:rPr>
              <w:rFonts w:hint="eastAsia" w:ascii="宋体" w:hAnsi="宋体"/>
              <w:color w:val="000000"/>
            </w:rPr>
            <w:instrText xml:space="preserve"> MACROBUTTON  SnrToggleCheckbox □适用 </w:instrText>
          </w:r>
          <w:r>
            <w:rPr>
              <w:rFonts w:ascii="宋体" w:hAnsi="宋体"/>
              <w:color w:val="000000"/>
            </w:rPr>
            <w:fldChar w:fldCharType="end"/>
          </w:r>
          <w:r>
            <w:rPr>
              <w:rFonts w:ascii="宋体" w:hAnsi="宋体"/>
              <w:color w:val="000000"/>
            </w:rPr>
            <w:fldChar w:fldCharType="begin"/>
          </w:r>
          <w:r>
            <w:rPr>
              <w:rFonts w:hint="eastAsia" w:ascii="宋体" w:hAnsi="宋体"/>
              <w:color w:val="000000"/>
            </w:rPr>
            <w:instrText xml:space="preserve"> MACROBUTTON  SnrToggleCheckbox √不适用 </w:instrText>
          </w:r>
          <w:r>
            <w:rPr>
              <w:rFonts w:ascii="宋体" w:hAnsi="宋体"/>
              <w:color w:val="000000"/>
            </w:rPr>
            <w:fldChar w:fldCharType="end"/>
          </w:r>
        </w:p>
      </w:sdtContent>
    </w:sdt>
    <w:p>
      <w:pPr>
        <w:pStyle w:val="5"/>
        <w:numPr>
          <w:ilvl w:val="0"/>
          <w:numId w:val="75"/>
        </w:numPr>
        <w:rPr>
          <w:b w:val="0"/>
          <w:bCs/>
          <w:color w:val="000000" w:themeColor="text1"/>
          <w14:textFill>
            <w14:solidFill>
              <w14:schemeClr w14:val="tx1"/>
            </w14:solidFill>
          </w14:textFill>
        </w:rPr>
      </w:pPr>
      <w:r>
        <w:rPr>
          <w:rStyle w:val="27"/>
          <w:rFonts w:hint="eastAsia" w:ascii="宋体" w:hAnsi="宋体"/>
          <w:b/>
          <w:color w:val="000000" w:themeColor="text1"/>
          <w:szCs w:val="21"/>
          <w14:textFill>
            <w14:solidFill>
              <w14:schemeClr w14:val="tx1"/>
            </w14:solidFill>
          </w14:textFill>
        </w:rPr>
        <w:t>境外经营实体说明，包括对于重要的境外经营实体，应披露其境外主要经营地、记账本位币及选择依据，记账本位币发生变化的还应披露原因</w:t>
      </w:r>
    </w:p>
    <w:p>
      <w:pPr>
        <w:rPr>
          <w:color w:val="000000" w:themeColor="text1"/>
          <w14:textFill>
            <w14:solidFill>
              <w14:schemeClr w14:val="tx1"/>
            </w14:solidFill>
          </w14:textFill>
        </w:rPr>
      </w:pPr>
      <w:sdt>
        <w:sdtPr>
          <w:rPr>
            <w:color w:val="000000" w:themeColor="text1"/>
            <w14:textFill>
              <w14:solidFill>
                <w14:schemeClr w14:val="tx1"/>
              </w14:solidFill>
            </w14:textFill>
          </w:rPr>
          <w:alias w:val="是否适用：境外经营实体主要报表项目的折算汇率[双击切换]"/>
          <w:tag w:val="_GBC_4ad16f5c306d4c6ead144dfd007fb925"/>
          <w:id w:val="2039775079"/>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pStyle w:val="5"/>
        <w:numPr>
          <w:ilvl w:val="0"/>
          <w:numId w:val="75"/>
        </w:numPr>
        <w:rPr>
          <w:b w:val="0"/>
          <w:bCs/>
          <w:color w:val="000000" w:themeColor="text1"/>
          <w14:textFill>
            <w14:solidFill>
              <w14:schemeClr w14:val="tx1"/>
            </w14:solidFill>
          </w14:textFill>
        </w:rPr>
      </w:pPr>
      <w:r>
        <w:rPr>
          <w:rStyle w:val="27"/>
          <w:rFonts w:hint="eastAsia" w:ascii="宋体" w:hAnsi="宋体"/>
          <w:b/>
          <w:color w:val="000000" w:themeColor="text1"/>
          <w:szCs w:val="21"/>
          <w14:textFill>
            <w14:solidFill>
              <w14:schemeClr w14:val="tx1"/>
            </w14:solidFill>
          </w14:textFill>
        </w:rPr>
        <w:t>境外经营的记账本位币与企业的列报货币之间缺乏可兑换性的情况</w:t>
      </w:r>
    </w:p>
    <w:sdt>
      <w:sdtPr>
        <w:rPr>
          <w:color w:val="000000"/>
        </w:rPr>
        <w:alias w:val="是否适用：境外经营的记账本位币与企业的列报货币之间缺乏可兑换性的情况[双击切换]"/>
        <w:tag w:val="_GBC_9f1bf9565cb742869f089a8eb8ccb4a2"/>
        <w:id w:val="-359898382"/>
        <w:placeholder>
          <w:docPart w:val="GBC22222222222222222222222222222"/>
        </w:placeholder>
      </w:sdtPr>
      <w:sdtEndPr>
        <w:rPr>
          <w:color w:val="000000"/>
        </w:rPr>
      </w:sdtEndPr>
      <w:sdtContent>
        <w:p>
          <w:pPr>
            <w:rPr>
              <w:color w:val="000000"/>
            </w:rPr>
          </w:pPr>
          <w:r>
            <w:rPr>
              <w:rFonts w:ascii="宋体" w:hAnsi="宋体"/>
              <w:color w:val="000000"/>
            </w:rPr>
            <w:fldChar w:fldCharType="begin"/>
          </w:r>
          <w:r>
            <w:rPr>
              <w:rFonts w:hint="eastAsia" w:ascii="宋体" w:hAnsi="宋体"/>
              <w:color w:val="000000"/>
            </w:rPr>
            <w:instrText xml:space="preserve"> MACROBUTTON  SnrToggleCheckbox □适用 </w:instrText>
          </w:r>
          <w:r>
            <w:rPr>
              <w:rFonts w:ascii="宋体" w:hAnsi="宋体"/>
              <w:color w:val="000000"/>
            </w:rPr>
            <w:fldChar w:fldCharType="end"/>
          </w:r>
          <w:r>
            <w:rPr>
              <w:rFonts w:ascii="宋体" w:hAnsi="宋体"/>
              <w:color w:val="000000"/>
            </w:rPr>
            <w:fldChar w:fldCharType="begin"/>
          </w:r>
          <w:r>
            <w:rPr>
              <w:rFonts w:hint="eastAsia" w:ascii="宋体" w:hAnsi="宋体"/>
              <w:color w:val="000000"/>
            </w:rPr>
            <w:instrText xml:space="preserve"> MACROBUTTON  SnrToggleCheckbox √不适用 </w:instrText>
          </w:r>
          <w:r>
            <w:rPr>
              <w:rFonts w:ascii="宋体" w:hAnsi="宋体"/>
              <w:color w:val="000000"/>
            </w:rPr>
            <w:fldChar w:fldCharType="end"/>
          </w:r>
        </w:p>
      </w:sdtContent>
    </w:sdt>
    <w:bookmarkEnd w:id="418"/>
    <w:p>
      <w:pPr>
        <w:pStyle w:val="4"/>
        <w:numPr>
          <w:ilvl w:val="0"/>
          <w:numId w:val="41"/>
        </w:numPr>
        <w:rPr>
          <w:color w:val="000000" w:themeColor="text1"/>
          <w:szCs w:val="21"/>
          <w14:textFill>
            <w14:solidFill>
              <w14:schemeClr w14:val="tx1"/>
            </w14:solidFill>
          </w14:textFill>
        </w:rPr>
      </w:pPr>
      <w:bookmarkStart w:id="419" w:name="_Hlk167971524"/>
      <w:r>
        <w:rPr>
          <w:color w:val="000000" w:themeColor="text1"/>
          <w:szCs w:val="21"/>
          <w14:textFill>
            <w14:solidFill>
              <w14:schemeClr w14:val="tx1"/>
            </w14:solidFill>
          </w14:textFill>
        </w:rPr>
        <w:t>租赁</w:t>
      </w:r>
    </w:p>
    <w:p>
      <w:pPr>
        <w:pStyle w:val="5"/>
        <w:numPr>
          <w:ilvl w:val="0"/>
          <w:numId w:val="76"/>
        </w:numPr>
        <w:ind w:left="0" w:firstLine="0"/>
        <w:rPr>
          <w:color w:val="000000" w:themeColor="text1"/>
          <w14:textFill>
            <w14:solidFill>
              <w14:schemeClr w14:val="tx1"/>
            </w14:solidFill>
          </w14:textFill>
        </w:rPr>
      </w:pPr>
      <w:r>
        <w:rPr>
          <w:color w:val="000000" w:themeColor="text1"/>
          <w14:textFill>
            <w14:solidFill>
              <w14:schemeClr w14:val="tx1"/>
            </w14:solidFill>
          </w14:textFill>
        </w:rPr>
        <w:t>作为承租人</w:t>
      </w:r>
    </w:p>
    <w:sdt>
      <w:sdtPr>
        <w:rPr>
          <w:color w:val="000000" w:themeColor="text1"/>
          <w14:textFill>
            <w14:solidFill>
              <w14:schemeClr w14:val="tx1"/>
            </w14:solidFill>
          </w14:textFill>
        </w:rPr>
        <w:alias w:val="是否适用：作为承租人[双击切换]"/>
        <w:tag w:val="_GBC_1a127bd18c664ed8bca6a513c43f1fa2"/>
        <w:id w:val="768050555"/>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pPr>
      <w:r>
        <w:rPr>
          <w:rFonts w:hint="eastAsia"/>
          <w:color w:val="000000" w:themeColor="text1"/>
          <w14:textFill>
            <w14:solidFill>
              <w14:schemeClr w14:val="tx1"/>
            </w14:solidFill>
          </w14:textFill>
        </w:rPr>
        <w:t>单位：元 币种：人民币</w:t>
      </w:r>
    </w:p>
    <w:tbl>
      <w:tblPr>
        <w:tblStyle w:val="43"/>
        <w:tblW w:w="5000" w:type="pct"/>
        <w:tblInd w:w="0" w:type="dxa"/>
        <w:tblLayout w:type="autofit"/>
        <w:tblCellMar>
          <w:top w:w="0" w:type="dxa"/>
          <w:left w:w="108" w:type="dxa"/>
          <w:bottom w:w="0" w:type="dxa"/>
          <w:right w:w="108" w:type="dxa"/>
        </w:tblCellMar>
      </w:tblPr>
      <w:tblGrid>
        <w:gridCol w:w="3999"/>
        <w:gridCol w:w="2648"/>
        <w:gridCol w:w="2402"/>
      </w:tblGrid>
      <w:tr>
        <w:tblPrEx>
          <w:tblCellMar>
            <w:top w:w="0" w:type="dxa"/>
            <w:left w:w="108" w:type="dxa"/>
            <w:bottom w:w="0" w:type="dxa"/>
            <w:right w:w="108" w:type="dxa"/>
          </w:tblCellMar>
        </w:tblPrEx>
        <w:trPr>
          <w:trHeight w:val="288" w:hRule="atLeast"/>
        </w:trPr>
        <w:tc>
          <w:tcPr>
            <w:tcW w:w="2210" w:type="pct"/>
            <w:tcBorders>
              <w:top w:val="single" w:color="auto" w:sz="4" w:space="0"/>
              <w:left w:val="single" w:color="auto" w:sz="4" w:space="0"/>
              <w:bottom w:val="single" w:color="auto" w:sz="4" w:space="0"/>
              <w:right w:val="single" w:color="auto" w:sz="4" w:space="0"/>
            </w:tcBorders>
            <w:vAlign w:val="center"/>
          </w:tcPr>
          <w:p>
            <w:pPr>
              <w:jc w:val="center"/>
              <w:outlineLvl w:val="0"/>
              <w:rPr>
                <w:rFonts w:cs="Times New Roman"/>
                <w:bCs w:val="0"/>
                <w:color w:val="000000"/>
                <w:sz w:val="20"/>
                <w:szCs w:val="20"/>
              </w:rPr>
            </w:pPr>
            <w:r>
              <w:rPr>
                <w:rFonts w:hint="eastAsia" w:cs="Times New Roman"/>
                <w:bCs w:val="0"/>
                <w:color w:val="000000"/>
                <w:sz w:val="20"/>
                <w:szCs w:val="20"/>
              </w:rPr>
              <w:t>项目</w:t>
            </w:r>
          </w:p>
        </w:tc>
        <w:tc>
          <w:tcPr>
            <w:tcW w:w="1463" w:type="pct"/>
            <w:tcBorders>
              <w:top w:val="single" w:color="auto" w:sz="4" w:space="0"/>
              <w:left w:val="nil"/>
              <w:bottom w:val="single" w:color="auto" w:sz="4" w:space="0"/>
              <w:right w:val="single" w:color="auto" w:sz="4" w:space="0"/>
            </w:tcBorders>
            <w:vAlign w:val="center"/>
          </w:tcPr>
          <w:p>
            <w:pPr>
              <w:jc w:val="center"/>
              <w:outlineLvl w:val="0"/>
              <w:rPr>
                <w:rFonts w:cs="Times New Roman"/>
                <w:bCs w:val="0"/>
                <w:color w:val="000000"/>
                <w:sz w:val="20"/>
                <w:szCs w:val="20"/>
              </w:rPr>
            </w:pPr>
            <w:r>
              <w:rPr>
                <w:rFonts w:hint="eastAsia" w:cs="Times New Roman"/>
                <w:bCs w:val="0"/>
                <w:color w:val="000000"/>
                <w:sz w:val="20"/>
                <w:szCs w:val="20"/>
              </w:rPr>
              <w:t>本期发生额</w:t>
            </w:r>
          </w:p>
        </w:tc>
        <w:tc>
          <w:tcPr>
            <w:tcW w:w="1327" w:type="pct"/>
            <w:tcBorders>
              <w:top w:val="single" w:color="auto" w:sz="4" w:space="0"/>
              <w:left w:val="nil"/>
              <w:bottom w:val="single" w:color="auto" w:sz="4" w:space="0"/>
              <w:right w:val="single" w:color="auto" w:sz="4" w:space="0"/>
            </w:tcBorders>
            <w:vAlign w:val="center"/>
          </w:tcPr>
          <w:p>
            <w:pPr>
              <w:jc w:val="center"/>
              <w:outlineLvl w:val="0"/>
              <w:rPr>
                <w:rFonts w:cs="Times New Roman"/>
                <w:bCs w:val="0"/>
                <w:color w:val="000000"/>
                <w:sz w:val="20"/>
                <w:szCs w:val="20"/>
              </w:rPr>
            </w:pPr>
            <w:r>
              <w:rPr>
                <w:rFonts w:hint="eastAsia" w:cs="Times New Roman"/>
                <w:bCs w:val="0"/>
                <w:color w:val="000000"/>
                <w:sz w:val="20"/>
                <w:szCs w:val="20"/>
              </w:rPr>
              <w:t>上期发生额</w:t>
            </w:r>
          </w:p>
        </w:tc>
      </w:tr>
      <w:tr>
        <w:tblPrEx>
          <w:tblCellMar>
            <w:top w:w="0" w:type="dxa"/>
            <w:left w:w="108" w:type="dxa"/>
            <w:bottom w:w="0" w:type="dxa"/>
            <w:right w:w="108" w:type="dxa"/>
          </w:tblCellMar>
        </w:tblPrEx>
        <w:trPr>
          <w:trHeight w:val="288" w:hRule="atLeast"/>
        </w:trPr>
        <w:tc>
          <w:tcPr>
            <w:tcW w:w="2210" w:type="pct"/>
            <w:tcBorders>
              <w:top w:val="nil"/>
              <w:left w:val="single" w:color="auto" w:sz="4" w:space="0"/>
              <w:bottom w:val="single" w:color="auto" w:sz="4" w:space="0"/>
              <w:right w:val="single" w:color="auto" w:sz="4" w:space="0"/>
            </w:tcBorders>
          </w:tcPr>
          <w:p>
            <w:pPr>
              <w:outlineLvl w:val="0"/>
              <w:rPr>
                <w:rFonts w:cs="Times New Roman"/>
                <w:bCs w:val="0"/>
                <w:color w:val="000000"/>
                <w:sz w:val="20"/>
                <w:szCs w:val="20"/>
              </w:rPr>
            </w:pPr>
            <w:bookmarkStart w:id="420" w:name="OLE_LINK138"/>
            <w:r>
              <w:rPr>
                <w:rFonts w:hint="eastAsia" w:cs="Times New Roman"/>
                <w:bCs w:val="0"/>
                <w:sz w:val="20"/>
                <w:szCs w:val="20"/>
              </w:rPr>
              <w:t>租赁负债的利息</w:t>
            </w:r>
            <w:bookmarkEnd w:id="420"/>
          </w:p>
        </w:tc>
        <w:tc>
          <w:tcPr>
            <w:tcW w:w="1463" w:type="pct"/>
            <w:tcBorders>
              <w:top w:val="nil"/>
              <w:left w:val="nil"/>
              <w:bottom w:val="single" w:color="auto" w:sz="4" w:space="0"/>
              <w:right w:val="single" w:color="auto" w:sz="4" w:space="0"/>
            </w:tcBorders>
          </w:tcPr>
          <w:p>
            <w:pPr>
              <w:jc w:val="right"/>
              <w:outlineLvl w:val="0"/>
              <w:rPr>
                <w:rFonts w:cs="Times New Roman"/>
                <w:bCs w:val="0"/>
                <w:color w:val="000000"/>
                <w:sz w:val="20"/>
                <w:szCs w:val="20"/>
              </w:rPr>
            </w:pPr>
            <w:r>
              <w:rPr>
                <w:rFonts w:cs="Times New Roman"/>
                <w:bCs w:val="0"/>
                <w:sz w:val="20"/>
                <w:szCs w:val="20"/>
              </w:rPr>
              <w:t xml:space="preserve"> 499,809.85 </w:t>
            </w:r>
          </w:p>
        </w:tc>
        <w:tc>
          <w:tcPr>
            <w:tcW w:w="1327" w:type="pct"/>
            <w:tcBorders>
              <w:top w:val="nil"/>
              <w:left w:val="nil"/>
              <w:bottom w:val="single" w:color="auto" w:sz="4" w:space="0"/>
              <w:right w:val="single" w:color="auto" w:sz="4" w:space="0"/>
            </w:tcBorders>
          </w:tcPr>
          <w:p>
            <w:pPr>
              <w:jc w:val="right"/>
              <w:outlineLvl w:val="0"/>
              <w:rPr>
                <w:rFonts w:cs="Times New Roman"/>
                <w:bCs w:val="0"/>
                <w:color w:val="000000"/>
                <w:sz w:val="20"/>
                <w:szCs w:val="20"/>
              </w:rPr>
            </w:pPr>
            <w:r>
              <w:rPr>
                <w:rFonts w:cs="Times New Roman"/>
                <w:bCs w:val="0"/>
                <w:sz w:val="20"/>
                <w:szCs w:val="20"/>
              </w:rPr>
              <w:t xml:space="preserve"> 151,246.00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未纳入租赁负债计量的可变租赁付款额</w:t>
      </w:r>
    </w:p>
    <w:sdt>
      <w:sdtPr>
        <w:rPr>
          <w:color w:val="000000" w:themeColor="text1"/>
          <w14:textFill>
            <w14:solidFill>
              <w14:schemeClr w14:val="tx1"/>
            </w14:solidFill>
          </w14:textFill>
        </w:rPr>
        <w:alias w:val="是否适用：未纳入租赁负债计量的可变租赁付款额[双击切换]"/>
        <w:tag w:val="_GBC_bd2e1ace9f86422a8f860b71955642d7"/>
        <w:id w:val="25533745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p>
    <w:p>
      <w:pPr>
        <w:rPr>
          <w:color w:val="000000" w:themeColor="text1"/>
          <w14:textFill>
            <w14:solidFill>
              <w14:schemeClr w14:val="tx1"/>
            </w14:solidFill>
          </w14:textFill>
        </w:rPr>
      </w:pPr>
      <w:r>
        <w:rPr>
          <w:rFonts w:hint="eastAsia"/>
          <w:color w:val="000000" w:themeColor="text1"/>
          <w14:textFill>
            <w14:solidFill>
              <w14:schemeClr w14:val="tx1"/>
            </w14:solidFill>
          </w14:textFill>
        </w:rPr>
        <w:t>简化处理的短期租赁或低价值资产的租赁费用</w:t>
      </w:r>
    </w:p>
    <w:sdt>
      <w:sdtPr>
        <w:rPr>
          <w:color w:val="000000" w:themeColor="text1"/>
          <w14:textFill>
            <w14:solidFill>
              <w14:schemeClr w14:val="tx1"/>
            </w14:solidFill>
          </w14:textFill>
        </w:rPr>
        <w:alias w:val="是否适用：简化处理的短期租赁或低价值资产的租赁费用[双击切换]"/>
        <w:tag w:val="_GBC_f3c273f8bb6d4e099c00c1591f5a5a4f"/>
        <w:id w:val="150863105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简化处理的短期租赁或低价值资产的租赁费用"/>
        <w:tag w:val="_GBC_36bcbd6cb13f43938e3736b9a975fb9b"/>
        <w:id w:val="-1853644531"/>
        <w:placeholder>
          <w:docPart w:val="GBC22222222222222222222222222222"/>
        </w:placeholder>
      </w:sdtPr>
      <w:sdtEndPr>
        <w:rPr>
          <w:color w:val="000000" w:themeColor="text1"/>
          <w14:textFill>
            <w14:solidFill>
              <w14:schemeClr w14:val="tx1"/>
            </w14:solidFill>
          </w14:textFill>
        </w:rPr>
      </w:sdtEndPr>
      <w:sdtContent>
        <w:p>
          <w:pPr>
            <w:jc w:val="right"/>
          </w:pPr>
          <w:r>
            <w:rPr>
              <w:rFonts w:hint="eastAsia"/>
            </w:rPr>
            <w:t>单位：元 币种：人民币</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3"/>
            <w:gridCol w:w="2921"/>
            <w:gridCol w:w="2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75" w:type="pct"/>
                <w:tcBorders>
                  <w:bottom w:val="single" w:color="auto" w:sz="4" w:space="0"/>
                </w:tcBorders>
              </w:tcPr>
              <w:p>
                <w:pPr>
                  <w:ind w:left="-107" w:leftChars="-51"/>
                  <w:jc w:val="center"/>
                  <w:rPr>
                    <w:rFonts w:cs="Times New Roman"/>
                    <w:bCs w:val="0"/>
                    <w:sz w:val="20"/>
                    <w:szCs w:val="20"/>
                  </w:rPr>
                </w:pPr>
                <w:r>
                  <w:rPr>
                    <w:rFonts w:hint="eastAsia" w:cs="Times New Roman"/>
                    <w:bCs w:val="0"/>
                    <w:sz w:val="20"/>
                    <w:szCs w:val="20"/>
                  </w:rPr>
                  <w:t>项目</w:t>
                </w:r>
              </w:p>
            </w:tc>
            <w:tc>
              <w:tcPr>
                <w:tcW w:w="1614" w:type="pct"/>
              </w:tcPr>
              <w:p>
                <w:pPr>
                  <w:jc w:val="center"/>
                  <w:rPr>
                    <w:rFonts w:cs="Times New Roman"/>
                    <w:bCs w:val="0"/>
                    <w:sz w:val="20"/>
                    <w:szCs w:val="20"/>
                  </w:rPr>
                </w:pPr>
                <w:r>
                  <w:rPr>
                    <w:rFonts w:hint="eastAsia" w:cs="Times New Roman"/>
                    <w:bCs w:val="0"/>
                    <w:sz w:val="20"/>
                    <w:szCs w:val="20"/>
                  </w:rPr>
                  <w:t>本期发生额</w:t>
                </w:r>
              </w:p>
            </w:tc>
            <w:tc>
              <w:tcPr>
                <w:tcW w:w="1511" w:type="pct"/>
              </w:tcPr>
              <w:p>
                <w:pPr>
                  <w:jc w:val="center"/>
                  <w:rPr>
                    <w:rFonts w:cs="Times New Roman"/>
                    <w:bCs w:val="0"/>
                    <w:sz w:val="20"/>
                    <w:szCs w:val="20"/>
                  </w:rPr>
                </w:pPr>
                <w:r>
                  <w:rPr>
                    <w:rFonts w:hint="eastAsia" w:cs="Times New Roman"/>
                    <w:bCs w:val="0"/>
                    <w:sz w:val="20"/>
                    <w:szCs w:val="20"/>
                  </w:rPr>
                  <w:t>上期发生额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75" w:type="pct"/>
              </w:tcPr>
              <w:p>
                <w:pPr>
                  <w:outlineLvl w:val="0"/>
                  <w:rPr>
                    <w:rFonts w:cs="Times New Roman"/>
                    <w:bCs w:val="0"/>
                    <w:sz w:val="20"/>
                    <w:szCs w:val="20"/>
                  </w:rPr>
                </w:pPr>
                <w:r>
                  <w:rPr>
                    <w:rFonts w:hint="eastAsia" w:cs="Times New Roman"/>
                    <w:bCs w:val="0"/>
                    <w:sz w:val="20"/>
                    <w:szCs w:val="20"/>
                  </w:rPr>
                  <w:t>短期租赁费用</w:t>
                </w:r>
              </w:p>
            </w:tc>
            <w:tc>
              <w:tcPr>
                <w:tcW w:w="1614" w:type="pct"/>
              </w:tcPr>
              <w:p>
                <w:pPr>
                  <w:jc w:val="right"/>
                  <w:rPr>
                    <w:rFonts w:cs="Times New Roman"/>
                    <w:bCs w:val="0"/>
                    <w:sz w:val="20"/>
                    <w:szCs w:val="20"/>
                  </w:rPr>
                </w:pPr>
                <w:r>
                  <w:rPr>
                    <w:rFonts w:cs="Times New Roman"/>
                    <w:bCs w:val="0"/>
                    <w:sz w:val="20"/>
                    <w:szCs w:val="20"/>
                  </w:rPr>
                  <w:t xml:space="preserve"> 726,206.56 </w:t>
                </w:r>
              </w:p>
            </w:tc>
            <w:tc>
              <w:tcPr>
                <w:tcW w:w="1511" w:type="pct"/>
              </w:tcPr>
              <w:p>
                <w:pPr>
                  <w:jc w:val="right"/>
                  <w:rPr>
                    <w:rFonts w:cs="Times New Roman"/>
                    <w:bCs w:val="0"/>
                    <w:sz w:val="20"/>
                    <w:szCs w:val="20"/>
                  </w:rPr>
                </w:pPr>
                <w:r>
                  <w:rPr>
                    <w:rFonts w:cs="Times New Roman"/>
                    <w:bCs w:val="0"/>
                    <w:sz w:val="20"/>
                    <w:szCs w:val="20"/>
                  </w:rPr>
                  <w:t xml:space="preserve"> 541,512.16 </w:t>
                </w:r>
              </w:p>
            </w:tc>
          </w:tr>
        </w:tbl>
        <w:p>
          <w:pPr>
            <w:rPr>
              <w:color w:val="000000" w:themeColor="text1"/>
              <w14:textFill>
                <w14:solidFill>
                  <w14:schemeClr w14:val="tx1"/>
                </w14:solidFill>
              </w14:textFill>
            </w:rPr>
          </w:pP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售后租回交易及判断依据</w:t>
      </w:r>
    </w:p>
    <w:sdt>
      <w:sdtPr>
        <w:rPr>
          <w:color w:val="000000" w:themeColor="text1"/>
          <w14:textFill>
            <w14:solidFill>
              <w14:schemeClr w14:val="tx1"/>
            </w14:solidFill>
          </w14:textFill>
        </w:rPr>
        <w:alias w:val="是否适用：售后租回交易及判断依据[双击切换]"/>
        <w:tag w:val="_GBC_1ca4680bb4e9497e80b8d3a59c79d5a1"/>
        <w:id w:val="-102941034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与租赁相关的现金流出总额</w:t>
      </w:r>
      <w:sdt>
        <w:sdtPr>
          <w:rPr>
            <w:rFonts w:hint="eastAsia"/>
            <w:color w:val="000000" w:themeColor="text1"/>
            <w14:textFill>
              <w14:solidFill>
                <w14:schemeClr w14:val="tx1"/>
              </w14:solidFill>
            </w14:textFill>
          </w:rPr>
          <w:alias w:val="与租赁相关的现金流出总额"/>
          <w:tag w:val="_GBC_d78e0355036a45b9afc0eca5988d4956"/>
          <w:id w:val="1250777367"/>
          <w:placeholder>
            <w:docPart w:val="GBC22222222222222222222222222222"/>
          </w:placeholder>
        </w:sdtPr>
        <w:sdtEndPr>
          <w:rPr>
            <w:rFonts w:hint="eastAsia"/>
            <w:color w:val="000000" w:themeColor="text1"/>
            <w14:textFill>
              <w14:solidFill>
                <w14:schemeClr w14:val="tx1"/>
              </w14:solidFill>
            </w14:textFill>
          </w:rPr>
        </w:sdtEndPr>
        <w:sdtContent>
          <w:r>
            <w:rPr>
              <w:color w:val="000000" w:themeColor="text1"/>
              <w14:textFill>
                <w14:solidFill>
                  <w14:schemeClr w14:val="tx1"/>
                </w14:solidFill>
              </w14:textFill>
            </w:rPr>
            <w:t>6,407,792.41</w:t>
          </w:r>
        </w:sdtContent>
      </w:sdt>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与租赁相关的现金流出总额"/>
          <w:tag w:val="_GBC_57a12ad185f640248e4c9dce377f5f57"/>
          <w:id w:val="307597280"/>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与租赁相关的现金流出总额"/>
          <w:tag w:val="_GBC_a5553fa6fd6f4fefa66550584159c745"/>
          <w:id w:val="-5829875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r>
        <w:rPr>
          <w:rFonts w:hint="eastAsia"/>
          <w:color w:val="000000" w:themeColor="text1"/>
          <w14:textFill>
            <w14:solidFill>
              <w14:schemeClr w14:val="tx1"/>
            </w14:solidFill>
          </w14:textFill>
        </w:rPr>
        <w:t>)</w:t>
      </w:r>
    </w:p>
    <w:p>
      <w:pPr>
        <w:pStyle w:val="5"/>
        <w:numPr>
          <w:ilvl w:val="0"/>
          <w:numId w:val="76"/>
        </w:numPr>
        <w:ind w:left="0" w:firstLine="0"/>
        <w:rPr>
          <w:color w:val="000000" w:themeColor="text1"/>
          <w14:textFill>
            <w14:solidFill>
              <w14:schemeClr w14:val="tx1"/>
            </w14:solidFill>
          </w14:textFill>
        </w:rPr>
      </w:pPr>
      <w:r>
        <w:rPr>
          <w:color w:val="000000" w:themeColor="text1"/>
          <w14:textFill>
            <w14:solidFill>
              <w14:schemeClr w14:val="tx1"/>
            </w14:solidFill>
          </w14:textFill>
        </w:rPr>
        <w:t>作为出租人</w:t>
      </w:r>
    </w:p>
    <w:p>
      <w:pPr>
        <w:rPr>
          <w:color w:val="000000" w:themeColor="text1"/>
          <w14:textFill>
            <w14:solidFill>
              <w14:schemeClr w14:val="tx1"/>
            </w14:solidFill>
          </w14:textFill>
        </w:rPr>
      </w:pPr>
      <w:r>
        <w:rPr>
          <w:color w:val="000000" w:themeColor="text1"/>
          <w14:textFill>
            <w14:solidFill>
              <w14:schemeClr w14:val="tx1"/>
            </w14:solidFill>
          </w14:textFill>
        </w:rPr>
        <w:t>作为出租人的经营</w:t>
      </w:r>
      <w:r>
        <w:rPr>
          <w:rFonts w:hint="eastAsia"/>
          <w:color w:val="000000" w:themeColor="text1"/>
          <w14:textFill>
            <w14:solidFill>
              <w14:schemeClr w14:val="tx1"/>
            </w14:solidFill>
          </w14:textFill>
        </w:rPr>
        <w:t>租赁</w:t>
      </w:r>
    </w:p>
    <w:sdt>
      <w:sdtPr>
        <w:rPr>
          <w:rFonts w:hint="eastAsia"/>
          <w:color w:val="000000" w:themeColor="text1"/>
          <w14:textFill>
            <w14:solidFill>
              <w14:schemeClr w14:val="tx1"/>
            </w14:solidFill>
          </w14:textFill>
        </w:rPr>
        <w:alias w:val="是否适用：作为出租人的经营租赁[双击切换]"/>
        <w:tag w:val="_GBC_8caa55cbe72d4d8cacd2b07a9782c9d1"/>
        <w:id w:val="978961826"/>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作为出租人的经营租赁"/>
          <w:tag w:val="_GBC_de6eb571fbe04adb9912546313da8056"/>
          <w:id w:val="137242322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作为出租人的经营租赁"/>
          <w:tag w:val="_GBC_3b9dbcc6234241c6ad9c2cb82be0f4e6"/>
          <w:id w:val="2010325689"/>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1"/>
        <w:gridCol w:w="3013"/>
        <w:gridCol w:w="3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92ea8def48e4d70a449933471ee6d8a"/>
            <w:id w:val="1733268063"/>
          </w:sdtPr>
          <w:sdtContent>
            <w:tc>
              <w:tcPr>
                <w:tcW w:w="166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b99ae08176e462e8f93a77b1a3bf67d"/>
            <w:id w:val="-1634007694"/>
          </w:sdtPr>
          <w:sdtContent>
            <w:tc>
              <w:tcPr>
                <w:tcW w:w="1667"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租赁收入</w:t>
                </w:r>
              </w:p>
            </w:tc>
          </w:sdtContent>
        </w:sdt>
        <w:sdt>
          <w:sdtPr>
            <w:tag w:val="_PLD_b7054994bc594c33a61db80ee6e9bd3d"/>
            <w:id w:val="799116377"/>
          </w:sdtPr>
          <w:sdtContent>
            <w:tc>
              <w:tcPr>
                <w:tcW w:w="1667"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其中</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未计入租赁收款额的可变租赁付款额相关的收入</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6" w:type="pct"/>
            <w:vAlign w:val="center"/>
          </w:tcPr>
          <w:p>
            <w:pPr>
              <w:pStyle w:val="48"/>
            </w:pPr>
            <w:r>
              <w:t>经营租赁收入</w:t>
            </w:r>
          </w:p>
        </w:tc>
        <w:tc>
          <w:tcPr>
            <w:tcW w:w="1667" w:type="pct"/>
          </w:tcPr>
          <w:p>
            <w:pPr>
              <w:jc w:val="right"/>
            </w:pPr>
            <w:r>
              <w:t xml:space="preserve"> 430,878.56 </w:t>
            </w:r>
          </w:p>
        </w:tc>
        <w:tc>
          <w:tcPr>
            <w:tcW w:w="1667"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667" w:type="pct"/>
          </w:tcPr>
          <w:p>
            <w:pPr>
              <w:jc w:val="right"/>
            </w:pPr>
            <w:r>
              <w:t xml:space="preserve"> 430,878.56 </w:t>
            </w:r>
          </w:p>
        </w:tc>
        <w:tc>
          <w:tcPr>
            <w:tcW w:w="1667" w:type="pct"/>
            <w:vAlign w:val="center"/>
          </w:tcPr>
          <w:p>
            <w:pPr>
              <w:jc w:val="right"/>
            </w:pPr>
          </w:p>
        </w:tc>
      </w:tr>
    </w:tbl>
    <w:p>
      <w:pPr>
        <w:rPr>
          <w:color w:val="000000" w:themeColor="text1"/>
          <w14:textFill>
            <w14:solidFill>
              <w14:schemeClr w14:val="tx1"/>
            </w14:solidFill>
          </w14:textFill>
        </w:rPr>
      </w:pPr>
      <w:r>
        <w:rPr>
          <w:color w:val="000000" w:themeColor="text1"/>
          <w14:textFill>
            <w14:solidFill>
              <w14:schemeClr w14:val="tx1"/>
            </w14:solidFill>
          </w14:textFill>
        </w:rPr>
        <w:t>作为出租人的融资租赁</w:t>
      </w:r>
    </w:p>
    <w:sdt>
      <w:sdtPr>
        <w:rPr>
          <w:color w:val="000000" w:themeColor="text1"/>
          <w14:textFill>
            <w14:solidFill>
              <w14:schemeClr w14:val="tx1"/>
            </w14:solidFill>
          </w14:textFill>
        </w:rPr>
        <w:alias w:val="是否适用：作为出租人的融资租赁[双击切换]"/>
        <w:tag w:val="_GBC_b8e25c7d290240c1ad7a8b299dddafda"/>
        <w:id w:val="-198499902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color w:val="000000" w:themeColor="text1"/>
          <w14:textFill>
            <w14:solidFill>
              <w14:schemeClr w14:val="tx1"/>
            </w14:solidFill>
          </w14:textFill>
        </w:rPr>
        <w:t>未折现租赁收款额与租赁投资净额的调节表</w:t>
      </w:r>
    </w:p>
    <w:sdt>
      <w:sdtPr>
        <w:rPr>
          <w:color w:val="000000" w:themeColor="text1"/>
          <w14:textFill>
            <w14:solidFill>
              <w14:schemeClr w14:val="tx1"/>
            </w14:solidFill>
          </w14:textFill>
        </w:rPr>
        <w:alias w:val="是否适用：未折现租赁收款额与租赁投资净额的调节表?[双击切换]"/>
        <w:tag w:val="_GBC_24749e03a4f14d0186b6eef9cbb8456c"/>
        <w:id w:val="189747806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color w:val="000000" w:themeColor="text1"/>
          <w14:textFill>
            <w14:solidFill>
              <w14:schemeClr w14:val="tx1"/>
            </w14:solidFill>
          </w14:textFill>
        </w:rPr>
        <w:t>未来五年</w:t>
      </w:r>
      <w:r>
        <w:rPr>
          <w:rFonts w:hint="eastAsia"/>
          <w:color w:val="000000" w:themeColor="text1"/>
          <w14:textFill>
            <w14:solidFill>
              <w14:schemeClr w14:val="tx1"/>
            </w14:solidFill>
          </w14:textFill>
        </w:rPr>
        <w:t>未</w:t>
      </w:r>
      <w:r>
        <w:rPr>
          <w:color w:val="000000" w:themeColor="text1"/>
          <w14:textFill>
            <w14:solidFill>
              <w14:schemeClr w14:val="tx1"/>
            </w14:solidFill>
          </w14:textFill>
        </w:rPr>
        <w:t>折现租赁收款额</w:t>
      </w:r>
    </w:p>
    <w:sdt>
      <w:sdtPr>
        <w:rPr>
          <w:color w:val="000000" w:themeColor="text1"/>
          <w14:textFill>
            <w14:solidFill>
              <w14:schemeClr w14:val="tx1"/>
            </w14:solidFill>
          </w14:textFill>
        </w:rPr>
        <w:alias w:val="是否适用：未来五年未折现租赁收款额[双击切换]"/>
        <w:tag w:val="_GBC_6011fa033af24e8c940b4fc9b0df290d"/>
        <w:id w:val="-6256626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未来五年未折现租赁收款额"/>
          <w:tag w:val="_GBC_5be80d38e5a84f49b43f0cefd025ba73"/>
          <w:id w:val="-39875206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未来五年未折现租赁收款额"/>
          <w:tag w:val="_GBC_e740aad9664345278d0070eeb78f08c3"/>
          <w:id w:val="123774401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40"/>
        <w:gridCol w:w="2941"/>
        <w:gridCol w:w="2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e868382d87424836a52e21aaa3701d93"/>
            <w:id w:val="829553339"/>
          </w:sdtPr>
          <w:sdtContent>
            <w:tc>
              <w:tcPr>
                <w:tcW w:w="2940" w:type="dxa"/>
                <w:vMerge w:val="restart"/>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项目</w:t>
                </w:r>
              </w:p>
            </w:tc>
          </w:sdtContent>
        </w:sdt>
        <w:sdt>
          <w:sdtPr>
            <w:tag w:val="_PLD_e98d55efcc374ebab74b50bccac8084e"/>
            <w:id w:val="1400627578"/>
          </w:sdtPr>
          <w:sdtContent>
            <w:tc>
              <w:tcPr>
                <w:tcW w:w="5883" w:type="dxa"/>
                <w:gridSpan w:val="2"/>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每年未折现租赁收款额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2940" w:type="dxa"/>
            <w:vMerge w:val="continue"/>
            <w:vAlign w:val="center"/>
          </w:tcPr>
          <w:p>
            <w:pPr>
              <w:widowControl w:val="0"/>
              <w:jc w:val="center"/>
              <w:rPr>
                <w:color w:val="000000" w:themeColor="text1"/>
                <w14:textFill>
                  <w14:solidFill>
                    <w14:schemeClr w14:val="tx1"/>
                  </w14:solidFill>
                </w14:textFill>
              </w:rPr>
            </w:pPr>
          </w:p>
        </w:tc>
        <w:sdt>
          <w:sdtPr>
            <w:tag w:val="_PLD_ef586d6804ce44f2ae65da927aebf11c"/>
            <w:id w:val="1965849644"/>
          </w:sdtPr>
          <w:sdtContent>
            <w:tc>
              <w:tcPr>
                <w:tcW w:w="2941"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期末金额</w:t>
                </w:r>
              </w:p>
            </w:tc>
          </w:sdtContent>
        </w:sdt>
        <w:sdt>
          <w:sdtPr>
            <w:tag w:val="_PLD_c479180c7d624523bf9bac042e3a7090"/>
            <w:id w:val="222186566"/>
          </w:sdtPr>
          <w:sdtContent>
            <w:tc>
              <w:tcPr>
                <w:tcW w:w="2942" w:type="dxa"/>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期初金额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第一年</w:t>
            </w:r>
          </w:p>
        </w:tc>
        <w:tc>
          <w:tcPr>
            <w:tcW w:w="2941" w:type="dxa"/>
          </w:tcPr>
          <w:p>
            <w:pPr>
              <w:widowControl w:val="0"/>
              <w:jc w:val="right"/>
            </w:pPr>
            <w:r>
              <w:t xml:space="preserve"> 519,833.96 </w:t>
            </w:r>
          </w:p>
        </w:tc>
        <w:tc>
          <w:tcPr>
            <w:tcW w:w="2942" w:type="dxa"/>
          </w:tcPr>
          <w:p>
            <w:pPr>
              <w:widowControl w:val="0"/>
              <w:jc w:val="right"/>
            </w:pPr>
            <w:r>
              <w:t>1,009,007.79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第二年</w:t>
            </w:r>
          </w:p>
        </w:tc>
        <w:tc>
          <w:tcPr>
            <w:tcW w:w="2941" w:type="dxa"/>
          </w:tcPr>
          <w:p>
            <w:pPr>
              <w:widowControl w:val="0"/>
              <w:jc w:val="right"/>
            </w:pPr>
            <w:r>
              <w:t xml:space="preserve"> 515,333.96 </w:t>
            </w:r>
          </w:p>
        </w:tc>
        <w:tc>
          <w:tcPr>
            <w:tcW w:w="2942" w:type="dxa"/>
          </w:tcPr>
          <w:p>
            <w:pPr>
              <w:widowControl w:val="0"/>
              <w:jc w:val="right"/>
            </w:pPr>
            <w:r>
              <w:t>515,333.96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第三年</w:t>
            </w:r>
          </w:p>
        </w:tc>
        <w:tc>
          <w:tcPr>
            <w:tcW w:w="2941" w:type="dxa"/>
          </w:tcPr>
          <w:p>
            <w:pPr>
              <w:widowControl w:val="0"/>
              <w:jc w:val="right"/>
            </w:pPr>
            <w:r>
              <w:t xml:space="preserve"> 515,333.96 </w:t>
            </w:r>
          </w:p>
        </w:tc>
        <w:tc>
          <w:tcPr>
            <w:tcW w:w="2942" w:type="dxa"/>
          </w:tcPr>
          <w:p>
            <w:pPr>
              <w:widowControl w:val="0"/>
              <w:jc w:val="right"/>
            </w:pPr>
            <w:r>
              <w:t>515,333.96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第四年</w:t>
            </w:r>
          </w:p>
        </w:tc>
        <w:tc>
          <w:tcPr>
            <w:tcW w:w="2941" w:type="dxa"/>
          </w:tcPr>
          <w:p>
            <w:pPr>
              <w:widowControl w:val="0"/>
              <w:jc w:val="right"/>
            </w:pPr>
            <w:r>
              <w:t xml:space="preserve"> 484,333.96 </w:t>
            </w:r>
          </w:p>
        </w:tc>
        <w:tc>
          <w:tcPr>
            <w:tcW w:w="2942" w:type="dxa"/>
          </w:tcPr>
          <w:p>
            <w:pPr>
              <w:widowControl w:val="0"/>
              <w:jc w:val="right"/>
            </w:pPr>
            <w:r>
              <w:t>515,333.96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第五年</w:t>
            </w:r>
          </w:p>
        </w:tc>
        <w:tc>
          <w:tcPr>
            <w:tcW w:w="2941" w:type="dxa"/>
          </w:tcPr>
          <w:p>
            <w:pPr>
              <w:widowControl w:val="0"/>
              <w:jc w:val="right"/>
            </w:pPr>
          </w:p>
        </w:tc>
        <w:tc>
          <w:tcPr>
            <w:tcW w:w="2942" w:type="dxa"/>
          </w:tcPr>
          <w:p>
            <w:pPr>
              <w:widowControl w:val="0"/>
              <w:jc w:val="right"/>
            </w:pPr>
            <w:r>
              <w:t>226,666.98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pPr>
              <w:widowControl w:val="0"/>
              <w:jc w:val="both"/>
              <w:rPr>
                <w:color w:val="000000" w:themeColor="text1"/>
                <w14:textFill>
                  <w14:solidFill>
                    <w14:schemeClr w14:val="tx1"/>
                  </w14:solidFill>
                </w14:textFill>
              </w:rPr>
            </w:pPr>
            <w:r>
              <w:rPr>
                <w:color w:val="000000" w:themeColor="text1"/>
                <w14:textFill>
                  <w14:solidFill>
                    <w14:schemeClr w14:val="tx1"/>
                  </w14:solidFill>
                </w14:textFill>
              </w:rPr>
              <w:t>五年后未折现租赁收款额总额</w:t>
            </w:r>
          </w:p>
        </w:tc>
        <w:tc>
          <w:tcPr>
            <w:tcW w:w="2941" w:type="dxa"/>
          </w:tcPr>
          <w:p>
            <w:pPr>
              <w:widowControl w:val="0"/>
              <w:jc w:val="right"/>
            </w:pPr>
          </w:p>
        </w:tc>
        <w:tc>
          <w:tcPr>
            <w:tcW w:w="2942" w:type="dxa"/>
          </w:tcPr>
          <w:p>
            <w:pPr>
              <w:widowControl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0" w:type="dxa"/>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2941" w:type="dxa"/>
          </w:tcPr>
          <w:p>
            <w:pPr>
              <w:widowControl w:val="0"/>
              <w:jc w:val="right"/>
            </w:pPr>
            <w:r>
              <w:t>2,034,835.84</w:t>
            </w:r>
          </w:p>
        </w:tc>
        <w:tc>
          <w:tcPr>
            <w:tcW w:w="2942" w:type="dxa"/>
          </w:tcPr>
          <w:p>
            <w:pPr>
              <w:widowControl w:val="0"/>
              <w:jc w:val="right"/>
            </w:pPr>
            <w:r>
              <w:t>2,781,676.65</w:t>
            </w:r>
          </w:p>
        </w:tc>
      </w:tr>
    </w:tbl>
    <w:p>
      <w:pPr>
        <w:pStyle w:val="5"/>
        <w:numPr>
          <w:ilvl w:val="0"/>
          <w:numId w:val="76"/>
        </w:numPr>
        <w:ind w:left="0" w:firstLine="0"/>
        <w:rPr>
          <w:color w:val="000000" w:themeColor="text1"/>
          <w14:textFill>
            <w14:solidFill>
              <w14:schemeClr w14:val="tx1"/>
            </w14:solidFill>
          </w14:textFill>
        </w:rPr>
      </w:pPr>
      <w:r>
        <w:rPr>
          <w:color w:val="000000" w:themeColor="text1"/>
          <w14:textFill>
            <w14:solidFill>
              <w14:schemeClr w14:val="tx1"/>
            </w14:solidFill>
          </w14:textFill>
        </w:rPr>
        <w:t>作为生产商或经销商确认融资租赁销售损益</w:t>
      </w:r>
    </w:p>
    <w:sdt>
      <w:sdtPr>
        <w:rPr>
          <w:color w:val="000000" w:themeColor="text1"/>
          <w14:textFill>
            <w14:solidFill>
              <w14:schemeClr w14:val="tx1"/>
            </w14:solidFill>
          </w14:textFill>
        </w:rPr>
        <w:alias w:val="是否适用：作为生产商或经销商确认融资租赁销售损益[双击切换]"/>
        <w:tag w:val="_GBC_213bb116a7f04deab5b21583470b1e43"/>
        <w:id w:val="197918024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租赁其他说明"/>
        <w:tag w:val="_GBC_7b832cbbef274cceadb68c4291f1d973"/>
        <w:id w:val="-16478923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419"/>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数据资源</w:t>
      </w:r>
    </w:p>
    <w:sdt>
      <w:sdtPr>
        <w:rPr>
          <w:color w:val="000000" w:themeColor="text1"/>
          <w14:textFill>
            <w14:solidFill>
              <w14:schemeClr w14:val="tx1"/>
            </w14:solidFill>
          </w14:textFill>
        </w:rPr>
        <w:alias w:val="是否适用：附注数据资源需要说明的事项[双击切换]"/>
        <w:tag w:val="_GBC_69b3c483faf0482e86f2ca96cb446815"/>
        <w:id w:val="-143528394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41"/>
        </w:numPr>
        <w:rPr>
          <w:color w:val="000000" w:themeColor="text1"/>
          <w:szCs w:val="21"/>
          <w14:textFill>
            <w14:solidFill>
              <w14:schemeClr w14:val="tx1"/>
            </w14:solidFill>
          </w14:textFill>
        </w:rPr>
      </w:pPr>
      <w:r>
        <w:rPr>
          <w:color w:val="000000" w:themeColor="text1"/>
          <w:szCs w:val="21"/>
          <w14:textFill>
            <w14:solidFill>
              <w14:schemeClr w14:val="tx1"/>
            </w14:solidFill>
          </w14:textFill>
        </w:rPr>
        <w:t>其他</w:t>
      </w:r>
    </w:p>
    <w:sdt>
      <w:sdtPr>
        <w:rPr>
          <w:color w:val="000000" w:themeColor="text1"/>
          <w14:textFill>
            <w14:solidFill>
              <w14:schemeClr w14:val="tx1"/>
            </w14:solidFill>
          </w14:textFill>
        </w:rPr>
        <w:alias w:val="是否适用：合并财务报表项目注释其他需要说明的事项[双击切换]"/>
        <w:tag w:val="_GBC_d9335575f6594653aa8718dc633c644c"/>
        <w:id w:val="202651451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ascii="Times New Roman" w:hAnsi="Times New Roman" w:cs="宋体"/>
          <w:bCs/>
          <w:color w:val="000000" w:themeColor="text1"/>
          <w:sz w:val="21"/>
          <w:szCs w:val="21"/>
          <w14:textFill>
            <w14:solidFill>
              <w14:schemeClr w14:val="tx1"/>
            </w14:solidFill>
          </w14:textFill>
        </w:rPr>
        <w:alias w:val="合并财务报表项目注释其他需要说明的事项"/>
        <w:tag w:val="_GBC_80f37a02cda14573a72e973b2a94432d"/>
        <w:id w:val="1286233105"/>
        <w:placeholder>
          <w:docPart w:val="GBC22222222222222222222222222222"/>
        </w:placeholder>
      </w:sdtPr>
      <w:sdtEndPr>
        <w:rPr>
          <w:rFonts w:ascii="Times New Roman" w:hAnsi="Times New Roman" w:cs="宋体"/>
          <w:bCs/>
          <w:color w:val="000000" w:themeColor="text1"/>
          <w:sz w:val="21"/>
          <w:szCs w:val="21"/>
          <w14:textFill>
            <w14:solidFill>
              <w14:schemeClr w14:val="tx1"/>
            </w14:solidFill>
          </w14:textFill>
        </w:rPr>
      </w:sdtEndPr>
      <w:sdtContent>
        <w:p>
          <w:pPr>
            <w:pStyle w:val="42"/>
            <w:spacing w:line="360" w:lineRule="exact"/>
            <w:ind w:firstLine="420" w:firstLineChars="200"/>
            <w:rPr>
              <w:rFonts w:hint="eastAsia"/>
              <w:sz w:val="21"/>
              <w:szCs w:val="21"/>
            </w:rPr>
          </w:pPr>
          <w:r>
            <w:rPr>
              <w:rFonts w:hint="eastAsia"/>
              <w:sz w:val="21"/>
              <w:szCs w:val="21"/>
            </w:rPr>
            <w:t>供应商融资安排</w:t>
          </w:r>
        </w:p>
        <w:p>
          <w:pPr>
            <w:pStyle w:val="42"/>
            <w:spacing w:line="360" w:lineRule="exact"/>
            <w:ind w:firstLine="420" w:firstLineChars="200"/>
            <w:rPr>
              <w:rFonts w:hint="eastAsia"/>
              <w:sz w:val="21"/>
              <w:szCs w:val="21"/>
            </w:rPr>
          </w:pPr>
          <w:r>
            <w:rPr>
              <w:rFonts w:hint="eastAsia"/>
              <w:sz w:val="21"/>
              <w:szCs w:val="21"/>
            </w:rPr>
            <w:t>（1）供应商融资安排的条款和条件</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7"/>
            <w:gridCol w:w="6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63" w:type="pct"/>
                <w:vAlign w:val="center"/>
              </w:tcPr>
              <w:p>
                <w:pPr>
                  <w:jc w:val="center"/>
                  <w:rPr>
                    <w:rFonts w:cs="Times New Roman"/>
                    <w:bCs w:val="0"/>
                  </w:rPr>
                </w:pPr>
                <w:r>
                  <w:rPr>
                    <w:rFonts w:hint="eastAsia" w:cs="Times New Roman"/>
                    <w:bCs w:val="0"/>
                  </w:rPr>
                  <w:t>供应商融资安排类型</w:t>
                </w:r>
              </w:p>
            </w:tc>
            <w:tc>
              <w:tcPr>
                <w:tcW w:w="3637" w:type="pct"/>
                <w:vAlign w:val="center"/>
              </w:tcPr>
              <w:p>
                <w:pPr>
                  <w:jc w:val="center"/>
                  <w:rPr>
                    <w:rFonts w:cs="Times New Roman"/>
                    <w:bCs w:val="0"/>
                  </w:rPr>
                </w:pPr>
                <w:r>
                  <w:rPr>
                    <w:rFonts w:hint="eastAsia" w:cs="Times New Roman"/>
                    <w:bCs w:val="0"/>
                  </w:rPr>
                  <w:t>条款和条件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pPr>
                  <w:jc w:val="both"/>
                  <w:rPr>
                    <w:rFonts w:cs="Times New Roman"/>
                    <w:bCs w:val="0"/>
                  </w:rPr>
                </w:pPr>
                <w:r>
                  <w:rPr>
                    <w:rFonts w:hint="eastAsia" w:cs="Times New Roman"/>
                    <w:bCs w:val="0"/>
                  </w:rPr>
                  <w:t>融信通业务</w:t>
                </w:r>
              </w:p>
            </w:tc>
            <w:tc>
              <w:tcPr>
                <w:tcW w:w="3637" w:type="pct"/>
              </w:tcPr>
              <w:p>
                <w:pPr>
                  <w:jc w:val="both"/>
                  <w:rPr>
                    <w:rFonts w:cs="Times New Roman"/>
                    <w:bCs w:val="0"/>
                  </w:rPr>
                </w:pPr>
                <w:r>
                  <w:rPr>
                    <w:rFonts w:hint="eastAsia" w:cs="Times New Roman"/>
                    <w:bCs w:val="0"/>
                  </w:rPr>
                  <w:t>以核心企业与上下游企业交易背景真实为前提，公司向供应商开立电子银行承兑汇票，承兑银行审核承兑后，自动完成票据贴现，并将款项支付给上游供应商，可延长公司采购付现周期6个月。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pPr>
                  <w:jc w:val="both"/>
                  <w:rPr>
                    <w:rFonts w:cs="Times New Roman"/>
                    <w:bCs w:val="0"/>
                  </w:rPr>
                </w:pPr>
                <w:r>
                  <w:rPr>
                    <w:rFonts w:hint="eastAsia" w:cs="Times New Roman"/>
                    <w:bCs w:val="0"/>
                  </w:rPr>
                  <w:t>国内信用证业务</w:t>
                </w:r>
              </w:p>
            </w:tc>
            <w:tc>
              <w:tcPr>
                <w:tcW w:w="3637" w:type="pct"/>
              </w:tcPr>
              <w:p>
                <w:pPr>
                  <w:jc w:val="both"/>
                  <w:rPr>
                    <w:rFonts w:cs="Times New Roman"/>
                    <w:bCs w:val="0"/>
                  </w:rPr>
                </w:pPr>
                <w:r>
                  <w:rPr>
                    <w:rFonts w:hint="eastAsia" w:cs="Times New Roman"/>
                    <w:bCs w:val="0"/>
                  </w:rPr>
                  <w:t>公司向银行申请开立信用证，银行完成信用证开证时，一次性向供应商支付采购款，可延长公司采购付现周期1年。</w:t>
                </w:r>
              </w:p>
            </w:tc>
          </w:tr>
        </w:tbl>
        <w:p>
          <w:pPr>
            <w:spacing w:line="360" w:lineRule="exact"/>
            <w:ind w:firstLine="420" w:firstLineChars="200"/>
          </w:pPr>
          <w:r>
            <w:rPr>
              <w:rFonts w:hint="eastAsia"/>
            </w:rPr>
            <w:t>（2）供应商融资安排相关负债情况</w:t>
          </w:r>
        </w:p>
        <w:p>
          <w:pPr>
            <w:ind w:firstLine="420" w:firstLineChars="200"/>
            <w:rPr>
              <w:bCs w:val="0"/>
            </w:rPr>
          </w:pPr>
          <w:r>
            <w:rPr>
              <w:rFonts w:hint="eastAsia"/>
            </w:rPr>
            <w:t>相关负债账面价值</w:t>
          </w:r>
        </w:p>
        <w:p>
          <w:pPr>
            <w:pStyle w:val="42"/>
            <w:jc w:val="right"/>
            <w:rPr>
              <w:rFonts w:hint="eastAsia"/>
              <w:sz w:val="21"/>
              <w:szCs w:val="21"/>
            </w:rPr>
          </w:pPr>
          <w:r>
            <w:rPr>
              <w:rFonts w:hint="eastAsia"/>
              <w:sz w:val="21"/>
              <w:szCs w:val="21"/>
            </w:rPr>
            <w:t>单位：元币种：人民币</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5"/>
            <w:gridCol w:w="3017"/>
            <w:gridCol w:w="3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6" w:type="pct"/>
                <w:vAlign w:val="center"/>
              </w:tcPr>
              <w:p>
                <w:pPr>
                  <w:jc w:val="center"/>
                  <w:rPr>
                    <w:rFonts w:cs="Times New Roman"/>
                    <w:bCs w:val="0"/>
                  </w:rPr>
                </w:pPr>
                <w:r>
                  <w:rPr>
                    <w:rFonts w:hint="eastAsia" w:cs="Times New Roman"/>
                    <w:bCs w:val="0"/>
                  </w:rPr>
                  <w:t>项目</w:t>
                </w:r>
              </w:p>
            </w:tc>
            <w:tc>
              <w:tcPr>
                <w:tcW w:w="1667" w:type="pct"/>
                <w:vAlign w:val="center"/>
              </w:tcPr>
              <w:p>
                <w:pPr>
                  <w:jc w:val="center"/>
                  <w:rPr>
                    <w:rFonts w:cs="Times New Roman"/>
                    <w:bCs w:val="0"/>
                  </w:rPr>
                </w:pPr>
                <w:r>
                  <w:rPr>
                    <w:rFonts w:hint="eastAsia" w:cs="Times New Roman"/>
                    <w:bCs w:val="0"/>
                  </w:rPr>
                  <w:t>期末数</w:t>
                </w:r>
              </w:p>
            </w:tc>
            <w:tc>
              <w:tcPr>
                <w:tcW w:w="1667" w:type="pct"/>
                <w:vAlign w:val="center"/>
              </w:tcPr>
              <w:p>
                <w:pPr>
                  <w:jc w:val="center"/>
                  <w:rPr>
                    <w:rFonts w:cs="Times New Roman"/>
                    <w:bCs w:val="0"/>
                  </w:rPr>
                </w:pPr>
                <w:r>
                  <w:rPr>
                    <w:rFonts w:hint="eastAsia" w:cs="Times New Roman"/>
                    <w:bCs w:val="0"/>
                  </w:rPr>
                  <w:t>期初数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6" w:type="pct"/>
                <w:vAlign w:val="center"/>
              </w:tcPr>
              <w:p>
                <w:pPr>
                  <w:pStyle w:val="45"/>
                  <w:jc w:val="both"/>
                  <w:rPr>
                    <w:bCs/>
                    <w:sz w:val="21"/>
                    <w:szCs w:val="21"/>
                  </w:rPr>
                </w:pPr>
                <w:r>
                  <w:rPr>
                    <w:rFonts w:hint="eastAsia"/>
                    <w:bCs/>
                    <w:sz w:val="21"/>
                    <w:szCs w:val="21"/>
                  </w:rPr>
                  <w:t>短期借款</w:t>
                </w:r>
              </w:p>
            </w:tc>
            <w:tc>
              <w:tcPr>
                <w:tcW w:w="1667" w:type="pct"/>
                <w:vAlign w:val="center"/>
              </w:tcPr>
              <w:p>
                <w:pPr>
                  <w:jc w:val="right"/>
                  <w:rPr>
                    <w:rFonts w:cs="Times New Roman"/>
                    <w:bCs w:val="0"/>
                  </w:rPr>
                </w:pPr>
                <w:r>
                  <w:rPr>
                    <w:bCs w:val="0"/>
                  </w:rPr>
                  <w:t xml:space="preserve"> 275,194,422.53 </w:t>
                </w:r>
              </w:p>
            </w:tc>
            <w:tc>
              <w:tcPr>
                <w:tcW w:w="1667" w:type="pct"/>
                <w:vAlign w:val="center"/>
              </w:tcPr>
              <w:p>
                <w:pPr>
                  <w:jc w:val="right"/>
                  <w:rPr>
                    <w:rFonts w:cs="Times New Roman"/>
                    <w:bCs w:val="0"/>
                  </w:rPr>
                </w:pPr>
                <w:r>
                  <w:rPr>
                    <w:bCs w:val="0"/>
                  </w:rPr>
                  <w:t xml:space="preserve"> 144,345,541.84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6" w:type="pct"/>
                <w:vAlign w:val="center"/>
              </w:tcPr>
              <w:p>
                <w:pPr>
                  <w:pStyle w:val="45"/>
                  <w:jc w:val="both"/>
                  <w:rPr>
                    <w:bCs/>
                    <w:sz w:val="21"/>
                    <w:szCs w:val="21"/>
                  </w:rPr>
                </w:pPr>
                <w:r>
                  <w:rPr>
                    <w:rFonts w:hint="eastAsia"/>
                    <w:bCs/>
                    <w:sz w:val="21"/>
                    <w:szCs w:val="21"/>
                  </w:rPr>
                  <w:t>其中：供应商已收到款项</w:t>
                </w:r>
              </w:p>
            </w:tc>
            <w:tc>
              <w:tcPr>
                <w:tcW w:w="1667" w:type="pct"/>
                <w:vAlign w:val="center"/>
              </w:tcPr>
              <w:p>
                <w:pPr>
                  <w:jc w:val="right"/>
                  <w:rPr>
                    <w:rFonts w:cs="Times New Roman"/>
                    <w:bCs w:val="0"/>
                  </w:rPr>
                </w:pPr>
                <w:r>
                  <w:rPr>
                    <w:bCs w:val="0"/>
                  </w:rPr>
                  <w:t xml:space="preserve"> 275,194,422.53 </w:t>
                </w:r>
              </w:p>
            </w:tc>
            <w:tc>
              <w:tcPr>
                <w:tcW w:w="1667" w:type="pct"/>
                <w:vAlign w:val="center"/>
              </w:tcPr>
              <w:p>
                <w:pPr>
                  <w:jc w:val="right"/>
                  <w:rPr>
                    <w:rFonts w:cs="Times New Roman"/>
                    <w:bCs w:val="0"/>
                  </w:rPr>
                </w:pPr>
                <w:r>
                  <w:rPr>
                    <w:bCs w:val="0"/>
                  </w:rPr>
                  <w:t xml:space="preserve"> 144,345,541.84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66" w:type="pct"/>
                <w:vAlign w:val="center"/>
              </w:tcPr>
              <w:p>
                <w:pPr>
                  <w:jc w:val="center"/>
                  <w:rPr>
                    <w:rFonts w:cs="Times New Roman"/>
                    <w:bCs w:val="0"/>
                  </w:rPr>
                </w:pPr>
                <w:r>
                  <w:rPr>
                    <w:rFonts w:hint="eastAsia" w:cs="Times New Roman"/>
                    <w:bCs w:val="0"/>
                  </w:rPr>
                  <w:t>合计</w:t>
                </w:r>
              </w:p>
            </w:tc>
            <w:tc>
              <w:tcPr>
                <w:tcW w:w="1667" w:type="pct"/>
                <w:vAlign w:val="center"/>
              </w:tcPr>
              <w:p>
                <w:pPr>
                  <w:jc w:val="right"/>
                  <w:rPr>
                    <w:rFonts w:cs="Times New Roman"/>
                    <w:bCs w:val="0"/>
                  </w:rPr>
                </w:pPr>
                <w:r>
                  <w:rPr>
                    <w:bCs w:val="0"/>
                  </w:rPr>
                  <w:t xml:space="preserve"> 275,194,422.53 </w:t>
                </w:r>
              </w:p>
            </w:tc>
            <w:tc>
              <w:tcPr>
                <w:tcW w:w="1667" w:type="pct"/>
                <w:vAlign w:val="center"/>
              </w:tcPr>
              <w:p>
                <w:pPr>
                  <w:jc w:val="right"/>
                  <w:rPr>
                    <w:rFonts w:cs="Times New Roman"/>
                    <w:bCs w:val="0"/>
                  </w:rPr>
                </w:pPr>
                <w:r>
                  <w:rPr>
                    <w:bCs w:val="0"/>
                  </w:rPr>
                  <w:t xml:space="preserve"> 144,345,541.84 </w:t>
                </w:r>
              </w:p>
            </w:tc>
          </w:tr>
        </w:tbl>
        <w:p>
          <w:pPr>
            <w:pStyle w:val="42"/>
            <w:spacing w:line="360" w:lineRule="exact"/>
            <w:ind w:firstLine="420" w:firstLineChars="200"/>
            <w:rPr>
              <w:rFonts w:hint="eastAsia" w:cs="宋体"/>
              <w:sz w:val="21"/>
              <w:szCs w:val="21"/>
            </w:rPr>
          </w:pPr>
          <w:r>
            <w:rPr>
              <w:rFonts w:hint="eastAsia" w:cs="宋体"/>
              <w:sz w:val="21"/>
              <w:szCs w:val="21"/>
            </w:rPr>
            <w:t>相关负债非现金变动情况</w:t>
          </w:r>
        </w:p>
        <w:p>
          <w:pPr>
            <w:pStyle w:val="42"/>
            <w:jc w:val="right"/>
            <w:rPr>
              <w:rFonts w:hint="eastAsia"/>
              <w:sz w:val="21"/>
              <w:szCs w:val="21"/>
            </w:rPr>
          </w:pPr>
          <w:r>
            <w:rPr>
              <w:rFonts w:hint="eastAsia"/>
              <w:sz w:val="21"/>
              <w:szCs w:val="21"/>
            </w:rPr>
            <w:t>单位：元 币种：人民币</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2"/>
            <w:gridCol w:w="42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8" w:type="pct"/>
                <w:vAlign w:val="center"/>
              </w:tcPr>
              <w:p>
                <w:pPr>
                  <w:jc w:val="both"/>
                  <w:rPr>
                    <w:rFonts w:cs="Times New Roman"/>
                    <w:bCs w:val="0"/>
                  </w:rPr>
                </w:pPr>
                <w:r>
                  <w:rPr>
                    <w:rFonts w:hint="eastAsia" w:cs="Times New Roman"/>
                    <w:bCs w:val="0"/>
                  </w:rPr>
                  <w:t>非现金变动类型</w:t>
                </w:r>
              </w:p>
            </w:tc>
            <w:tc>
              <w:tcPr>
                <w:tcW w:w="2352" w:type="pct"/>
                <w:vAlign w:val="center"/>
              </w:tcPr>
              <w:p>
                <w:pPr>
                  <w:jc w:val="center"/>
                  <w:rPr>
                    <w:rFonts w:cs="Times New Roman"/>
                    <w:bCs w:val="0"/>
                  </w:rPr>
                </w:pPr>
                <w:r>
                  <w:rPr>
                    <w:rFonts w:hint="eastAsia" w:cs="Times New Roman"/>
                    <w:bCs w:val="0"/>
                  </w:rPr>
                  <w:t>本期数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648" w:type="pct"/>
                <w:vAlign w:val="center"/>
              </w:tcPr>
              <w:p>
                <w:pPr>
                  <w:jc w:val="both"/>
                  <w:rPr>
                    <w:rFonts w:cs="Times New Roman"/>
                    <w:bCs w:val="0"/>
                  </w:rPr>
                </w:pPr>
                <w:r>
                  <w:rPr>
                    <w:rFonts w:hint="eastAsia" w:cs="Times New Roman"/>
                    <w:bCs w:val="0"/>
                  </w:rPr>
                  <w:t>从应付账款转至短期借款</w:t>
                </w:r>
              </w:p>
            </w:tc>
            <w:tc>
              <w:tcPr>
                <w:tcW w:w="2352" w:type="pct"/>
                <w:vAlign w:val="center"/>
              </w:tcPr>
              <w:p>
                <w:pPr>
                  <w:jc w:val="right"/>
                  <w:rPr>
                    <w:rFonts w:cs="Times New Roman"/>
                    <w:bCs w:val="0"/>
                  </w:rPr>
                </w:pPr>
                <w:r>
                  <w:rPr>
                    <w:rFonts w:cs="Times New Roman"/>
                    <w:bCs w:val="0"/>
                  </w:rPr>
                  <w:t>275,194,422.53</w:t>
                </w:r>
              </w:p>
            </w:tc>
          </w:tr>
        </w:tbl>
        <w:p>
          <w:pPr>
            <w:rPr>
              <w:color w:val="000000" w:themeColor="text1"/>
              <w14:textFill>
                <w14:solidFill>
                  <w14:schemeClr w14:val="tx1"/>
                </w14:solidFill>
              </w14:textFill>
            </w:rPr>
          </w:pPr>
        </w:p>
      </w:sdtContent>
    </w:sdt>
    <w:p>
      <w:pPr>
        <w:pStyle w:val="3"/>
        <w:numPr>
          <w:ilvl w:val="0"/>
          <w:numId w:val="31"/>
        </w:numPr>
        <w:ind w:left="420" w:hanging="420"/>
        <w:rPr>
          <w:rFonts w:hint="eastAsia" w:ascii="宋体" w:hAnsi="宋体"/>
          <w:color w:val="000000" w:themeColor="text1"/>
          <w14:textFill>
            <w14:solidFill>
              <w14:schemeClr w14:val="tx1"/>
            </w14:solidFill>
          </w14:textFill>
        </w:rPr>
      </w:pPr>
      <w:bookmarkStart w:id="421" w:name="_Hlk40108415"/>
      <w:bookmarkStart w:id="422" w:name="_Hlk167971708"/>
      <w:r>
        <w:rPr>
          <w:rFonts w:hint="eastAsia" w:ascii="宋体" w:hAnsi="宋体"/>
          <w:color w:val="000000" w:themeColor="text1"/>
          <w14:textFill>
            <w14:solidFill>
              <w14:schemeClr w14:val="tx1"/>
            </w14:solidFill>
          </w14:textFill>
        </w:rPr>
        <w:t>研发支出</w:t>
      </w:r>
    </w:p>
    <w:p>
      <w:pPr>
        <w:pStyle w:val="4"/>
        <w:numPr>
          <w:ilvl w:val="0"/>
          <w:numId w:val="77"/>
        </w:numPr>
        <w:ind w:left="360" w:hanging="360"/>
        <w:rPr>
          <w:color w:val="000000" w:themeColor="text1"/>
          <w14:textFill>
            <w14:solidFill>
              <w14:schemeClr w14:val="tx1"/>
            </w14:solidFill>
          </w14:textFill>
        </w:rPr>
      </w:pPr>
      <w:r>
        <w:rPr>
          <w:rFonts w:hint="eastAsia"/>
          <w:color w:val="000000" w:themeColor="text1"/>
          <w14:textFill>
            <w14:solidFill>
              <w14:schemeClr w14:val="tx1"/>
            </w14:solidFill>
          </w14:textFill>
        </w:rPr>
        <w:t>按费用性质列示</w:t>
      </w:r>
    </w:p>
    <w:sdt>
      <w:sdtPr>
        <w:rPr>
          <w:color w:val="000000" w:themeColor="text1"/>
          <w14:textFill>
            <w14:solidFill>
              <w14:schemeClr w14:val="tx1"/>
            </w14:solidFill>
          </w14:textFill>
        </w:rPr>
        <w:alias w:val="是否适用：研发费用[双击切换]"/>
        <w:tag w:val="_GBC_c038265fdb0b49dea367e73fadbd1bf3"/>
        <w:id w:val="117731632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ind w:left="420" w:firstLine="0" w:firstLineChars="0"/>
        <w:jc w:val="righ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单位：</w:t>
      </w:r>
      <w:sdt>
        <w:sdtPr>
          <w:rPr>
            <w:rFonts w:hint="eastAsia"/>
            <w:color w:val="000000" w:themeColor="text1"/>
            <w:szCs w:val="21"/>
            <w14:textFill>
              <w14:solidFill>
                <w14:schemeClr w14:val="tx1"/>
              </w14:solidFill>
            </w14:textFill>
          </w:rPr>
          <w:alias w:val="单位：研发费用"/>
          <w:tag w:val="_GBC_ba6e122abfd8443283c681cd38b3d395"/>
          <w:id w:val="21131637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元</w:t>
          </w:r>
        </w:sdtContent>
      </w:sdt>
      <w:r>
        <w:rPr>
          <w:rFonts w:hint="eastAsia"/>
          <w:color w:val="000000" w:themeColor="text1"/>
          <w:szCs w:val="21"/>
          <w14:textFill>
            <w14:solidFill>
              <w14:schemeClr w14:val="tx1"/>
            </w14:solidFill>
          </w14:textFill>
        </w:rPr>
        <w:t xml:space="preserve"> 币种：</w:t>
      </w:r>
      <w:sdt>
        <w:sdtPr>
          <w:rPr>
            <w:rFonts w:hint="eastAsia"/>
            <w:color w:val="000000" w:themeColor="text1"/>
            <w:szCs w:val="21"/>
            <w14:textFill>
              <w14:solidFill>
                <w14:schemeClr w14:val="tx1"/>
              </w14:solidFill>
            </w14:textFill>
          </w:rPr>
          <w:alias w:val="币种：研发费用"/>
          <w:tag w:val="_GBC_d5e978ec78684853899851ff1623b4fc"/>
          <w:id w:val="62327467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szCs w:val="21"/>
            <w14:textFill>
              <w14:solidFill>
                <w14:schemeClr w14:val="tx1"/>
              </w14:solidFill>
            </w14:textFill>
          </w:rPr>
        </w:sdtEndPr>
        <w:sdtContent>
          <w:r>
            <w:rPr>
              <w:rFonts w:hint="eastAsia"/>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5"/>
        <w:gridCol w:w="2604"/>
        <w:gridCol w:w="2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d7c4dfc9e774f139ca83d0601e815ea"/>
            <w:id w:val="-1878002708"/>
          </w:sdtPr>
          <w:sdtContent>
            <w:tc>
              <w:tcPr>
                <w:tcW w:w="2213"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d1e5baa8c6741cda3956270e192cc79"/>
            <w:id w:val="273613899"/>
          </w:sdtPr>
          <w:sdtContent>
            <w:tc>
              <w:tcPr>
                <w:tcW w:w="1439"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91cd6ee02fbd4f6e86f6503667dce560"/>
            <w:id w:val="-382025951"/>
          </w:sdtPr>
          <w:sdtContent>
            <w:tc>
              <w:tcPr>
                <w:tcW w:w="1348"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t>职工薪酬</w:t>
            </w:r>
          </w:p>
        </w:tc>
        <w:tc>
          <w:tcPr>
            <w:tcW w:w="1439" w:type="pct"/>
            <w:tcBorders>
              <w:top w:val="single" w:color="auto" w:sz="4" w:space="0"/>
              <w:left w:val="single" w:color="auto" w:sz="4" w:space="0"/>
              <w:bottom w:val="single" w:color="auto" w:sz="4" w:space="0"/>
              <w:right w:val="single" w:color="auto" w:sz="4" w:space="0"/>
            </w:tcBorders>
          </w:tcPr>
          <w:p>
            <w:pPr>
              <w:jc w:val="right"/>
            </w:pPr>
            <w:r>
              <w:t>8,157,887.47</w:t>
            </w:r>
          </w:p>
        </w:tc>
        <w:tc>
          <w:tcPr>
            <w:tcW w:w="1348" w:type="pct"/>
            <w:tcBorders>
              <w:top w:val="single" w:color="auto" w:sz="4" w:space="0"/>
              <w:left w:val="single" w:color="auto" w:sz="4" w:space="0"/>
              <w:bottom w:val="single" w:color="auto" w:sz="4" w:space="0"/>
              <w:right w:val="single" w:color="auto" w:sz="4" w:space="0"/>
            </w:tcBorders>
          </w:tcPr>
          <w:p>
            <w:pPr>
              <w:jc w:val="right"/>
            </w:pPr>
            <w:r>
              <w:t>8,424,753.77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t>检测费及委外研究费用</w:t>
            </w:r>
          </w:p>
        </w:tc>
        <w:tc>
          <w:tcPr>
            <w:tcW w:w="1439" w:type="pct"/>
            <w:tcBorders>
              <w:top w:val="single" w:color="auto" w:sz="4" w:space="0"/>
              <w:left w:val="single" w:color="auto" w:sz="4" w:space="0"/>
              <w:bottom w:val="single" w:color="auto" w:sz="4" w:space="0"/>
              <w:right w:val="single" w:color="auto" w:sz="4" w:space="0"/>
            </w:tcBorders>
          </w:tcPr>
          <w:p>
            <w:pPr>
              <w:jc w:val="right"/>
            </w:pPr>
            <w:r>
              <w:t>4,362,270.73</w:t>
            </w:r>
          </w:p>
        </w:tc>
        <w:tc>
          <w:tcPr>
            <w:tcW w:w="1348" w:type="pct"/>
            <w:tcBorders>
              <w:top w:val="single" w:color="auto" w:sz="4" w:space="0"/>
              <w:left w:val="single" w:color="auto" w:sz="4" w:space="0"/>
              <w:bottom w:val="single" w:color="auto" w:sz="4" w:space="0"/>
              <w:right w:val="single" w:color="auto" w:sz="4" w:space="0"/>
            </w:tcBorders>
          </w:tcPr>
          <w:p>
            <w:pPr>
              <w:jc w:val="right"/>
            </w:pPr>
            <w:r>
              <w:t>2,762,514.20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t>材料费</w:t>
            </w:r>
          </w:p>
        </w:tc>
        <w:tc>
          <w:tcPr>
            <w:tcW w:w="1439" w:type="pct"/>
            <w:tcBorders>
              <w:top w:val="single" w:color="auto" w:sz="4" w:space="0"/>
              <w:left w:val="single" w:color="auto" w:sz="4" w:space="0"/>
              <w:bottom w:val="single" w:color="auto" w:sz="4" w:space="0"/>
              <w:right w:val="single" w:color="auto" w:sz="4" w:space="0"/>
            </w:tcBorders>
          </w:tcPr>
          <w:p>
            <w:pPr>
              <w:jc w:val="right"/>
            </w:pPr>
            <w:r>
              <w:t>3,946,989.72</w:t>
            </w:r>
          </w:p>
        </w:tc>
        <w:tc>
          <w:tcPr>
            <w:tcW w:w="1348" w:type="pct"/>
            <w:tcBorders>
              <w:top w:val="single" w:color="auto" w:sz="4" w:space="0"/>
              <w:left w:val="single" w:color="auto" w:sz="4" w:space="0"/>
              <w:bottom w:val="single" w:color="auto" w:sz="4" w:space="0"/>
              <w:right w:val="single" w:color="auto" w:sz="4" w:space="0"/>
            </w:tcBorders>
          </w:tcPr>
          <w:p>
            <w:pPr>
              <w:jc w:val="right"/>
            </w:pPr>
            <w:r>
              <w:t>5,768,168.87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折旧费</w:t>
            </w:r>
          </w:p>
        </w:tc>
        <w:tc>
          <w:tcPr>
            <w:tcW w:w="1439" w:type="pct"/>
            <w:tcBorders>
              <w:top w:val="single" w:color="auto" w:sz="4" w:space="0"/>
              <w:left w:val="single" w:color="auto" w:sz="4" w:space="0"/>
              <w:bottom w:val="single" w:color="auto" w:sz="4" w:space="0"/>
              <w:right w:val="single" w:color="auto" w:sz="4" w:space="0"/>
            </w:tcBorders>
          </w:tcPr>
          <w:p>
            <w:pPr>
              <w:jc w:val="right"/>
            </w:pPr>
            <w:r>
              <w:t>3,493,806.11</w:t>
            </w:r>
          </w:p>
        </w:tc>
        <w:tc>
          <w:tcPr>
            <w:tcW w:w="1348" w:type="pct"/>
            <w:tcBorders>
              <w:top w:val="single" w:color="auto" w:sz="4" w:space="0"/>
              <w:left w:val="single" w:color="auto" w:sz="4" w:space="0"/>
              <w:bottom w:val="single" w:color="auto" w:sz="4" w:space="0"/>
              <w:right w:val="single" w:color="auto" w:sz="4" w:space="0"/>
            </w:tcBorders>
          </w:tcPr>
          <w:p>
            <w:pPr>
              <w:jc w:val="right"/>
            </w:pPr>
            <w:r>
              <w:t>2,213,805.27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燃料及动力</w:t>
            </w:r>
          </w:p>
        </w:tc>
        <w:tc>
          <w:tcPr>
            <w:tcW w:w="1439" w:type="pct"/>
            <w:tcBorders>
              <w:top w:val="single" w:color="auto" w:sz="4" w:space="0"/>
              <w:left w:val="single" w:color="auto" w:sz="4" w:space="0"/>
              <w:bottom w:val="single" w:color="auto" w:sz="4" w:space="0"/>
              <w:right w:val="single" w:color="auto" w:sz="4" w:space="0"/>
            </w:tcBorders>
          </w:tcPr>
          <w:p>
            <w:pPr>
              <w:jc w:val="right"/>
            </w:pPr>
            <w:r>
              <w:t>141,261.73</w:t>
            </w:r>
          </w:p>
        </w:tc>
        <w:tc>
          <w:tcPr>
            <w:tcW w:w="1348" w:type="pct"/>
            <w:tcBorders>
              <w:top w:val="single" w:color="auto" w:sz="4" w:space="0"/>
              <w:left w:val="single" w:color="auto" w:sz="4" w:space="0"/>
              <w:bottom w:val="single" w:color="auto" w:sz="4" w:space="0"/>
              <w:right w:val="single" w:color="auto" w:sz="4" w:space="0"/>
            </w:tcBorders>
          </w:tcPr>
          <w:p>
            <w:pPr>
              <w:jc w:val="right"/>
            </w:pPr>
            <w:r>
              <w:t>158,929.24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tcPr>
          <w:p>
            <w:pPr>
              <w:pStyle w:val="48"/>
            </w:pPr>
            <w:r>
              <w:rPr>
                <w:rFonts w:hint="eastAsia"/>
              </w:rPr>
              <w:t>其他</w:t>
            </w:r>
          </w:p>
        </w:tc>
        <w:tc>
          <w:tcPr>
            <w:tcW w:w="1439" w:type="pct"/>
            <w:tcBorders>
              <w:top w:val="single" w:color="auto" w:sz="4" w:space="0"/>
              <w:left w:val="single" w:color="auto" w:sz="4" w:space="0"/>
              <w:bottom w:val="single" w:color="auto" w:sz="4" w:space="0"/>
              <w:right w:val="single" w:color="auto" w:sz="4" w:space="0"/>
            </w:tcBorders>
          </w:tcPr>
          <w:p>
            <w:pPr>
              <w:jc w:val="right"/>
            </w:pPr>
            <w:r>
              <w:t>652,686.74</w:t>
            </w:r>
          </w:p>
        </w:tc>
        <w:tc>
          <w:tcPr>
            <w:tcW w:w="1348" w:type="pct"/>
            <w:tcBorders>
              <w:top w:val="single" w:color="auto" w:sz="4" w:space="0"/>
              <w:left w:val="single" w:color="auto" w:sz="4" w:space="0"/>
              <w:bottom w:val="single" w:color="auto" w:sz="4" w:space="0"/>
              <w:right w:val="single" w:color="auto" w:sz="4" w:space="0"/>
            </w:tcBorders>
          </w:tcPr>
          <w:p>
            <w:pPr>
              <w:jc w:val="right"/>
            </w:pPr>
            <w:r>
              <w:t>1,236,872.69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39" w:type="pct"/>
            <w:tcBorders>
              <w:top w:val="single" w:color="auto" w:sz="4" w:space="0"/>
              <w:left w:val="single" w:color="auto" w:sz="4" w:space="0"/>
              <w:bottom w:val="single" w:color="auto" w:sz="4" w:space="0"/>
              <w:right w:val="single" w:color="auto" w:sz="4" w:space="0"/>
            </w:tcBorders>
          </w:tcPr>
          <w:p>
            <w:pPr>
              <w:jc w:val="right"/>
            </w:pPr>
            <w:r>
              <w:t>20,754,902.50</w:t>
            </w:r>
          </w:p>
        </w:tc>
        <w:tc>
          <w:tcPr>
            <w:tcW w:w="1348" w:type="pct"/>
            <w:tcBorders>
              <w:top w:val="single" w:color="auto" w:sz="4" w:space="0"/>
              <w:left w:val="single" w:color="auto" w:sz="4" w:space="0"/>
              <w:bottom w:val="single" w:color="auto" w:sz="4" w:space="0"/>
              <w:right w:val="single" w:color="auto" w:sz="4" w:space="0"/>
            </w:tcBorders>
          </w:tcPr>
          <w:p>
            <w:pPr>
              <w:jc w:val="right"/>
            </w:pPr>
            <w:r>
              <w:t>20,565,044.04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其中：费用化研发支出</w:t>
            </w:r>
          </w:p>
        </w:tc>
        <w:tc>
          <w:tcPr>
            <w:tcW w:w="1439" w:type="pct"/>
            <w:tcBorders>
              <w:top w:val="single" w:color="auto" w:sz="4" w:space="0"/>
              <w:left w:val="single" w:color="auto" w:sz="4" w:space="0"/>
              <w:bottom w:val="single" w:color="auto" w:sz="4" w:space="0"/>
              <w:right w:val="single" w:color="auto" w:sz="4" w:space="0"/>
            </w:tcBorders>
          </w:tcPr>
          <w:p>
            <w:pPr>
              <w:jc w:val="right"/>
            </w:pPr>
            <w:r>
              <w:t>20,754,902.50</w:t>
            </w:r>
          </w:p>
        </w:tc>
        <w:tc>
          <w:tcPr>
            <w:tcW w:w="1348" w:type="pct"/>
            <w:tcBorders>
              <w:top w:val="single" w:color="auto" w:sz="4" w:space="0"/>
              <w:left w:val="single" w:color="auto" w:sz="4" w:space="0"/>
              <w:bottom w:val="single" w:color="auto" w:sz="4" w:space="0"/>
              <w:right w:val="single" w:color="auto" w:sz="4" w:space="0"/>
            </w:tcBorders>
          </w:tcPr>
          <w:p>
            <w:pPr>
              <w:jc w:val="right"/>
            </w:pPr>
            <w:r>
              <w:t>20,565,044.04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3" w:type="pct"/>
            <w:tcBorders>
              <w:top w:val="single" w:color="auto" w:sz="4" w:space="0"/>
              <w:left w:val="single" w:color="auto" w:sz="4" w:space="0"/>
              <w:bottom w:val="single" w:color="auto" w:sz="4" w:space="0"/>
              <w:right w:val="single" w:color="auto" w:sz="4" w:space="0"/>
            </w:tcBorders>
            <w:vAlign w:val="center"/>
          </w:tcPr>
          <w:p>
            <w:pPr>
              <w:ind w:firstLine="630" w:firstLineChars="300"/>
              <w:rPr>
                <w:color w:val="000000" w:themeColor="text1"/>
                <w14:textFill>
                  <w14:solidFill>
                    <w14:schemeClr w14:val="tx1"/>
                  </w14:solidFill>
                </w14:textFill>
              </w:rPr>
            </w:pPr>
            <w:r>
              <w:rPr>
                <w:rFonts w:hint="eastAsia"/>
                <w:color w:val="000000" w:themeColor="text1"/>
                <w14:textFill>
                  <w14:solidFill>
                    <w14:schemeClr w14:val="tx1"/>
                  </w14:solidFill>
                </w14:textFill>
              </w:rPr>
              <w:t>资本化研发支出</w:t>
            </w:r>
          </w:p>
        </w:tc>
        <w:tc>
          <w:tcPr>
            <w:tcW w:w="1439" w:type="pct"/>
            <w:tcBorders>
              <w:top w:val="single" w:color="auto" w:sz="4" w:space="0"/>
              <w:left w:val="single" w:color="auto" w:sz="4" w:space="0"/>
              <w:bottom w:val="single" w:color="auto" w:sz="4" w:space="0"/>
              <w:right w:val="single" w:color="auto" w:sz="4" w:space="0"/>
            </w:tcBorders>
          </w:tcPr>
          <w:p>
            <w:pPr>
              <w:jc w:val="right"/>
            </w:pPr>
          </w:p>
        </w:tc>
        <w:tc>
          <w:tcPr>
            <w:tcW w:w="1348" w:type="pct"/>
            <w:tcBorders>
              <w:top w:val="single" w:color="auto" w:sz="4" w:space="0"/>
              <w:left w:val="single" w:color="auto" w:sz="4" w:space="0"/>
              <w:bottom w:val="single" w:color="auto" w:sz="4" w:space="0"/>
              <w:right w:val="single" w:color="auto" w:sz="4" w:space="0"/>
            </w:tcBorders>
          </w:tcPr>
          <w:p>
            <w:pPr>
              <w:jc w:val="right"/>
            </w:pPr>
          </w:p>
        </w:tc>
      </w:tr>
    </w:tbl>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研发支出按费用性质列示的其他说明"/>
        <w:tag w:val="_GBC_6b3d42161462405e8011d40253de8df9"/>
        <w:id w:val="-11799547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421"/>
    <w:p>
      <w:pPr>
        <w:pStyle w:val="4"/>
        <w:numPr>
          <w:ilvl w:val="0"/>
          <w:numId w:val="77"/>
        </w:numPr>
        <w:spacing w:line="360" w:lineRule="exact"/>
        <w:ind w:left="360" w:hanging="360"/>
        <w:rPr>
          <w:color w:val="000000" w:themeColor="text1"/>
          <w14:textFill>
            <w14:solidFill>
              <w14:schemeClr w14:val="tx1"/>
            </w14:solidFill>
          </w14:textFill>
        </w:rPr>
      </w:pPr>
      <w:bookmarkStart w:id="423" w:name="_Hlk153266294"/>
      <w:r>
        <w:rPr>
          <w:rFonts w:hint="eastAsia"/>
          <w:color w:val="000000" w:themeColor="text1"/>
          <w14:textFill>
            <w14:solidFill>
              <w14:schemeClr w14:val="tx1"/>
            </w14:solidFill>
          </w14:textFill>
        </w:rPr>
        <w:t>符合资本化条件的研发项目开发支出</w:t>
      </w:r>
    </w:p>
    <w:sdt>
      <w:sdtPr>
        <w:rPr>
          <w:color w:val="000000" w:themeColor="text1"/>
          <w14:textFill>
            <w14:solidFill>
              <w14:schemeClr w14:val="tx1"/>
            </w14:solidFill>
          </w14:textFill>
        </w:rPr>
        <w:alias w:val="是否适用：开发支出[双击切换]"/>
        <w:tag w:val="_GBC_c4491189045f4579aa1097e6d5456e9e"/>
        <w:id w:val="298188122"/>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23"/>
    <w:p>
      <w:pPr>
        <w:spacing w:line="360" w:lineRule="exact"/>
        <w:rPr>
          <w:color w:val="000000" w:themeColor="text1"/>
          <w14:textFill>
            <w14:solidFill>
              <w14:schemeClr w14:val="tx1"/>
            </w14:solidFill>
          </w14:textFill>
        </w:rPr>
      </w:pPr>
      <w:r>
        <w:rPr>
          <w:color w:val="000000" w:themeColor="text1"/>
          <w14:textFill>
            <w14:solidFill>
              <w14:schemeClr w14:val="tx1"/>
            </w14:solidFill>
          </w14:textFill>
        </w:rPr>
        <w:t>重要的资本化研发项目</w:t>
      </w:r>
    </w:p>
    <w:sdt>
      <w:sdtPr>
        <w:rPr>
          <w:color w:val="000000" w:themeColor="text1"/>
          <w14:textFill>
            <w14:solidFill>
              <w14:schemeClr w14:val="tx1"/>
            </w14:solidFill>
          </w14:textFill>
        </w:rPr>
        <w:alias w:val="是否适用：重要的资本化研发项目[双击切换]"/>
        <w:tag w:val="_GBC_1cd050ceff7c445bb12c764341f77187"/>
        <w:id w:val="-47545277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color w:val="000000" w:themeColor="text1"/>
          <w14:textFill>
            <w14:solidFill>
              <w14:schemeClr w14:val="tx1"/>
            </w14:solidFill>
          </w14:textFill>
        </w:rPr>
        <w:t>开发支出减值准备</w:t>
      </w:r>
    </w:p>
    <w:sdt>
      <w:sdtPr>
        <w:rPr>
          <w:color w:val="000000" w:themeColor="text1"/>
          <w14:textFill>
            <w14:solidFill>
              <w14:schemeClr w14:val="tx1"/>
            </w14:solidFill>
          </w14:textFill>
        </w:rPr>
        <w:alias w:val="是否适用：开发支出减值准备[双击切换]"/>
        <w:tag w:val="_GBC_61f8745227c4412fa050b0628c64a40a"/>
        <w:id w:val="223501400"/>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符合资本化条件的研发项目开发支出的其他说明"/>
        <w:tag w:val="_GBC_6f5dba19dcad4294ab6f74834cfe3448"/>
        <w:id w:val="-21027079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77"/>
        </w:numPr>
        <w:ind w:left="360" w:hanging="360"/>
        <w:rPr>
          <w:color w:val="000000" w:themeColor="text1"/>
          <w14:textFill>
            <w14:solidFill>
              <w14:schemeClr w14:val="tx1"/>
            </w14:solidFill>
          </w14:textFill>
        </w:rPr>
      </w:pPr>
      <w:r>
        <w:rPr>
          <w:rFonts w:hint="eastAsia"/>
          <w:color w:val="000000" w:themeColor="text1"/>
          <w14:textFill>
            <w14:solidFill>
              <w14:schemeClr w14:val="tx1"/>
            </w14:solidFill>
          </w14:textFill>
        </w:rPr>
        <w:t>重要的外购在研项目</w:t>
      </w:r>
    </w:p>
    <w:sdt>
      <w:sdtPr>
        <w:rPr>
          <w:color w:val="000000" w:themeColor="text1"/>
          <w14:textFill>
            <w14:solidFill>
              <w14:schemeClr w14:val="tx1"/>
            </w14:solidFill>
          </w14:textFill>
        </w:rPr>
        <w:alias w:val="是否适用：重要的外购在研项目[双击切换]"/>
        <w:tag w:val="_GBC_d8453a2bfa274fa6906f48d9a4c81bac"/>
        <w:id w:val="132324126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p>
    <w:bookmarkEnd w:id="422"/>
    <w:p>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pPr>
        <w:pStyle w:val="3"/>
        <w:numPr>
          <w:ilvl w:val="0"/>
          <w:numId w:val="31"/>
        </w:numPr>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合并范围的变更</w:t>
      </w:r>
    </w:p>
    <w:p>
      <w:pPr>
        <w:pStyle w:val="4"/>
        <w:numPr>
          <w:ilvl w:val="0"/>
          <w:numId w:val="78"/>
        </w:numPr>
        <w:rPr>
          <w:rFonts w:hint="eastAsia"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非同一控制下企业合并</w:t>
      </w:r>
    </w:p>
    <w:sdt>
      <w:sdtPr>
        <w:rPr>
          <w:color w:val="000000" w:themeColor="text1"/>
          <w14:textFill>
            <w14:solidFill>
              <w14:schemeClr w14:val="tx1"/>
            </w14:solidFill>
          </w14:textFill>
        </w:rPr>
        <w:alias w:val="是否适用：非同一控制下企业合并[双击切换]"/>
        <w:tag w:val="_GBC_2f9a65b0b4644b14ab5af1407e6467f1"/>
        <w:id w:val="214268704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79"/>
        </w:numPr>
        <w:ind w:left="426" w:hanging="426"/>
        <w:rPr>
          <w:rStyle w:val="27"/>
          <w:rFonts w:hint="eastAsia" w:ascii="宋体" w:hAnsi="宋体"/>
          <w:b/>
          <w:bCs/>
          <w:color w:val="000000" w:themeColor="text1"/>
          <w:szCs w:val="21"/>
          <w14:textFill>
            <w14:solidFill>
              <w14:schemeClr w14:val="tx1"/>
            </w14:solidFill>
          </w14:textFill>
        </w:rPr>
      </w:pPr>
      <w:bookmarkStart w:id="424" w:name="_Hlk167972301"/>
      <w:r>
        <w:rPr>
          <w:rStyle w:val="27"/>
          <w:rFonts w:hint="eastAsia" w:ascii="宋体" w:hAnsi="宋体"/>
          <w:b/>
          <w:bCs/>
          <w:color w:val="000000" w:themeColor="text1"/>
          <w:szCs w:val="21"/>
          <w14:textFill>
            <w14:solidFill>
              <w14:schemeClr w14:val="tx1"/>
            </w14:solidFill>
          </w14:textFill>
        </w:rPr>
        <w:t>本期发生的非同一控制下企业合并交易</w:t>
      </w:r>
    </w:p>
    <w:sdt>
      <w:sdtPr>
        <w:rPr>
          <w:color w:val="000000" w:themeColor="text1"/>
          <w14:textFill>
            <w14:solidFill>
              <w14:schemeClr w14:val="tx1"/>
            </w14:solidFill>
          </w14:textFill>
        </w:rPr>
        <w:alias w:val="是否适用：本期发生的非同一控制下企业合并[双击切换]"/>
        <w:tag w:val="_GBC_e96a44415dda407ea2833d06f7591e32"/>
        <w:id w:val="112157005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非同一控制下企业合并取得的子公司"/>
          <w:tag w:val="_GBC_f12eef1c07684ee9a3ebbced2441606f"/>
          <w:id w:val="-198693169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非同一控制下企业合并取得的子公司"/>
          <w:tag w:val="_GBC_91871619ee1d4df192c515942bfa9a82"/>
          <w:id w:val="-56757234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3"/>
        <w:gridCol w:w="1221"/>
        <w:gridCol w:w="934"/>
        <w:gridCol w:w="1133"/>
        <w:gridCol w:w="934"/>
        <w:gridCol w:w="1221"/>
        <w:gridCol w:w="1138"/>
        <w:gridCol w:w="1646"/>
        <w:gridCol w:w="2109"/>
        <w:gridCol w:w="2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sdt>
          <w:sdtPr>
            <w:tag w:val="_PLD_1c36b515b9fa4a11b1fa28fc1246a4ea"/>
            <w:id w:val="244319353"/>
          </w:sdtPr>
          <w:sdtContent>
            <w:tc>
              <w:tcPr>
                <w:tcW w:w="0" w:type="auto"/>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被购买方名称</w:t>
                </w:r>
              </w:p>
            </w:tc>
          </w:sdtContent>
        </w:sdt>
        <w:sdt>
          <w:sdtPr>
            <w:tag w:val="_PLD_ebd0f7a9278c40b393033bfa8f3ab54f"/>
            <w:id w:val="-474135861"/>
          </w:sdtPr>
          <w:sdtContent>
            <w:tc>
              <w:tcPr>
                <w:tcW w:w="0" w:type="auto"/>
                <w:vAlign w:val="center"/>
              </w:tcPr>
              <w:p>
                <w:pPr>
                  <w:jc w:val="cente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股权取得时点</w:t>
                </w:r>
              </w:p>
            </w:tc>
          </w:sdtContent>
        </w:sdt>
        <w:sdt>
          <w:sdtPr>
            <w:tag w:val="_PLD_c682526ea50b46b9bae48b7b9fd356a1"/>
            <w:id w:val="-1212813204"/>
          </w:sdtPr>
          <w:sdtContent>
            <w:tc>
              <w:tcPr>
                <w:tcW w:w="0" w:type="auto"/>
                <w:vAlign w:val="center"/>
              </w:tcPr>
              <w:p>
                <w:pPr>
                  <w:jc w:val="cente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股权取得成本</w:t>
                </w:r>
              </w:p>
            </w:tc>
          </w:sdtContent>
        </w:sdt>
        <w:sdt>
          <w:sdtPr>
            <w:tag w:val="_PLD_e3363b6ddcfb4bb4b0a40ebc55aea79a"/>
            <w:id w:val="-1141571248"/>
          </w:sdtPr>
          <w:sdtContent>
            <w:tc>
              <w:tcPr>
                <w:tcW w:w="0" w:type="auto"/>
                <w:vAlign w:val="center"/>
              </w:tcPr>
              <w:p>
                <w:pPr>
                  <w:jc w:val="cente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股权取得比例</w:t>
                </w:r>
              </w:p>
              <w:p>
                <w:pPr>
                  <w:jc w:val="cente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w:t>
                </w:r>
              </w:p>
            </w:tc>
          </w:sdtContent>
        </w:sdt>
        <w:sdt>
          <w:sdtPr>
            <w:tag w:val="_PLD_fbb35b304ba74e4c9059f5df287cbf7c"/>
            <w:id w:val="-1788347487"/>
          </w:sdtPr>
          <w:sdtContent>
            <w:tc>
              <w:tcPr>
                <w:tcW w:w="0" w:type="auto"/>
                <w:vAlign w:val="center"/>
              </w:tcPr>
              <w:p>
                <w:pPr>
                  <w:jc w:val="cente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股权取得方式</w:t>
                </w:r>
              </w:p>
            </w:tc>
          </w:sdtContent>
        </w:sdt>
        <w:sdt>
          <w:sdtPr>
            <w:tag w:val="_PLD_63b1bfb1e2e643629282cbed1fad22d2"/>
            <w:id w:val="-1393043254"/>
          </w:sdtPr>
          <w:sdtContent>
            <w:tc>
              <w:tcPr>
                <w:tcW w:w="0" w:type="auto"/>
                <w:vAlign w:val="center"/>
              </w:tcPr>
              <w:p>
                <w:pPr>
                  <w:jc w:val="cente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购买日</w:t>
                </w:r>
              </w:p>
            </w:tc>
          </w:sdtContent>
        </w:sdt>
        <w:sdt>
          <w:sdtPr>
            <w:tag w:val="_PLD_d216ed6de4964264acf357ac04da6674"/>
            <w:id w:val="833035474"/>
          </w:sdtPr>
          <w:sdtContent>
            <w:tc>
              <w:tcPr>
                <w:tcW w:w="0" w:type="auto"/>
                <w:vAlign w:val="center"/>
              </w:tcPr>
              <w:p>
                <w:pPr>
                  <w:jc w:val="cente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购买日的确定依据</w:t>
                </w:r>
              </w:p>
            </w:tc>
          </w:sdtContent>
        </w:sdt>
        <w:sdt>
          <w:sdtPr>
            <w:tag w:val="_PLD_49f415ae04df4ae4b7191f3c81c166f4"/>
            <w:id w:val="-370838729"/>
          </w:sdtPr>
          <w:sdtContent>
            <w:tc>
              <w:tcPr>
                <w:tcW w:w="0" w:type="auto"/>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购买日至期末被购买方的收入</w:t>
                </w:r>
              </w:p>
            </w:tc>
          </w:sdtContent>
        </w:sdt>
        <w:sdt>
          <w:sdtPr>
            <w:tag w:val="_PLD_6e16491ed3df44789dbcac3530ea1703"/>
            <w:id w:val="1512113799"/>
          </w:sdtPr>
          <w:sdtContent>
            <w:tc>
              <w:tcPr>
                <w:tcW w:w="0" w:type="auto"/>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购买日至期末被购买方的净利润</w:t>
                </w:r>
              </w:p>
            </w:tc>
          </w:sdtContent>
        </w:sdt>
        <w:tc>
          <w:tcPr>
            <w:tcW w:w="0" w:type="auto"/>
          </w:tcPr>
          <w:sdt>
            <w:sdtPr>
              <w:tag w:val="_PLD_ec5a7a3b56be4f5a987eccd026ad6d09"/>
              <w:id w:val="-1293129100"/>
            </w:sdtPr>
            <w:sdtContent>
              <w:p>
                <w:pPr>
                  <w:jc w:val="center"/>
                  <w:rPr>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购买日至期末被购买方的现金流量</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0" w:type="auto"/>
          </w:tcPr>
          <w:p>
            <w:pPr>
              <w:pStyle w:val="48"/>
            </w:pPr>
            <w:r>
              <w:rPr>
                <w:rFonts w:hint="eastAsia"/>
              </w:rPr>
              <w:t>深圳南海电气科技有限公司</w:t>
            </w:r>
          </w:p>
        </w:tc>
        <w:tc>
          <w:tcPr>
            <w:tcW w:w="0" w:type="auto"/>
            <w:vAlign w:val="center"/>
          </w:tcPr>
          <w:p>
            <w:pPr>
              <w:jc w:val="center"/>
            </w:pPr>
            <w:r>
              <w:rPr>
                <w:rFonts w:hint="eastAsia"/>
              </w:rPr>
              <w:t>2026年6月10日</w:t>
            </w:r>
          </w:p>
        </w:tc>
        <w:tc>
          <w:tcPr>
            <w:tcW w:w="0" w:type="auto"/>
            <w:vAlign w:val="center"/>
          </w:tcPr>
          <w:p>
            <w:pPr>
              <w:jc w:val="right"/>
            </w:pPr>
            <w:r>
              <w:rPr>
                <w:rFonts w:hint="eastAsia"/>
              </w:rPr>
              <w:t xml:space="preserve">0   </w:t>
            </w:r>
          </w:p>
        </w:tc>
        <w:tc>
          <w:tcPr>
            <w:tcW w:w="0" w:type="auto"/>
            <w:vAlign w:val="center"/>
          </w:tcPr>
          <w:p>
            <w:pPr>
              <w:jc w:val="right"/>
            </w:pPr>
            <w:r>
              <w:rPr>
                <w:rFonts w:hint="eastAsia"/>
              </w:rPr>
              <w:t>65</w:t>
            </w:r>
          </w:p>
        </w:tc>
        <w:tc>
          <w:tcPr>
            <w:tcW w:w="0" w:type="auto"/>
            <w:vAlign w:val="center"/>
          </w:tcPr>
          <w:p>
            <w:pPr>
              <w:jc w:val="center"/>
            </w:pPr>
            <w:r>
              <w:rPr>
                <w:rFonts w:hint="eastAsia"/>
              </w:rPr>
              <w:t>购买</w:t>
            </w:r>
          </w:p>
        </w:tc>
        <w:tc>
          <w:tcPr>
            <w:tcW w:w="0" w:type="auto"/>
            <w:vAlign w:val="center"/>
          </w:tcPr>
          <w:p>
            <w:pPr>
              <w:jc w:val="center"/>
            </w:pPr>
            <w:r>
              <w:rPr>
                <w:rFonts w:hint="eastAsia"/>
              </w:rPr>
              <w:t>2026年6月10日</w:t>
            </w:r>
          </w:p>
        </w:tc>
        <w:tc>
          <w:tcPr>
            <w:tcW w:w="0" w:type="auto"/>
            <w:vAlign w:val="center"/>
          </w:tcPr>
          <w:p>
            <w:pPr>
              <w:jc w:val="center"/>
            </w:pPr>
            <w:r>
              <w:rPr>
                <w:rFonts w:hint="eastAsia"/>
              </w:rPr>
              <w:t>股权交割已完成</w:t>
            </w:r>
          </w:p>
        </w:tc>
        <w:tc>
          <w:tcPr>
            <w:tcW w:w="0" w:type="auto"/>
            <w:vAlign w:val="center"/>
          </w:tcPr>
          <w:p>
            <w:pPr>
              <w:jc w:val="right"/>
            </w:pPr>
            <w:r>
              <w:rPr>
                <w:rFonts w:hint="eastAsia"/>
              </w:rPr>
              <w:t xml:space="preserve"> 0   </w:t>
            </w:r>
          </w:p>
        </w:tc>
        <w:tc>
          <w:tcPr>
            <w:tcW w:w="0" w:type="auto"/>
            <w:vAlign w:val="center"/>
          </w:tcPr>
          <w:p>
            <w:pPr>
              <w:jc w:val="right"/>
            </w:pPr>
            <w:r>
              <w:rPr>
                <w:rFonts w:hint="eastAsia"/>
              </w:rPr>
              <w:t xml:space="preserve"> -90,251.50 </w:t>
            </w:r>
          </w:p>
        </w:tc>
        <w:tc>
          <w:tcPr>
            <w:tcW w:w="0" w:type="auto"/>
            <w:vAlign w:val="center"/>
          </w:tcPr>
          <w:p>
            <w:pPr>
              <w:jc w:val="right"/>
            </w:pPr>
            <w:r>
              <w:rPr>
                <w:rFonts w:hint="eastAsia"/>
              </w:rPr>
              <w:t xml:space="preserve"> -28,045.58 </w:t>
            </w:r>
          </w:p>
        </w:tc>
      </w:tr>
    </w:tbl>
    <w:p>
      <w:pPr>
        <w:spacing w:before="60" w:after="60"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本期发生的非同一控制下企业合并的其他说明"/>
        <w:tag w:val="_GBC_efdfcb5584f84d09886fca4dada85fd1"/>
        <w:id w:val="764726983"/>
        <w:placeholder>
          <w:docPart w:val="GBC22222222222222222222222222222"/>
        </w:placeholder>
      </w:sdtPr>
      <w:sdtEndPr>
        <w:rPr>
          <w:rFonts w:cs="Arial"/>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无</w:t>
          </w:r>
        </w:p>
      </w:sdtContent>
    </w:sdt>
    <w:bookmarkEnd w:id="424"/>
    <w:p>
      <w:pPr>
        <w:pStyle w:val="5"/>
        <w:numPr>
          <w:ilvl w:val="0"/>
          <w:numId w:val="79"/>
        </w:numPr>
        <w:spacing w:line="360" w:lineRule="exact"/>
        <w:ind w:left="426" w:hanging="426"/>
        <w:rPr>
          <w:rStyle w:val="27"/>
          <w:rFonts w:hint="eastAsia" w:ascii="宋体" w:hAnsi="宋体" w:cs="宋体"/>
          <w:b/>
          <w:bCs/>
          <w:color w:val="000000" w:themeColor="text1"/>
          <w:szCs w:val="21"/>
          <w14:textFill>
            <w14:solidFill>
              <w14:schemeClr w14:val="tx1"/>
            </w14:solidFill>
          </w14:textFill>
        </w:rPr>
      </w:pPr>
      <w:r>
        <w:rPr>
          <w:rStyle w:val="27"/>
          <w:rFonts w:hint="eastAsia" w:ascii="宋体" w:hAnsi="宋体"/>
          <w:b/>
          <w:bCs/>
          <w:color w:val="000000" w:themeColor="text1"/>
          <w:szCs w:val="21"/>
          <w14:textFill>
            <w14:solidFill>
              <w14:schemeClr w14:val="tx1"/>
            </w14:solidFill>
          </w14:textFill>
        </w:rPr>
        <w:t>合并成本及商誉</w:t>
      </w:r>
    </w:p>
    <w:p>
      <w:pPr>
        <w:spacing w:line="360" w:lineRule="exact"/>
        <w:rPr>
          <w:rFonts w:cs="Arial"/>
          <w:color w:val="000000" w:themeColor="text1"/>
          <w14:textFill>
            <w14:solidFill>
              <w14:schemeClr w14:val="tx1"/>
            </w14:solidFill>
          </w14:textFill>
        </w:rPr>
      </w:pPr>
      <w:sdt>
        <w:sdtPr>
          <w:rPr>
            <w:color w:val="000000" w:themeColor="text1"/>
            <w14:textFill>
              <w14:solidFill>
                <w14:schemeClr w14:val="tx1"/>
              </w14:solidFill>
            </w14:textFill>
          </w:rPr>
          <w:alias w:val="是否适用：合并成本及商誉[双击切换]"/>
          <w:tag w:val="_GBC_56d9f6aa774c4776ac65c41472b0a280"/>
          <w:id w:val="397029300"/>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bookmarkStart w:id="425" w:name="_Hlk168315102"/>
    </w:p>
    <w:bookmarkEnd w:id="425"/>
    <w:p>
      <w:pPr>
        <w:pStyle w:val="5"/>
        <w:numPr>
          <w:ilvl w:val="0"/>
          <w:numId w:val="79"/>
        </w:numPr>
        <w:spacing w:line="360" w:lineRule="exact"/>
        <w:ind w:left="426" w:hanging="426"/>
        <w:rPr>
          <w:rStyle w:val="27"/>
          <w:rFonts w:hint="eastAsia" w:ascii="宋体" w:hAnsi="宋体" w:cs="宋体"/>
          <w:b/>
          <w:bCs/>
          <w:color w:val="000000" w:themeColor="text1"/>
          <w:szCs w:val="21"/>
          <w14:textFill>
            <w14:solidFill>
              <w14:schemeClr w14:val="tx1"/>
            </w14:solidFill>
          </w14:textFill>
        </w:rPr>
      </w:pPr>
      <w:bookmarkStart w:id="426" w:name="OLE_LINK92"/>
      <w:r>
        <w:rPr>
          <w:rStyle w:val="27"/>
          <w:rFonts w:hint="eastAsia" w:ascii="宋体" w:hAnsi="宋体"/>
          <w:b/>
          <w:bCs/>
          <w:color w:val="000000" w:themeColor="text1"/>
          <w:szCs w:val="21"/>
          <w14:textFill>
            <w14:solidFill>
              <w14:schemeClr w14:val="tx1"/>
            </w14:solidFill>
          </w14:textFill>
        </w:rPr>
        <w:t>被购买方于购买日可辨认资产、负债</w:t>
      </w:r>
    </w:p>
    <w:bookmarkEnd w:id="426"/>
    <w:p>
      <w:pPr>
        <w:spacing w:line="360" w:lineRule="exact"/>
        <w:rPr>
          <w:rFonts w:cs="Arial"/>
          <w:color w:val="000000" w:themeColor="text1"/>
          <w14:textFill>
            <w14:solidFill>
              <w14:schemeClr w14:val="tx1"/>
            </w14:solidFill>
          </w14:textFill>
        </w:rPr>
      </w:pPr>
      <w:sdt>
        <w:sdtPr>
          <w:rPr>
            <w:color w:val="000000" w:themeColor="text1"/>
            <w14:textFill>
              <w14:solidFill>
                <w14:schemeClr w14:val="tx1"/>
              </w14:solidFill>
            </w14:textFill>
          </w:rPr>
          <w:alias w:val="是否适用：被购买方于购买日可辨认资产、负债[双击切换]"/>
          <w:tag w:val="_GBC_b192e56c8e2242b3bf12a08de6dc76d4"/>
          <w:id w:val="1759626649"/>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pStyle w:val="5"/>
        <w:numPr>
          <w:ilvl w:val="0"/>
          <w:numId w:val="79"/>
        </w:numPr>
        <w:spacing w:line="360" w:lineRule="exact"/>
        <w:ind w:left="426" w:hanging="426"/>
        <w:rPr>
          <w:rStyle w:val="27"/>
          <w:rFonts w:hint="eastAsia" w:ascii="宋体" w:hAnsi="宋体" w:cs="宋体"/>
          <w:b/>
          <w:bCs/>
          <w:color w:val="000000" w:themeColor="text1"/>
          <w:szCs w:val="21"/>
          <w14:textFill>
            <w14:solidFill>
              <w14:schemeClr w14:val="tx1"/>
            </w14:solidFill>
          </w14:textFill>
        </w:rPr>
      </w:pPr>
      <w:bookmarkStart w:id="427" w:name="_Hlk169011108"/>
      <w:r>
        <w:rPr>
          <w:rStyle w:val="27"/>
          <w:rFonts w:hint="eastAsia" w:ascii="宋体" w:hAnsi="宋体"/>
          <w:b/>
          <w:bCs/>
          <w:color w:val="000000" w:themeColor="text1"/>
          <w:szCs w:val="21"/>
          <w14:textFill>
            <w14:solidFill>
              <w14:schemeClr w14:val="tx1"/>
            </w14:solidFill>
          </w14:textFill>
        </w:rPr>
        <w:t>购买日之前持有的股权按照公允价值重新计量产生的利得或损失</w:t>
      </w:r>
    </w:p>
    <w:p>
      <w:pPr>
        <w:spacing w:line="360" w:lineRule="exact"/>
        <w:rPr>
          <w:rFonts w:ascii="Calibri" w:hAnsi="Calibri" w:cs="Times New Roman"/>
          <w:color w:val="000000" w:themeColor="text1"/>
          <w:kern w:val="2"/>
          <w:szCs w:val="22"/>
          <w14:textFill>
            <w14:solidFill>
              <w14:schemeClr w14:val="tx1"/>
            </w14:solidFill>
          </w14:textFill>
        </w:rPr>
      </w:pPr>
      <w:r>
        <w:rPr>
          <w:rFonts w:hint="eastAsia"/>
          <w:color w:val="000000" w:themeColor="text1"/>
          <w14:textFill>
            <w14:solidFill>
              <w14:schemeClr w14:val="tx1"/>
            </w14:solidFill>
          </w14:textFill>
        </w:rPr>
        <w:t>是否存在通过多次交易分步实现企业合并且在报告期内取得控制权的交易</w:t>
      </w:r>
    </w:p>
    <w:p>
      <w:pPr>
        <w:spacing w:line="360" w:lineRule="exact"/>
        <w:rPr>
          <w:rFonts w:cs="Arial"/>
          <w:color w:val="000000" w:themeColor="text1"/>
          <w14:textFill>
            <w14:solidFill>
              <w14:schemeClr w14:val="tx1"/>
            </w14:solidFill>
          </w14:textFill>
        </w:rPr>
      </w:pPr>
      <w:sdt>
        <w:sdtPr>
          <w:rPr>
            <w:color w:val="000000" w:themeColor="text1"/>
            <w14:textFill>
              <w14:solidFill>
                <w14:schemeClr w14:val="tx1"/>
              </w14:solidFill>
            </w14:textFill>
          </w:rPr>
          <w:alias w:val="是否存在通过多次交易分步实现企业合并且在本报告期取得控制权的情形[双击切换]"/>
          <w:tag w:val="_GBC_4a7c18909bcc47eb9c6f2ab2c0181eee"/>
          <w:id w:val="-677501841"/>
          <w:placeholder>
            <w:docPart w:val="GBC22222222222222222222222222222"/>
          </w:placeholder>
        </w:sdtPr>
        <w:sdtEndPr>
          <w:rPr>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bookmarkEnd w:id="427"/>
    <w:p>
      <w:pPr>
        <w:pStyle w:val="5"/>
        <w:numPr>
          <w:ilvl w:val="0"/>
          <w:numId w:val="79"/>
        </w:numPr>
        <w:spacing w:line="360" w:lineRule="exact"/>
        <w:ind w:left="426" w:hanging="426"/>
        <w:rPr>
          <w:rStyle w:val="27"/>
          <w:rFonts w:hint="eastAsia" w:ascii="宋体" w:hAnsi="宋体" w:cs="宋体"/>
          <w:b/>
          <w:bCs/>
          <w:color w:val="000000" w:themeColor="text1"/>
          <w:szCs w:val="21"/>
          <w14:textFill>
            <w14:solidFill>
              <w14:schemeClr w14:val="tx1"/>
            </w14:solidFill>
          </w14:textFill>
        </w:rPr>
      </w:pPr>
      <w:r>
        <w:rPr>
          <w:rStyle w:val="27"/>
          <w:rFonts w:hint="eastAsia" w:ascii="宋体" w:hAnsi="宋体"/>
          <w:b/>
          <w:bCs/>
          <w:color w:val="000000" w:themeColor="text1"/>
          <w:szCs w:val="21"/>
          <w14:textFill>
            <w14:solidFill>
              <w14:schemeClr w14:val="tx1"/>
            </w14:solidFill>
          </w14:textFill>
        </w:rPr>
        <w:t>购买日或合并当期期末无法合理确定合并对价或被购买方可辨认资产、负债公允价值的相关说明</w:t>
      </w:r>
    </w:p>
    <w:sdt>
      <w:sdtPr>
        <w:rPr>
          <w:color w:val="000000" w:themeColor="text1"/>
          <w14:textFill>
            <w14:solidFill>
              <w14:schemeClr w14:val="tx1"/>
            </w14:solidFill>
          </w14:textFill>
        </w:rPr>
        <w:alias w:val="是否适用：购买日或合并当期期末无法合理确定合并对价或被购买方可辨认资产、负债公允价值的相关说明[双击切换]"/>
        <w:tag w:val="_GBC_e8a75ceb0d7e4c35bfc03d5c6782889f"/>
        <w:id w:val="-204256304"/>
        <w:placeholder>
          <w:docPart w:val="GBC22222222222222222222222222222"/>
        </w:placeholder>
      </w:sdtPr>
      <w:sdtEndPr>
        <w:rPr>
          <w:color w:val="000000" w:themeColor="text1"/>
          <w14:textFill>
            <w14:solidFill>
              <w14:schemeClr w14:val="tx1"/>
            </w14:solidFill>
          </w14:textFill>
        </w:rPr>
      </w:sdtEndPr>
      <w:sdtContent>
        <w:p>
          <w:pPr>
            <w:spacing w:line="360" w:lineRule="exact"/>
            <w:rPr>
              <w:rFonts w:cs="Arial"/>
              <w:b/>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79"/>
        </w:numPr>
        <w:spacing w:line="360" w:lineRule="exact"/>
        <w:ind w:left="426" w:hanging="426"/>
        <w:rPr>
          <w:rStyle w:val="27"/>
          <w:rFonts w:hint="eastAsia" w:ascii="宋体" w:hAnsi="宋体" w:cs="宋体"/>
          <w:b/>
          <w:bCs/>
          <w:color w:val="000000" w:themeColor="text1"/>
          <w:szCs w:val="21"/>
          <w14:textFill>
            <w14:solidFill>
              <w14:schemeClr w14:val="tx1"/>
            </w14:solidFill>
          </w14:textFill>
        </w:rPr>
      </w:pPr>
      <w:r>
        <w:rPr>
          <w:rStyle w:val="27"/>
          <w:rFonts w:hint="eastAsia" w:ascii="宋体" w:hAnsi="宋体"/>
          <w:b/>
          <w:bCs/>
          <w:color w:val="000000" w:themeColor="text1"/>
          <w:szCs w:val="21"/>
          <w14:textFill>
            <w14:solidFill>
              <w14:schemeClr w14:val="tx1"/>
            </w14:solidFill>
          </w14:textFill>
        </w:rPr>
        <w:t>其他说明</w:t>
      </w:r>
    </w:p>
    <w:sdt>
      <w:sdtPr>
        <w:rPr>
          <w:color w:val="000000" w:themeColor="text1"/>
          <w14:textFill>
            <w14:solidFill>
              <w14:schemeClr w14:val="tx1"/>
            </w14:solidFill>
          </w14:textFill>
        </w:rPr>
        <w:alias w:val="是否适用：非同一控制下企业合并其他需要说明的事项[双击切换]"/>
        <w:tag w:val="_GBC_ab58bf6b03504b3d88a49a138127fd98"/>
        <w:id w:val="-1259442067"/>
        <w:placeholder>
          <w:docPart w:val="GBC22222222222222222222222222222"/>
        </w:placeholder>
      </w:sdtPr>
      <w:sdtEndPr>
        <w:rPr>
          <w:color w:val="000000" w:themeColor="text1"/>
          <w14:textFill>
            <w14:solidFill>
              <w14:schemeClr w14:val="tx1"/>
            </w14:solidFill>
          </w14:textFill>
        </w:rPr>
      </w:sdtEndPr>
      <w:sdtContent>
        <w:p>
          <w:pPr>
            <w:spacing w:line="360" w:lineRule="exact"/>
            <w:rPr>
              <w:rFonts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78"/>
        </w:numPr>
        <w:spacing w:line="360" w:lineRule="exact"/>
        <w:rPr>
          <w:rFonts w:hint="eastAsia"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同一控制下企业合并</w:t>
      </w:r>
    </w:p>
    <w:sdt>
      <w:sdtPr>
        <w:rPr>
          <w:color w:val="000000" w:themeColor="text1"/>
          <w14:textFill>
            <w14:solidFill>
              <w14:schemeClr w14:val="tx1"/>
            </w14:solidFill>
          </w14:textFill>
        </w:rPr>
        <w:alias w:val="是否适用：同一控制下企业合并[双击切换]"/>
        <w:tag w:val="_GBC_cde296136a1d4f2094eb79d21291eae2"/>
        <w:id w:val="1509093901"/>
        <w:placeholder>
          <w:docPart w:val="GBC22222222222222222222222222222"/>
        </w:placeholder>
      </w:sdtPr>
      <w:sdtEndPr>
        <w:rPr>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78"/>
        </w:numPr>
        <w:rPr>
          <w:rFonts w:hint="eastAsia"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反向购买</w:t>
      </w:r>
    </w:p>
    <w:sdt>
      <w:sdtPr>
        <w:rPr>
          <w:color w:val="000000" w:themeColor="text1"/>
          <w14:textFill>
            <w14:solidFill>
              <w14:schemeClr w14:val="tx1"/>
            </w14:solidFill>
          </w14:textFill>
        </w:rPr>
        <w:alias w:val="是否适用：反向购买[双击切换]"/>
        <w:tag w:val="_GBC_973cde3cea5d460790de47cc49169bde"/>
        <w:id w:val="1453434556"/>
        <w:placeholder>
          <w:docPart w:val="GBC22222222222222222222222222222"/>
        </w:placeholder>
      </w:sdtPr>
      <w:sdtEndPr>
        <w:rPr>
          <w:color w:val="000000" w:themeColor="text1"/>
          <w14:textFill>
            <w14:solidFill>
              <w14:schemeClr w14:val="tx1"/>
            </w14:solidFill>
          </w14:textFill>
        </w:rPr>
      </w:sdtEndPr>
      <w:sdtContent>
        <w:p>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78"/>
        </w:numPr>
        <w:spacing w:line="360" w:lineRule="exact"/>
        <w:rPr>
          <w:rFonts w:hint="eastAsia" w:ascii="宋体" w:hAnsi="宋体" w:cs="Arial"/>
          <w:color w:val="000000" w:themeColor="text1"/>
          <w:szCs w:val="21"/>
          <w14:textFill>
            <w14:solidFill>
              <w14:schemeClr w14:val="tx1"/>
            </w14:solidFill>
          </w14:textFill>
        </w:rPr>
      </w:pPr>
      <w:bookmarkStart w:id="428" w:name="_Hlk167975840"/>
      <w:r>
        <w:rPr>
          <w:rFonts w:hint="eastAsia" w:ascii="宋体" w:hAnsi="宋体" w:cs="Arial"/>
          <w:color w:val="000000" w:themeColor="text1"/>
          <w:szCs w:val="21"/>
          <w14:textFill>
            <w14:solidFill>
              <w14:schemeClr w14:val="tx1"/>
            </w14:solidFill>
          </w14:textFill>
        </w:rPr>
        <w:t>处置子公司</w:t>
      </w:r>
    </w:p>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本期是否存在</w:t>
      </w:r>
      <w:r>
        <w:rPr>
          <w:color w:val="000000" w:themeColor="text1"/>
          <w14:textFill>
            <w14:solidFill>
              <w14:schemeClr w14:val="tx1"/>
            </w14:solidFill>
          </w14:textFill>
        </w:rPr>
        <w:t>丧失</w:t>
      </w:r>
      <w:r>
        <w:rPr>
          <w:rFonts w:hint="eastAsia"/>
          <w:color w:val="000000" w:themeColor="text1"/>
          <w14:textFill>
            <w14:solidFill>
              <w14:schemeClr w14:val="tx1"/>
            </w14:solidFill>
          </w14:textFill>
        </w:rPr>
        <w:t>子公司</w:t>
      </w:r>
      <w:r>
        <w:rPr>
          <w:color w:val="000000" w:themeColor="text1"/>
          <w14:textFill>
            <w14:solidFill>
              <w14:schemeClr w14:val="tx1"/>
            </w14:solidFill>
          </w14:textFill>
        </w:rPr>
        <w:t>控制权</w:t>
      </w:r>
      <w:r>
        <w:rPr>
          <w:rFonts w:hint="eastAsia"/>
          <w:color w:val="000000" w:themeColor="text1"/>
          <w14:textFill>
            <w14:solidFill>
              <w14:schemeClr w14:val="tx1"/>
            </w14:solidFill>
          </w14:textFill>
        </w:rPr>
        <w:t>的交易或事项</w:t>
      </w:r>
    </w:p>
    <w:sdt>
      <w:sdtPr>
        <w:rPr>
          <w:rFonts w:hint="eastAsia" w:cs="Arial"/>
          <w:color w:val="000000" w:themeColor="text1"/>
          <w14:textFill>
            <w14:solidFill>
              <w14:schemeClr w14:val="tx1"/>
            </w14:solidFill>
          </w14:textFill>
        </w:rPr>
        <w:alias w:val="是否存在单次交易处置对子公司投资即丧失控制权的情形[双击切换]"/>
        <w:tag w:val="_GBC_3326559ea8a84c1f80452d301a368ec5"/>
        <w:id w:val="-316650882"/>
        <w:placeholder>
          <w:docPart w:val="GBC22222222222222222222222222222"/>
        </w:placeholder>
      </w:sdtPr>
      <w:sdtEndPr>
        <w:rPr>
          <w:rFonts w:hint="eastAsia" w:cs="Arial"/>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是否适用：单次交易处置对子公司投资即丧失控制权的情形的说明[双击切换]"/>
        <w:tag w:val="_GBC_29528d4c1c444136b1c9a196f82e0e52"/>
        <w:id w:val="543031383"/>
        <w:placeholder>
          <w:docPart w:val="GBC22222222222222222222222222222"/>
        </w:placeholder>
      </w:sdtPr>
      <w:sdtEndPr>
        <w:rPr>
          <w:rFonts w:cs="Arial"/>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pPr>
        <w:spacing w:line="360" w:lineRule="exact"/>
        <w:rPr>
          <w:rFonts w:cs="Arial"/>
          <w:color w:val="000000" w:themeColor="text1"/>
          <w14:textFill>
            <w14:solidFill>
              <w14:schemeClr w14:val="tx1"/>
            </w14:solidFill>
          </w14:textFill>
        </w:rPr>
      </w:pPr>
      <w:bookmarkStart w:id="429" w:name="_Hlk153549147"/>
      <w:r>
        <w:rPr>
          <w:rFonts w:hint="eastAsia" w:cs="Arial"/>
          <w:color w:val="000000" w:themeColor="text1"/>
          <w14:textFill>
            <w14:solidFill>
              <w14:schemeClr w14:val="tx1"/>
            </w14:solidFill>
          </w14:textFill>
        </w:rPr>
        <w:t>是否存在通过多次交易分步处置对子公司投资且在本期丧失控制权的情形</w:t>
      </w:r>
    </w:p>
    <w:sdt>
      <w:sdtPr>
        <w:rPr>
          <w:rFonts w:hint="eastAsia"/>
          <w:color w:val="000000" w:themeColor="text1"/>
          <w14:textFill>
            <w14:solidFill>
              <w14:schemeClr w14:val="tx1"/>
            </w14:solidFill>
          </w14:textFill>
        </w:rPr>
        <w:alias w:val="是否存在通过多次交易分步处置对子公司投资且在本期丧失控制权的情形[双击切换]"/>
        <w:tag w:val="_GBC_1aa1c46a77684c9fbd35fa14e4e37b0c"/>
        <w:id w:val="1624880493"/>
        <w:placeholder>
          <w:docPart w:val="GBC22222222222222222222222222222"/>
        </w:placeholder>
      </w:sdtPr>
      <w:sdtEndPr>
        <w:rPr>
          <w:rFonts w:hint="eastAsia"/>
          <w:color w:val="000000" w:themeColor="text1"/>
          <w14:textFill>
            <w14:solidFill>
              <w14:schemeClr w14:val="tx1"/>
            </w14:solidFill>
          </w14:textFill>
        </w:rPr>
      </w:sdtEndPr>
      <w:sdtContent>
        <w:p>
          <w:pPr>
            <w:pStyle w:val="12"/>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29"/>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是否适用：是否存在通过多次交易分步处置对子公司投资且在本期丧失控制权的情形的说明[双击切换]"/>
        <w:tag w:val="_GBC_4d734455db284d62936c6dddb9394149"/>
        <w:id w:val="-1920865983"/>
        <w:placeholder>
          <w:docPart w:val="GBC22222222222222222222222222222"/>
        </w:placeholder>
      </w:sdtPr>
      <w:sdtEndPr>
        <w:rPr>
          <w:rFonts w:cs="Arial"/>
          <w:color w:val="000000" w:themeColor="text1"/>
          <w14:textFill>
            <w14:solidFill>
              <w14:schemeClr w14:val="tx1"/>
            </w14:solidFill>
          </w14:textFill>
        </w:rPr>
      </w:sdtEndPr>
      <w:sdtContent>
        <w:p>
          <w:pPr>
            <w:spacing w:line="360" w:lineRule="exact"/>
            <w:rPr>
              <w:rFonts w:ascii="Calibri" w:hAnsi="Calibri"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bookmarkEnd w:id="428"/>
    <w:p>
      <w:pPr>
        <w:pStyle w:val="4"/>
        <w:numPr>
          <w:ilvl w:val="0"/>
          <w:numId w:val="78"/>
        </w:numPr>
        <w:spacing w:line="360" w:lineRule="exact"/>
        <w:rPr>
          <w:rFonts w:hint="eastAsia"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其他原因的合并范围变动</w:t>
      </w:r>
    </w:p>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说明其他原因导致的合并范围变动（如，新设子公司、清算子公司等）及其相关情况：</w:t>
      </w:r>
    </w:p>
    <w:sdt>
      <w:sdtPr>
        <w:rPr>
          <w:color w:val="000000" w:themeColor="text1"/>
          <w14:textFill>
            <w14:solidFill>
              <w14:schemeClr w14:val="tx1"/>
            </w14:solidFill>
          </w14:textFill>
        </w:rPr>
        <w:alias w:val="是否适用：其他原因导致的合并范围变动及其相关情况[双击切换]"/>
        <w:tag w:val="_GBC_55cbf4f78793498cb1532f08bfbb61f4"/>
        <w:id w:val="-583685239"/>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cs="Arial"/>
          <w:color w:val="000000" w:themeColor="text1"/>
          <w14:textFill>
            <w14:solidFill>
              <w14:schemeClr w14:val="tx1"/>
            </w14:solidFill>
          </w14:textFill>
        </w:rPr>
        <w:alias w:val="其他原因的合并范围变动"/>
        <w:tag w:val="_GBC_c83a0d19a27e42c0927cf85c8c6221e2"/>
        <w:id w:val="29626006"/>
        <w:placeholder>
          <w:docPart w:val="GBC22222222222222222222222222222"/>
        </w:placeholder>
      </w:sdtPr>
      <w:sdtEndPr>
        <w:rPr>
          <w:rFonts w:hint="eastAsia" w:cs="宋体"/>
          <w:bCs w:val="0"/>
          <w:color w:val="auto"/>
        </w:rPr>
      </w:sdtEndPr>
      <w:sdtContent>
        <w:p>
          <w:pPr>
            <w:jc w:val="right"/>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单位：万元 币种：人民币</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2489"/>
            <w:gridCol w:w="3168"/>
            <w:gridCol w:w="1812"/>
            <w:gridCol w:w="2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4" w:type="pct"/>
                <w:vAlign w:val="center"/>
              </w:tcPr>
              <w:p>
                <w:pPr>
                  <w:jc w:val="center"/>
                  <w:rPr>
                    <w:rFonts w:hint="eastAsia" w:ascii="宋体" w:hAnsi="宋体" w:cs="Times New Roman"/>
                    <w:bCs w:val="0"/>
                  </w:rPr>
                </w:pPr>
                <w:r>
                  <w:rPr>
                    <w:rFonts w:hint="eastAsia" w:ascii="宋体" w:hAnsi="宋体" w:cs="Times New Roman"/>
                    <w:bCs w:val="0"/>
                  </w:rPr>
                  <w:t>公司名称</w:t>
                </w:r>
              </w:p>
            </w:tc>
            <w:tc>
              <w:tcPr>
                <w:tcW w:w="883" w:type="pct"/>
                <w:vAlign w:val="center"/>
              </w:tcPr>
              <w:p>
                <w:pPr>
                  <w:jc w:val="center"/>
                  <w:rPr>
                    <w:rFonts w:hint="eastAsia" w:ascii="宋体" w:hAnsi="宋体" w:cs="Times New Roman"/>
                    <w:bCs w:val="0"/>
                  </w:rPr>
                </w:pPr>
                <w:r>
                  <w:rPr>
                    <w:rFonts w:hint="eastAsia" w:ascii="宋体" w:hAnsi="宋体" w:cs="Times New Roman"/>
                    <w:bCs w:val="0"/>
                  </w:rPr>
                  <w:t>股权取得方式</w:t>
                </w:r>
              </w:p>
            </w:tc>
            <w:tc>
              <w:tcPr>
                <w:tcW w:w="1124" w:type="pct"/>
                <w:vAlign w:val="center"/>
              </w:tcPr>
              <w:p>
                <w:pPr>
                  <w:jc w:val="center"/>
                  <w:rPr>
                    <w:rFonts w:hint="eastAsia" w:ascii="宋体" w:hAnsi="宋体" w:cs="Times New Roman"/>
                    <w:bCs w:val="0"/>
                  </w:rPr>
                </w:pPr>
                <w:r>
                  <w:rPr>
                    <w:rFonts w:hint="eastAsia" w:ascii="宋体" w:hAnsi="宋体" w:cs="Times New Roman"/>
                    <w:bCs w:val="0"/>
                  </w:rPr>
                  <w:t>股权取得时点</w:t>
                </w:r>
              </w:p>
            </w:tc>
            <w:tc>
              <w:tcPr>
                <w:tcW w:w="643" w:type="pct"/>
                <w:vAlign w:val="center"/>
              </w:tcPr>
              <w:p>
                <w:pPr>
                  <w:jc w:val="center"/>
                  <w:rPr>
                    <w:rFonts w:hint="eastAsia" w:ascii="宋体" w:hAnsi="宋体" w:cs="Times New Roman"/>
                    <w:bCs w:val="0"/>
                  </w:rPr>
                </w:pPr>
                <w:r>
                  <w:rPr>
                    <w:rFonts w:hint="eastAsia" w:ascii="宋体" w:hAnsi="宋体" w:cs="Times New Roman"/>
                    <w:bCs w:val="0"/>
                  </w:rPr>
                  <w:t>认缴出资额</w:t>
                </w:r>
              </w:p>
            </w:tc>
            <w:tc>
              <w:tcPr>
                <w:tcW w:w="745" w:type="pct"/>
                <w:vAlign w:val="center"/>
              </w:tcPr>
              <w:p>
                <w:pPr>
                  <w:jc w:val="center"/>
                  <w:rPr>
                    <w:rFonts w:hint="eastAsia" w:ascii="宋体" w:hAnsi="宋体" w:cs="Times New Roman"/>
                    <w:bCs w:val="0"/>
                  </w:rPr>
                </w:pPr>
                <w:r>
                  <w:rPr>
                    <w:rFonts w:hint="eastAsia" w:ascii="宋体" w:hAnsi="宋体" w:cs="Times New Roman"/>
                    <w:bCs w:val="0"/>
                  </w:rPr>
                  <w:t>认缴出资比例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4" w:type="pct"/>
                <w:vAlign w:val="center"/>
              </w:tcPr>
              <w:p>
                <w:pPr>
                  <w:pStyle w:val="45"/>
                  <w:jc w:val="both"/>
                  <w:rPr>
                    <w:rFonts w:hint="eastAsia" w:ascii="宋体" w:hAnsi="宋体"/>
                    <w:bCs/>
                    <w:sz w:val="21"/>
                    <w:szCs w:val="21"/>
                  </w:rPr>
                </w:pPr>
                <w:r>
                  <w:rPr>
                    <w:rFonts w:hint="eastAsia"/>
                    <w:bCs/>
                  </w:rPr>
                  <w:t>重庆望来电智能装备科技有限公司</w:t>
                </w:r>
              </w:p>
            </w:tc>
            <w:tc>
              <w:tcPr>
                <w:tcW w:w="883" w:type="pct"/>
                <w:vAlign w:val="center"/>
              </w:tcPr>
              <w:p>
                <w:pPr>
                  <w:jc w:val="center"/>
                  <w:rPr>
                    <w:rFonts w:hint="eastAsia" w:ascii="宋体" w:hAnsi="宋体" w:cs="Times New Roman"/>
                    <w:bCs w:val="0"/>
                  </w:rPr>
                </w:pPr>
                <w:r>
                  <w:rPr>
                    <w:rFonts w:hint="eastAsia"/>
                    <w:bCs w:val="0"/>
                  </w:rPr>
                  <w:t>出资设立</w:t>
                </w:r>
              </w:p>
            </w:tc>
            <w:tc>
              <w:tcPr>
                <w:tcW w:w="1124" w:type="pct"/>
                <w:vAlign w:val="center"/>
              </w:tcPr>
              <w:p>
                <w:pPr>
                  <w:jc w:val="center"/>
                  <w:rPr>
                    <w:rFonts w:hint="eastAsia" w:ascii="宋体" w:hAnsi="宋体" w:cs="Times New Roman"/>
                    <w:bCs w:val="0"/>
                  </w:rPr>
                </w:pPr>
                <w:r>
                  <w:rPr>
                    <w:rFonts w:hint="eastAsia"/>
                    <w:bCs w:val="0"/>
                  </w:rPr>
                  <w:t>2026年1月27日</w:t>
                </w:r>
              </w:p>
            </w:tc>
            <w:tc>
              <w:tcPr>
                <w:tcW w:w="643" w:type="pct"/>
                <w:vAlign w:val="center"/>
              </w:tcPr>
              <w:p>
                <w:pPr>
                  <w:jc w:val="right"/>
                  <w:rPr>
                    <w:rFonts w:hint="eastAsia" w:ascii="宋体" w:hAnsi="宋体" w:cs="Times New Roman"/>
                    <w:bCs w:val="0"/>
                  </w:rPr>
                </w:pPr>
                <w:r>
                  <w:rPr>
                    <w:rFonts w:hint="eastAsia"/>
                    <w:bCs w:val="0"/>
                  </w:rPr>
                  <w:t>4,000</w:t>
                </w:r>
              </w:p>
            </w:tc>
            <w:tc>
              <w:tcPr>
                <w:tcW w:w="745" w:type="pct"/>
                <w:vAlign w:val="center"/>
              </w:tcPr>
              <w:p>
                <w:pPr>
                  <w:jc w:val="right"/>
                  <w:rPr>
                    <w:rFonts w:hint="eastAsia" w:ascii="宋体" w:hAnsi="宋体" w:cs="Times New Roman"/>
                    <w:bCs w:val="0"/>
                  </w:rPr>
                </w:pPr>
                <w:r>
                  <w:rPr>
                    <w:rFonts w:hint="eastAsia"/>
                    <w:bCs w:val="0"/>
                  </w:rPr>
                  <w:t>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4" w:type="pct"/>
                <w:vAlign w:val="center"/>
              </w:tcPr>
              <w:p>
                <w:pPr>
                  <w:pStyle w:val="45"/>
                  <w:jc w:val="both"/>
                  <w:rPr>
                    <w:rFonts w:hint="eastAsia" w:ascii="宋体" w:hAnsi="宋体"/>
                    <w:bCs/>
                    <w:sz w:val="21"/>
                    <w:szCs w:val="21"/>
                  </w:rPr>
                </w:pPr>
                <w:r>
                  <w:rPr>
                    <w:rFonts w:hint="eastAsia"/>
                    <w:bCs/>
                  </w:rPr>
                  <w:t>云南望来充金池科技有限公司</w:t>
                </w:r>
              </w:p>
            </w:tc>
            <w:tc>
              <w:tcPr>
                <w:tcW w:w="883" w:type="pct"/>
                <w:vAlign w:val="center"/>
              </w:tcPr>
              <w:p>
                <w:pPr>
                  <w:jc w:val="center"/>
                  <w:rPr>
                    <w:rFonts w:hint="eastAsia" w:ascii="宋体" w:hAnsi="宋体" w:cs="Times New Roman"/>
                    <w:bCs w:val="0"/>
                  </w:rPr>
                </w:pPr>
                <w:r>
                  <w:rPr>
                    <w:rFonts w:hint="eastAsia"/>
                    <w:bCs w:val="0"/>
                  </w:rPr>
                  <w:t>出资设立</w:t>
                </w:r>
              </w:p>
            </w:tc>
            <w:tc>
              <w:tcPr>
                <w:tcW w:w="1124" w:type="pct"/>
                <w:vAlign w:val="center"/>
              </w:tcPr>
              <w:p>
                <w:pPr>
                  <w:jc w:val="center"/>
                  <w:rPr>
                    <w:rFonts w:hint="eastAsia" w:ascii="宋体" w:hAnsi="宋体" w:cs="Times New Roman"/>
                    <w:bCs w:val="0"/>
                  </w:rPr>
                </w:pPr>
                <w:r>
                  <w:rPr>
                    <w:rFonts w:hint="eastAsia"/>
                    <w:bCs w:val="0"/>
                  </w:rPr>
                  <w:t>2026年2月11日</w:t>
                </w:r>
              </w:p>
            </w:tc>
            <w:tc>
              <w:tcPr>
                <w:tcW w:w="643" w:type="pct"/>
                <w:vAlign w:val="center"/>
              </w:tcPr>
              <w:p>
                <w:pPr>
                  <w:jc w:val="right"/>
                  <w:rPr>
                    <w:rFonts w:hint="eastAsia" w:ascii="宋体" w:hAnsi="宋体" w:cs="Times New Roman"/>
                    <w:bCs w:val="0"/>
                  </w:rPr>
                </w:pPr>
                <w:r>
                  <w:rPr>
                    <w:bCs w:val="0"/>
                  </w:rPr>
                  <w:t>765</w:t>
                </w:r>
              </w:p>
            </w:tc>
            <w:tc>
              <w:tcPr>
                <w:tcW w:w="745" w:type="pct"/>
                <w:vAlign w:val="center"/>
              </w:tcPr>
              <w:p>
                <w:pPr>
                  <w:jc w:val="right"/>
                  <w:rPr>
                    <w:rFonts w:hint="eastAsia" w:ascii="宋体" w:hAnsi="宋体" w:cs="Times New Roman"/>
                    <w:bCs w:val="0"/>
                  </w:rPr>
                </w:pPr>
                <w:r>
                  <w:rPr>
                    <w:rFonts w:hint="eastAsia"/>
                    <w:bCs w:val="0"/>
                  </w:rPr>
                  <w:t>51.00%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4" w:type="pct"/>
                <w:vAlign w:val="center"/>
              </w:tcPr>
              <w:p>
                <w:pPr>
                  <w:pStyle w:val="45"/>
                  <w:jc w:val="both"/>
                  <w:rPr>
                    <w:rFonts w:hint="eastAsia" w:ascii="宋体" w:hAnsi="宋体"/>
                    <w:bCs/>
                    <w:sz w:val="21"/>
                    <w:szCs w:val="21"/>
                  </w:rPr>
                </w:pPr>
                <w:r>
                  <w:rPr>
                    <w:rFonts w:hint="eastAsia"/>
                    <w:bCs/>
                  </w:rPr>
                  <w:t>重庆望来充渝合新能源有限公司</w:t>
                </w:r>
              </w:p>
            </w:tc>
            <w:tc>
              <w:tcPr>
                <w:tcW w:w="883" w:type="pct"/>
                <w:vAlign w:val="center"/>
              </w:tcPr>
              <w:p>
                <w:pPr>
                  <w:jc w:val="center"/>
                  <w:rPr>
                    <w:rFonts w:hint="eastAsia" w:ascii="宋体" w:hAnsi="宋体" w:cs="Times New Roman"/>
                    <w:bCs w:val="0"/>
                  </w:rPr>
                </w:pPr>
                <w:r>
                  <w:rPr>
                    <w:rFonts w:hint="eastAsia"/>
                    <w:bCs w:val="0"/>
                  </w:rPr>
                  <w:t>出资设立</w:t>
                </w:r>
              </w:p>
            </w:tc>
            <w:tc>
              <w:tcPr>
                <w:tcW w:w="1124" w:type="pct"/>
                <w:vAlign w:val="center"/>
              </w:tcPr>
              <w:p>
                <w:pPr>
                  <w:jc w:val="center"/>
                  <w:rPr>
                    <w:rFonts w:hint="eastAsia" w:ascii="宋体" w:hAnsi="宋体" w:cs="Times New Roman"/>
                    <w:bCs w:val="0"/>
                  </w:rPr>
                </w:pPr>
                <w:r>
                  <w:rPr>
                    <w:rFonts w:hint="eastAsia"/>
                    <w:bCs w:val="0"/>
                  </w:rPr>
                  <w:t>2026年3月20日</w:t>
                </w:r>
              </w:p>
            </w:tc>
            <w:tc>
              <w:tcPr>
                <w:tcW w:w="643" w:type="pct"/>
                <w:vAlign w:val="center"/>
              </w:tcPr>
              <w:p>
                <w:pPr>
                  <w:jc w:val="right"/>
                  <w:rPr>
                    <w:rFonts w:hint="eastAsia" w:ascii="宋体" w:hAnsi="宋体" w:cs="Times New Roman"/>
                    <w:bCs w:val="0"/>
                  </w:rPr>
                </w:pPr>
                <w:r>
                  <w:rPr>
                    <w:bCs w:val="0"/>
                  </w:rPr>
                  <w:t>720</w:t>
                </w:r>
              </w:p>
            </w:tc>
            <w:tc>
              <w:tcPr>
                <w:tcW w:w="745" w:type="pct"/>
                <w:vAlign w:val="center"/>
              </w:tcPr>
              <w:p>
                <w:pPr>
                  <w:jc w:val="right"/>
                  <w:rPr>
                    <w:rFonts w:hint="eastAsia" w:ascii="宋体" w:hAnsi="宋体" w:cs="Times New Roman"/>
                    <w:bCs w:val="0"/>
                  </w:rPr>
                </w:pPr>
                <w:r>
                  <w:rPr>
                    <w:rFonts w:hint="eastAsia"/>
                    <w:bCs w:val="0"/>
                  </w:rPr>
                  <w:t>72.00%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4" w:type="pct"/>
                <w:vAlign w:val="center"/>
              </w:tcPr>
              <w:p>
                <w:pPr>
                  <w:pStyle w:val="45"/>
                  <w:jc w:val="both"/>
                  <w:rPr>
                    <w:rFonts w:hint="eastAsia" w:ascii="宋体" w:hAnsi="宋体"/>
                    <w:bCs/>
                    <w:sz w:val="21"/>
                    <w:szCs w:val="21"/>
                  </w:rPr>
                </w:pPr>
                <w:r>
                  <w:rPr>
                    <w:rFonts w:hint="eastAsia"/>
                    <w:bCs/>
                  </w:rPr>
                  <w:t>准格尔旗望来充新能源科技有限公司</w:t>
                </w:r>
              </w:p>
            </w:tc>
            <w:tc>
              <w:tcPr>
                <w:tcW w:w="883" w:type="pct"/>
                <w:vAlign w:val="center"/>
              </w:tcPr>
              <w:p>
                <w:pPr>
                  <w:jc w:val="center"/>
                  <w:rPr>
                    <w:rFonts w:hint="eastAsia" w:ascii="宋体" w:hAnsi="宋体" w:cs="Times New Roman"/>
                    <w:bCs w:val="0"/>
                  </w:rPr>
                </w:pPr>
                <w:r>
                  <w:rPr>
                    <w:rFonts w:hint="eastAsia"/>
                    <w:bCs w:val="0"/>
                  </w:rPr>
                  <w:t>出资设立</w:t>
                </w:r>
              </w:p>
            </w:tc>
            <w:tc>
              <w:tcPr>
                <w:tcW w:w="1124" w:type="pct"/>
                <w:vAlign w:val="center"/>
              </w:tcPr>
              <w:p>
                <w:pPr>
                  <w:jc w:val="center"/>
                  <w:rPr>
                    <w:rFonts w:hint="eastAsia" w:ascii="宋体" w:hAnsi="宋体" w:cs="Times New Roman"/>
                    <w:bCs w:val="0"/>
                  </w:rPr>
                </w:pPr>
                <w:r>
                  <w:rPr>
                    <w:rFonts w:hint="eastAsia"/>
                    <w:bCs w:val="0"/>
                  </w:rPr>
                  <w:t>2026年3月30日</w:t>
                </w:r>
              </w:p>
            </w:tc>
            <w:tc>
              <w:tcPr>
                <w:tcW w:w="643" w:type="pct"/>
                <w:vAlign w:val="center"/>
              </w:tcPr>
              <w:p>
                <w:pPr>
                  <w:jc w:val="right"/>
                  <w:rPr>
                    <w:rFonts w:hint="eastAsia" w:ascii="宋体" w:hAnsi="宋体" w:cs="Times New Roman"/>
                    <w:bCs w:val="0"/>
                  </w:rPr>
                </w:pPr>
                <w:r>
                  <w:rPr>
                    <w:bCs w:val="0"/>
                  </w:rPr>
                  <w:t>3,060</w:t>
                </w:r>
              </w:p>
            </w:tc>
            <w:tc>
              <w:tcPr>
                <w:tcW w:w="745" w:type="pct"/>
                <w:vAlign w:val="center"/>
              </w:tcPr>
              <w:p>
                <w:pPr>
                  <w:jc w:val="right"/>
                  <w:rPr>
                    <w:rFonts w:hint="eastAsia" w:ascii="宋体" w:hAnsi="宋体" w:cs="Times New Roman"/>
                    <w:bCs w:val="0"/>
                  </w:rPr>
                </w:pPr>
                <w:r>
                  <w:rPr>
                    <w:rFonts w:hint="eastAsia"/>
                    <w:bCs w:val="0"/>
                  </w:rPr>
                  <w:t>51.00%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4" w:type="pct"/>
                <w:vAlign w:val="center"/>
              </w:tcPr>
              <w:p>
                <w:pPr>
                  <w:pStyle w:val="45"/>
                  <w:jc w:val="both"/>
                  <w:rPr>
                    <w:rFonts w:hint="eastAsia" w:ascii="宋体" w:hAnsi="宋体"/>
                    <w:bCs/>
                    <w:sz w:val="21"/>
                    <w:szCs w:val="21"/>
                  </w:rPr>
                </w:pPr>
                <w:bookmarkStart w:id="430" w:name="OLE_LINK44"/>
                <w:r>
                  <w:rPr>
                    <w:rFonts w:hint="eastAsia"/>
                    <w:bCs/>
                  </w:rPr>
                  <w:t>深圳南海电气科技有限公司</w:t>
                </w:r>
                <w:bookmarkEnd w:id="430"/>
              </w:p>
            </w:tc>
            <w:tc>
              <w:tcPr>
                <w:tcW w:w="883" w:type="pct"/>
                <w:vAlign w:val="center"/>
              </w:tcPr>
              <w:p>
                <w:pPr>
                  <w:jc w:val="center"/>
                  <w:rPr>
                    <w:rFonts w:hint="eastAsia" w:ascii="宋体" w:hAnsi="宋体" w:cs="Times New Roman"/>
                    <w:bCs w:val="0"/>
                  </w:rPr>
                </w:pPr>
                <w:r>
                  <w:rPr>
                    <w:rFonts w:hint="eastAsia"/>
                    <w:bCs w:val="0"/>
                  </w:rPr>
                  <w:t>非同一控制下合并</w:t>
                </w:r>
              </w:p>
            </w:tc>
            <w:tc>
              <w:tcPr>
                <w:tcW w:w="1124" w:type="pct"/>
                <w:vAlign w:val="center"/>
              </w:tcPr>
              <w:p>
                <w:pPr>
                  <w:jc w:val="center"/>
                  <w:rPr>
                    <w:rFonts w:hint="eastAsia" w:ascii="宋体" w:hAnsi="宋体" w:cs="Times New Roman"/>
                    <w:bCs w:val="0"/>
                  </w:rPr>
                </w:pPr>
                <w:r>
                  <w:rPr>
                    <w:rFonts w:hint="eastAsia"/>
                    <w:bCs w:val="0"/>
                  </w:rPr>
                  <w:t>2026年6月10日</w:t>
                </w:r>
              </w:p>
            </w:tc>
            <w:tc>
              <w:tcPr>
                <w:tcW w:w="643" w:type="pct"/>
                <w:vAlign w:val="center"/>
              </w:tcPr>
              <w:p>
                <w:pPr>
                  <w:jc w:val="right"/>
                  <w:rPr>
                    <w:rFonts w:hint="eastAsia" w:ascii="宋体" w:hAnsi="宋体" w:cs="Times New Roman"/>
                    <w:bCs w:val="0"/>
                  </w:rPr>
                </w:pPr>
                <w:r>
                  <w:rPr>
                    <w:bCs w:val="0"/>
                  </w:rPr>
                  <w:t>1,500</w:t>
                </w:r>
              </w:p>
            </w:tc>
            <w:tc>
              <w:tcPr>
                <w:tcW w:w="745" w:type="pct"/>
                <w:vAlign w:val="center"/>
              </w:tcPr>
              <w:p>
                <w:pPr>
                  <w:jc w:val="right"/>
                  <w:rPr>
                    <w:rFonts w:hint="eastAsia" w:ascii="宋体" w:hAnsi="宋体" w:cs="Times New Roman"/>
                    <w:bCs w:val="0"/>
                  </w:rPr>
                </w:pPr>
                <w:r>
                  <w:rPr>
                    <w:rFonts w:hint="eastAsia"/>
                    <w:bCs w:val="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04" w:type="pct"/>
                <w:vAlign w:val="center"/>
              </w:tcPr>
              <w:p>
                <w:pPr>
                  <w:pStyle w:val="45"/>
                  <w:jc w:val="both"/>
                  <w:rPr>
                    <w:rFonts w:hint="eastAsia" w:ascii="宋体" w:hAnsi="宋体"/>
                    <w:bCs/>
                    <w:sz w:val="21"/>
                    <w:szCs w:val="21"/>
                  </w:rPr>
                </w:pPr>
                <w:r>
                  <w:rPr>
                    <w:rFonts w:hint="eastAsia"/>
                    <w:bCs/>
                  </w:rPr>
                  <w:t>望来充（陕西）科技有限责任公司</w:t>
                </w:r>
              </w:p>
            </w:tc>
            <w:tc>
              <w:tcPr>
                <w:tcW w:w="883" w:type="pct"/>
                <w:vAlign w:val="center"/>
              </w:tcPr>
              <w:p>
                <w:pPr>
                  <w:jc w:val="center"/>
                  <w:rPr>
                    <w:rFonts w:hint="eastAsia" w:ascii="宋体" w:hAnsi="宋体" w:cs="Times New Roman"/>
                    <w:bCs w:val="0"/>
                  </w:rPr>
                </w:pPr>
                <w:r>
                  <w:rPr>
                    <w:rFonts w:hint="eastAsia"/>
                    <w:bCs w:val="0"/>
                  </w:rPr>
                  <w:t>出资设立</w:t>
                </w:r>
              </w:p>
            </w:tc>
            <w:tc>
              <w:tcPr>
                <w:tcW w:w="1124" w:type="pct"/>
                <w:vAlign w:val="center"/>
              </w:tcPr>
              <w:p>
                <w:pPr>
                  <w:jc w:val="center"/>
                  <w:rPr>
                    <w:rFonts w:hint="eastAsia" w:ascii="宋体" w:hAnsi="宋体" w:cs="Times New Roman"/>
                    <w:bCs w:val="0"/>
                  </w:rPr>
                </w:pPr>
                <w:r>
                  <w:rPr>
                    <w:rFonts w:hint="eastAsia"/>
                    <w:bCs w:val="0"/>
                  </w:rPr>
                  <w:t>2026年6月18日</w:t>
                </w:r>
              </w:p>
            </w:tc>
            <w:tc>
              <w:tcPr>
                <w:tcW w:w="643" w:type="pct"/>
                <w:vAlign w:val="center"/>
              </w:tcPr>
              <w:p>
                <w:pPr>
                  <w:jc w:val="right"/>
                  <w:rPr>
                    <w:rFonts w:hint="eastAsia" w:ascii="宋体" w:hAnsi="宋体" w:cs="Times New Roman"/>
                    <w:bCs w:val="0"/>
                  </w:rPr>
                </w:pPr>
                <w:r>
                  <w:rPr>
                    <w:bCs w:val="0"/>
                  </w:rPr>
                  <w:t>2,275</w:t>
                </w:r>
              </w:p>
            </w:tc>
            <w:tc>
              <w:tcPr>
                <w:tcW w:w="745" w:type="pct"/>
                <w:vAlign w:val="center"/>
              </w:tcPr>
              <w:p>
                <w:pPr>
                  <w:jc w:val="right"/>
                  <w:rPr>
                    <w:rFonts w:hint="eastAsia" w:ascii="宋体" w:hAnsi="宋体" w:cs="Times New Roman"/>
                    <w:bCs w:val="0"/>
                  </w:rPr>
                </w:pPr>
                <w:r>
                  <w:rPr>
                    <w:rFonts w:hint="eastAsia"/>
                    <w:bCs w:val="0"/>
                  </w:rPr>
                  <w:t>65.00%</w:t>
                </w:r>
              </w:p>
            </w:tc>
          </w:tr>
        </w:tbl>
      </w:sdtContent>
    </w:sdt>
    <w:p>
      <w:pPr>
        <w:pStyle w:val="4"/>
        <w:numPr>
          <w:ilvl w:val="0"/>
          <w:numId w:val="78"/>
        </w:numPr>
        <w:rPr>
          <w:rFonts w:hint="eastAsia"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其他</w:t>
      </w:r>
    </w:p>
    <w:sdt>
      <w:sdtPr>
        <w:rPr>
          <w:color w:val="000000" w:themeColor="text1"/>
          <w14:textFill>
            <w14:solidFill>
              <w14:schemeClr w14:val="tx1"/>
            </w14:solidFill>
          </w14:textFill>
        </w:rPr>
        <w:alias w:val="是否适用：合并范围的变更-其他说明[双击切换]"/>
        <w:tag w:val="_GBC_cca0ea12df6c44878cdcbeced06ed993"/>
        <w:id w:val="-366220866"/>
        <w:placeholder>
          <w:docPart w:val="GBC22222222222222222222222222222"/>
        </w:placeholder>
      </w:sdtPr>
      <w:sdtEndPr>
        <w:rPr>
          <w:color w:val="000000" w:themeColor="text1"/>
          <w14:textFill>
            <w14:solidFill>
              <w14:schemeClr w14:val="tx1"/>
            </w14:solidFill>
          </w14:textFill>
        </w:rPr>
      </w:sdtEndPr>
      <w:sdtContent>
        <w:p>
          <w:pPr>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
        <w:numPr>
          <w:ilvl w:val="0"/>
          <w:numId w:val="31"/>
        </w:numPr>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在其他主体中的权益</w:t>
      </w:r>
    </w:p>
    <w:p>
      <w:pPr>
        <w:pStyle w:val="4"/>
        <w:numPr>
          <w:ilvl w:val="2"/>
          <w:numId w:val="80"/>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在子公司中的权益</w:t>
      </w:r>
    </w:p>
    <w:p>
      <w:pPr>
        <w:pStyle w:val="5"/>
        <w:numPr>
          <w:ilvl w:val="3"/>
          <w:numId w:val="81"/>
        </w:numPr>
        <w:ind w:left="426" w:hanging="426" w:hangingChars="202"/>
        <w:rPr>
          <w:color w:val="000000" w:themeColor="text1"/>
          <w14:textFill>
            <w14:solidFill>
              <w14:schemeClr w14:val="tx1"/>
            </w14:solidFill>
          </w14:textFill>
        </w:rPr>
      </w:pPr>
      <w:bookmarkStart w:id="431" w:name="_Hlk167975969"/>
      <w:r>
        <w:rPr>
          <w:rFonts w:hint="eastAsia"/>
          <w:color w:val="000000" w:themeColor="text1"/>
          <w14:textFill>
            <w14:solidFill>
              <w14:schemeClr w14:val="tx1"/>
            </w14:solidFill>
          </w14:textFill>
        </w:rPr>
        <w:t>企业集团的构成</w:t>
      </w:r>
    </w:p>
    <w:sdt>
      <w:sdtPr>
        <w:rPr>
          <w:color w:val="000000" w:themeColor="text1"/>
          <w14:textFill>
            <w14:solidFill>
              <w14:schemeClr w14:val="tx1"/>
            </w14:solidFill>
          </w14:textFill>
        </w:rPr>
        <w:alias w:val="是否适用：企业集团的构成[双击切换]"/>
        <w:tag w:val="_GBC_d1c28d303a594095b9e1cc6b9a265571"/>
        <w:id w:val="-204959900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企业集团的构成"/>
          <w:tag w:val="_GBC_02462820d05142eca3713abc443b34f5"/>
          <w:id w:val="-6418868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企业集团的构成"/>
          <w:tag w:val="_GBC_9d84d297c94f41a5a9a7a18208389646"/>
          <w:id w:val="88460238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5"/>
        <w:gridCol w:w="2018"/>
        <w:gridCol w:w="1668"/>
        <w:gridCol w:w="2074"/>
        <w:gridCol w:w="2305"/>
        <w:gridCol w:w="1153"/>
        <w:gridCol w:w="1153"/>
        <w:gridCol w:w="1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sdt>
          <w:sdtPr>
            <w:tag w:val="_PLD_f9c2120a205a401daafe7d623ad6f73f"/>
            <w:id w:val="1174762025"/>
          </w:sdtPr>
          <w:sdtContent>
            <w:tc>
              <w:tcPr>
                <w:tcW w:w="612" w:type="pct"/>
                <w:vMerge w:val="restart"/>
                <w:vAlign w:val="center"/>
              </w:tcPr>
              <w:p>
                <w:pPr>
                  <w:jc w:val="cente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子公司名称</w:t>
                </w:r>
              </w:p>
            </w:tc>
          </w:sdtContent>
        </w:sdt>
        <w:sdt>
          <w:sdtPr>
            <w:tag w:val="_PLD_723e5916e8d942aa8a0a08bb0a7836d4"/>
            <w:id w:val="-334307906"/>
          </w:sdtPr>
          <w:sdtContent>
            <w:tc>
              <w:tcPr>
                <w:tcW w:w="716" w:type="pct"/>
                <w:vMerge w:val="restar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主要经营地</w:t>
                </w:r>
              </w:p>
            </w:tc>
          </w:sdtContent>
        </w:sdt>
        <w:tc>
          <w:tcPr>
            <w:tcW w:w="592" w:type="pct"/>
            <w:vMerge w:val="restart"/>
            <w:vAlign w:val="center"/>
          </w:tcPr>
          <w:sdt>
            <w:sdtPr>
              <w:tag w:val="_PLD_d5e3d7a26fa0476b87e5fb13adf75c0b"/>
              <w:id w:val="1010490352"/>
            </w:sdtPr>
            <w:sdtContent>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注册资本</w:t>
                </w:r>
              </w:p>
            </w:sdtContent>
          </w:sdt>
        </w:tc>
        <w:sdt>
          <w:sdtPr>
            <w:tag w:val="_PLD_75992b931bd8473e8e862e94745012a5"/>
            <w:id w:val="-563403188"/>
          </w:sdtPr>
          <w:sdtContent>
            <w:tc>
              <w:tcPr>
                <w:tcW w:w="736" w:type="pct"/>
                <w:vMerge w:val="restar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注册地</w:t>
                </w:r>
              </w:p>
            </w:tc>
          </w:sdtContent>
        </w:sdt>
        <w:sdt>
          <w:sdtPr>
            <w:tag w:val="_PLD_81986d200a3740efb1af7efc5e522b86"/>
            <w:id w:val="-1901361842"/>
          </w:sdtPr>
          <w:sdtContent>
            <w:tc>
              <w:tcPr>
                <w:tcW w:w="818" w:type="pct"/>
                <w:vMerge w:val="restar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业务性质</w:t>
                </w:r>
              </w:p>
            </w:tc>
          </w:sdtContent>
        </w:sdt>
        <w:sdt>
          <w:sdtPr>
            <w:tag w:val="_PLD_03c285667c254271b982c3c49476d597"/>
            <w:id w:val="1410187976"/>
          </w:sdtPr>
          <w:sdtContent>
            <w:tc>
              <w:tcPr>
                <w:tcW w:w="818" w:type="pct"/>
                <w:gridSpan w:val="2"/>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持股比例</w:t>
                </w:r>
                <w:r>
                  <w:rPr>
                    <w:rFonts w:cs="Arial"/>
                    <w:color w:val="000000" w:themeColor="text1"/>
                    <w14:textFill>
                      <w14:solidFill>
                        <w14:schemeClr w14:val="tx1"/>
                      </w14:solidFill>
                    </w14:textFill>
                  </w:rPr>
                  <w:t>(%)</w:t>
                </w:r>
              </w:p>
            </w:tc>
          </w:sdtContent>
        </w:sdt>
        <w:sdt>
          <w:sdtPr>
            <w:tag w:val="_PLD_b9a7fd2e9d044a72815c35f904479ae4"/>
            <w:id w:val="-934660192"/>
          </w:sdtPr>
          <w:sdtContent>
            <w:tc>
              <w:tcPr>
                <w:tcW w:w="707" w:type="pct"/>
                <w:vMerge w:val="restart"/>
                <w:vAlign w:val="center"/>
              </w:tcPr>
              <w:p>
                <w:pPr>
                  <w:jc w:val="cente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取得</w:t>
                </w:r>
              </w:p>
              <w:p>
                <w:pPr>
                  <w:jc w:val="center"/>
                  <w:rPr>
                    <w:rFonts w:cs="Arial"/>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方式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12" w:type="pct"/>
            <w:vMerge w:val="continue"/>
            <w:vAlign w:val="center"/>
          </w:tcPr>
          <w:p>
            <w:pPr>
              <w:rPr>
                <w:rFonts w:cs="Arial"/>
                <w:color w:val="000000" w:themeColor="text1"/>
                <w14:textFill>
                  <w14:solidFill>
                    <w14:schemeClr w14:val="tx1"/>
                  </w14:solidFill>
                </w14:textFill>
              </w:rPr>
            </w:pPr>
          </w:p>
        </w:tc>
        <w:tc>
          <w:tcPr>
            <w:tcW w:w="716" w:type="pct"/>
            <w:vMerge w:val="continue"/>
            <w:vAlign w:val="center"/>
          </w:tcPr>
          <w:p>
            <w:pPr>
              <w:rPr>
                <w:rFonts w:cs="Arial"/>
                <w:color w:val="000000" w:themeColor="text1"/>
                <w14:textFill>
                  <w14:solidFill>
                    <w14:schemeClr w14:val="tx1"/>
                  </w14:solidFill>
                </w14:textFill>
              </w:rPr>
            </w:pPr>
          </w:p>
        </w:tc>
        <w:tc>
          <w:tcPr>
            <w:tcW w:w="592" w:type="pct"/>
            <w:vMerge w:val="continue"/>
          </w:tcPr>
          <w:p>
            <w:pPr>
              <w:rPr>
                <w:rFonts w:cs="Arial"/>
                <w:color w:val="000000" w:themeColor="text1"/>
                <w14:textFill>
                  <w14:solidFill>
                    <w14:schemeClr w14:val="tx1"/>
                  </w14:solidFill>
                </w14:textFill>
              </w:rPr>
            </w:pPr>
          </w:p>
        </w:tc>
        <w:tc>
          <w:tcPr>
            <w:tcW w:w="736" w:type="pct"/>
            <w:vMerge w:val="continue"/>
            <w:vAlign w:val="center"/>
          </w:tcPr>
          <w:p>
            <w:pPr>
              <w:rPr>
                <w:rFonts w:cs="Arial"/>
                <w:color w:val="000000" w:themeColor="text1"/>
                <w14:textFill>
                  <w14:solidFill>
                    <w14:schemeClr w14:val="tx1"/>
                  </w14:solidFill>
                </w14:textFill>
              </w:rPr>
            </w:pPr>
          </w:p>
        </w:tc>
        <w:tc>
          <w:tcPr>
            <w:tcW w:w="818" w:type="pct"/>
            <w:vMerge w:val="continue"/>
            <w:vAlign w:val="center"/>
          </w:tcPr>
          <w:p>
            <w:pPr>
              <w:rPr>
                <w:rFonts w:cs="Arial"/>
                <w:color w:val="000000" w:themeColor="text1"/>
                <w14:textFill>
                  <w14:solidFill>
                    <w14:schemeClr w14:val="tx1"/>
                  </w14:solidFill>
                </w14:textFill>
              </w:rPr>
            </w:pPr>
          </w:p>
        </w:tc>
        <w:sdt>
          <w:sdtPr>
            <w:tag w:val="_PLD_de578ebcf9ae4a679d3c9d71857b038a"/>
            <w:id w:val="1364411497"/>
          </w:sdtPr>
          <w:sdtContent>
            <w:tc>
              <w:tcPr>
                <w:tcW w:w="409"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直接</w:t>
                </w:r>
              </w:p>
            </w:tc>
          </w:sdtContent>
        </w:sdt>
        <w:sdt>
          <w:sdtPr>
            <w:tag w:val="_PLD_154fe2dd001b4c93b14ff5f5aec1fbc8"/>
            <w:id w:val="-938367763"/>
          </w:sdtPr>
          <w:sdtContent>
            <w:tc>
              <w:tcPr>
                <w:tcW w:w="409"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间接</w:t>
                </w:r>
              </w:p>
            </w:tc>
          </w:sdtContent>
        </w:sdt>
        <w:tc>
          <w:tcPr>
            <w:tcW w:w="707" w:type="pct"/>
            <w:vMerge w:val="continue"/>
          </w:tcPr>
          <w:p>
            <w:pPr>
              <w:rPr>
                <w:rFonts w:cs="Arial"/>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云变电气</w:t>
            </w:r>
          </w:p>
        </w:tc>
        <w:tc>
          <w:tcPr>
            <w:tcW w:w="716" w:type="pct"/>
            <w:vAlign w:val="center"/>
          </w:tcPr>
          <w:p>
            <w:pPr>
              <w:jc w:val="both"/>
            </w:pPr>
            <w:r>
              <w:rPr>
                <w:rFonts w:hint="eastAsia"/>
              </w:rPr>
              <w:t>云南昆明</w:t>
            </w:r>
          </w:p>
        </w:tc>
        <w:tc>
          <w:tcPr>
            <w:tcW w:w="592" w:type="pct"/>
            <w:vAlign w:val="center"/>
          </w:tcPr>
          <w:p>
            <w:pPr>
              <w:jc w:val="right"/>
            </w:pPr>
            <w:r>
              <w:rPr>
                <w:rFonts w:hint="eastAsia"/>
              </w:rPr>
              <w:t>10,041.36</w:t>
            </w:r>
          </w:p>
        </w:tc>
        <w:tc>
          <w:tcPr>
            <w:tcW w:w="736" w:type="pct"/>
            <w:vAlign w:val="center"/>
          </w:tcPr>
          <w:p>
            <w:pPr>
              <w:jc w:val="both"/>
            </w:pPr>
            <w:r>
              <w:rPr>
                <w:rFonts w:hint="eastAsia"/>
              </w:rPr>
              <w:t>云南昆明</w:t>
            </w:r>
          </w:p>
        </w:tc>
        <w:tc>
          <w:tcPr>
            <w:tcW w:w="818" w:type="pct"/>
            <w:vAlign w:val="center"/>
          </w:tcPr>
          <w:p>
            <w:pPr>
              <w:jc w:val="both"/>
            </w:pPr>
            <w:r>
              <w:rPr>
                <w:rFonts w:hint="eastAsia"/>
              </w:rPr>
              <w:t>制造业</w:t>
            </w:r>
          </w:p>
        </w:tc>
        <w:tc>
          <w:tcPr>
            <w:tcW w:w="409" w:type="pct"/>
            <w:vAlign w:val="center"/>
          </w:tcPr>
          <w:p>
            <w:pPr>
              <w:jc w:val="center"/>
            </w:pPr>
            <w:r>
              <w:rPr>
                <w:rFonts w:hint="eastAsia"/>
              </w:rPr>
              <w:t>100</w:t>
            </w:r>
          </w:p>
        </w:tc>
        <w:tc>
          <w:tcPr>
            <w:tcW w:w="409" w:type="pct"/>
            <w:vAlign w:val="center"/>
          </w:tcPr>
          <w:p>
            <w:pPr>
              <w:jc w:val="center"/>
            </w:pPr>
          </w:p>
        </w:tc>
        <w:tc>
          <w:tcPr>
            <w:tcW w:w="707" w:type="pct"/>
            <w:vAlign w:val="center"/>
          </w:tcPr>
          <w:p>
            <w:pPr>
              <w:jc w:val="center"/>
            </w:pPr>
            <w:r>
              <w:rPr>
                <w:rFonts w:hint="eastAsia"/>
              </w:rPr>
              <w:t>非同一控制下合并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惠泽电器</w:t>
            </w:r>
          </w:p>
        </w:tc>
        <w:tc>
          <w:tcPr>
            <w:tcW w:w="716" w:type="pct"/>
            <w:vAlign w:val="center"/>
          </w:tcPr>
          <w:p>
            <w:pPr>
              <w:jc w:val="both"/>
            </w:pPr>
            <w:r>
              <w:rPr>
                <w:rFonts w:hint="eastAsia"/>
              </w:rPr>
              <w:t>重庆长寿</w:t>
            </w:r>
          </w:p>
        </w:tc>
        <w:tc>
          <w:tcPr>
            <w:tcW w:w="592" w:type="pct"/>
            <w:vAlign w:val="center"/>
          </w:tcPr>
          <w:p>
            <w:pPr>
              <w:jc w:val="right"/>
            </w:pPr>
            <w:r>
              <w:rPr>
                <w:rFonts w:hint="eastAsia"/>
              </w:rPr>
              <w:t>4,000.00</w:t>
            </w:r>
          </w:p>
        </w:tc>
        <w:tc>
          <w:tcPr>
            <w:tcW w:w="736" w:type="pct"/>
            <w:vAlign w:val="center"/>
          </w:tcPr>
          <w:p>
            <w:pPr>
              <w:jc w:val="both"/>
            </w:pPr>
            <w:r>
              <w:rPr>
                <w:rFonts w:hint="eastAsia"/>
              </w:rPr>
              <w:t>重庆长寿</w:t>
            </w:r>
          </w:p>
        </w:tc>
        <w:tc>
          <w:tcPr>
            <w:tcW w:w="818" w:type="pct"/>
            <w:vAlign w:val="center"/>
          </w:tcPr>
          <w:p>
            <w:pPr>
              <w:jc w:val="both"/>
            </w:pPr>
            <w:r>
              <w:rPr>
                <w:rFonts w:hint="eastAsia"/>
              </w:rPr>
              <w:t>制造业</w:t>
            </w:r>
          </w:p>
        </w:tc>
        <w:tc>
          <w:tcPr>
            <w:tcW w:w="409" w:type="pct"/>
            <w:vAlign w:val="center"/>
          </w:tcPr>
          <w:p>
            <w:pPr>
              <w:jc w:val="center"/>
            </w:pPr>
            <w:r>
              <w:rPr>
                <w:rFonts w:hint="eastAsia"/>
              </w:rPr>
              <w:t>100</w:t>
            </w:r>
          </w:p>
        </w:tc>
        <w:tc>
          <w:tcPr>
            <w:tcW w:w="409" w:type="pct"/>
            <w:vAlign w:val="center"/>
          </w:tcPr>
          <w:p>
            <w:pPr>
              <w:jc w:val="center"/>
            </w:pPr>
          </w:p>
        </w:tc>
        <w:tc>
          <w:tcPr>
            <w:tcW w:w="707" w:type="pct"/>
            <w:vAlign w:val="center"/>
          </w:tcPr>
          <w:p>
            <w:pPr>
              <w:jc w:val="center"/>
            </w:pPr>
            <w:r>
              <w:rPr>
                <w:rFonts w:hint="eastAsia"/>
              </w:rPr>
              <w:t>同一控制下合并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黔南望江</w:t>
            </w:r>
          </w:p>
        </w:tc>
        <w:tc>
          <w:tcPr>
            <w:tcW w:w="716" w:type="pct"/>
            <w:vAlign w:val="center"/>
          </w:tcPr>
          <w:p>
            <w:pPr>
              <w:jc w:val="both"/>
            </w:pPr>
            <w:r>
              <w:rPr>
                <w:rFonts w:hint="eastAsia"/>
              </w:rPr>
              <w:t>贵州都匀</w:t>
            </w:r>
          </w:p>
        </w:tc>
        <w:tc>
          <w:tcPr>
            <w:tcW w:w="592" w:type="pct"/>
            <w:vAlign w:val="center"/>
          </w:tcPr>
          <w:p>
            <w:pPr>
              <w:jc w:val="right"/>
            </w:pPr>
            <w:r>
              <w:rPr>
                <w:rFonts w:hint="eastAsia"/>
              </w:rPr>
              <w:t>6,000.00</w:t>
            </w:r>
          </w:p>
        </w:tc>
        <w:tc>
          <w:tcPr>
            <w:tcW w:w="736" w:type="pct"/>
            <w:vAlign w:val="center"/>
          </w:tcPr>
          <w:p>
            <w:pPr>
              <w:jc w:val="both"/>
            </w:pPr>
            <w:r>
              <w:rPr>
                <w:rFonts w:hint="eastAsia"/>
              </w:rPr>
              <w:t>贵州都匀</w:t>
            </w:r>
          </w:p>
        </w:tc>
        <w:tc>
          <w:tcPr>
            <w:tcW w:w="818" w:type="pct"/>
            <w:vAlign w:val="center"/>
          </w:tcPr>
          <w:p>
            <w:pPr>
              <w:jc w:val="both"/>
            </w:pPr>
            <w:r>
              <w:rPr>
                <w:rFonts w:hint="eastAsia"/>
              </w:rPr>
              <w:t>制造业</w:t>
            </w:r>
          </w:p>
        </w:tc>
        <w:tc>
          <w:tcPr>
            <w:tcW w:w="409" w:type="pct"/>
            <w:vAlign w:val="center"/>
          </w:tcPr>
          <w:p>
            <w:pPr>
              <w:jc w:val="center"/>
            </w:pPr>
            <w:r>
              <w:rPr>
                <w:rFonts w:hint="eastAsia"/>
              </w:rPr>
              <w:t>100</w:t>
            </w:r>
          </w:p>
        </w:tc>
        <w:tc>
          <w:tcPr>
            <w:tcW w:w="409" w:type="pct"/>
            <w:vAlign w:val="center"/>
          </w:tcPr>
          <w:p>
            <w:pPr>
              <w:jc w:val="center"/>
            </w:pPr>
          </w:p>
        </w:tc>
        <w:tc>
          <w:tcPr>
            <w:tcW w:w="707" w:type="pct"/>
            <w:vAlign w:val="center"/>
          </w:tcPr>
          <w:p>
            <w:pPr>
              <w:jc w:val="center"/>
            </w:pPr>
            <w:r>
              <w:rPr>
                <w:rFonts w:hint="eastAsia"/>
              </w:rPr>
              <w:t>同一控制下合并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沈阳望泽</w:t>
            </w:r>
          </w:p>
        </w:tc>
        <w:tc>
          <w:tcPr>
            <w:tcW w:w="716" w:type="pct"/>
            <w:vAlign w:val="center"/>
          </w:tcPr>
          <w:p>
            <w:pPr>
              <w:jc w:val="both"/>
            </w:pPr>
            <w:r>
              <w:rPr>
                <w:rFonts w:hint="eastAsia"/>
              </w:rPr>
              <w:t>辽宁沈阳</w:t>
            </w:r>
          </w:p>
        </w:tc>
        <w:tc>
          <w:tcPr>
            <w:tcW w:w="592" w:type="pct"/>
            <w:vAlign w:val="center"/>
          </w:tcPr>
          <w:p>
            <w:pPr>
              <w:jc w:val="right"/>
            </w:pPr>
            <w:r>
              <w:rPr>
                <w:rFonts w:hint="eastAsia"/>
              </w:rPr>
              <w:t>1,000.00</w:t>
            </w:r>
          </w:p>
        </w:tc>
        <w:tc>
          <w:tcPr>
            <w:tcW w:w="736" w:type="pct"/>
            <w:vAlign w:val="center"/>
          </w:tcPr>
          <w:p>
            <w:pPr>
              <w:jc w:val="both"/>
            </w:pPr>
            <w:r>
              <w:rPr>
                <w:rFonts w:hint="eastAsia"/>
              </w:rPr>
              <w:t>辽宁沈阳</w:t>
            </w:r>
          </w:p>
        </w:tc>
        <w:tc>
          <w:tcPr>
            <w:tcW w:w="818" w:type="pct"/>
            <w:vAlign w:val="center"/>
          </w:tcPr>
          <w:p>
            <w:pPr>
              <w:jc w:val="both"/>
            </w:pPr>
            <w:r>
              <w:rPr>
                <w:rFonts w:hint="eastAsia"/>
              </w:rPr>
              <w:t>设备、材料销售</w:t>
            </w:r>
          </w:p>
        </w:tc>
        <w:tc>
          <w:tcPr>
            <w:tcW w:w="409" w:type="pct"/>
            <w:vAlign w:val="center"/>
          </w:tcPr>
          <w:p>
            <w:pPr>
              <w:jc w:val="center"/>
            </w:pPr>
            <w:r>
              <w:rPr>
                <w:rFonts w:hint="eastAsia"/>
              </w:rPr>
              <w:t>51</w:t>
            </w:r>
          </w:p>
        </w:tc>
        <w:tc>
          <w:tcPr>
            <w:tcW w:w="409" w:type="pct"/>
            <w:vAlign w:val="center"/>
          </w:tcPr>
          <w:p>
            <w:pPr>
              <w:jc w:val="center"/>
            </w:pP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上海渝申</w:t>
            </w:r>
          </w:p>
        </w:tc>
        <w:tc>
          <w:tcPr>
            <w:tcW w:w="716" w:type="pct"/>
            <w:vAlign w:val="center"/>
          </w:tcPr>
          <w:p>
            <w:pPr>
              <w:jc w:val="both"/>
            </w:pPr>
            <w:r>
              <w:rPr>
                <w:rFonts w:hint="eastAsia"/>
              </w:rPr>
              <w:t>上海市</w:t>
            </w:r>
          </w:p>
        </w:tc>
        <w:tc>
          <w:tcPr>
            <w:tcW w:w="592" w:type="pct"/>
            <w:vAlign w:val="center"/>
          </w:tcPr>
          <w:p>
            <w:pPr>
              <w:jc w:val="right"/>
            </w:pPr>
            <w:r>
              <w:rPr>
                <w:rFonts w:hint="eastAsia"/>
              </w:rPr>
              <w:t>400.00</w:t>
            </w:r>
          </w:p>
        </w:tc>
        <w:tc>
          <w:tcPr>
            <w:tcW w:w="736" w:type="pct"/>
            <w:vAlign w:val="center"/>
          </w:tcPr>
          <w:p>
            <w:pPr>
              <w:jc w:val="both"/>
            </w:pPr>
            <w:r>
              <w:rPr>
                <w:rFonts w:hint="eastAsia"/>
              </w:rPr>
              <w:t>上海市</w:t>
            </w:r>
          </w:p>
        </w:tc>
        <w:tc>
          <w:tcPr>
            <w:tcW w:w="818" w:type="pct"/>
            <w:vAlign w:val="center"/>
          </w:tcPr>
          <w:p>
            <w:pPr>
              <w:jc w:val="both"/>
            </w:pPr>
            <w:r>
              <w:rPr>
                <w:rFonts w:hint="eastAsia"/>
              </w:rPr>
              <w:t>设备、材料销售</w:t>
            </w:r>
          </w:p>
        </w:tc>
        <w:tc>
          <w:tcPr>
            <w:tcW w:w="409" w:type="pct"/>
            <w:vAlign w:val="center"/>
          </w:tcPr>
          <w:p>
            <w:pPr>
              <w:jc w:val="center"/>
            </w:pPr>
            <w:r>
              <w:rPr>
                <w:rFonts w:hint="eastAsia"/>
              </w:rPr>
              <w:t>51</w:t>
            </w:r>
          </w:p>
        </w:tc>
        <w:tc>
          <w:tcPr>
            <w:tcW w:w="409" w:type="pct"/>
            <w:vAlign w:val="center"/>
          </w:tcPr>
          <w:p>
            <w:pPr>
              <w:jc w:val="center"/>
            </w:pP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香港望变</w:t>
            </w:r>
          </w:p>
        </w:tc>
        <w:tc>
          <w:tcPr>
            <w:tcW w:w="716" w:type="pct"/>
            <w:vAlign w:val="center"/>
          </w:tcPr>
          <w:p>
            <w:pPr>
              <w:jc w:val="both"/>
            </w:pPr>
            <w:r>
              <w:rPr>
                <w:rFonts w:hint="eastAsia"/>
              </w:rPr>
              <w:t>香港</w:t>
            </w:r>
          </w:p>
        </w:tc>
        <w:tc>
          <w:tcPr>
            <w:tcW w:w="592" w:type="pct"/>
            <w:vAlign w:val="center"/>
          </w:tcPr>
          <w:p>
            <w:pPr>
              <w:jc w:val="right"/>
            </w:pPr>
            <w:r>
              <w:rPr>
                <w:rFonts w:hint="eastAsia"/>
              </w:rPr>
              <w:t>1.00万港币</w:t>
            </w:r>
          </w:p>
        </w:tc>
        <w:tc>
          <w:tcPr>
            <w:tcW w:w="736" w:type="pct"/>
            <w:vAlign w:val="center"/>
          </w:tcPr>
          <w:p>
            <w:pPr>
              <w:jc w:val="both"/>
            </w:pPr>
            <w:r>
              <w:rPr>
                <w:rFonts w:hint="eastAsia"/>
              </w:rPr>
              <w:t>香港</w:t>
            </w:r>
          </w:p>
        </w:tc>
        <w:tc>
          <w:tcPr>
            <w:tcW w:w="818" w:type="pct"/>
            <w:vAlign w:val="center"/>
          </w:tcPr>
          <w:p>
            <w:pPr>
              <w:jc w:val="both"/>
            </w:pPr>
            <w:r>
              <w:rPr>
                <w:rFonts w:hint="eastAsia"/>
              </w:rPr>
              <w:t>贸易</w:t>
            </w:r>
          </w:p>
        </w:tc>
        <w:tc>
          <w:tcPr>
            <w:tcW w:w="409" w:type="pct"/>
            <w:vAlign w:val="center"/>
          </w:tcPr>
          <w:p>
            <w:pPr>
              <w:jc w:val="center"/>
            </w:pPr>
            <w:r>
              <w:rPr>
                <w:rFonts w:hint="eastAsia"/>
              </w:rPr>
              <w:t>100</w:t>
            </w:r>
          </w:p>
        </w:tc>
        <w:tc>
          <w:tcPr>
            <w:tcW w:w="409" w:type="pct"/>
            <w:vAlign w:val="center"/>
          </w:tcPr>
          <w:p>
            <w:pPr>
              <w:jc w:val="center"/>
            </w:pP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望来充（重庆）</w:t>
            </w:r>
          </w:p>
        </w:tc>
        <w:tc>
          <w:tcPr>
            <w:tcW w:w="716" w:type="pct"/>
            <w:vAlign w:val="center"/>
          </w:tcPr>
          <w:p>
            <w:pPr>
              <w:jc w:val="both"/>
            </w:pPr>
            <w:r>
              <w:rPr>
                <w:rFonts w:hint="eastAsia"/>
              </w:rPr>
              <w:t>重庆市</w:t>
            </w:r>
          </w:p>
        </w:tc>
        <w:tc>
          <w:tcPr>
            <w:tcW w:w="592" w:type="pct"/>
            <w:vAlign w:val="center"/>
          </w:tcPr>
          <w:p>
            <w:pPr>
              <w:jc w:val="right"/>
            </w:pPr>
            <w:r>
              <w:rPr>
                <w:rFonts w:hint="eastAsia"/>
              </w:rPr>
              <w:t>5,000.00</w:t>
            </w:r>
          </w:p>
        </w:tc>
        <w:tc>
          <w:tcPr>
            <w:tcW w:w="736" w:type="pct"/>
            <w:vAlign w:val="center"/>
          </w:tcPr>
          <w:p>
            <w:pPr>
              <w:jc w:val="both"/>
            </w:pPr>
            <w:r>
              <w:rPr>
                <w:rFonts w:hint="eastAsia"/>
              </w:rPr>
              <w:t>重庆渝中</w:t>
            </w:r>
          </w:p>
        </w:tc>
        <w:tc>
          <w:tcPr>
            <w:tcW w:w="818" w:type="pct"/>
            <w:vAlign w:val="center"/>
          </w:tcPr>
          <w:p>
            <w:pPr>
              <w:jc w:val="both"/>
            </w:pPr>
            <w:r>
              <w:rPr>
                <w:rFonts w:hint="eastAsia"/>
              </w:rPr>
              <w:t>充电设备的销售与充电网的投建、运营</w:t>
            </w:r>
          </w:p>
        </w:tc>
        <w:tc>
          <w:tcPr>
            <w:tcW w:w="409" w:type="pct"/>
            <w:vAlign w:val="center"/>
          </w:tcPr>
          <w:p>
            <w:pPr>
              <w:jc w:val="center"/>
            </w:pPr>
            <w:r>
              <w:rPr>
                <w:rFonts w:hint="eastAsia"/>
              </w:rPr>
              <w:t>100</w:t>
            </w:r>
          </w:p>
        </w:tc>
        <w:tc>
          <w:tcPr>
            <w:tcW w:w="409" w:type="pct"/>
            <w:vAlign w:val="center"/>
          </w:tcPr>
          <w:p>
            <w:pPr>
              <w:jc w:val="center"/>
            </w:pP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望来充（云南）</w:t>
            </w:r>
          </w:p>
        </w:tc>
        <w:tc>
          <w:tcPr>
            <w:tcW w:w="716" w:type="pct"/>
            <w:vAlign w:val="center"/>
          </w:tcPr>
          <w:p>
            <w:pPr>
              <w:jc w:val="both"/>
            </w:pPr>
            <w:r>
              <w:rPr>
                <w:rFonts w:hint="eastAsia"/>
              </w:rPr>
              <w:t>云南昆明</w:t>
            </w:r>
          </w:p>
        </w:tc>
        <w:tc>
          <w:tcPr>
            <w:tcW w:w="592" w:type="pct"/>
            <w:vAlign w:val="center"/>
          </w:tcPr>
          <w:p>
            <w:pPr>
              <w:jc w:val="right"/>
            </w:pPr>
            <w:r>
              <w:rPr>
                <w:rFonts w:hint="eastAsia"/>
              </w:rPr>
              <w:t>5,000.00</w:t>
            </w:r>
          </w:p>
        </w:tc>
        <w:tc>
          <w:tcPr>
            <w:tcW w:w="736" w:type="pct"/>
            <w:vAlign w:val="center"/>
          </w:tcPr>
          <w:p>
            <w:pPr>
              <w:jc w:val="both"/>
            </w:pPr>
            <w:r>
              <w:rPr>
                <w:rFonts w:hint="eastAsia"/>
              </w:rPr>
              <w:t>云南昆明</w:t>
            </w:r>
          </w:p>
        </w:tc>
        <w:tc>
          <w:tcPr>
            <w:tcW w:w="818" w:type="pct"/>
            <w:vAlign w:val="center"/>
          </w:tcPr>
          <w:p>
            <w:pPr>
              <w:jc w:val="both"/>
            </w:pPr>
            <w:r>
              <w:rPr>
                <w:rFonts w:hint="eastAsia"/>
              </w:rPr>
              <w:t>充电设备的销售与充电网的投建、运营</w:t>
            </w:r>
          </w:p>
        </w:tc>
        <w:tc>
          <w:tcPr>
            <w:tcW w:w="409" w:type="pct"/>
            <w:vAlign w:val="center"/>
          </w:tcPr>
          <w:p>
            <w:pPr>
              <w:jc w:val="center"/>
            </w:pPr>
          </w:p>
        </w:tc>
        <w:tc>
          <w:tcPr>
            <w:tcW w:w="409" w:type="pct"/>
            <w:vAlign w:val="center"/>
          </w:tcPr>
          <w:p>
            <w:pPr>
              <w:jc w:val="center"/>
            </w:pPr>
            <w:r>
              <w:rPr>
                <w:rFonts w:hint="eastAsia"/>
              </w:rPr>
              <w:t>100</w:t>
            </w: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长寿望来充</w:t>
            </w:r>
          </w:p>
        </w:tc>
        <w:tc>
          <w:tcPr>
            <w:tcW w:w="716" w:type="pct"/>
            <w:vAlign w:val="center"/>
          </w:tcPr>
          <w:p>
            <w:pPr>
              <w:jc w:val="both"/>
            </w:pPr>
            <w:r>
              <w:rPr>
                <w:rFonts w:hint="eastAsia"/>
              </w:rPr>
              <w:t>重庆长寿</w:t>
            </w:r>
          </w:p>
        </w:tc>
        <w:tc>
          <w:tcPr>
            <w:tcW w:w="592" w:type="pct"/>
            <w:vAlign w:val="center"/>
          </w:tcPr>
          <w:p>
            <w:pPr>
              <w:jc w:val="right"/>
            </w:pPr>
            <w:r>
              <w:rPr>
                <w:rFonts w:hint="eastAsia"/>
              </w:rPr>
              <w:t>3,000.00</w:t>
            </w:r>
          </w:p>
        </w:tc>
        <w:tc>
          <w:tcPr>
            <w:tcW w:w="736" w:type="pct"/>
            <w:vAlign w:val="center"/>
          </w:tcPr>
          <w:p>
            <w:pPr>
              <w:jc w:val="both"/>
            </w:pPr>
            <w:r>
              <w:rPr>
                <w:rFonts w:hint="eastAsia"/>
              </w:rPr>
              <w:t>重庆长寿</w:t>
            </w:r>
          </w:p>
        </w:tc>
        <w:tc>
          <w:tcPr>
            <w:tcW w:w="818" w:type="pct"/>
            <w:vAlign w:val="center"/>
          </w:tcPr>
          <w:p>
            <w:pPr>
              <w:jc w:val="both"/>
            </w:pPr>
            <w:r>
              <w:rPr>
                <w:rFonts w:hint="eastAsia"/>
              </w:rPr>
              <w:t>充电设备的销售与充电网的投建、运营</w:t>
            </w:r>
          </w:p>
        </w:tc>
        <w:tc>
          <w:tcPr>
            <w:tcW w:w="409" w:type="pct"/>
            <w:vAlign w:val="center"/>
          </w:tcPr>
          <w:p>
            <w:pPr>
              <w:jc w:val="center"/>
            </w:pPr>
          </w:p>
        </w:tc>
        <w:tc>
          <w:tcPr>
            <w:tcW w:w="409" w:type="pct"/>
            <w:vAlign w:val="center"/>
          </w:tcPr>
          <w:p>
            <w:pPr>
              <w:jc w:val="center"/>
            </w:pPr>
            <w:r>
              <w:rPr>
                <w:rFonts w:hint="eastAsia"/>
              </w:rPr>
              <w:t>80</w:t>
            </w: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望来充（河南）</w:t>
            </w:r>
          </w:p>
        </w:tc>
        <w:tc>
          <w:tcPr>
            <w:tcW w:w="716" w:type="pct"/>
            <w:vAlign w:val="center"/>
          </w:tcPr>
          <w:p>
            <w:pPr>
              <w:jc w:val="both"/>
            </w:pPr>
            <w:r>
              <w:rPr>
                <w:rFonts w:hint="eastAsia"/>
              </w:rPr>
              <w:t>河南郑州</w:t>
            </w:r>
          </w:p>
        </w:tc>
        <w:tc>
          <w:tcPr>
            <w:tcW w:w="592" w:type="pct"/>
            <w:vAlign w:val="center"/>
          </w:tcPr>
          <w:p>
            <w:pPr>
              <w:jc w:val="right"/>
            </w:pPr>
            <w:r>
              <w:rPr>
                <w:rFonts w:hint="eastAsia"/>
              </w:rPr>
              <w:t>1,000.00</w:t>
            </w:r>
          </w:p>
        </w:tc>
        <w:tc>
          <w:tcPr>
            <w:tcW w:w="736" w:type="pct"/>
            <w:vAlign w:val="center"/>
          </w:tcPr>
          <w:p>
            <w:pPr>
              <w:jc w:val="both"/>
            </w:pPr>
            <w:r>
              <w:rPr>
                <w:rFonts w:hint="eastAsia"/>
              </w:rPr>
              <w:t>河南郑州</w:t>
            </w:r>
          </w:p>
        </w:tc>
        <w:tc>
          <w:tcPr>
            <w:tcW w:w="818" w:type="pct"/>
            <w:vAlign w:val="center"/>
          </w:tcPr>
          <w:p>
            <w:pPr>
              <w:jc w:val="both"/>
            </w:pPr>
            <w:r>
              <w:rPr>
                <w:rFonts w:hint="eastAsia"/>
              </w:rPr>
              <w:t>充电设备的销售与充电网的投建、运营</w:t>
            </w:r>
          </w:p>
        </w:tc>
        <w:tc>
          <w:tcPr>
            <w:tcW w:w="409" w:type="pct"/>
            <w:vAlign w:val="center"/>
          </w:tcPr>
          <w:p>
            <w:pPr>
              <w:jc w:val="center"/>
            </w:pPr>
          </w:p>
        </w:tc>
        <w:tc>
          <w:tcPr>
            <w:tcW w:w="409" w:type="pct"/>
            <w:vAlign w:val="center"/>
          </w:tcPr>
          <w:p>
            <w:pPr>
              <w:jc w:val="center"/>
            </w:pPr>
            <w:r>
              <w:rPr>
                <w:rFonts w:hint="eastAsia"/>
              </w:rPr>
              <w:t>100</w:t>
            </w: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望来电</w:t>
            </w:r>
          </w:p>
        </w:tc>
        <w:tc>
          <w:tcPr>
            <w:tcW w:w="716" w:type="pct"/>
            <w:vAlign w:val="center"/>
          </w:tcPr>
          <w:p>
            <w:pPr>
              <w:jc w:val="both"/>
            </w:pPr>
            <w:r>
              <w:rPr>
                <w:rFonts w:hint="eastAsia"/>
              </w:rPr>
              <w:t>重庆长寿</w:t>
            </w:r>
          </w:p>
        </w:tc>
        <w:tc>
          <w:tcPr>
            <w:tcW w:w="592" w:type="pct"/>
            <w:vAlign w:val="center"/>
          </w:tcPr>
          <w:p>
            <w:pPr>
              <w:jc w:val="right"/>
            </w:pPr>
            <w:r>
              <w:rPr>
                <w:rFonts w:hint="eastAsia"/>
              </w:rPr>
              <w:t>5,000.00</w:t>
            </w:r>
          </w:p>
        </w:tc>
        <w:tc>
          <w:tcPr>
            <w:tcW w:w="736" w:type="pct"/>
            <w:vAlign w:val="center"/>
          </w:tcPr>
          <w:p>
            <w:pPr>
              <w:jc w:val="both"/>
            </w:pPr>
            <w:r>
              <w:rPr>
                <w:rFonts w:hint="eastAsia"/>
              </w:rPr>
              <w:t>重庆长寿</w:t>
            </w:r>
          </w:p>
        </w:tc>
        <w:tc>
          <w:tcPr>
            <w:tcW w:w="818" w:type="pct"/>
            <w:vAlign w:val="center"/>
          </w:tcPr>
          <w:p>
            <w:pPr>
              <w:jc w:val="both"/>
            </w:pPr>
            <w:r>
              <w:rPr>
                <w:rFonts w:hint="eastAsia"/>
              </w:rPr>
              <w:t>制造业</w:t>
            </w:r>
          </w:p>
        </w:tc>
        <w:tc>
          <w:tcPr>
            <w:tcW w:w="409" w:type="pct"/>
            <w:vAlign w:val="center"/>
          </w:tcPr>
          <w:p>
            <w:pPr>
              <w:jc w:val="center"/>
            </w:pPr>
            <w:r>
              <w:rPr>
                <w:rFonts w:hint="eastAsia"/>
              </w:rPr>
              <w:t>80</w:t>
            </w:r>
          </w:p>
        </w:tc>
        <w:tc>
          <w:tcPr>
            <w:tcW w:w="409" w:type="pct"/>
            <w:vAlign w:val="center"/>
          </w:tcPr>
          <w:p>
            <w:pPr>
              <w:jc w:val="center"/>
            </w:pP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准格尔旗望来充</w:t>
            </w:r>
          </w:p>
        </w:tc>
        <w:tc>
          <w:tcPr>
            <w:tcW w:w="716" w:type="pct"/>
            <w:vAlign w:val="center"/>
          </w:tcPr>
          <w:p>
            <w:pPr>
              <w:jc w:val="both"/>
            </w:pPr>
            <w:r>
              <w:rPr>
                <w:rFonts w:hint="eastAsia"/>
              </w:rPr>
              <w:t>内蒙古自治区鄂尔多斯市准格尔旗</w:t>
            </w:r>
          </w:p>
        </w:tc>
        <w:tc>
          <w:tcPr>
            <w:tcW w:w="592" w:type="pct"/>
            <w:vAlign w:val="center"/>
          </w:tcPr>
          <w:p>
            <w:pPr>
              <w:jc w:val="right"/>
            </w:pPr>
            <w:r>
              <w:rPr>
                <w:rFonts w:hint="eastAsia"/>
              </w:rPr>
              <w:t>6,000.00</w:t>
            </w:r>
          </w:p>
        </w:tc>
        <w:tc>
          <w:tcPr>
            <w:tcW w:w="736" w:type="pct"/>
            <w:vAlign w:val="center"/>
          </w:tcPr>
          <w:p>
            <w:pPr>
              <w:jc w:val="both"/>
            </w:pPr>
            <w:r>
              <w:rPr>
                <w:rFonts w:hint="eastAsia"/>
              </w:rPr>
              <w:t>内蒙古自治区鄂尔多斯市准格尔旗</w:t>
            </w:r>
          </w:p>
        </w:tc>
        <w:tc>
          <w:tcPr>
            <w:tcW w:w="818" w:type="pct"/>
            <w:vAlign w:val="center"/>
          </w:tcPr>
          <w:p>
            <w:pPr>
              <w:jc w:val="both"/>
            </w:pPr>
            <w:r>
              <w:rPr>
                <w:rFonts w:hint="eastAsia"/>
              </w:rPr>
              <w:t>充电设备的销售与充电网的投建、运营</w:t>
            </w:r>
          </w:p>
        </w:tc>
        <w:tc>
          <w:tcPr>
            <w:tcW w:w="409" w:type="pct"/>
            <w:vAlign w:val="center"/>
          </w:tcPr>
          <w:p>
            <w:pPr>
              <w:jc w:val="center"/>
            </w:pPr>
          </w:p>
        </w:tc>
        <w:tc>
          <w:tcPr>
            <w:tcW w:w="409" w:type="pct"/>
            <w:vAlign w:val="center"/>
          </w:tcPr>
          <w:p>
            <w:pPr>
              <w:jc w:val="center"/>
            </w:pPr>
            <w:r>
              <w:rPr>
                <w:rFonts w:hint="eastAsia"/>
              </w:rPr>
              <w:t>51</w:t>
            </w: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望来充（陕西）</w:t>
            </w:r>
          </w:p>
        </w:tc>
        <w:tc>
          <w:tcPr>
            <w:tcW w:w="716" w:type="pct"/>
            <w:vAlign w:val="center"/>
          </w:tcPr>
          <w:p>
            <w:pPr>
              <w:jc w:val="both"/>
            </w:pPr>
            <w:r>
              <w:rPr>
                <w:rFonts w:hint="eastAsia"/>
              </w:rPr>
              <w:t>陕西咸阳</w:t>
            </w:r>
          </w:p>
        </w:tc>
        <w:tc>
          <w:tcPr>
            <w:tcW w:w="592" w:type="pct"/>
            <w:vAlign w:val="center"/>
          </w:tcPr>
          <w:p>
            <w:pPr>
              <w:jc w:val="right"/>
            </w:pPr>
            <w:r>
              <w:rPr>
                <w:rFonts w:hint="eastAsia"/>
              </w:rPr>
              <w:t>3,500.00</w:t>
            </w:r>
          </w:p>
        </w:tc>
        <w:tc>
          <w:tcPr>
            <w:tcW w:w="736" w:type="pct"/>
            <w:vAlign w:val="center"/>
          </w:tcPr>
          <w:p>
            <w:pPr>
              <w:jc w:val="both"/>
            </w:pPr>
            <w:r>
              <w:rPr>
                <w:rFonts w:hint="eastAsia"/>
              </w:rPr>
              <w:t>陕西咸阳</w:t>
            </w:r>
          </w:p>
        </w:tc>
        <w:tc>
          <w:tcPr>
            <w:tcW w:w="818" w:type="pct"/>
            <w:vAlign w:val="center"/>
          </w:tcPr>
          <w:p>
            <w:pPr>
              <w:jc w:val="both"/>
            </w:pPr>
            <w:r>
              <w:rPr>
                <w:rFonts w:hint="eastAsia"/>
              </w:rPr>
              <w:t>充电设备的销售与充电网的投建、运营</w:t>
            </w:r>
          </w:p>
        </w:tc>
        <w:tc>
          <w:tcPr>
            <w:tcW w:w="409" w:type="pct"/>
            <w:vAlign w:val="center"/>
          </w:tcPr>
          <w:p>
            <w:pPr>
              <w:jc w:val="center"/>
            </w:pPr>
          </w:p>
        </w:tc>
        <w:tc>
          <w:tcPr>
            <w:tcW w:w="409" w:type="pct"/>
            <w:vAlign w:val="center"/>
          </w:tcPr>
          <w:p>
            <w:pPr>
              <w:jc w:val="center"/>
            </w:pPr>
            <w:r>
              <w:rPr>
                <w:rFonts w:hint="eastAsia"/>
              </w:rPr>
              <w:t>65</w:t>
            </w: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望来充（合川）</w:t>
            </w:r>
          </w:p>
        </w:tc>
        <w:tc>
          <w:tcPr>
            <w:tcW w:w="716" w:type="pct"/>
            <w:vAlign w:val="center"/>
          </w:tcPr>
          <w:p>
            <w:pPr>
              <w:jc w:val="both"/>
            </w:pPr>
            <w:r>
              <w:rPr>
                <w:rFonts w:hint="eastAsia"/>
              </w:rPr>
              <w:t>重庆合川</w:t>
            </w:r>
          </w:p>
        </w:tc>
        <w:tc>
          <w:tcPr>
            <w:tcW w:w="592" w:type="pct"/>
            <w:vAlign w:val="center"/>
          </w:tcPr>
          <w:p>
            <w:pPr>
              <w:jc w:val="right"/>
            </w:pPr>
            <w:r>
              <w:rPr>
                <w:rFonts w:hint="eastAsia"/>
              </w:rPr>
              <w:t>1,000.00</w:t>
            </w:r>
          </w:p>
        </w:tc>
        <w:tc>
          <w:tcPr>
            <w:tcW w:w="736" w:type="pct"/>
            <w:vAlign w:val="center"/>
          </w:tcPr>
          <w:p>
            <w:pPr>
              <w:jc w:val="both"/>
            </w:pPr>
            <w:r>
              <w:rPr>
                <w:rFonts w:hint="eastAsia"/>
              </w:rPr>
              <w:t>重庆合川</w:t>
            </w:r>
          </w:p>
        </w:tc>
        <w:tc>
          <w:tcPr>
            <w:tcW w:w="818" w:type="pct"/>
            <w:vAlign w:val="center"/>
          </w:tcPr>
          <w:p>
            <w:pPr>
              <w:jc w:val="both"/>
            </w:pPr>
            <w:r>
              <w:rPr>
                <w:rFonts w:hint="eastAsia"/>
              </w:rPr>
              <w:t>充电设备的销售与充电网的投建、运营</w:t>
            </w:r>
          </w:p>
        </w:tc>
        <w:tc>
          <w:tcPr>
            <w:tcW w:w="409" w:type="pct"/>
            <w:vAlign w:val="center"/>
          </w:tcPr>
          <w:p>
            <w:pPr>
              <w:jc w:val="center"/>
            </w:pPr>
          </w:p>
        </w:tc>
        <w:tc>
          <w:tcPr>
            <w:tcW w:w="409" w:type="pct"/>
            <w:vAlign w:val="center"/>
          </w:tcPr>
          <w:p>
            <w:pPr>
              <w:jc w:val="center"/>
            </w:pPr>
            <w:r>
              <w:t>72</w:t>
            </w: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望来充金池</w:t>
            </w:r>
          </w:p>
        </w:tc>
        <w:tc>
          <w:tcPr>
            <w:tcW w:w="716" w:type="pct"/>
            <w:vAlign w:val="center"/>
          </w:tcPr>
          <w:p>
            <w:pPr>
              <w:jc w:val="both"/>
            </w:pPr>
            <w:r>
              <w:rPr>
                <w:rFonts w:hint="eastAsia"/>
              </w:rPr>
              <w:t>云南文山壮族苗族自治州</w:t>
            </w:r>
          </w:p>
        </w:tc>
        <w:tc>
          <w:tcPr>
            <w:tcW w:w="592" w:type="pct"/>
            <w:vAlign w:val="center"/>
          </w:tcPr>
          <w:p>
            <w:pPr>
              <w:jc w:val="right"/>
            </w:pPr>
            <w:r>
              <w:rPr>
                <w:rFonts w:hint="eastAsia"/>
              </w:rPr>
              <w:t>1,500.00</w:t>
            </w:r>
          </w:p>
        </w:tc>
        <w:tc>
          <w:tcPr>
            <w:tcW w:w="736" w:type="pct"/>
            <w:vAlign w:val="center"/>
          </w:tcPr>
          <w:p>
            <w:pPr>
              <w:jc w:val="both"/>
            </w:pPr>
            <w:r>
              <w:rPr>
                <w:rFonts w:hint="eastAsia"/>
              </w:rPr>
              <w:t>云南文山壮族苗族自治州</w:t>
            </w:r>
          </w:p>
        </w:tc>
        <w:tc>
          <w:tcPr>
            <w:tcW w:w="818" w:type="pct"/>
            <w:vAlign w:val="center"/>
          </w:tcPr>
          <w:p>
            <w:pPr>
              <w:jc w:val="both"/>
            </w:pPr>
            <w:r>
              <w:rPr>
                <w:rFonts w:hint="eastAsia"/>
              </w:rPr>
              <w:t>充电设备的销售与充电网的投建、运营</w:t>
            </w:r>
          </w:p>
        </w:tc>
        <w:tc>
          <w:tcPr>
            <w:tcW w:w="409" w:type="pct"/>
            <w:vAlign w:val="center"/>
          </w:tcPr>
          <w:p>
            <w:pPr>
              <w:jc w:val="center"/>
            </w:pPr>
          </w:p>
        </w:tc>
        <w:tc>
          <w:tcPr>
            <w:tcW w:w="409" w:type="pct"/>
            <w:vAlign w:val="center"/>
          </w:tcPr>
          <w:p>
            <w:pPr>
              <w:jc w:val="center"/>
            </w:pPr>
            <w:r>
              <w:rPr>
                <w:rFonts w:hint="eastAsia"/>
              </w:rPr>
              <w:t>51</w:t>
            </w:r>
          </w:p>
        </w:tc>
        <w:tc>
          <w:tcPr>
            <w:tcW w:w="707" w:type="pct"/>
            <w:vAlign w:val="center"/>
          </w:tcPr>
          <w:p>
            <w:pPr>
              <w:jc w:val="center"/>
            </w:pPr>
            <w:r>
              <w:rPr>
                <w:rFonts w:hint="eastAsia"/>
              </w:rPr>
              <w:t>新增投资设立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2" w:type="pct"/>
            <w:vAlign w:val="center"/>
          </w:tcPr>
          <w:p>
            <w:pPr>
              <w:jc w:val="both"/>
            </w:pPr>
            <w:r>
              <w:rPr>
                <w:rFonts w:hint="eastAsia"/>
              </w:rPr>
              <w:t>南海电气</w:t>
            </w:r>
          </w:p>
        </w:tc>
        <w:tc>
          <w:tcPr>
            <w:tcW w:w="716" w:type="pct"/>
            <w:vAlign w:val="center"/>
          </w:tcPr>
          <w:p>
            <w:pPr>
              <w:jc w:val="both"/>
            </w:pPr>
            <w:r>
              <w:rPr>
                <w:rFonts w:hint="eastAsia"/>
              </w:rPr>
              <w:t>广东深圳</w:t>
            </w:r>
          </w:p>
        </w:tc>
        <w:tc>
          <w:tcPr>
            <w:tcW w:w="592" w:type="pct"/>
            <w:vAlign w:val="center"/>
          </w:tcPr>
          <w:p>
            <w:pPr>
              <w:jc w:val="right"/>
            </w:pPr>
            <w:r>
              <w:rPr>
                <w:rFonts w:hint="eastAsia"/>
              </w:rPr>
              <w:t>1,500.00</w:t>
            </w:r>
          </w:p>
        </w:tc>
        <w:tc>
          <w:tcPr>
            <w:tcW w:w="736" w:type="pct"/>
            <w:vAlign w:val="center"/>
          </w:tcPr>
          <w:p>
            <w:pPr>
              <w:jc w:val="both"/>
            </w:pPr>
            <w:r>
              <w:rPr>
                <w:rFonts w:hint="eastAsia"/>
              </w:rPr>
              <w:t>广东深圳</w:t>
            </w:r>
          </w:p>
        </w:tc>
        <w:tc>
          <w:tcPr>
            <w:tcW w:w="818" w:type="pct"/>
            <w:vAlign w:val="center"/>
          </w:tcPr>
          <w:p>
            <w:pPr>
              <w:jc w:val="both"/>
            </w:pPr>
            <w:r>
              <w:rPr>
                <w:rFonts w:hint="eastAsia"/>
              </w:rPr>
              <w:t>贸易</w:t>
            </w:r>
          </w:p>
        </w:tc>
        <w:tc>
          <w:tcPr>
            <w:tcW w:w="409" w:type="pct"/>
            <w:vAlign w:val="center"/>
          </w:tcPr>
          <w:p>
            <w:pPr>
              <w:jc w:val="center"/>
            </w:pPr>
            <w:r>
              <w:rPr>
                <w:rFonts w:hint="eastAsia"/>
              </w:rPr>
              <w:t>100</w:t>
            </w:r>
          </w:p>
        </w:tc>
        <w:tc>
          <w:tcPr>
            <w:tcW w:w="409" w:type="pct"/>
            <w:vAlign w:val="center"/>
          </w:tcPr>
          <w:p>
            <w:pPr>
              <w:jc w:val="center"/>
            </w:pPr>
          </w:p>
        </w:tc>
        <w:tc>
          <w:tcPr>
            <w:tcW w:w="707" w:type="pct"/>
            <w:vAlign w:val="center"/>
          </w:tcPr>
          <w:p>
            <w:pPr>
              <w:jc w:val="center"/>
            </w:pPr>
            <w:r>
              <w:rPr>
                <w:rFonts w:hint="eastAsia"/>
              </w:rPr>
              <w:t>非同一控制下合并</w:t>
            </w:r>
          </w:p>
        </w:tc>
      </w:tr>
    </w:tbl>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在子公司的持股比例不同于表决权比例的说明：</w:t>
      </w:r>
    </w:p>
    <w:p>
      <w:pPr>
        <w:spacing w:line="360" w:lineRule="exact"/>
        <w:rPr>
          <w:rFonts w:cs="Arial"/>
          <w:color w:val="000000" w:themeColor="text1"/>
          <w14:textFill>
            <w14:solidFill>
              <w14:schemeClr w14:val="tx1"/>
            </w14:solidFill>
          </w14:textFill>
        </w:rPr>
      </w:pPr>
      <w:sdt>
        <w:sdtPr>
          <w:rPr>
            <w:rFonts w:cs="Arial"/>
            <w:color w:val="000000" w:themeColor="text1"/>
            <w14:textFill>
              <w14:solidFill>
                <w14:schemeClr w14:val="tx1"/>
              </w14:solidFill>
            </w14:textFill>
          </w:rPr>
          <w:alias w:val="在子公司的持股比例不同于表决权比例的说明"/>
          <w:tag w:val="_GBC_f369e5dd5f6e430ebbede4953d1e5b82"/>
          <w:id w:val="-2087834544"/>
          <w:placeholder>
            <w:docPart w:val="GBC22222222222222222222222222222"/>
          </w:placeholder>
        </w:sdtPr>
        <w:sdtEndPr>
          <w:rPr>
            <w:rFonts w:cs="Arial"/>
            <w:color w:val="000000" w:themeColor="text1"/>
            <w14:textFill>
              <w14:solidFill>
                <w14:schemeClr w14:val="tx1"/>
              </w14:solidFill>
            </w14:textFill>
          </w:rPr>
        </w:sdtEndPr>
        <w:sdtContent>
          <w:r>
            <w:rPr>
              <w:rFonts w:hint="eastAsia" w:cs="Arial"/>
              <w:color w:val="000000" w:themeColor="text1"/>
              <w14:textFill>
                <w14:solidFill>
                  <w14:schemeClr w14:val="tx1"/>
                </w14:solidFill>
              </w14:textFill>
            </w:rPr>
            <w:t>无</w:t>
          </w:r>
        </w:sdtContent>
      </w:sdt>
    </w:p>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持有半数或以下表决权但仍控制被投资单位、以及持有半数以上表决权但不控制被投资单位的依据：</w:t>
      </w:r>
    </w:p>
    <w:sdt>
      <w:sdtPr>
        <w:rPr>
          <w:rFonts w:cs="Arial"/>
          <w:color w:val="000000" w:themeColor="text1"/>
          <w14:textFill>
            <w14:solidFill>
              <w14:schemeClr w14:val="tx1"/>
            </w14:solidFill>
          </w14:textFill>
        </w:rPr>
        <w:alias w:val="持有半数或以下表决权但仍控制被投资单位、以及持有半数以上表决权但不控制被投资单位的依据"/>
        <w:tag w:val="_GBC_140bd5da597c40feaa9310db1d6dc624"/>
        <w:id w:val="1478184844"/>
        <w:placeholder>
          <w:docPart w:val="GBC22222222222222222222222222222"/>
        </w:placeholder>
      </w:sdtPr>
      <w:sdtEndPr>
        <w:rPr>
          <w:rFonts w:cs="Arial"/>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无</w:t>
          </w:r>
        </w:p>
      </w:sdtContent>
    </w:sdt>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对于纳入合并范围的重要的结构化主体，控制的依据：</w:t>
      </w:r>
    </w:p>
    <w:sdt>
      <w:sdtPr>
        <w:rPr>
          <w:rFonts w:hint="eastAsia" w:cs="Arial"/>
          <w:color w:val="000000" w:themeColor="text1"/>
          <w14:textFill>
            <w14:solidFill>
              <w14:schemeClr w14:val="tx1"/>
            </w14:solidFill>
          </w14:textFill>
        </w:rPr>
        <w:alias w:val="对于纳入合并范围的重要的结构化主体，控制的依据"/>
        <w:tag w:val="_GBC_2d237439b4094e01b636ce2eb1be2008"/>
        <w:id w:val="-248195933"/>
        <w:placeholder>
          <w:docPart w:val="GBC22222222222222222222222222222"/>
        </w:placeholder>
      </w:sdtPr>
      <w:sdtEndPr>
        <w:rPr>
          <w:rFonts w:hint="eastAsia" w:cs="Arial"/>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无</w:t>
          </w:r>
        </w:p>
      </w:sdtContent>
    </w:sdt>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确定公司是代理人还是委托人的依据：</w:t>
      </w:r>
    </w:p>
    <w:sdt>
      <w:sdtPr>
        <w:rPr>
          <w:rFonts w:hint="eastAsia" w:cs="Arial"/>
          <w:color w:val="000000" w:themeColor="text1"/>
          <w14:textFill>
            <w14:solidFill>
              <w14:schemeClr w14:val="tx1"/>
            </w14:solidFill>
          </w14:textFill>
        </w:rPr>
        <w:alias w:val="确定公司是代理人还是委托人的依据"/>
        <w:tag w:val="_GBC_6e0bd1ebb4c2474da455b4f5a3a59699"/>
        <w:id w:val="-411155301"/>
        <w:placeholder>
          <w:docPart w:val="GBC22222222222222222222222222222"/>
        </w:placeholder>
      </w:sdtPr>
      <w:sdtEndPr>
        <w:rPr>
          <w:rFonts w:hint="eastAsia" w:cs="Arial"/>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无</w:t>
          </w:r>
        </w:p>
      </w:sdtContent>
    </w:sdt>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企业集团的构成的其他需要说明的事项"/>
        <w:tag w:val="_GBC_6b7d2d3a14224f7e90a4df3c02b8e3b3"/>
        <w:id w:val="1184550822"/>
        <w:placeholder>
          <w:docPart w:val="GBC22222222222222222222222222222"/>
        </w:placeholder>
      </w:sdtPr>
      <w:sdtEndPr>
        <w:rPr>
          <w:rFonts w:cs="Arial"/>
          <w:color w:val="000000" w:themeColor="text1"/>
          <w14:textFill>
            <w14:solidFill>
              <w14:schemeClr w14:val="tx1"/>
            </w14:solidFill>
          </w14:textFill>
        </w:rPr>
      </w:sdtEndPr>
      <w:sdtContent>
        <w:p>
          <w:pPr>
            <w:spacing w:line="360" w:lineRule="exact"/>
            <w:rPr>
              <w:rFonts w:cstheme="minorBidi"/>
              <w:color w:val="000000" w:themeColor="text1"/>
              <w14:textFill>
                <w14:solidFill>
                  <w14:schemeClr w14:val="tx1"/>
                </w14:solidFill>
              </w14:textFill>
            </w:rPr>
          </w:pPr>
          <w:r>
            <w:rPr>
              <w:rFonts w:hint="eastAsia" w:cs="Arial"/>
              <w:color w:val="000000" w:themeColor="text1"/>
              <w14:textFill>
                <w14:solidFill>
                  <w14:schemeClr w14:val="tx1"/>
                </w14:solidFill>
              </w14:textFill>
            </w:rPr>
            <w:t>无</w:t>
          </w:r>
        </w:p>
      </w:sdtContent>
    </w:sdt>
    <w:bookmarkEnd w:id="431"/>
    <w:p>
      <w:pPr>
        <w:pStyle w:val="5"/>
        <w:numPr>
          <w:ilvl w:val="3"/>
          <w:numId w:val="81"/>
        </w:numPr>
        <w:ind w:left="426" w:hanging="426" w:hangingChars="202"/>
        <w:rPr>
          <w:color w:val="000000" w:themeColor="text1"/>
          <w14:textFill>
            <w14:solidFill>
              <w14:schemeClr w14:val="tx1"/>
            </w14:solidFill>
          </w14:textFill>
        </w:rPr>
      </w:pPr>
      <w:r>
        <w:rPr>
          <w:rFonts w:hint="eastAsia"/>
          <w:color w:val="000000" w:themeColor="text1"/>
          <w14:textFill>
            <w14:solidFill>
              <w14:schemeClr w14:val="tx1"/>
            </w14:solidFill>
          </w14:textFill>
        </w:rPr>
        <w:t>重要的非全资子公司</w:t>
      </w:r>
    </w:p>
    <w:sdt>
      <w:sdtPr>
        <w:rPr>
          <w:color w:val="000000" w:themeColor="text1"/>
          <w14:textFill>
            <w14:solidFill>
              <w14:schemeClr w14:val="tx1"/>
            </w14:solidFill>
          </w14:textFill>
        </w:rPr>
        <w:alias w:val="是否适用：重要的非全资子公司[双击切换]"/>
        <w:tag w:val="_GBC_b83f349d0d754e2d93b12d2112b4c3ec"/>
        <w:id w:val="-208088780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的非全资子公司"/>
          <w:tag w:val="_GBC_e5936e9952394755bacf71d437afcd44"/>
          <w:id w:val="553588043"/>
          <w:placeholder>
            <w:docPart w:val="F37F26CE1F774E4E80F2BA59CE1425F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的非全资子公司"/>
          <w:tag w:val="_GBC_5ffac6aa0e464031b94de604fccc76c7"/>
          <w:id w:val="434943016"/>
          <w:placeholder>
            <w:docPart w:val="F37F26CE1F774E4E80F2BA59CE1425F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08"/>
        <w:gridCol w:w="2825"/>
        <w:gridCol w:w="3016"/>
        <w:gridCol w:w="3025"/>
        <w:gridCol w:w="2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tag w:val="_PLD_214f5d23d0ff4cd08577f444026e3bf2"/>
            <w:id w:val="-948395898"/>
          </w:sdtPr>
          <w:sdtContent>
            <w:tc>
              <w:tcPr>
                <w:tcW w:w="890"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子公司名称</w:t>
                </w:r>
              </w:p>
            </w:tc>
          </w:sdtContent>
        </w:sdt>
        <w:sdt>
          <w:sdtPr>
            <w:tag w:val="_PLD_8f337a5f047e4f5eb2e03caf3b5ce2bb"/>
            <w:id w:val="-1905053736"/>
          </w:sdtPr>
          <w:sdtContent>
            <w:tc>
              <w:tcPr>
                <w:tcW w:w="1002" w:type="pct"/>
                <w:vAlign w:val="center"/>
              </w:tcPr>
              <w:p>
                <w:pPr>
                  <w:jc w:val="center"/>
                  <w:rPr>
                    <w:rFonts w:cs="Arial"/>
                    <w:bCs w:val="0"/>
                    <w:color w:val="000000" w:themeColor="text1"/>
                    <w:lang w:val="en-GB"/>
                    <w14:textFill>
                      <w14:solidFill>
                        <w14:schemeClr w14:val="tx1"/>
                      </w14:solidFill>
                    </w14:textFill>
                  </w:rPr>
                </w:pPr>
                <w:r>
                  <w:rPr>
                    <w:rFonts w:hint="eastAsia" w:cs="Arial"/>
                    <w:color w:val="000000" w:themeColor="text1"/>
                    <w:lang w:val="en-GB"/>
                    <w14:textFill>
                      <w14:solidFill>
                        <w14:schemeClr w14:val="tx1"/>
                      </w14:solidFill>
                    </w14:textFill>
                  </w:rPr>
                  <w:t>少数股东持股</w:t>
                </w:r>
              </w:p>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比例</w:t>
                </w:r>
                <w:r>
                  <w:rPr>
                    <w:rFonts w:hint="eastAsia"/>
                    <w:color w:val="000000" w:themeColor="text1"/>
                    <w14:textFill>
                      <w14:solidFill>
                        <w14:schemeClr w14:val="tx1"/>
                      </w14:solidFill>
                    </w14:textFill>
                  </w:rPr>
                  <w:t>（%）</w:t>
                </w:r>
              </w:p>
            </w:tc>
          </w:sdtContent>
        </w:sdt>
        <w:sdt>
          <w:sdtPr>
            <w:tag w:val="_PLD_70aca7c8f09a4a579e632e06c25a6ab5"/>
            <w:id w:val="-927277735"/>
          </w:sdtPr>
          <w:sdtContent>
            <w:tc>
              <w:tcPr>
                <w:tcW w:w="1070"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本期归属于少数股东的损益</w:t>
                </w:r>
              </w:p>
            </w:tc>
          </w:sdtContent>
        </w:sdt>
        <w:sdt>
          <w:sdtPr>
            <w:tag w:val="_PLD_4154a89239e54416bb4c7ab182b0ae5a"/>
            <w:id w:val="284858317"/>
          </w:sdtPr>
          <w:sdtContent>
            <w:tc>
              <w:tcPr>
                <w:tcW w:w="1073"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本期向少数股东宣告分派的股利</w:t>
                </w:r>
              </w:p>
            </w:tc>
          </w:sdtContent>
        </w:sdt>
        <w:sdt>
          <w:sdtPr>
            <w:tag w:val="_PLD_cea34ef7af164cc8816d90890b528f36"/>
            <w:id w:val="-159935293"/>
          </w:sdtPr>
          <w:sdtContent>
            <w:tc>
              <w:tcPr>
                <w:tcW w:w="963" w:type="pct"/>
                <w:vAlign w:val="center"/>
              </w:tcPr>
              <w:p>
                <w:pPr>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期末少数股东权益余额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0" w:type="pct"/>
          </w:tcPr>
          <w:p>
            <w:pPr>
              <w:pStyle w:val="48"/>
            </w:pPr>
            <w:r>
              <w:t>望来电</w:t>
            </w:r>
          </w:p>
        </w:tc>
        <w:tc>
          <w:tcPr>
            <w:tcW w:w="1002" w:type="pct"/>
          </w:tcPr>
          <w:p>
            <w:pPr>
              <w:jc w:val="right"/>
            </w:pPr>
            <w:r>
              <w:t>20</w:t>
            </w:r>
          </w:p>
        </w:tc>
        <w:tc>
          <w:tcPr>
            <w:tcW w:w="1070" w:type="pct"/>
          </w:tcPr>
          <w:p>
            <w:pPr>
              <w:jc w:val="right"/>
            </w:pPr>
            <w:r>
              <w:t xml:space="preserve"> 233.20 </w:t>
            </w:r>
          </w:p>
        </w:tc>
        <w:tc>
          <w:tcPr>
            <w:tcW w:w="1073" w:type="pct"/>
          </w:tcPr>
          <w:p>
            <w:pPr>
              <w:jc w:val="right"/>
            </w:pPr>
            <w:r>
              <w:t xml:space="preserve">   </w:t>
            </w:r>
          </w:p>
        </w:tc>
        <w:tc>
          <w:tcPr>
            <w:tcW w:w="963" w:type="pct"/>
          </w:tcPr>
          <w:p>
            <w:pPr>
              <w:jc w:val="right"/>
            </w:pPr>
            <w:r>
              <w:t xml:space="preserve"> 1,233.20 </w:t>
            </w:r>
          </w:p>
        </w:tc>
      </w:tr>
    </w:tbl>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子公司少数股东的持股比例不同于表决权比例的说明：</w:t>
      </w:r>
    </w:p>
    <w:sdt>
      <w:sdtPr>
        <w:rPr>
          <w:rFonts w:cs="Arial"/>
          <w:color w:val="000000" w:themeColor="text1"/>
          <w14:textFill>
            <w14:solidFill>
              <w14:schemeClr w14:val="tx1"/>
            </w14:solidFill>
          </w14:textFill>
        </w:rPr>
        <w:alias w:val="是否适用：子公司少数股东的持股比例不同于表决权比例的说明[双击切换]"/>
        <w:tag w:val="_GBC_8bf91d6e05c644d1b37f5d88e434cb9e"/>
        <w:id w:val="1423298334"/>
        <w:placeholder>
          <w:docPart w:val="F37F26CE1F774E4E80F2BA59CE1425F2"/>
        </w:placeholder>
      </w:sdtPr>
      <w:sdtEndPr>
        <w:rPr>
          <w:rFonts w:cs="Arial"/>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是否适用：重要的非全资子公司其他说明[双击切换]"/>
        <w:tag w:val="_GBC_c511ac7f8f1f42bfa9130e28b68d1f19"/>
        <w:id w:val="638000177"/>
        <w:placeholder>
          <w:docPart w:val="F37F26CE1F774E4E80F2BA59CE1425F2"/>
        </w:placeholder>
      </w:sdtPr>
      <w:sdtEndPr>
        <w:rPr>
          <w:rFonts w:cs="Arial"/>
          <w:color w:val="000000" w:themeColor="text1"/>
          <w14:textFill>
            <w14:solidFill>
              <w14:schemeClr w14:val="tx1"/>
            </w14:solidFill>
          </w14:textFill>
        </w:rPr>
      </w:sdtEndPr>
      <w:sdtContent>
        <w:p>
          <w:pPr>
            <w:pStyle w:val="48"/>
            <w:spacing w:line="360" w:lineRule="exact"/>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pPr>
        <w:pStyle w:val="5"/>
        <w:numPr>
          <w:ilvl w:val="3"/>
          <w:numId w:val="81"/>
        </w:numPr>
        <w:spacing w:line="360" w:lineRule="exact"/>
        <w:ind w:left="426" w:hanging="426" w:hangingChars="202"/>
        <w:rPr>
          <w:color w:val="000000" w:themeColor="text1"/>
          <w14:textFill>
            <w14:solidFill>
              <w14:schemeClr w14:val="tx1"/>
            </w14:solidFill>
          </w14:textFill>
        </w:rPr>
      </w:pPr>
      <w:r>
        <w:rPr>
          <w:rFonts w:hint="eastAsia"/>
          <w:color w:val="000000" w:themeColor="text1"/>
          <w14:textFill>
            <w14:solidFill>
              <w14:schemeClr w14:val="tx1"/>
            </w14:solidFill>
          </w14:textFill>
        </w:rPr>
        <w:t>重要非全资子公司的主要财务信息</w:t>
      </w:r>
    </w:p>
    <w:sdt>
      <w:sdtPr>
        <w:rPr>
          <w:color w:val="000000" w:themeColor="text1"/>
          <w14:textFill>
            <w14:solidFill>
              <w14:schemeClr w14:val="tx1"/>
            </w14:solidFill>
          </w14:textFill>
        </w:rPr>
        <w:alias w:val="是否适用：重要非全资子公司的主要财务信息[双击切换]"/>
        <w:tag w:val="_GBC_c10a7c42e39b4ac9a711e2e9d367799e"/>
        <w:id w:val="-1094620670"/>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重要非全资子公司的主要财务信息"/>
          <w:tag w:val="_GBC_ba918360b15748859fb63cacad1f617d"/>
          <w:id w:val="453915333"/>
          <w:placeholder>
            <w:docPart w:val="BA4F6D915FEE4C73B86D16E943CFFF0A"/>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重要非全资子公司的主要财务信息"/>
          <w:tag w:val="_GBC_af5cc4f1e7a74e3d8f9c9fea25fdf05f"/>
          <w:id w:val="128673792"/>
          <w:placeholder>
            <w:docPart w:val="BA4F6D915FEE4C73B86D16E943CFFF0A"/>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4"/>
        <w:gridCol w:w="1084"/>
        <w:gridCol w:w="1085"/>
        <w:gridCol w:w="1085"/>
        <w:gridCol w:w="1085"/>
        <w:gridCol w:w="1085"/>
        <w:gridCol w:w="1085"/>
        <w:gridCol w:w="1085"/>
        <w:gridCol w:w="1085"/>
        <w:gridCol w:w="1085"/>
        <w:gridCol w:w="1085"/>
        <w:gridCol w:w="1085"/>
        <w:gridCol w:w="1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tag w:val="_PLD_e65ae60c1beb4e5aa4e9c5250ffb188a"/>
            <w:id w:val="520053209"/>
          </w:sdtPr>
          <w:sdtContent>
            <w:tc>
              <w:tcPr>
                <w:tcW w:w="385" w:type="pct"/>
                <w:vMerge w:val="restart"/>
                <w:vAlign w:val="center"/>
              </w:tcPr>
              <w:p>
                <w:pPr>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子公司名称</w:t>
                </w:r>
              </w:p>
            </w:tc>
          </w:sdtContent>
        </w:sdt>
        <w:sdt>
          <w:sdtPr>
            <w:tag w:val="_PLD_878e21e6ce5e466eb427e7200cc9e5bb"/>
            <w:id w:val="147482131"/>
          </w:sdtPr>
          <w:sdtContent>
            <w:tc>
              <w:tcPr>
                <w:tcW w:w="2310" w:type="pct"/>
                <w:gridSpan w:val="6"/>
                <w:vAlign w:val="center"/>
              </w:tcPr>
              <w:p>
                <w:pPr>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期末余额</w:t>
                </w:r>
              </w:p>
            </w:tc>
          </w:sdtContent>
        </w:sdt>
        <w:sdt>
          <w:sdtPr>
            <w:tag w:val="_PLD_86b93e4e78424106874bd84d54fb24df"/>
            <w:id w:val="769430961"/>
          </w:sdtPr>
          <w:sdtContent>
            <w:tc>
              <w:tcPr>
                <w:tcW w:w="2304" w:type="pct"/>
                <w:gridSpan w:val="6"/>
                <w:vAlign w:val="center"/>
              </w:tcPr>
              <w:p>
                <w:pPr>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385" w:type="pct"/>
            <w:vMerge w:val="continue"/>
            <w:vAlign w:val="center"/>
          </w:tcPr>
          <w:p>
            <w:pPr>
              <w:rPr>
                <w:rFonts w:cs="Arial"/>
                <w:bCs w:val="0"/>
                <w:color w:val="000000" w:themeColor="text1"/>
                <w14:textFill>
                  <w14:solidFill>
                    <w14:schemeClr w14:val="tx1"/>
                  </w14:solidFill>
                </w14:textFill>
              </w:rPr>
            </w:pPr>
          </w:p>
        </w:tc>
        <w:sdt>
          <w:sdtPr>
            <w:tag w:val="_PLD_0154d63f3f2c482ebe0cf00460d87fbd"/>
            <w:id w:val="1111934779"/>
          </w:sdtPr>
          <w:sdtContent>
            <w:tc>
              <w:tcPr>
                <w:tcW w:w="385"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流动资产</w:t>
                </w:r>
              </w:p>
            </w:tc>
          </w:sdtContent>
        </w:sdt>
        <w:sdt>
          <w:sdtPr>
            <w:tag w:val="_PLD_0f817c02730447aca042c6a931d447e8"/>
            <w:id w:val="-2074648312"/>
          </w:sdtPr>
          <w:sdtContent>
            <w:tc>
              <w:tcPr>
                <w:tcW w:w="385" w:type="pct"/>
                <w:vAlign w:val="center"/>
              </w:tcPr>
              <w:p>
                <w:pPr>
                  <w:ind w:left="-40" w:right="-97"/>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非流动资产</w:t>
                </w:r>
              </w:p>
            </w:tc>
          </w:sdtContent>
        </w:sdt>
        <w:sdt>
          <w:sdtPr>
            <w:tag w:val="_PLD_553e0814e94f491784b88cc5aa7d6adb"/>
            <w:id w:val="-624930925"/>
          </w:sdtPr>
          <w:sdtContent>
            <w:tc>
              <w:tcPr>
                <w:tcW w:w="385"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资产合计</w:t>
                </w:r>
              </w:p>
            </w:tc>
          </w:sdtContent>
        </w:sdt>
        <w:sdt>
          <w:sdtPr>
            <w:tag w:val="_PLD_3db84901ffa544afb174531f0384a82f"/>
            <w:id w:val="-54241460"/>
          </w:sdtPr>
          <w:sdtContent>
            <w:tc>
              <w:tcPr>
                <w:tcW w:w="385"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流动负债</w:t>
                </w:r>
              </w:p>
            </w:tc>
          </w:sdtContent>
        </w:sdt>
        <w:sdt>
          <w:sdtPr>
            <w:tag w:val="_PLD_50c217cc437b4c3496e1aab622fba053"/>
            <w:id w:val="1461767058"/>
          </w:sdtPr>
          <w:sdtContent>
            <w:tc>
              <w:tcPr>
                <w:tcW w:w="385" w:type="pct"/>
                <w:vAlign w:val="center"/>
              </w:tcPr>
              <w:p>
                <w:pPr>
                  <w:ind w:left="-40" w:right="-97"/>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非流动负债</w:t>
                </w:r>
              </w:p>
            </w:tc>
          </w:sdtContent>
        </w:sdt>
        <w:sdt>
          <w:sdtPr>
            <w:tag w:val="_PLD_ccd9a8d3652e4485a763cfb37eb6fa37"/>
            <w:id w:val="5260323"/>
          </w:sdtPr>
          <w:sdtContent>
            <w:tc>
              <w:tcPr>
                <w:tcW w:w="385"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负债合计</w:t>
                </w:r>
              </w:p>
            </w:tc>
          </w:sdtContent>
        </w:sdt>
        <w:sdt>
          <w:sdtPr>
            <w:tag w:val="_PLD_ec07cd6513b74d49b586125d4b66dd0a"/>
            <w:id w:val="1403409506"/>
          </w:sdtPr>
          <w:sdtContent>
            <w:tc>
              <w:tcPr>
                <w:tcW w:w="385"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流动资产</w:t>
                </w:r>
              </w:p>
            </w:tc>
          </w:sdtContent>
        </w:sdt>
        <w:sdt>
          <w:sdtPr>
            <w:tag w:val="_PLD_fb97ce65ab144768b4fb9978546fce37"/>
            <w:id w:val="-2028782950"/>
          </w:sdtPr>
          <w:sdtContent>
            <w:tc>
              <w:tcPr>
                <w:tcW w:w="385" w:type="pct"/>
                <w:vAlign w:val="center"/>
              </w:tcPr>
              <w:p>
                <w:pPr>
                  <w:ind w:left="-40" w:right="-97"/>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非流动资产</w:t>
                </w:r>
              </w:p>
            </w:tc>
          </w:sdtContent>
        </w:sdt>
        <w:sdt>
          <w:sdtPr>
            <w:tag w:val="_PLD_412845ecfd2e45e8ae03b43cf8ca32f4"/>
            <w:id w:val="1866319717"/>
          </w:sdtPr>
          <w:sdtContent>
            <w:tc>
              <w:tcPr>
                <w:tcW w:w="385"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资产合计</w:t>
                </w:r>
              </w:p>
            </w:tc>
          </w:sdtContent>
        </w:sdt>
        <w:sdt>
          <w:sdtPr>
            <w:tag w:val="_PLD_2a24724c66b442e994f401266a55d5df"/>
            <w:id w:val="-752273133"/>
          </w:sdtPr>
          <w:sdtContent>
            <w:tc>
              <w:tcPr>
                <w:tcW w:w="385"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流动负债</w:t>
                </w:r>
              </w:p>
            </w:tc>
          </w:sdtContent>
        </w:sdt>
        <w:sdt>
          <w:sdtPr>
            <w:tag w:val="_PLD_937f557a5cdb4ea99a0a914e755f781f"/>
            <w:id w:val="-473379693"/>
          </w:sdtPr>
          <w:sdtContent>
            <w:tc>
              <w:tcPr>
                <w:tcW w:w="385" w:type="pct"/>
                <w:vAlign w:val="center"/>
              </w:tcPr>
              <w:p>
                <w:pPr>
                  <w:ind w:left="-40" w:right="-97"/>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非流动负债</w:t>
                </w:r>
              </w:p>
            </w:tc>
          </w:sdtContent>
        </w:sdt>
        <w:sdt>
          <w:sdtPr>
            <w:tag w:val="_PLD_c4b998a44f394e1eb0924a4f19409ff8"/>
            <w:id w:val="-1823267182"/>
          </w:sdtPr>
          <w:sdtContent>
            <w:tc>
              <w:tcPr>
                <w:tcW w:w="380" w:type="pct"/>
                <w:vAlign w:val="center"/>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负债合计</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tcPr>
          <w:p>
            <w:pPr>
              <w:pStyle w:val="48"/>
            </w:pPr>
            <w:r>
              <w:rPr>
                <w:rFonts w:hint="eastAsia"/>
              </w:rPr>
              <w:t>望来电</w:t>
            </w:r>
          </w:p>
        </w:tc>
        <w:tc>
          <w:tcPr>
            <w:tcW w:w="385" w:type="pct"/>
          </w:tcPr>
          <w:p>
            <w:pPr>
              <w:jc w:val="right"/>
            </w:pPr>
            <w:r>
              <w:t xml:space="preserve">14,116.40 </w:t>
            </w:r>
          </w:p>
        </w:tc>
        <w:tc>
          <w:tcPr>
            <w:tcW w:w="385" w:type="pct"/>
          </w:tcPr>
          <w:p>
            <w:pPr>
              <w:jc w:val="right"/>
            </w:pPr>
            <w:r>
              <w:t xml:space="preserve"> 2,179.44 </w:t>
            </w:r>
          </w:p>
        </w:tc>
        <w:tc>
          <w:tcPr>
            <w:tcW w:w="385" w:type="pct"/>
          </w:tcPr>
          <w:p>
            <w:pPr>
              <w:jc w:val="right"/>
            </w:pPr>
            <w:r>
              <w:t xml:space="preserve">16,295.85 </w:t>
            </w:r>
          </w:p>
        </w:tc>
        <w:tc>
          <w:tcPr>
            <w:tcW w:w="385" w:type="pct"/>
          </w:tcPr>
          <w:p>
            <w:pPr>
              <w:jc w:val="right"/>
            </w:pPr>
            <w:r>
              <w:t xml:space="preserve">10,129.85 </w:t>
            </w:r>
          </w:p>
        </w:tc>
        <w:tc>
          <w:tcPr>
            <w:tcW w:w="385" w:type="pct"/>
          </w:tcPr>
          <w:p>
            <w:pPr>
              <w:jc w:val="right"/>
            </w:pPr>
            <w:r>
              <w:t xml:space="preserve">   </w:t>
            </w:r>
          </w:p>
        </w:tc>
        <w:tc>
          <w:tcPr>
            <w:tcW w:w="385" w:type="pct"/>
          </w:tcPr>
          <w:p>
            <w:pPr>
              <w:jc w:val="right"/>
            </w:pPr>
            <w:r>
              <w:t xml:space="preserve">10,129.85 </w:t>
            </w:r>
          </w:p>
        </w:tc>
        <w:tc>
          <w:tcPr>
            <w:tcW w:w="385" w:type="pct"/>
            <w:vAlign w:val="center"/>
          </w:tcPr>
          <w:p>
            <w:pPr>
              <w:jc w:val="right"/>
            </w:pPr>
          </w:p>
        </w:tc>
        <w:tc>
          <w:tcPr>
            <w:tcW w:w="385" w:type="pct"/>
          </w:tcPr>
          <w:p>
            <w:pPr>
              <w:jc w:val="right"/>
            </w:pPr>
          </w:p>
        </w:tc>
        <w:tc>
          <w:tcPr>
            <w:tcW w:w="385" w:type="pct"/>
          </w:tcPr>
          <w:p>
            <w:pPr>
              <w:jc w:val="right"/>
            </w:pPr>
          </w:p>
        </w:tc>
        <w:tc>
          <w:tcPr>
            <w:tcW w:w="385" w:type="pct"/>
          </w:tcPr>
          <w:p>
            <w:pPr>
              <w:jc w:val="right"/>
            </w:pPr>
          </w:p>
        </w:tc>
        <w:tc>
          <w:tcPr>
            <w:tcW w:w="385" w:type="pct"/>
          </w:tcPr>
          <w:p>
            <w:pPr>
              <w:jc w:val="right"/>
            </w:pPr>
          </w:p>
        </w:tc>
        <w:tc>
          <w:tcPr>
            <w:tcW w:w="380" w:type="pct"/>
          </w:tcPr>
          <w:p>
            <w:pPr>
              <w:jc w:val="right"/>
            </w:pPr>
          </w:p>
        </w:tc>
      </w:tr>
    </w:tbl>
    <w:p>
      <w:pPr>
        <w:rPr>
          <w:rFonts w:cs="Arial"/>
          <w:color w:val="000000" w:themeColor="text1"/>
          <w14:textFill>
            <w14:solidFill>
              <w14:schemeClr w14:val="tx1"/>
            </w14:solidFill>
          </w14:textFill>
        </w:rPr>
      </w:pP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7"/>
        <w:gridCol w:w="1403"/>
        <w:gridCol w:w="1341"/>
        <w:gridCol w:w="1485"/>
        <w:gridCol w:w="1643"/>
        <w:gridCol w:w="1403"/>
        <w:gridCol w:w="1341"/>
        <w:gridCol w:w="1485"/>
        <w:gridCol w:w="1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sdt>
          <w:sdtPr>
            <w:tag w:val="_PLD_87ab97227e5642b988e110c5a28abb39"/>
            <w:id w:val="131149673"/>
          </w:sdtPr>
          <w:sdtContent>
            <w:tc>
              <w:tcPr>
                <w:tcW w:w="833" w:type="pct"/>
                <w:vMerge w:val="restart"/>
                <w:vAlign w:val="center"/>
              </w:tcPr>
              <w:p>
                <w:pPr>
                  <w:spacing w:line="276" w:lineRule="auto"/>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子公司名称</w:t>
                </w:r>
              </w:p>
            </w:tc>
          </w:sdtContent>
        </w:sdt>
        <w:sdt>
          <w:sdtPr>
            <w:tag w:val="_PLD_85f8737cebf641b2aa266052f4118ba8"/>
            <w:id w:val="595367578"/>
          </w:sdtPr>
          <w:sdtContent>
            <w:tc>
              <w:tcPr>
                <w:tcW w:w="2084" w:type="pct"/>
                <w:gridSpan w:val="4"/>
                <w:vAlign w:val="center"/>
              </w:tcPr>
              <w:p>
                <w:pPr>
                  <w:spacing w:line="276" w:lineRule="auto"/>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本期发生额</w:t>
                </w:r>
              </w:p>
            </w:tc>
          </w:sdtContent>
        </w:sdt>
        <w:sdt>
          <w:sdtPr>
            <w:tag w:val="_PLD_32dac50c80854f268b3afdebef20332e"/>
            <w:id w:val="-53464491"/>
          </w:sdtPr>
          <w:sdtContent>
            <w:tc>
              <w:tcPr>
                <w:tcW w:w="2083" w:type="pct"/>
                <w:gridSpan w:val="4"/>
                <w:vAlign w:val="center"/>
              </w:tcPr>
              <w:p>
                <w:pPr>
                  <w:spacing w:line="276" w:lineRule="auto"/>
                  <w:ind w:right="-16"/>
                  <w:jc w:val="center"/>
                  <w:rPr>
                    <w:rFonts w:cs="Arial"/>
                    <w:bCs w:val="0"/>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833" w:type="pct"/>
            <w:vMerge w:val="continue"/>
            <w:vAlign w:val="center"/>
          </w:tcPr>
          <w:p>
            <w:pPr>
              <w:jc w:val="center"/>
              <w:rPr>
                <w:rFonts w:cs="Arial"/>
                <w:bCs w:val="0"/>
                <w:color w:val="000000" w:themeColor="text1"/>
                <w14:textFill>
                  <w14:solidFill>
                    <w14:schemeClr w14:val="tx1"/>
                  </w14:solidFill>
                </w14:textFill>
              </w:rPr>
            </w:pPr>
          </w:p>
        </w:tc>
        <w:sdt>
          <w:sdtPr>
            <w:tag w:val="_PLD_29407a86c6924579a6442f5b24e6decd"/>
            <w:id w:val="1059914792"/>
          </w:sdtPr>
          <w:sdtContent>
            <w:tc>
              <w:tcPr>
                <w:tcW w:w="498" w:type="pct"/>
                <w:vAlign w:val="center"/>
              </w:tcPr>
              <w:p>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营业收入</w:t>
                </w:r>
              </w:p>
            </w:tc>
          </w:sdtContent>
        </w:sdt>
        <w:sdt>
          <w:sdtPr>
            <w:tag w:val="_PLD_bc59f1076f2243f8984efa8df921ad2c"/>
            <w:id w:val="-917941861"/>
          </w:sdtPr>
          <w:sdtContent>
            <w:tc>
              <w:tcPr>
                <w:tcW w:w="476" w:type="pct"/>
                <w:vAlign w:val="center"/>
              </w:tcPr>
              <w:p>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净利润</w:t>
                </w:r>
              </w:p>
            </w:tc>
          </w:sdtContent>
        </w:sdt>
        <w:sdt>
          <w:sdtPr>
            <w:tag w:val="_PLD_90f87c27e3fb4843892cceb85599a3b1"/>
            <w:id w:val="-308857119"/>
          </w:sdtPr>
          <w:sdtContent>
            <w:tc>
              <w:tcPr>
                <w:tcW w:w="527" w:type="pct"/>
                <w:vAlign w:val="center"/>
              </w:tcPr>
              <w:p>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综合收益总额</w:t>
                </w:r>
              </w:p>
            </w:tc>
          </w:sdtContent>
        </w:sdt>
        <w:sdt>
          <w:sdtPr>
            <w:tag w:val="_PLD_3126fb1798f346de95a39458603c4301"/>
            <w:id w:val="-1168710791"/>
          </w:sdtPr>
          <w:sdtContent>
            <w:tc>
              <w:tcPr>
                <w:tcW w:w="583" w:type="pct"/>
                <w:vAlign w:val="center"/>
              </w:tcPr>
              <w:p>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经营活动现金流量</w:t>
                </w:r>
              </w:p>
            </w:tc>
          </w:sdtContent>
        </w:sdt>
        <w:sdt>
          <w:sdtPr>
            <w:tag w:val="_PLD_44ccfb27fc6943ac84654ba7c7bef20e"/>
            <w:id w:val="258879171"/>
          </w:sdtPr>
          <w:sdtContent>
            <w:tc>
              <w:tcPr>
                <w:tcW w:w="498" w:type="pct"/>
                <w:vAlign w:val="center"/>
              </w:tcPr>
              <w:p>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营业收入</w:t>
                </w:r>
              </w:p>
            </w:tc>
          </w:sdtContent>
        </w:sdt>
        <w:sdt>
          <w:sdtPr>
            <w:tag w:val="_PLD_c08aebbf24fa4b1aa2c4f79232c7c630"/>
            <w:id w:val="1336110994"/>
          </w:sdtPr>
          <w:sdtContent>
            <w:tc>
              <w:tcPr>
                <w:tcW w:w="476" w:type="pct"/>
                <w:vAlign w:val="center"/>
              </w:tcPr>
              <w:p>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净利润</w:t>
                </w:r>
              </w:p>
            </w:tc>
          </w:sdtContent>
        </w:sdt>
        <w:sdt>
          <w:sdtPr>
            <w:tag w:val="_PLD_0a377a03553f4d909179190a153a31b7"/>
            <w:id w:val="-1735080662"/>
          </w:sdtPr>
          <w:sdtContent>
            <w:tc>
              <w:tcPr>
                <w:tcW w:w="527" w:type="pct"/>
                <w:vAlign w:val="center"/>
              </w:tcPr>
              <w:p>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综合收益总额</w:t>
                </w:r>
              </w:p>
            </w:tc>
          </w:sdtContent>
        </w:sdt>
        <w:sdt>
          <w:sdtPr>
            <w:tag w:val="_PLD_400ec1e5e2cf42e5a9eea23ddbdbd572"/>
            <w:id w:val="1263954230"/>
          </w:sdtPr>
          <w:sdtContent>
            <w:tc>
              <w:tcPr>
                <w:tcW w:w="582" w:type="pct"/>
                <w:vAlign w:val="center"/>
              </w:tcPr>
              <w:p>
                <w:pPr>
                  <w:spacing w:line="276" w:lineRule="auto"/>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经营活动现金流量</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pct"/>
          </w:tcPr>
          <w:p>
            <w:pPr>
              <w:spacing w:line="276" w:lineRule="auto"/>
            </w:pPr>
            <w:r>
              <w:rPr>
                <w:rFonts w:hint="eastAsia"/>
              </w:rPr>
              <w:t>望来电</w:t>
            </w:r>
          </w:p>
        </w:tc>
        <w:tc>
          <w:tcPr>
            <w:tcW w:w="498" w:type="pct"/>
            <w:vAlign w:val="center"/>
          </w:tcPr>
          <w:p>
            <w:pPr>
              <w:spacing w:line="276" w:lineRule="auto"/>
              <w:jc w:val="right"/>
            </w:pPr>
            <w:r>
              <w:t xml:space="preserve"> 7,767.32 </w:t>
            </w:r>
          </w:p>
        </w:tc>
        <w:tc>
          <w:tcPr>
            <w:tcW w:w="476" w:type="pct"/>
            <w:vAlign w:val="center"/>
          </w:tcPr>
          <w:p>
            <w:pPr>
              <w:spacing w:line="276" w:lineRule="auto"/>
              <w:jc w:val="right"/>
            </w:pPr>
            <w:r>
              <w:t xml:space="preserve"> 1,166.00 </w:t>
            </w:r>
          </w:p>
        </w:tc>
        <w:tc>
          <w:tcPr>
            <w:tcW w:w="527" w:type="pct"/>
            <w:vAlign w:val="center"/>
          </w:tcPr>
          <w:p>
            <w:pPr>
              <w:spacing w:line="276" w:lineRule="auto"/>
              <w:jc w:val="right"/>
            </w:pPr>
            <w:r>
              <w:t xml:space="preserve"> 1,166.00 </w:t>
            </w:r>
          </w:p>
        </w:tc>
        <w:tc>
          <w:tcPr>
            <w:tcW w:w="583" w:type="pct"/>
            <w:vAlign w:val="center"/>
          </w:tcPr>
          <w:p>
            <w:pPr>
              <w:spacing w:line="276" w:lineRule="auto"/>
              <w:jc w:val="right"/>
            </w:pPr>
            <w:r>
              <w:t xml:space="preserve"> -10,505.75 </w:t>
            </w:r>
          </w:p>
        </w:tc>
        <w:tc>
          <w:tcPr>
            <w:tcW w:w="498" w:type="pct"/>
          </w:tcPr>
          <w:p>
            <w:pPr>
              <w:spacing w:line="276" w:lineRule="auto"/>
              <w:jc w:val="right"/>
            </w:pPr>
          </w:p>
        </w:tc>
        <w:tc>
          <w:tcPr>
            <w:tcW w:w="476" w:type="pct"/>
          </w:tcPr>
          <w:p>
            <w:pPr>
              <w:spacing w:line="276" w:lineRule="auto"/>
              <w:jc w:val="right"/>
            </w:pPr>
          </w:p>
        </w:tc>
        <w:tc>
          <w:tcPr>
            <w:tcW w:w="527" w:type="pct"/>
          </w:tcPr>
          <w:p>
            <w:pPr>
              <w:spacing w:line="276" w:lineRule="auto"/>
              <w:jc w:val="right"/>
            </w:pPr>
          </w:p>
        </w:tc>
        <w:tc>
          <w:tcPr>
            <w:tcW w:w="582" w:type="pct"/>
          </w:tcPr>
          <w:p>
            <w:pPr>
              <w:spacing w:line="276" w:lineRule="auto"/>
              <w:jc w:val="right"/>
            </w:pPr>
          </w:p>
        </w:tc>
      </w:tr>
    </w:tbl>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重要非全资子公司的主要财务信息的其他说明"/>
        <w:tag w:val="_GBC_c6413d961dad488aae6fcf0fda2bf33a"/>
        <w:id w:val="-1502112569"/>
        <w:placeholder>
          <w:docPart w:val="BA4F6D915FEE4C73B86D16E943CFFF0A"/>
        </w:placeholder>
      </w:sdtPr>
      <w:sdtEndPr>
        <w:rPr>
          <w:rFonts w:cs="Arial"/>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无</w:t>
          </w:r>
        </w:p>
      </w:sdtContent>
    </w:sdt>
    <w:p>
      <w:pPr>
        <w:pStyle w:val="5"/>
        <w:numPr>
          <w:ilvl w:val="3"/>
          <w:numId w:val="81"/>
        </w:numPr>
        <w:spacing w:line="360" w:lineRule="exact"/>
        <w:ind w:left="426" w:hanging="426" w:hangingChars="202"/>
        <w:rPr>
          <w:color w:val="000000" w:themeColor="text1"/>
          <w14:textFill>
            <w14:solidFill>
              <w14:schemeClr w14:val="tx1"/>
            </w14:solidFill>
          </w14:textFill>
        </w:rPr>
      </w:pPr>
      <w:r>
        <w:rPr>
          <w:rFonts w:hint="eastAsia"/>
          <w:color w:val="000000" w:themeColor="text1"/>
          <w14:textFill>
            <w14:solidFill>
              <w14:schemeClr w14:val="tx1"/>
            </w14:solidFill>
          </w14:textFill>
        </w:rPr>
        <w:t>使用企业集团资产和清偿企业集团债务的重大限制：</w:t>
      </w:r>
    </w:p>
    <w:sdt>
      <w:sdtPr>
        <w:rPr>
          <w:color w:val="000000" w:themeColor="text1"/>
          <w14:textFill>
            <w14:solidFill>
              <w14:schemeClr w14:val="tx1"/>
            </w14:solidFill>
          </w14:textFill>
        </w:rPr>
        <w:alias w:val="是否适用：使用企业集团资产和清偿企业集团债务的重大限制[双击切换]"/>
        <w:tag w:val="_GBC_d4aaeca51c634ffea892b86812441771"/>
        <w:id w:val="-195705283"/>
        <w:placeholder>
          <w:docPart w:val="GBC22222222222222222222222222222"/>
        </w:placeholder>
      </w:sdtPr>
      <w:sdtEndPr>
        <w:rPr>
          <w:color w:val="000000" w:themeColor="text1"/>
          <w14:textFill>
            <w14:solidFill>
              <w14:schemeClr w14:val="tx1"/>
            </w14:solidFill>
          </w14:textFill>
        </w:rPr>
      </w:sdtEndPr>
      <w:sdtContent>
        <w:p>
          <w:pPr>
            <w:spacing w:line="360" w:lineRule="exact"/>
            <w:rPr>
              <w:rFonts w:cs="Arial"/>
              <w:b/>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3"/>
          <w:numId w:val="81"/>
        </w:numPr>
        <w:spacing w:line="360" w:lineRule="exact"/>
        <w:ind w:left="426" w:hanging="426" w:hangingChars="202"/>
        <w:rPr>
          <w:color w:val="000000" w:themeColor="text1"/>
          <w14:textFill>
            <w14:solidFill>
              <w14:schemeClr w14:val="tx1"/>
            </w14:solidFill>
          </w14:textFill>
        </w:rPr>
      </w:pPr>
      <w:r>
        <w:rPr>
          <w:rFonts w:hint="eastAsia"/>
          <w:color w:val="000000" w:themeColor="text1"/>
          <w14:textFill>
            <w14:solidFill>
              <w14:schemeClr w14:val="tx1"/>
            </w14:solidFill>
          </w14:textFill>
        </w:rPr>
        <w:t>向纳入合并财务报表范围的结构化主体提供的财务支持或其他支持：</w:t>
      </w:r>
    </w:p>
    <w:sdt>
      <w:sdtPr>
        <w:rPr>
          <w:color w:val="000000" w:themeColor="text1"/>
          <w14:textFill>
            <w14:solidFill>
              <w14:schemeClr w14:val="tx1"/>
            </w14:solidFill>
          </w14:textFill>
        </w:rPr>
        <w:alias w:val="是否适用：向纳入合并财务报表范围的结构化主体提供的财务支持或其他支持[双击切换]"/>
        <w:tag w:val="_GBC_3ee0b326ed544ace8060843f29d4cd3a"/>
        <w:id w:val="-1941366615"/>
        <w:placeholder>
          <w:docPart w:val="GBC22222222222222222222222222222"/>
        </w:placeholder>
      </w:sdtPr>
      <w:sdtEndPr>
        <w:rPr>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在子公司中的权益其他说明[双击切换]"/>
        <w:tag w:val="_GBC_e4c33fb40d7a42bc88681a9facbf5ba5"/>
        <w:id w:val="126087155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2"/>
          <w:numId w:val="80"/>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在子公司的所有者权益份额发生变化且仍控制子公司的交易</w:t>
      </w:r>
    </w:p>
    <w:sdt>
      <w:sdtPr>
        <w:rPr>
          <w:color w:val="000000" w:themeColor="text1"/>
          <w14:textFill>
            <w14:solidFill>
              <w14:schemeClr w14:val="tx1"/>
            </w14:solidFill>
          </w14:textFill>
        </w:rPr>
        <w:alias w:val="是否适用：在子公司的所有者权益份额发生变化且仍控制子公司的交易[双击切换]"/>
        <w:tag w:val="_GBC_51b903d8f50944dc91e91048eba723cd"/>
        <w:id w:val="-1650744746"/>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82"/>
        </w:numPr>
        <w:tabs>
          <w:tab w:val="left" w:pos="360"/>
        </w:tabs>
        <w:ind w:left="0" w:firstLine="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在子公司所有者权益份额的变化情况的说明</w:t>
      </w:r>
    </w:p>
    <w:sdt>
      <w:sdtPr>
        <w:rPr>
          <w:color w:val="000000" w:themeColor="text1"/>
          <w14:textFill>
            <w14:solidFill>
              <w14:schemeClr w14:val="tx1"/>
            </w14:solidFill>
          </w14:textFill>
        </w:rPr>
        <w:alias w:val="是否适用：在子公司所有者权益份额的变化情况的说明[双击切换]"/>
        <w:tag w:val="_GBC_5c947dd5a782480db6a7bc23f9bdc87b"/>
        <w:id w:val="807442337"/>
        <w:placeholder>
          <w:docPart w:val="67208BEDB0EF4559855C345F9AC52D77"/>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cs="Arial"/>
          <w:color w:val="000000" w:themeColor="text1"/>
          <w14:textFill>
            <w14:solidFill>
              <w14:schemeClr w14:val="tx1"/>
            </w14:solidFill>
          </w14:textFill>
        </w:rPr>
        <w:alias w:val="在子公司所有者权益份额的变化情况的说明"/>
        <w:tag w:val="_GBC_841b13bceaa744e7899c18aef7689caf"/>
        <w:id w:val="1496992250"/>
        <w:placeholder>
          <w:docPart w:val="67208BEDB0EF4559855C345F9AC52D77"/>
        </w:placeholder>
      </w:sdtPr>
      <w:sdtEndPr>
        <w:rPr>
          <w:rFonts w:cs="Arial"/>
          <w:color w:val="000000" w:themeColor="text1"/>
          <w14:textFill>
            <w14:solidFill>
              <w14:schemeClr w14:val="tx1"/>
            </w14:solidFill>
          </w14:textFill>
        </w:rPr>
      </w:sdtEndPr>
      <w:sdtContent>
        <w:p>
          <w:pPr>
            <w:spacing w:line="360" w:lineRule="exact"/>
            <w:ind w:firstLine="420" w:firstLineChars="200"/>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2026年4月10日，望来充（重庆）与长寿望来充少数股东李坤签订股权转让协议，约定以0元对价受让其持有的长寿望来充10%股权。本次交易完成后，望来充（重庆）对长寿望来充的持股比例由70%提升至80%。该股权交割已于2026年5月22日完成。</w:t>
          </w:r>
        </w:p>
      </w:sdtContent>
    </w:sdt>
    <w:p>
      <w:pPr>
        <w:pStyle w:val="5"/>
        <w:numPr>
          <w:ilvl w:val="0"/>
          <w:numId w:val="82"/>
        </w:numPr>
        <w:tabs>
          <w:tab w:val="left" w:pos="360"/>
        </w:tabs>
        <w:ind w:left="0" w:firstLine="0"/>
        <w:rPr>
          <w:rFonts w:hint="eastAsia" w:ascii="宋体" w:hAnsi="宋体"/>
          <w:color w:val="000000" w:themeColor="text1"/>
          <w14:textFill>
            <w14:solidFill>
              <w14:schemeClr w14:val="tx1"/>
            </w14:solidFill>
          </w14:textFill>
        </w:rPr>
      </w:pPr>
      <w:bookmarkStart w:id="432" w:name="OLE_LINK5"/>
      <w:r>
        <w:rPr>
          <w:rFonts w:hint="eastAsia" w:ascii="宋体" w:hAnsi="宋体"/>
          <w:color w:val="000000" w:themeColor="text1"/>
          <w14:textFill>
            <w14:solidFill>
              <w14:schemeClr w14:val="tx1"/>
            </w14:solidFill>
          </w14:textFill>
        </w:rPr>
        <w:t>交易对于少数股东权益及归属于母公司所有者权益的影响</w:t>
      </w:r>
    </w:p>
    <w:bookmarkEnd w:id="432"/>
    <w:sdt>
      <w:sdtPr>
        <w:rPr>
          <w:color w:val="000000" w:themeColor="text1"/>
          <w14:textFill>
            <w14:solidFill>
              <w14:schemeClr w14:val="tx1"/>
            </w14:solidFill>
          </w14:textFill>
        </w:rPr>
        <w:alias w:val="是否适用：交易对于少数股东权益及归属于母公司所有者权益的影响[双击切换]"/>
        <w:tag w:val="_GBC_69fd0bf0624a469082601f65caf81470"/>
        <w:id w:val="1114404107"/>
        <w:placeholder>
          <w:docPart w:val="67208BEDB0EF4559855C345F9AC52D77"/>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交易对于少数股东权益及归属于母公司所有者权益的影响"/>
          <w:tag w:val="_GBC_8bc6137285324aca89e1a906fd8e99b5"/>
          <w:id w:val="1976944922"/>
          <w:placeholder>
            <w:docPart w:val="67208BEDB0EF4559855C345F9AC52D77"/>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交易对于少数股东权益及归属于母公司所有者权益的影响"/>
          <w:tag w:val="_GBC_228f6470ad5e43439d2bb8e05da1eddf"/>
          <w:id w:val="1180465993"/>
          <w:placeholder>
            <w:docPart w:val="67208BEDB0EF4559855C345F9AC52D77"/>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1"/>
        <w:gridCol w:w="7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88" w:type="pct"/>
          </w:tcPr>
          <w:p>
            <w:pPr>
              <w:rPr>
                <w:rFonts w:cs="Arial"/>
                <w:color w:val="000000" w:themeColor="text1"/>
                <w:lang w:val="en-GB"/>
                <w14:textFill>
                  <w14:solidFill>
                    <w14:schemeClr w14:val="tx1"/>
                  </w14:solidFill>
                </w14:textFill>
              </w:rPr>
            </w:pPr>
          </w:p>
        </w:tc>
        <w:sdt>
          <w:sdtPr>
            <w:rPr>
              <w:color w:val="000000" w:themeColor="text1"/>
              <w14:textFill>
                <w14:solidFill>
                  <w14:schemeClr w14:val="tx1"/>
                </w14:solidFill>
              </w14:textFill>
            </w:rPr>
            <w:alias w:val="交易对于少数股东权益及归属于母公司所有者权益的影响明细-公司名称"/>
            <w:tag w:val="_GBC_0899d6221c8b4c0197d4cc9d76f2a617"/>
            <w:id w:val="-85546368"/>
          </w:sdtPr>
          <w:sdtEndPr>
            <w:rPr>
              <w:rFonts w:hint="eastAsia"/>
              <w:color w:val="000000" w:themeColor="text1"/>
              <w14:textFill>
                <w14:solidFill>
                  <w14:schemeClr w14:val="tx1"/>
                </w14:solidFill>
              </w14:textFill>
            </w:rPr>
          </w:sdtEndPr>
          <w:sdtContent>
            <w:tc>
              <w:tcPr>
                <w:tcW w:w="2512"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长寿望来充</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tag w:val="_PLD_41335b9d94714d50b7c3bc1db050ee28"/>
            <w:id w:val="1693261736"/>
          </w:sdtPr>
          <w:sdtContent>
            <w:tc>
              <w:tcPr>
                <w:tcW w:w="5000" w:type="pct"/>
                <w:gridSpan w:val="2"/>
              </w:tcPr>
              <w:p>
                <w:pPr>
                  <w:rPr>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购买成本/处置对价</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8" w:type="pct"/>
            <w:vAlign w:val="center"/>
          </w:tcPr>
          <w:p>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现金</w:t>
            </w:r>
          </w:p>
        </w:tc>
        <w:tc>
          <w:tcPr>
            <w:tcW w:w="2512"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8" w:type="pct"/>
            <w:vAlign w:val="center"/>
          </w:tcPr>
          <w:p>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非现金资产的公允价值</w:t>
            </w:r>
          </w:p>
        </w:tc>
        <w:tc>
          <w:tcPr>
            <w:tcW w:w="2512"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8" w:type="pct"/>
            <w:vAlign w:val="center"/>
          </w:tcPr>
          <w:p>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购买成本/处置对价合计</w:t>
            </w:r>
          </w:p>
        </w:tc>
        <w:tc>
          <w:tcPr>
            <w:tcW w:w="2512"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8" w:type="pct"/>
            <w:vAlign w:val="center"/>
          </w:tcPr>
          <w:p>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减：按取得/处置的股权比例计算的子公司净资产份额</w:t>
            </w:r>
          </w:p>
        </w:tc>
        <w:tc>
          <w:tcPr>
            <w:tcW w:w="2512" w:type="pct"/>
          </w:tcPr>
          <w:p>
            <w:pPr>
              <w:jc w:val="right"/>
            </w:pPr>
            <w:r>
              <w:t xml:space="preserve"> -107,920.50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8" w:type="pct"/>
            <w:vAlign w:val="center"/>
          </w:tcPr>
          <w:p>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差额</w:t>
            </w:r>
          </w:p>
        </w:tc>
        <w:tc>
          <w:tcPr>
            <w:tcW w:w="2512" w:type="pct"/>
          </w:tcPr>
          <w:p>
            <w:pPr>
              <w:jc w:val="right"/>
            </w:pPr>
            <w:r>
              <w:t xml:space="preserve"> 107,920.50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2488" w:type="pct"/>
            <w:vAlign w:val="center"/>
          </w:tcPr>
          <w:p>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其中：调整资本公积</w:t>
            </w:r>
          </w:p>
        </w:tc>
        <w:tc>
          <w:tcPr>
            <w:tcW w:w="2512" w:type="pct"/>
          </w:tcPr>
          <w:p>
            <w:pPr>
              <w:jc w:val="right"/>
            </w:pPr>
            <w:r>
              <w:t xml:space="preserve"> 107,920.50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8" w:type="pct"/>
            <w:vAlign w:val="center"/>
          </w:tcPr>
          <w:p>
            <w:pPr>
              <w:ind w:firstLine="630" w:firstLineChars="300"/>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调整盈余公积</w:t>
            </w:r>
          </w:p>
        </w:tc>
        <w:tc>
          <w:tcPr>
            <w:tcW w:w="2512"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88" w:type="pct"/>
            <w:vAlign w:val="center"/>
          </w:tcPr>
          <w:p>
            <w:pPr>
              <w:ind w:firstLine="630" w:firstLineChars="300"/>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调整未分配利润</w:t>
            </w:r>
          </w:p>
        </w:tc>
        <w:tc>
          <w:tcPr>
            <w:tcW w:w="2512" w:type="pct"/>
          </w:tcPr>
          <w:p>
            <w:pPr>
              <w:jc w:val="right"/>
            </w:pPr>
          </w:p>
        </w:tc>
      </w:tr>
    </w:tbl>
    <w:p>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sdt>
      <w:sdtPr>
        <w:rPr>
          <w:rFonts w:cs="Arial"/>
          <w:color w:val="000000" w:themeColor="text1"/>
          <w14:textFill>
            <w14:solidFill>
              <w14:schemeClr w14:val="tx1"/>
            </w14:solidFill>
          </w14:textFill>
        </w:rPr>
        <w:alias w:val="是否适用：在子公司的所有者权益份额发生变化且仍控制子公司的交易的说明[双击切换]"/>
        <w:tag w:val="_GBC_6634a1e782124f6cbe61f6956908ceac"/>
        <w:id w:val="-1388642113"/>
        <w:placeholder>
          <w:docPart w:val="67208BEDB0EF4559855C345F9AC52D77"/>
        </w:placeholder>
      </w:sdtPr>
      <w:sdtEndPr>
        <w:rPr>
          <w:rFonts w:cs="Arial"/>
          <w:color w:val="000000" w:themeColor="text1"/>
          <w14:textFill>
            <w14:solidFill>
              <w14:schemeClr w14:val="tx1"/>
            </w14:solidFill>
          </w14:textFill>
        </w:rPr>
      </w:sdtEndPr>
      <w:sdtContent>
        <w:p>
          <w:pPr>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pPr>
        <w:pStyle w:val="4"/>
        <w:numPr>
          <w:ilvl w:val="2"/>
          <w:numId w:val="80"/>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在合营企业或联营企业中的权益</w:t>
      </w:r>
    </w:p>
    <w:sdt>
      <w:sdtPr>
        <w:rPr>
          <w:color w:val="000000" w:themeColor="text1"/>
          <w14:textFill>
            <w14:solidFill>
              <w14:schemeClr w14:val="tx1"/>
            </w14:solidFill>
          </w14:textFill>
        </w:rPr>
        <w:alias w:val="是否适用：在合营企业或联营企业中的权益[双击切换]"/>
        <w:tag w:val="_GBC_31c0fe2068fd4a898e4269df4925aa76"/>
        <w:id w:val="-447537760"/>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3"/>
          <w:numId w:val="83"/>
        </w:numPr>
        <w:tabs>
          <w:tab w:val="left" w:pos="630"/>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重要的合营企业或联营企业</w:t>
      </w:r>
    </w:p>
    <w:sdt>
      <w:sdtPr>
        <w:rPr>
          <w:color w:val="000000" w:themeColor="text1"/>
          <w14:textFill>
            <w14:solidFill>
              <w14:schemeClr w14:val="tx1"/>
            </w14:solidFill>
          </w14:textFill>
        </w:rPr>
        <w:alias w:val="是否适用：重要的合营企业或联营企业[双击切换]"/>
        <w:tag w:val="_GBC_9973f58b324442d5879a5d16db0cd410"/>
        <w:id w:val="-624540450"/>
        <w:placeholder>
          <w:docPart w:val="GBC22222222222222222222222222222"/>
        </w:placeholder>
      </w:sdtPr>
      <w:sdtEndPr>
        <w:rPr>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3"/>
          <w:numId w:val="83"/>
        </w:numPr>
        <w:tabs>
          <w:tab w:val="left" w:pos="630"/>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重要合营企业的主要财务信息</w:t>
      </w:r>
    </w:p>
    <w:p>
      <w:pPr>
        <w:spacing w:line="360" w:lineRule="exact"/>
        <w:rPr>
          <w:rFonts w:cs="Arial"/>
          <w:color w:val="000000" w:themeColor="text1"/>
          <w14:textFill>
            <w14:solidFill>
              <w14:schemeClr w14:val="tx1"/>
            </w14:solidFill>
          </w14:textFill>
        </w:rPr>
      </w:pPr>
      <w:sdt>
        <w:sdtPr>
          <w:rPr>
            <w:rFonts w:hint="eastAsia"/>
            <w:b/>
            <w:color w:val="000000" w:themeColor="text1"/>
            <w14:textFill>
              <w14:solidFill>
                <w14:schemeClr w14:val="tx1"/>
              </w14:solidFill>
            </w14:textFill>
          </w:rPr>
          <w:alias w:val="是否适用：重要合营企业的主要财务信息[双击切换]"/>
          <w:tag w:val="_GBC_6241cde567c342139ae6186afeea9fb4"/>
          <w:id w:val="1222478851"/>
          <w:placeholder>
            <w:docPart w:val="GBC22222222222222222222222222222"/>
          </w:placeholder>
        </w:sdtPr>
        <w:sdtEndPr>
          <w:rPr>
            <w:rFonts w:hint="eastAsia"/>
            <w:b w:val="0"/>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pStyle w:val="5"/>
        <w:numPr>
          <w:ilvl w:val="3"/>
          <w:numId w:val="83"/>
        </w:numPr>
        <w:tabs>
          <w:tab w:val="left" w:pos="630"/>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重要联营企业的主要财务信息</w:t>
      </w:r>
    </w:p>
    <w:p>
      <w:pPr>
        <w:spacing w:line="360" w:lineRule="exact"/>
        <w:rPr>
          <w:rFonts w:cs="Arial"/>
          <w:color w:val="000000" w:themeColor="text1"/>
          <w14:textFill>
            <w14:solidFill>
              <w14:schemeClr w14:val="tx1"/>
            </w14:solidFill>
          </w14:textFill>
        </w:rPr>
      </w:pPr>
      <w:sdt>
        <w:sdtPr>
          <w:rPr>
            <w:rFonts w:hint="eastAsia"/>
            <w:b/>
            <w:color w:val="000000" w:themeColor="text1"/>
            <w14:textFill>
              <w14:solidFill>
                <w14:schemeClr w14:val="tx1"/>
              </w14:solidFill>
            </w14:textFill>
          </w:rPr>
          <w:alias w:val="是否适用：重要联营企业的主要财务信息[双击切换]"/>
          <w:tag w:val="_GBC_e304b69adb6f449495c3916754024763"/>
          <w:id w:val="-1259826669"/>
          <w:placeholder>
            <w:docPart w:val="GBC22222222222222222222222222222"/>
          </w:placeholder>
        </w:sdtPr>
        <w:sdtEndPr>
          <w:rPr>
            <w:rFonts w:hint="eastAsia"/>
            <w:b w:val="0"/>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pStyle w:val="5"/>
        <w:numPr>
          <w:ilvl w:val="3"/>
          <w:numId w:val="83"/>
        </w:numPr>
        <w:tabs>
          <w:tab w:val="left" w:pos="630"/>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不重要的合营企业和联营企业的汇总财务信息</w:t>
      </w:r>
    </w:p>
    <w:sdt>
      <w:sdtPr>
        <w:rPr>
          <w:color w:val="000000" w:themeColor="text1"/>
          <w14:textFill>
            <w14:solidFill>
              <w14:schemeClr w14:val="tx1"/>
            </w14:solidFill>
          </w14:textFill>
        </w:rPr>
        <w:alias w:val="是否适用：不重要的合营企业和联营企业的汇总财务信息[双击切换]"/>
        <w:tag w:val="_GBC_eb809f81680b42f794ba04df499e52dc"/>
        <w:id w:val="1299414740"/>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不重要的合营企业和联营企业的汇总财务信息"/>
          <w:tag w:val="_GBC_d02efd9c85904b029b5a51b02d9519e8"/>
          <w:id w:val="-33746231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不重要的合营企业和联营企业的汇总财务信息"/>
          <w:tag w:val="_GBC_a6fa35df627e4d9584fb9c311eb6a4b5"/>
          <w:id w:val="108826688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0"/>
        <w:gridCol w:w="4782"/>
        <w:gridCol w:w="47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1604" w:type="pct"/>
          </w:tcPr>
          <w:p>
            <w:pPr>
              <w:jc w:val="center"/>
              <w:rPr>
                <w:rFonts w:cs="Arial"/>
                <w:color w:val="000000" w:themeColor="text1"/>
                <w14:textFill>
                  <w14:solidFill>
                    <w14:schemeClr w14:val="tx1"/>
                  </w14:solidFill>
                </w14:textFill>
              </w:rPr>
            </w:pPr>
          </w:p>
        </w:tc>
        <w:sdt>
          <w:sdtPr>
            <w:tag w:val="_PLD_7dc69fc7f68243e6b4f46db3a94dd47f"/>
            <w:id w:val="1959446139"/>
          </w:sdtPr>
          <w:sdtContent>
            <w:tc>
              <w:tcPr>
                <w:tcW w:w="1697" w:type="pct"/>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期末余额</w:t>
                </w:r>
                <w:r>
                  <w:rPr>
                    <w:rFonts w:cs="Arial"/>
                    <w:color w:val="000000" w:themeColor="text1"/>
                    <w14:textFill>
                      <w14:solidFill>
                        <w14:schemeClr w14:val="tx1"/>
                      </w14:solidFill>
                    </w14:textFill>
                  </w:rPr>
                  <w:t xml:space="preserve">/ </w:t>
                </w:r>
                <w:r>
                  <w:rPr>
                    <w:rFonts w:hint="eastAsia" w:cs="Arial"/>
                    <w:color w:val="000000" w:themeColor="text1"/>
                    <w:lang w:val="en-GB"/>
                    <w14:textFill>
                      <w14:solidFill>
                        <w14:schemeClr w14:val="tx1"/>
                      </w14:solidFill>
                    </w14:textFill>
                  </w:rPr>
                  <w:t>本期发生额</w:t>
                </w:r>
              </w:p>
            </w:tc>
          </w:sdtContent>
        </w:sdt>
        <w:sdt>
          <w:sdtPr>
            <w:tag w:val="_PLD_ffe9f9922ada461388adfb92ed1e3072"/>
            <w:id w:val="-1211870839"/>
          </w:sdtPr>
          <w:sdtContent>
            <w:tc>
              <w:tcPr>
                <w:tcW w:w="1699" w:type="pct"/>
              </w:tcPr>
              <w:p>
                <w:pPr>
                  <w:jc w:val="cente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期初余额</w:t>
                </w:r>
                <w:r>
                  <w:rPr>
                    <w:rFonts w:cs="Arial"/>
                    <w:color w:val="000000" w:themeColor="text1"/>
                    <w14:textFill>
                      <w14:solidFill>
                        <w14:schemeClr w14:val="tx1"/>
                      </w14:solidFill>
                    </w14:textFill>
                  </w:rPr>
                  <w:t xml:space="preserve">/ </w:t>
                </w:r>
                <w:r>
                  <w:rPr>
                    <w:rFonts w:hint="eastAsia" w:cs="Arial"/>
                    <w:color w:val="000000" w:themeColor="text1"/>
                    <w:lang w:val="en-GB"/>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tag w:val="_PLD_01c0860c93244a3f94a1c91bec25150e"/>
            <w:id w:val="1551502068"/>
          </w:sdtPr>
          <w:sdtContent>
            <w:tc>
              <w:tcPr>
                <w:tcW w:w="5000" w:type="pct"/>
                <w:gridSpan w:val="3"/>
              </w:tcPr>
              <w:p>
                <w:pPr>
                  <w:rPr>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合营企业：</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投资账面价值合计</w:t>
            </w:r>
          </w:p>
        </w:tc>
        <w:tc>
          <w:tcPr>
            <w:tcW w:w="1697" w:type="pct"/>
          </w:tcPr>
          <w:p>
            <w:pPr>
              <w:jc w:val="right"/>
            </w:pPr>
          </w:p>
        </w:tc>
        <w:tc>
          <w:tcPr>
            <w:tcW w:w="1699"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tag w:val="_PLD_d574603998c340988b76ed4abbb39d0f"/>
            <w:id w:val="-1992242950"/>
          </w:sdtPr>
          <w:sdtContent>
            <w:tc>
              <w:tcPr>
                <w:tcW w:w="5000" w:type="pct"/>
                <w:gridSpan w:val="3"/>
                <w:vAlign w:val="center"/>
              </w:tcPr>
              <w:p>
                <w:pPr>
                  <w:rPr>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下列各项按持股比例计算的合计数</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净利润</w:t>
            </w:r>
          </w:p>
        </w:tc>
        <w:tc>
          <w:tcPr>
            <w:tcW w:w="1697" w:type="pct"/>
          </w:tcPr>
          <w:p>
            <w:pPr>
              <w:jc w:val="right"/>
            </w:pPr>
          </w:p>
        </w:tc>
        <w:tc>
          <w:tcPr>
            <w:tcW w:w="1699"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其他综合收益</w:t>
            </w:r>
          </w:p>
        </w:tc>
        <w:tc>
          <w:tcPr>
            <w:tcW w:w="1697" w:type="pct"/>
          </w:tcPr>
          <w:p>
            <w:pPr>
              <w:jc w:val="right"/>
            </w:pPr>
          </w:p>
        </w:tc>
        <w:tc>
          <w:tcPr>
            <w:tcW w:w="1699"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综合收益总额</w:t>
            </w:r>
          </w:p>
        </w:tc>
        <w:tc>
          <w:tcPr>
            <w:tcW w:w="1697" w:type="pct"/>
          </w:tcPr>
          <w:p>
            <w:pPr>
              <w:jc w:val="right"/>
            </w:pPr>
          </w:p>
        </w:tc>
        <w:tc>
          <w:tcPr>
            <w:tcW w:w="1699"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tcPr>
          <w:p>
            <w:pPr>
              <w:rPr>
                <w:rFonts w:cs="Arial"/>
                <w:color w:val="000000" w:themeColor="text1"/>
                <w:lang w:val="en-GB"/>
                <w14:textFill>
                  <w14:solidFill>
                    <w14:schemeClr w14:val="tx1"/>
                  </w14:solidFill>
                </w14:textFill>
              </w:rPr>
            </w:pPr>
          </w:p>
        </w:tc>
        <w:tc>
          <w:tcPr>
            <w:tcW w:w="1697" w:type="pct"/>
          </w:tcPr>
          <w:p>
            <w:pPr>
              <w:jc w:val="right"/>
              <w:rPr>
                <w:color w:val="000000" w:themeColor="text1"/>
                <w14:textFill>
                  <w14:solidFill>
                    <w14:schemeClr w14:val="tx1"/>
                  </w14:solidFill>
                </w14:textFill>
              </w:rPr>
            </w:pPr>
          </w:p>
        </w:tc>
        <w:tc>
          <w:tcPr>
            <w:tcW w:w="1699" w:type="pct"/>
          </w:tcPr>
          <w:p>
            <w:pPr>
              <w:jc w:val="right"/>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tag w:val="_PLD_1bd24e2b6e8f4bddad27bea53e1b1b0a"/>
            <w:id w:val="2090814068"/>
          </w:sdtPr>
          <w:sdtContent>
            <w:tc>
              <w:tcPr>
                <w:tcW w:w="5000" w:type="pct"/>
                <w:gridSpan w:val="3"/>
              </w:tcPr>
              <w:p>
                <w:pPr>
                  <w:rPr>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联营企业：</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pPr>
              <w:rPr>
                <w:rFonts w:cs="Arial"/>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投资账面价值合计</w:t>
            </w:r>
          </w:p>
        </w:tc>
        <w:tc>
          <w:tcPr>
            <w:tcW w:w="1697" w:type="pct"/>
          </w:tcPr>
          <w:p>
            <w:pPr>
              <w:jc w:val="right"/>
            </w:pPr>
            <w:r>
              <w:t xml:space="preserve"> 12,935,524.67 </w:t>
            </w:r>
          </w:p>
        </w:tc>
        <w:tc>
          <w:tcPr>
            <w:tcW w:w="1699" w:type="pct"/>
          </w:tcPr>
          <w:p>
            <w:pPr>
              <w:jc w:val="right"/>
            </w:pPr>
            <w:r>
              <w:t xml:space="preserve"> 16,104,348.61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sdt>
          <w:sdtPr>
            <w:tag w:val="_PLD_31587dee61f14709a752f002668255e6"/>
            <w:id w:val="-1555999948"/>
          </w:sdtPr>
          <w:sdtContent>
            <w:tc>
              <w:tcPr>
                <w:tcW w:w="5000" w:type="pct"/>
                <w:gridSpan w:val="3"/>
                <w:vAlign w:val="center"/>
              </w:tcPr>
              <w:p>
                <w:pPr>
                  <w:rPr>
                    <w:color w:val="000000" w:themeColor="text1"/>
                    <w14:textFill>
                      <w14:solidFill>
                        <w14:schemeClr w14:val="tx1"/>
                      </w14:solidFill>
                    </w14:textFill>
                  </w:rPr>
                </w:pPr>
                <w:r>
                  <w:rPr>
                    <w:rFonts w:hint="eastAsia" w:cs="Arial"/>
                    <w:color w:val="000000" w:themeColor="text1"/>
                    <w:lang w:val="en-GB"/>
                    <w14:textFill>
                      <w14:solidFill>
                        <w14:schemeClr w14:val="tx1"/>
                      </w14:solidFill>
                    </w14:textFill>
                  </w:rPr>
                  <w:t>下列各项按持股比例计算的合计数</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净利润</w:t>
            </w:r>
          </w:p>
        </w:tc>
        <w:tc>
          <w:tcPr>
            <w:tcW w:w="1697" w:type="pct"/>
          </w:tcPr>
          <w:p>
            <w:pPr>
              <w:jc w:val="right"/>
            </w:pPr>
            <w:r>
              <w:t>-1,368,108.91</w:t>
            </w:r>
          </w:p>
        </w:tc>
        <w:tc>
          <w:tcPr>
            <w:tcW w:w="1699" w:type="pct"/>
          </w:tcPr>
          <w:p>
            <w:pPr>
              <w:jc w:val="right"/>
            </w:pPr>
            <w:r>
              <w:t>-1,373,937.85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其他综合收益</w:t>
            </w:r>
          </w:p>
        </w:tc>
        <w:tc>
          <w:tcPr>
            <w:tcW w:w="1697" w:type="pct"/>
          </w:tcPr>
          <w:p>
            <w:pPr>
              <w:jc w:val="right"/>
            </w:pPr>
          </w:p>
        </w:tc>
        <w:tc>
          <w:tcPr>
            <w:tcW w:w="1699"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4" w:type="pct"/>
            <w:vAlign w:val="center"/>
          </w:tcPr>
          <w:p>
            <w:pPr>
              <w:rPr>
                <w:rFonts w:cs="Arial"/>
                <w:color w:val="000000" w:themeColor="text1"/>
                <w14:textFill>
                  <w14:solidFill>
                    <w14:schemeClr w14:val="tx1"/>
                  </w14:solidFill>
                </w14:textFill>
              </w:rPr>
            </w:pPr>
            <w:r>
              <w:rPr>
                <w:rFonts w:cs="Arial"/>
                <w:color w:val="000000" w:themeColor="text1"/>
                <w14:textFill>
                  <w14:solidFill>
                    <w14:schemeClr w14:val="tx1"/>
                  </w14:solidFill>
                </w14:textFill>
              </w:rPr>
              <w:t>--</w:t>
            </w:r>
            <w:r>
              <w:rPr>
                <w:rFonts w:hint="eastAsia" w:cs="Arial"/>
                <w:color w:val="000000" w:themeColor="text1"/>
                <w:lang w:val="en-GB"/>
                <w14:textFill>
                  <w14:solidFill>
                    <w14:schemeClr w14:val="tx1"/>
                  </w14:solidFill>
                </w14:textFill>
              </w:rPr>
              <w:t>综合收益总额</w:t>
            </w:r>
          </w:p>
        </w:tc>
        <w:tc>
          <w:tcPr>
            <w:tcW w:w="1697" w:type="pct"/>
          </w:tcPr>
          <w:p>
            <w:pPr>
              <w:jc w:val="right"/>
            </w:pPr>
          </w:p>
        </w:tc>
        <w:tc>
          <w:tcPr>
            <w:tcW w:w="1699" w:type="pct"/>
          </w:tcPr>
          <w:p>
            <w:pPr>
              <w:jc w:val="right"/>
            </w:pPr>
          </w:p>
        </w:tc>
      </w:tr>
    </w:tbl>
    <w:p>
      <w:pPr>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其他说明</w:t>
      </w:r>
    </w:p>
    <w:p>
      <w:pPr>
        <w:rPr>
          <w:rFonts w:cs="Arial"/>
          <w:color w:val="000000" w:themeColor="text1"/>
          <w14:textFill>
            <w14:solidFill>
              <w14:schemeClr w14:val="tx1"/>
            </w14:solidFill>
          </w14:textFill>
        </w:rPr>
      </w:pPr>
      <w:sdt>
        <w:sdtPr>
          <w:rPr>
            <w:color w:val="000000" w:themeColor="text1"/>
            <w14:textFill>
              <w14:solidFill>
                <w14:schemeClr w14:val="tx1"/>
              </w14:solidFill>
            </w14:textFill>
          </w:rPr>
          <w:alias w:val="不重要的合营企业和联营企业的汇总财务信息其他说明"/>
          <w:tag w:val="_GBC_78096995ca9848409e6780ab5f1386f8"/>
          <w:id w:val="1429920592"/>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p>
      <w:pPr>
        <w:pStyle w:val="5"/>
        <w:numPr>
          <w:ilvl w:val="3"/>
          <w:numId w:val="83"/>
        </w:numPr>
        <w:tabs>
          <w:tab w:val="left" w:pos="630"/>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合营企业或联营企业向本公司转移资金的能力存在重大限制的说明</w:t>
      </w:r>
    </w:p>
    <w:sdt>
      <w:sdtPr>
        <w:rPr>
          <w:color w:val="000000" w:themeColor="text1"/>
          <w14:textFill>
            <w14:solidFill>
              <w14:schemeClr w14:val="tx1"/>
            </w14:solidFill>
          </w14:textFill>
        </w:rPr>
        <w:alias w:val="是否适用：合营企业或联营企业向本公司转移资金的能力存在重大限制的说明[双击切换]"/>
        <w:tag w:val="_GBC_73dfba3df3e24fc2a5b5ede5fa8d6f09"/>
        <w:id w:val="145939221"/>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3"/>
          <w:numId w:val="83"/>
        </w:numPr>
        <w:tabs>
          <w:tab w:val="left" w:pos="630"/>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合营企业或联营企业发生的超额亏损</w:t>
      </w:r>
    </w:p>
    <w:sdt>
      <w:sdtPr>
        <w:rPr>
          <w:color w:val="000000" w:themeColor="text1"/>
          <w14:textFill>
            <w14:solidFill>
              <w14:schemeClr w14:val="tx1"/>
            </w14:solidFill>
          </w14:textFill>
        </w:rPr>
        <w:alias w:val="是否适用：合营企业或联营企业发生的超额亏损[双击切换]"/>
        <w:tag w:val="_GBC_c30af0beca864d788c2fe12f47f13428"/>
        <w:id w:val="235750589"/>
        <w:placeholder>
          <w:docPart w:val="GBC22222222222222222222222222222"/>
        </w:placeholder>
      </w:sdtPr>
      <w:sdtEndPr>
        <w:rPr>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3"/>
          <w:numId w:val="83"/>
        </w:numPr>
        <w:tabs>
          <w:tab w:val="left" w:pos="630"/>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与合营企业投资相关的未确认承诺</w:t>
      </w:r>
    </w:p>
    <w:sdt>
      <w:sdtPr>
        <w:rPr>
          <w:color w:val="000000" w:themeColor="text1"/>
          <w14:textFill>
            <w14:solidFill>
              <w14:schemeClr w14:val="tx1"/>
            </w14:solidFill>
          </w14:textFill>
        </w:rPr>
        <w:alias w:val="是否适用：与合营企业投资相关的未确认承诺[双击切换]"/>
        <w:tag w:val="_GBC_9d014d8b476148b59476808a5cda81d8"/>
        <w:id w:val="1509252883"/>
        <w:placeholder>
          <w:docPart w:val="GBC22222222222222222222222222222"/>
        </w:placeholder>
      </w:sdtPr>
      <w:sdtEndPr>
        <w:rPr>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3"/>
          <w:numId w:val="83"/>
        </w:numPr>
        <w:tabs>
          <w:tab w:val="left" w:pos="630"/>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与合营企业或联营企业投资相关的或有负债</w:t>
      </w:r>
    </w:p>
    <w:sdt>
      <w:sdtPr>
        <w:rPr>
          <w:color w:val="000000" w:themeColor="text1"/>
          <w14:textFill>
            <w14:solidFill>
              <w14:schemeClr w14:val="tx1"/>
            </w14:solidFill>
          </w14:textFill>
        </w:rPr>
        <w:alias w:val="是否适用：与合营企业或联营企业投资相关的或有负债[双击切换]"/>
        <w:tag w:val="_GBC_caba618be81b4cb1acf89073549a456a"/>
        <w:id w:val="-1148210021"/>
        <w:placeholder>
          <w:docPart w:val="GBC22222222222222222222222222222"/>
        </w:placeholder>
      </w:sdtPr>
      <w:sdtEndPr>
        <w:rPr>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2"/>
          <w:numId w:val="80"/>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重要的共同经营</w:t>
      </w:r>
    </w:p>
    <w:sdt>
      <w:sdtPr>
        <w:rPr>
          <w:color w:val="000000" w:themeColor="text1"/>
          <w14:textFill>
            <w14:solidFill>
              <w14:schemeClr w14:val="tx1"/>
            </w14:solidFill>
          </w14:textFill>
        </w:rPr>
        <w:alias w:val="是否适用：重要的共同经营[双击切换]"/>
        <w:tag w:val="_GBC_7911b1c8195d4c20b2800b1c5ac94a93"/>
        <w:id w:val="123210088"/>
        <w:placeholder>
          <w:docPart w:val="GBC22222222222222222222222222222"/>
        </w:placeholder>
      </w:sdtPr>
      <w:sdtEndPr>
        <w:rPr>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2"/>
          <w:numId w:val="80"/>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在未纳入合并财务报表范围的结构化主体中的权益</w:t>
      </w:r>
    </w:p>
    <w:p>
      <w:pPr>
        <w:spacing w:line="360" w:lineRule="exact"/>
        <w:rPr>
          <w:rFonts w:cs="Arial"/>
          <w:color w:val="000000" w:themeColor="text1"/>
          <w14:textFill>
            <w14:solidFill>
              <w14:schemeClr w14:val="tx1"/>
            </w14:solidFill>
          </w14:textFill>
        </w:rPr>
      </w:pPr>
      <w:r>
        <w:rPr>
          <w:rFonts w:hint="eastAsia" w:cs="Arial"/>
          <w:color w:val="000000" w:themeColor="text1"/>
          <w14:textFill>
            <w14:solidFill>
              <w14:schemeClr w14:val="tx1"/>
            </w14:solidFill>
          </w14:textFill>
        </w:rPr>
        <w:t>未纳入合并财务报表范围的结构化主体的相关说明：</w:t>
      </w:r>
    </w:p>
    <w:sdt>
      <w:sdtPr>
        <w:rPr>
          <w:rFonts w:cs="Arial"/>
          <w:color w:val="000000" w:themeColor="text1"/>
          <w14:textFill>
            <w14:solidFill>
              <w14:schemeClr w14:val="tx1"/>
            </w14:solidFill>
          </w14:textFill>
        </w:rPr>
        <w:alias w:val="是否适用：未纳入合并财务报表范围的结构化主体的相关说明[双击切换]"/>
        <w:tag w:val="_GBC_48eb6d215e5341c694f98d18f5889902"/>
        <w:id w:val="365572541"/>
        <w:placeholder>
          <w:docPart w:val="GBC22222222222222222222222222222"/>
        </w:placeholder>
      </w:sdtPr>
      <w:sdtEndPr>
        <w:rPr>
          <w:rFonts w:cs="Arial"/>
          <w:color w:val="000000" w:themeColor="text1"/>
          <w14:textFill>
            <w14:solidFill>
              <w14:schemeClr w14:val="tx1"/>
            </w14:solidFill>
          </w14:textFill>
        </w:rPr>
      </w:sdtEndPr>
      <w:sdtContent>
        <w:p>
          <w:pPr>
            <w:spacing w:line="360" w:lineRule="exact"/>
            <w:rPr>
              <w:rFonts w:cs="Arial"/>
              <w:color w:val="000000" w:themeColor="text1"/>
              <w14:textFill>
                <w14:solidFill>
                  <w14:schemeClr w14:val="tx1"/>
                </w14:solidFill>
              </w14:textFill>
            </w:rPr>
          </w:pP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□适用 </w:instrText>
          </w:r>
          <w:r>
            <w:rPr>
              <w:rFonts w:ascii="宋体" w:hAnsi="宋体" w:cs="Arial"/>
              <w:color w:val="000000" w:themeColor="text1"/>
              <w14:textFill>
                <w14:solidFill>
                  <w14:schemeClr w14:val="tx1"/>
                </w14:solidFill>
              </w14:textFill>
            </w:rPr>
            <w:fldChar w:fldCharType="end"/>
          </w:r>
          <w:r>
            <w:rPr>
              <w:rFonts w:ascii="宋体" w:hAnsi="宋体" w:cs="Arial"/>
              <w:color w:val="000000" w:themeColor="text1"/>
              <w14:textFill>
                <w14:solidFill>
                  <w14:schemeClr w14:val="tx1"/>
                </w14:solidFill>
              </w14:textFill>
            </w:rPr>
            <w:fldChar w:fldCharType="begin"/>
          </w:r>
          <w:r>
            <w:rPr>
              <w:rFonts w:hint="eastAsia" w:ascii="宋体" w:hAnsi="宋体" w:cs="Arial"/>
              <w:color w:val="000000" w:themeColor="text1"/>
              <w14:textFill>
                <w14:solidFill>
                  <w14:schemeClr w14:val="tx1"/>
                </w14:solidFill>
              </w14:textFill>
            </w:rPr>
            <w:instrText xml:space="preserve"> MACROBUTTON  SnrToggleCheckbox √不适用 </w:instrText>
          </w:r>
          <w:r>
            <w:rPr>
              <w:rFonts w:ascii="宋体" w:hAnsi="宋体" w:cs="Arial"/>
              <w:color w:val="000000" w:themeColor="text1"/>
              <w14:textFill>
                <w14:solidFill>
                  <w14:schemeClr w14:val="tx1"/>
                </w14:solidFill>
              </w14:textFill>
            </w:rPr>
            <w:fldChar w:fldCharType="end"/>
          </w:r>
        </w:p>
      </w:sdtContent>
    </w:sdt>
    <w:p>
      <w:pPr>
        <w:pStyle w:val="4"/>
        <w:numPr>
          <w:ilvl w:val="2"/>
          <w:numId w:val="80"/>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在其他主体中的权益其他需要说明的事项[双击切换]"/>
        <w:tag w:val="_GBC_ad8b7a7df0724efaa681a931c91befff"/>
        <w:id w:val="-2103631853"/>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pPr>
        <w:pStyle w:val="3"/>
        <w:numPr>
          <w:ilvl w:val="0"/>
          <w:numId w:val="31"/>
        </w:numPr>
        <w:spacing w:line="360" w:lineRule="exact"/>
        <w:ind w:left="420" w:hanging="420"/>
        <w:rPr>
          <w:rFonts w:hint="eastAsia" w:ascii="宋体" w:hAnsi="宋体"/>
          <w:color w:val="000000" w:themeColor="text1"/>
          <w14:textFill>
            <w14:solidFill>
              <w14:schemeClr w14:val="tx1"/>
            </w14:solidFill>
          </w14:textFill>
        </w:rPr>
      </w:pPr>
      <w:bookmarkStart w:id="433" w:name="_Hlk167976217"/>
      <w:r>
        <w:rPr>
          <w:rFonts w:hint="eastAsia" w:ascii="宋体" w:hAnsi="宋体"/>
          <w:color w:val="000000" w:themeColor="text1"/>
          <w14:textFill>
            <w14:solidFill>
              <w14:schemeClr w14:val="tx1"/>
            </w14:solidFill>
          </w14:textFill>
        </w:rPr>
        <w:t>政府补助</w:t>
      </w:r>
    </w:p>
    <w:p>
      <w:pPr>
        <w:pStyle w:val="4"/>
        <w:numPr>
          <w:ilvl w:val="0"/>
          <w:numId w:val="84"/>
        </w:numPr>
        <w:spacing w:line="360" w:lineRule="exact"/>
        <w:ind w:left="0" w:firstLine="0"/>
        <w:rPr>
          <w:color w:val="000000" w:themeColor="text1"/>
          <w14:textFill>
            <w14:solidFill>
              <w14:schemeClr w14:val="tx1"/>
            </w14:solidFill>
          </w14:textFill>
        </w:rPr>
      </w:pPr>
      <w:r>
        <w:rPr>
          <w:color w:val="000000" w:themeColor="text1"/>
          <w14:textFill>
            <w14:solidFill>
              <w14:schemeClr w14:val="tx1"/>
            </w14:solidFill>
          </w14:textFill>
        </w:rPr>
        <w:t>报告期末按应收金额确认的政府补助</w:t>
      </w:r>
    </w:p>
    <w:sdt>
      <w:sdtPr>
        <w:rPr>
          <w:color w:val="000000" w:themeColor="text1"/>
          <w14:textFill>
            <w14:solidFill>
              <w14:schemeClr w14:val="tx1"/>
            </w14:solidFill>
          </w14:textFill>
        </w:rPr>
        <w:alias w:val="是否适用：按应收金额确认的政府补助[双击切换]"/>
        <w:tag w:val="_GBC_3d18d31d14384adf9969b37c0463bdb6"/>
        <w:id w:val="-872610556"/>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color w:val="000000" w:themeColor="text1"/>
          <w14:textFill>
            <w14:solidFill>
              <w14:schemeClr w14:val="tx1"/>
            </w14:solidFill>
          </w14:textFill>
        </w:rPr>
        <w:t>未能在预计时点收到预计金额的政府补助</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原因</w:t>
      </w:r>
    </w:p>
    <w:sdt>
      <w:sdtPr>
        <w:rPr>
          <w:color w:val="000000" w:themeColor="text1"/>
          <w14:textFill>
            <w14:solidFill>
              <w14:schemeClr w14:val="tx1"/>
            </w14:solidFill>
          </w14:textFill>
        </w:rPr>
        <w:alias w:val="是否适用：未能在预计时点收到预计金额的政府补助的原因[双击切换]"/>
        <w:tag w:val="_GBC_e0b0850317ba480b8188bda150ebfb78"/>
        <w:id w:val="-135634394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84"/>
        </w:numPr>
        <w:spacing w:line="360" w:lineRule="exact"/>
        <w:ind w:left="0" w:firstLine="0"/>
        <w:rPr>
          <w:color w:val="000000" w:themeColor="text1"/>
          <w14:textFill>
            <w14:solidFill>
              <w14:schemeClr w14:val="tx1"/>
            </w14:solidFill>
          </w14:textFill>
        </w:rPr>
      </w:pPr>
      <w:r>
        <w:rPr>
          <w:color w:val="000000" w:themeColor="text1"/>
          <w14:textFill>
            <w14:solidFill>
              <w14:schemeClr w14:val="tx1"/>
            </w14:solidFill>
          </w14:textFill>
        </w:rPr>
        <w:t>涉及政府补助的负债项目</w:t>
      </w:r>
    </w:p>
    <w:sdt>
      <w:sdtPr>
        <w:rPr>
          <w:color w:val="000000" w:themeColor="text1"/>
          <w14:textFill>
            <w14:solidFill>
              <w14:schemeClr w14:val="tx1"/>
            </w14:solidFill>
          </w14:textFill>
        </w:rPr>
        <w:alias w:val="是否适用：涉及政府补助的负债项目[双击切换]"/>
        <w:tag w:val="_GBC_5b8cf655c53545cab80f75be728637c0"/>
        <w:id w:val="583883362"/>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涉及政府补助的负债项目"/>
          <w:tag w:val="_GBC_3f46f2e72def428785501464e8373dc7"/>
          <w:id w:val="-1389189129"/>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涉及政府补助的负债项目"/>
          <w:tag w:val="_GBC_2061879c791b40ceb951bedd0f7334b3"/>
          <w:id w:val="25094700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7"/>
        <w:gridCol w:w="1462"/>
        <w:gridCol w:w="1191"/>
        <w:gridCol w:w="896"/>
        <w:gridCol w:w="1352"/>
        <w:gridCol w:w="896"/>
        <w:gridCol w:w="1461"/>
        <w:gridCol w:w="8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9dbfe6de199442ba67fa4c2623ba343"/>
            <w:id w:val="1959981158"/>
          </w:sdtPr>
          <w:sdtContent>
            <w:tc>
              <w:tcPr>
                <w:tcW w:w="49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财务报表项目</w:t>
                </w:r>
              </w:p>
            </w:tc>
          </w:sdtContent>
        </w:sdt>
        <w:sdt>
          <w:sdtPr>
            <w:tag w:val="_PLD_ed889bd262164e639c21bff48ded3a53"/>
            <w:id w:val="-600719105"/>
          </w:sdtPr>
          <w:sdtContent>
            <w:tc>
              <w:tcPr>
                <w:tcW w:w="80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sdt>
          <w:sdtPr>
            <w:tag w:val="_PLD_7052fd9610c24b8baab6d4bc81cd150d"/>
            <w:id w:val="1412033524"/>
          </w:sdtPr>
          <w:sdtContent>
            <w:tc>
              <w:tcPr>
                <w:tcW w:w="658"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本期新增补助金额</w:t>
                </w:r>
              </w:p>
            </w:tc>
          </w:sdtContent>
        </w:sdt>
        <w:sdt>
          <w:sdtPr>
            <w:tag w:val="_PLD_52c2e402043d4e31a35cf36007217038"/>
            <w:id w:val="1854613962"/>
          </w:sdtPr>
          <w:sdtContent>
            <w:tc>
              <w:tcPr>
                <w:tcW w:w="495"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本期计入营业外收入金额</w:t>
                </w:r>
              </w:p>
            </w:tc>
          </w:sdtContent>
        </w:sdt>
        <w:sdt>
          <w:sdtPr>
            <w:tag w:val="_PLD_54cb3f3d4b4b49b9913df5c05007eb61"/>
            <w:id w:val="1939413618"/>
          </w:sdtPr>
          <w:sdtContent>
            <w:tc>
              <w:tcPr>
                <w:tcW w:w="747"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本期转入其他收益</w:t>
                </w:r>
              </w:p>
            </w:tc>
          </w:sdtContent>
        </w:sdt>
        <w:sdt>
          <w:sdtPr>
            <w:tag w:val="_PLD_f8464a8361c140659dec395b64a565c0"/>
            <w:id w:val="-773240393"/>
          </w:sdtPr>
          <w:sdtContent>
            <w:tc>
              <w:tcPr>
                <w:tcW w:w="49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本期其他变动</w:t>
                </w:r>
              </w:p>
            </w:tc>
          </w:sdtContent>
        </w:sdt>
        <w:sdt>
          <w:sdtPr>
            <w:tag w:val="_PLD_abc368d2d0c7418dbd78f4f89cd037d5"/>
            <w:id w:val="893311444"/>
          </w:sdtPr>
          <w:sdtContent>
            <w:tc>
              <w:tcPr>
                <w:tcW w:w="80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3ff2a65a79344d48808fa5737db3cb39"/>
            <w:id w:val="-107589755"/>
          </w:sdtPr>
          <w:sdtContent>
            <w:tc>
              <w:tcPr>
                <w:tcW w:w="49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与资产</w:t>
                </w:r>
                <w:r>
                  <w:rPr>
                    <w:color w:val="000000" w:themeColor="text1"/>
                    <w14:textFill>
                      <w14:solidFill>
                        <w14:schemeClr w14:val="tx1"/>
                      </w14:solidFill>
                    </w14:textFill>
                  </w:rPr>
                  <w:t>/收益相关</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Pr>
          <w:p>
            <w:pPr>
              <w:pStyle w:val="48"/>
            </w:pPr>
            <w:r>
              <w:rPr>
                <w:rFonts w:hint="eastAsia"/>
              </w:rPr>
              <w:t>递延收益</w:t>
            </w:r>
          </w:p>
        </w:tc>
        <w:tc>
          <w:tcPr>
            <w:tcW w:w="808" w:type="pct"/>
            <w:vAlign w:val="center"/>
          </w:tcPr>
          <w:p>
            <w:pPr>
              <w:jc w:val="right"/>
            </w:pPr>
            <w:r>
              <w:rPr>
                <w:rFonts w:hint="eastAsia"/>
              </w:rPr>
              <w:t>68,350,233.52</w:t>
            </w:r>
          </w:p>
        </w:tc>
        <w:tc>
          <w:tcPr>
            <w:tcW w:w="658" w:type="pct"/>
            <w:vAlign w:val="center"/>
          </w:tcPr>
          <w:p>
            <w:pPr>
              <w:jc w:val="right"/>
            </w:pPr>
            <w:r>
              <w:rPr>
                <w:rFonts w:hint="eastAsia"/>
              </w:rPr>
              <w:t xml:space="preserve">320,000.00 </w:t>
            </w:r>
          </w:p>
        </w:tc>
        <w:tc>
          <w:tcPr>
            <w:tcW w:w="495" w:type="pct"/>
            <w:vAlign w:val="center"/>
          </w:tcPr>
          <w:p>
            <w:pPr>
              <w:jc w:val="right"/>
            </w:pPr>
          </w:p>
        </w:tc>
        <w:tc>
          <w:tcPr>
            <w:tcW w:w="747" w:type="pct"/>
            <w:vAlign w:val="center"/>
          </w:tcPr>
          <w:p>
            <w:pPr>
              <w:jc w:val="right"/>
            </w:pPr>
            <w:r>
              <w:rPr>
                <w:rFonts w:hint="eastAsia"/>
              </w:rPr>
              <w:t xml:space="preserve">2,628,550.78 </w:t>
            </w:r>
          </w:p>
        </w:tc>
        <w:tc>
          <w:tcPr>
            <w:tcW w:w="495" w:type="pct"/>
            <w:vAlign w:val="center"/>
          </w:tcPr>
          <w:p>
            <w:pPr>
              <w:jc w:val="right"/>
            </w:pPr>
          </w:p>
        </w:tc>
        <w:tc>
          <w:tcPr>
            <w:tcW w:w="807" w:type="pct"/>
            <w:vAlign w:val="center"/>
          </w:tcPr>
          <w:p>
            <w:pPr>
              <w:jc w:val="right"/>
            </w:pPr>
            <w:r>
              <w:rPr>
                <w:rFonts w:hint="eastAsia"/>
              </w:rPr>
              <w:t xml:space="preserve">66,041,682.74 </w:t>
            </w:r>
          </w:p>
        </w:tc>
        <w:tc>
          <w:tcPr>
            <w:tcW w:w="494" w:type="pct"/>
          </w:tcPr>
          <w:p>
            <w:pPr>
              <w:pStyle w:val="48"/>
            </w:pPr>
            <w:r>
              <w:rPr>
                <w:rFonts w:hint="eastAsia"/>
              </w:rPr>
              <w:t>与资产相关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6"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808"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68,350,233.52</w:t>
            </w:r>
          </w:p>
        </w:tc>
        <w:tc>
          <w:tcPr>
            <w:tcW w:w="658"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320,000.00 </w:t>
            </w:r>
          </w:p>
        </w:tc>
        <w:tc>
          <w:tcPr>
            <w:tcW w:w="495" w:type="pct"/>
            <w:tcBorders>
              <w:top w:val="single" w:color="auto" w:sz="4" w:space="0"/>
              <w:left w:val="single" w:color="auto" w:sz="4" w:space="0"/>
              <w:bottom w:val="single" w:color="auto" w:sz="4" w:space="0"/>
              <w:right w:val="single" w:color="auto" w:sz="4" w:space="0"/>
            </w:tcBorders>
            <w:vAlign w:val="center"/>
          </w:tcPr>
          <w:p>
            <w:pPr>
              <w:jc w:val="right"/>
            </w:pPr>
          </w:p>
        </w:tc>
        <w:tc>
          <w:tcPr>
            <w:tcW w:w="747"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2,628,550.78 </w:t>
            </w:r>
          </w:p>
        </w:tc>
        <w:tc>
          <w:tcPr>
            <w:tcW w:w="495" w:type="pct"/>
            <w:tcBorders>
              <w:top w:val="single" w:color="auto" w:sz="4" w:space="0"/>
              <w:left w:val="single" w:color="auto" w:sz="4" w:space="0"/>
              <w:bottom w:val="single" w:color="auto" w:sz="4" w:space="0"/>
              <w:right w:val="single" w:color="auto" w:sz="4" w:space="0"/>
            </w:tcBorders>
            <w:vAlign w:val="center"/>
          </w:tcPr>
          <w:p>
            <w:pPr>
              <w:jc w:val="right"/>
            </w:pPr>
          </w:p>
        </w:tc>
        <w:tc>
          <w:tcPr>
            <w:tcW w:w="807"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66,041,682.74 </w:t>
            </w:r>
          </w:p>
        </w:tc>
        <w:tc>
          <w:tcPr>
            <w:tcW w:w="494"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bl>
    <w:p>
      <w:pPr>
        <w:pStyle w:val="4"/>
        <w:numPr>
          <w:ilvl w:val="0"/>
          <w:numId w:val="84"/>
        </w:numPr>
        <w:ind w:left="0" w:firstLine="0"/>
        <w:rPr>
          <w:color w:val="000000" w:themeColor="text1"/>
          <w14:textFill>
            <w14:solidFill>
              <w14:schemeClr w14:val="tx1"/>
            </w14:solidFill>
          </w14:textFill>
        </w:rPr>
      </w:pPr>
      <w:bookmarkStart w:id="434" w:name="_Hlk153267407"/>
      <w:r>
        <w:rPr>
          <w:color w:val="000000" w:themeColor="text1"/>
          <w14:textFill>
            <w14:solidFill>
              <w14:schemeClr w14:val="tx1"/>
            </w14:solidFill>
          </w14:textFill>
        </w:rPr>
        <w:t>计入当期损益的政府补助</w:t>
      </w:r>
    </w:p>
    <w:sdt>
      <w:sdtPr>
        <w:rPr>
          <w:rStyle w:val="27"/>
          <w:rFonts w:ascii="宋体" w:hAnsi="宋体"/>
          <w:b w:val="0"/>
          <w:color w:val="000000" w:themeColor="text1"/>
          <w:szCs w:val="21"/>
          <w14:textFill>
            <w14:solidFill>
              <w14:schemeClr w14:val="tx1"/>
            </w14:solidFill>
          </w14:textFill>
        </w:rPr>
        <w:alias w:val="是否适用：计入当期损益的政府补助[双击切换]"/>
        <w:tag w:val="_GBC_01aefe636f4f4e8b8752cf8841e143f6"/>
        <w:id w:val="-407774060"/>
        <w:placeholder>
          <w:docPart w:val="GBC22222222222222222222222222222"/>
        </w:placeholder>
      </w:sdtPr>
      <w:sdtEndPr>
        <w:rPr>
          <w:rStyle w:val="27"/>
          <w:rFonts w:ascii="宋体" w:hAnsi="宋体"/>
          <w:b w:val="0"/>
          <w:color w:val="000000" w:themeColor="text1"/>
          <w:szCs w:val="21"/>
          <w14:textFill>
            <w14:solidFill>
              <w14:schemeClr w14:val="tx1"/>
            </w14:solidFill>
          </w14:textFill>
        </w:rPr>
      </w:sdtEndPr>
      <w:sdtContent>
        <w:p>
          <w:pPr>
            <w:rPr>
              <w:rStyle w:val="27"/>
              <w:rFonts w:hint="eastAsia" w:ascii="宋体" w:hAnsi="宋体"/>
              <w:b w:val="0"/>
              <w:bCs w:val="0"/>
              <w:color w:val="000000" w:themeColor="text1"/>
              <w:szCs w:val="21"/>
              <w14:textFill>
                <w14:solidFill>
                  <w14:schemeClr w14:val="tx1"/>
                </w14:solidFill>
              </w14:textFill>
            </w:rPr>
          </w:pPr>
          <w:r>
            <w:rPr>
              <w:rStyle w:val="27"/>
              <w:rFonts w:ascii="宋体" w:hAnsi="宋体"/>
              <w:b w:val="0"/>
              <w:bCs w:val="0"/>
              <w:color w:val="000000" w:themeColor="text1"/>
              <w:szCs w:val="21"/>
              <w14:textFill>
                <w14:solidFill>
                  <w14:schemeClr w14:val="tx1"/>
                </w14:solidFill>
              </w14:textFill>
            </w:rPr>
            <w:fldChar w:fldCharType="begin"/>
          </w:r>
          <w:r>
            <w:rPr>
              <w:rStyle w:val="27"/>
              <w:rFonts w:hint="eastAsia" w:ascii="宋体" w:hAnsi="宋体"/>
              <w:b w:val="0"/>
              <w:bCs w:val="0"/>
              <w:color w:val="000000" w:themeColor="text1"/>
              <w:szCs w:val="21"/>
              <w14:textFill>
                <w14:solidFill>
                  <w14:schemeClr w14:val="tx1"/>
                </w14:solidFill>
              </w14:textFill>
            </w:rPr>
            <w:instrText xml:space="preserve">MACROBUTTON  SnrToggleCheckbox √适用 </w:instrText>
          </w:r>
          <w:r>
            <w:rPr>
              <w:rStyle w:val="27"/>
              <w:rFonts w:ascii="宋体" w:hAnsi="宋体"/>
              <w:b w:val="0"/>
              <w:bCs w:val="0"/>
              <w:color w:val="000000" w:themeColor="text1"/>
              <w:szCs w:val="21"/>
              <w14:textFill>
                <w14:solidFill>
                  <w14:schemeClr w14:val="tx1"/>
                </w14:solidFill>
              </w14:textFill>
            </w:rPr>
            <w:fldChar w:fldCharType="end"/>
          </w:r>
          <w:r>
            <w:rPr>
              <w:rStyle w:val="27"/>
              <w:rFonts w:ascii="宋体" w:hAnsi="宋体"/>
              <w:b w:val="0"/>
              <w:bCs w:val="0"/>
              <w:color w:val="000000" w:themeColor="text1"/>
              <w:szCs w:val="21"/>
              <w14:textFill>
                <w14:solidFill>
                  <w14:schemeClr w14:val="tx1"/>
                </w14:solidFill>
              </w14:textFill>
            </w:rPr>
            <w:fldChar w:fldCharType="begin"/>
          </w:r>
          <w:r>
            <w:rPr>
              <w:rStyle w:val="27"/>
              <w:rFonts w:ascii="宋体" w:hAnsi="宋体"/>
              <w:b w:val="0"/>
              <w:bCs w:val="0"/>
              <w:color w:val="000000" w:themeColor="text1"/>
              <w:szCs w:val="21"/>
              <w14:textFill>
                <w14:solidFill>
                  <w14:schemeClr w14:val="tx1"/>
                </w14:solidFill>
              </w14:textFill>
            </w:rPr>
            <w:instrText xml:space="preserve"> MACROBUTTON  SnrToggleCheckbox □不适用 </w:instrText>
          </w:r>
          <w:r>
            <w:rPr>
              <w:rStyle w:val="27"/>
              <w:rFonts w:ascii="宋体" w:hAnsi="宋体"/>
              <w:b w:val="0"/>
              <w:bCs w:val="0"/>
              <w:color w:val="000000" w:themeColor="text1"/>
              <w:szCs w:val="2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单位：</w:t>
      </w:r>
      <w:sdt>
        <w:sdtPr>
          <w:rPr>
            <w:rFonts w:hint="eastAsia"/>
            <w:color w:val="000000" w:themeColor="text1"/>
            <w14:textFill>
              <w14:solidFill>
                <w14:schemeClr w14:val="tx1"/>
              </w14:solidFill>
            </w14:textFill>
          </w:rPr>
          <w:alias w:val="单位：财务附注：计入当期损益的政府补助"/>
          <w:tag w:val="_GBC_87984e2b7f344109836efe6282c2894b"/>
          <w:id w:val="-209476811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计入当期损益的政府补助"/>
          <w:tag w:val="_GBC_105736a35c964ea1b5378bede4faea2f"/>
          <w:id w:val="-14153367"/>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873"/>
        <w:gridCol w:w="3093"/>
        <w:gridCol w:w="3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trHeight w:val="556" w:hRule="atLeast"/>
          <w:jc w:val="center"/>
        </w:trPr>
        <w:sdt>
          <w:sdtPr>
            <w:tag w:val="_PLD_4e0950c6d44c4f6c93412dd988ce84f3"/>
            <w:id w:val="974947186"/>
          </w:sdtPr>
          <w:sdtContent>
            <w:tc>
              <w:tcPr>
                <w:tcW w:w="158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类型</w:t>
                </w:r>
              </w:p>
            </w:tc>
          </w:sdtContent>
        </w:sdt>
        <w:sdt>
          <w:sdtPr>
            <w:tag w:val="_PLD_b137547e48b242d2a32ab92cdeb61433"/>
            <w:id w:val="250931650"/>
          </w:sdtPr>
          <w:sdtContent>
            <w:tc>
              <w:tcPr>
                <w:tcW w:w="1707"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本期发生额</w:t>
                </w:r>
              </w:p>
            </w:tc>
          </w:sdtContent>
        </w:sdt>
        <w:sdt>
          <w:sdtPr>
            <w:tag w:val="_PLD_b1f0e1514b364efda3d03053bbe4e90c"/>
            <w:id w:val="796180031"/>
          </w:sdtPr>
          <w:sdtContent>
            <w:tc>
              <w:tcPr>
                <w:tcW w:w="1707"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sdt>
          <w:sdtPr>
            <w:rPr>
              <w:color w:val="000000" w:themeColor="text1"/>
              <w14:textFill>
                <w14:solidFill>
                  <w14:schemeClr w14:val="tx1"/>
                </w14:solidFill>
              </w14:textFill>
            </w:rPr>
            <w:alias w:val="计入当期损益的政府补助项目名称"/>
            <w:tag w:val="_GBC_a983426201404cbea85ab6577f8d9056"/>
            <w:id w:val="-307621947"/>
            <w:comboBox>
              <w:listItem w:displayText="与资产相关" w:value="与资产相关"/>
              <w:listItem w:displayText="与收益相关" w:value="与收益相关"/>
              <w:listItem w:displayText="其他" w:value="其他"/>
            </w:comboBox>
          </w:sdtPr>
          <w:sdtEndPr>
            <w:rPr>
              <w:color w:val="000000" w:themeColor="text1"/>
              <w14:textFill>
                <w14:solidFill>
                  <w14:schemeClr w14:val="tx1"/>
                </w14:solidFill>
              </w14:textFill>
            </w:rPr>
          </w:sdtEndPr>
          <w:sdtContent>
            <w:tc>
              <w:tcPr>
                <w:tcW w:w="1586" w:type="pct"/>
                <w:tcBorders>
                  <w:top w:val="single" w:color="auto" w:sz="4" w:space="0"/>
                  <w:left w:val="single" w:color="auto" w:sz="4" w:space="0"/>
                  <w:bottom w:val="single" w:color="auto" w:sz="4" w:space="0"/>
                  <w:right w:val="single" w:color="auto" w:sz="4" w:space="0"/>
                </w:tcBorders>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与资产相关</w:t>
                </w:r>
              </w:p>
            </w:tc>
          </w:sdtContent>
        </w:sdt>
        <w:tc>
          <w:tcPr>
            <w:tcW w:w="1707" w:type="pct"/>
            <w:tcBorders>
              <w:top w:val="single" w:color="auto" w:sz="4" w:space="0"/>
              <w:left w:val="single" w:color="auto" w:sz="4" w:space="0"/>
              <w:bottom w:val="single" w:color="auto" w:sz="4" w:space="0"/>
              <w:right w:val="single" w:color="auto" w:sz="4" w:space="0"/>
            </w:tcBorders>
          </w:tcPr>
          <w:p>
            <w:pPr>
              <w:jc w:val="right"/>
            </w:pPr>
            <w:r>
              <w:t xml:space="preserve"> 2,628,550.78 </w:t>
            </w:r>
          </w:p>
        </w:tc>
        <w:tc>
          <w:tcPr>
            <w:tcW w:w="1707" w:type="pct"/>
            <w:tcBorders>
              <w:top w:val="single" w:color="auto" w:sz="4" w:space="0"/>
              <w:left w:val="single" w:color="auto" w:sz="4" w:space="0"/>
              <w:bottom w:val="single" w:color="auto" w:sz="4" w:space="0"/>
              <w:right w:val="single" w:color="auto" w:sz="4" w:space="0"/>
            </w:tcBorders>
          </w:tcPr>
          <w:p>
            <w:pPr>
              <w:jc w:val="right"/>
            </w:pPr>
            <w:r>
              <w:t xml:space="preserve"> 3,384,091.14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sdt>
          <w:sdtPr>
            <w:rPr>
              <w:color w:val="000000" w:themeColor="text1"/>
              <w14:textFill>
                <w14:solidFill>
                  <w14:schemeClr w14:val="tx1"/>
                </w14:solidFill>
              </w14:textFill>
            </w:rPr>
            <w:alias w:val="计入当期损益的政府补助项目名称"/>
            <w:tag w:val="_GBC_a983426201404cbea85ab6577f8d9056"/>
            <w:id w:val="1092510072"/>
            <w:comboBox>
              <w:listItem w:displayText="与资产相关" w:value="与资产相关"/>
              <w:listItem w:displayText="与收益相关" w:value="与收益相关"/>
              <w:listItem w:displayText="其他" w:value="其他"/>
            </w:comboBox>
          </w:sdtPr>
          <w:sdtEndPr>
            <w:rPr>
              <w:color w:val="000000" w:themeColor="text1"/>
              <w14:textFill>
                <w14:solidFill>
                  <w14:schemeClr w14:val="tx1"/>
                </w14:solidFill>
              </w14:textFill>
            </w:rPr>
          </w:sdtEndPr>
          <w:sdtContent>
            <w:tc>
              <w:tcPr>
                <w:tcW w:w="1586" w:type="pct"/>
                <w:tcBorders>
                  <w:top w:val="single" w:color="auto" w:sz="4" w:space="0"/>
                  <w:left w:val="single" w:color="auto" w:sz="4" w:space="0"/>
                  <w:bottom w:val="single" w:color="auto" w:sz="4" w:space="0"/>
                  <w:right w:val="single" w:color="auto" w:sz="4" w:space="0"/>
                </w:tcBorders>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与收益相关</w:t>
                </w:r>
              </w:p>
            </w:tc>
          </w:sdtContent>
        </w:sdt>
        <w:tc>
          <w:tcPr>
            <w:tcW w:w="1707" w:type="pct"/>
            <w:tcBorders>
              <w:top w:val="single" w:color="auto" w:sz="4" w:space="0"/>
              <w:left w:val="single" w:color="auto" w:sz="4" w:space="0"/>
              <w:bottom w:val="single" w:color="auto" w:sz="4" w:space="0"/>
              <w:right w:val="single" w:color="auto" w:sz="4" w:space="0"/>
            </w:tcBorders>
          </w:tcPr>
          <w:p>
            <w:pPr>
              <w:jc w:val="right"/>
            </w:pPr>
            <w:r>
              <w:t xml:space="preserve"> 16,092,635.76 </w:t>
            </w:r>
          </w:p>
        </w:tc>
        <w:tc>
          <w:tcPr>
            <w:tcW w:w="1707" w:type="pct"/>
            <w:tcBorders>
              <w:top w:val="single" w:color="auto" w:sz="4" w:space="0"/>
              <w:left w:val="single" w:color="auto" w:sz="4" w:space="0"/>
              <w:bottom w:val="single" w:color="auto" w:sz="4" w:space="0"/>
              <w:right w:val="single" w:color="auto" w:sz="4" w:space="0"/>
            </w:tcBorders>
          </w:tcPr>
          <w:p>
            <w:pPr>
              <w:jc w:val="right"/>
            </w:pPr>
            <w:r>
              <w:t xml:space="preserve"> 4,001,045.46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sdt>
          <w:sdtPr>
            <w:rPr>
              <w:color w:val="000000" w:themeColor="text1"/>
              <w14:textFill>
                <w14:solidFill>
                  <w14:schemeClr w14:val="tx1"/>
                </w14:solidFill>
              </w14:textFill>
            </w:rPr>
            <w:alias w:val="计入当期损益的政府补助项目名称"/>
            <w:tag w:val="_GBC_a983426201404cbea85ab6577f8d9056"/>
            <w:id w:val="-2017058058"/>
            <w:placeholder>
              <w:docPart w:val="F8B5B5D8B1194460B2EEEF01A85C25CA"/>
            </w:placeholder>
            <w:comboBox>
              <w:listItem w:displayText="与资产相关" w:value="与资产相关"/>
              <w:listItem w:displayText="与收益相关" w:value="与收益相关"/>
              <w:listItem w:displayText="其他" w:value="其他"/>
            </w:comboBox>
          </w:sdtPr>
          <w:sdtEndPr>
            <w:rPr>
              <w:color w:val="000000" w:themeColor="text1"/>
              <w14:textFill>
                <w14:solidFill>
                  <w14:schemeClr w14:val="tx1"/>
                </w14:solidFill>
              </w14:textFill>
            </w:rPr>
          </w:sdtEndPr>
          <w:sdtContent>
            <w:tc>
              <w:tcPr>
                <w:tcW w:w="1586" w:type="pct"/>
                <w:tcBorders>
                  <w:top w:val="single" w:color="auto" w:sz="4" w:space="0"/>
                  <w:left w:val="single" w:color="auto" w:sz="4" w:space="0"/>
                  <w:bottom w:val="single" w:color="auto" w:sz="4" w:space="0"/>
                  <w:right w:val="single" w:color="auto" w:sz="4" w:space="0"/>
                </w:tcBorders>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其他</w:t>
                </w:r>
              </w:p>
            </w:tc>
          </w:sdtContent>
        </w:sdt>
        <w:tc>
          <w:tcPr>
            <w:tcW w:w="1707" w:type="pct"/>
            <w:tcBorders>
              <w:top w:val="single" w:color="auto" w:sz="4" w:space="0"/>
              <w:left w:val="single" w:color="auto" w:sz="4" w:space="0"/>
              <w:bottom w:val="single" w:color="auto" w:sz="4" w:space="0"/>
              <w:right w:val="single" w:color="auto" w:sz="4" w:space="0"/>
            </w:tcBorders>
          </w:tcPr>
          <w:p>
            <w:pPr>
              <w:jc w:val="right"/>
            </w:pPr>
          </w:p>
        </w:tc>
        <w:tc>
          <w:tcPr>
            <w:tcW w:w="1707" w:type="pct"/>
            <w:tcBorders>
              <w:top w:val="single" w:color="auto" w:sz="4" w:space="0"/>
              <w:left w:val="single" w:color="auto" w:sz="4" w:space="0"/>
              <w:bottom w:val="single" w:color="auto" w:sz="4" w:space="0"/>
              <w:right w:val="single" w:color="auto" w:sz="4" w:space="0"/>
            </w:tcBorders>
          </w:tcPr>
          <w:p>
            <w:pPr>
              <w:jc w:val="right"/>
            </w:pPr>
            <w:r>
              <w:t xml:space="preserve"> 1,055,305.50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158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707" w:type="pct"/>
            <w:tcBorders>
              <w:top w:val="single" w:color="auto" w:sz="4" w:space="0"/>
              <w:left w:val="single" w:color="auto" w:sz="4" w:space="0"/>
              <w:bottom w:val="single" w:color="auto" w:sz="4" w:space="0"/>
              <w:right w:val="single" w:color="auto" w:sz="4" w:space="0"/>
            </w:tcBorders>
          </w:tcPr>
          <w:p>
            <w:pPr>
              <w:jc w:val="right"/>
            </w:pPr>
            <w:r>
              <w:t xml:space="preserve"> 18,721,186.54 </w:t>
            </w:r>
          </w:p>
        </w:tc>
        <w:tc>
          <w:tcPr>
            <w:tcW w:w="1707" w:type="pct"/>
            <w:tcBorders>
              <w:top w:val="single" w:color="auto" w:sz="4" w:space="0"/>
              <w:left w:val="single" w:color="auto" w:sz="4" w:space="0"/>
              <w:bottom w:val="single" w:color="auto" w:sz="4" w:space="0"/>
              <w:right w:val="single" w:color="auto" w:sz="4" w:space="0"/>
            </w:tcBorders>
          </w:tcPr>
          <w:p>
            <w:pPr>
              <w:jc w:val="right"/>
            </w:pPr>
            <w:r>
              <w:t xml:space="preserve"> 8,440,442.10 </w:t>
            </w:r>
          </w:p>
        </w:tc>
      </w:tr>
      <w:bookmarkEnd w:id="434"/>
    </w:tbl>
    <w:p>
      <w:pPr>
        <w:rPr>
          <w:color w:val="000000" w:themeColor="text1"/>
          <w14:textFill>
            <w14:solidFill>
              <w14:schemeClr w14:val="tx1"/>
            </w14:solidFill>
          </w14:textFill>
        </w:rPr>
      </w:pPr>
      <w:bookmarkStart w:id="435" w:name="_Hlk153267868"/>
      <w:r>
        <w:rPr>
          <w:rFonts w:hint="eastAsia"/>
          <w:color w:val="000000" w:themeColor="text1"/>
          <w14:textFill>
            <w14:solidFill>
              <w14:schemeClr w14:val="tx1"/>
            </w14:solidFill>
          </w14:textFill>
        </w:rPr>
        <w:t>其他说明：</w:t>
      </w:r>
    </w:p>
    <w:p>
      <w:pPr>
        <w:rPr>
          <w:color w:val="000000" w:themeColor="text1"/>
          <w14:textFill>
            <w14:solidFill>
              <w14:schemeClr w14:val="tx1"/>
            </w14:solidFill>
          </w14:textFill>
        </w:rPr>
      </w:pPr>
      <w:sdt>
        <w:sdtPr>
          <w:rPr>
            <w:color w:val="000000" w:themeColor="text1"/>
            <w14:textFill>
              <w14:solidFill>
                <w14:schemeClr w14:val="tx1"/>
              </w14:solidFill>
            </w14:textFill>
          </w:rPr>
          <w:alias w:val="政府补助说明"/>
          <w:tag w:val="_GBC_2db67f97ef974f8db75ebfb04517ea6f"/>
          <w:id w:val="2100061252"/>
          <w:placeholder>
            <w:docPart w:val="GBC22222222222222222222222222222"/>
          </w:placeholder>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本期计入当期损益的政府补助详见“第八节.七、合并财务报表项目注释.67、其他收益”</w:t>
          </w:r>
        </w:sdtContent>
      </w:sdt>
    </w:p>
    <w:bookmarkEnd w:id="433"/>
    <w:bookmarkEnd w:id="435"/>
    <w:p>
      <w:pPr>
        <w:pStyle w:val="3"/>
        <w:numPr>
          <w:ilvl w:val="0"/>
          <w:numId w:val="31"/>
        </w:numPr>
        <w:ind w:left="420" w:hanging="420"/>
        <w:rPr>
          <w:rFonts w:hint="eastAsia" w:ascii="宋体" w:hAnsi="宋体"/>
          <w:color w:val="000000" w:themeColor="text1"/>
          <w14:textFill>
            <w14:solidFill>
              <w14:schemeClr w14:val="tx1"/>
            </w14:solidFill>
          </w14:textFill>
        </w:rPr>
      </w:pPr>
      <w:bookmarkStart w:id="436" w:name="_Hlk167976349"/>
      <w:r>
        <w:rPr>
          <w:rFonts w:hint="eastAsia" w:ascii="宋体" w:hAnsi="宋体"/>
          <w:color w:val="000000" w:themeColor="text1"/>
          <w14:textFill>
            <w14:solidFill>
              <w14:schemeClr w14:val="tx1"/>
            </w14:solidFill>
          </w14:textFill>
        </w:rPr>
        <w:t>与金融工具相关的风险</w:t>
      </w:r>
    </w:p>
    <w:p>
      <w:pPr>
        <w:pStyle w:val="4"/>
        <w:numPr>
          <w:ilvl w:val="0"/>
          <w:numId w:val="85"/>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金融工具的风险</w:t>
      </w:r>
    </w:p>
    <w:sdt>
      <w:sdtPr>
        <w:rPr>
          <w:color w:val="000000" w:themeColor="text1"/>
          <w14:textFill>
            <w14:solidFill>
              <w14:schemeClr w14:val="tx1"/>
            </w14:solidFill>
          </w14:textFill>
        </w:rPr>
        <w:alias w:val="是否适用：与金融工具相关的风险[双击切换]"/>
        <w:tag w:val="_GBC_e1cf17d3b39745d798050adfebdd2723"/>
        <w:id w:val="-71566357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与金融工具相关的风险"/>
        <w:tag w:val="_GBC_a654575471934b06b0c3b91a6a980434"/>
        <w:id w:val="638229976"/>
        <w:placeholder>
          <w:docPart w:val="GBC22222222222222222222222222222"/>
        </w:placeholder>
      </w:sdtPr>
      <w:sdtEndPr>
        <w:rPr>
          <w:b/>
          <w:color w:val="000000" w:themeColor="text1"/>
          <w14:textFill>
            <w14:solidFill>
              <w14:schemeClr w14:val="tx1"/>
            </w14:solidFill>
          </w14:textFill>
        </w:rPr>
      </w:sdtEndPr>
      <w:sdtContent>
        <w:p>
          <w:pPr>
            <w:spacing w:line="360" w:lineRule="exact"/>
            <w:ind w:firstLine="420" w:firstLineChars="200"/>
          </w:pPr>
          <w:r>
            <w:rPr>
              <w:rFonts w:hint="eastAsia"/>
            </w:rPr>
            <w:t>本公司从事风险管理的目标是在风险和收益之间取得平衡，将风险对本公司经营业绩的负面影响降至最低水平，使股东和其他权益投资者的利益最大化。基于该风险管理目标，本公司风险管理的基本策略是确认和分析本公司面临的各种风险，建立适当的风险承受底线和进行风险管理，并及时可靠地对各种风险进行监督，将风险控制在限定的范围内。</w:t>
          </w:r>
        </w:p>
        <w:p>
          <w:pPr>
            <w:spacing w:line="360" w:lineRule="exact"/>
            <w:ind w:firstLine="420" w:firstLineChars="200"/>
          </w:pPr>
          <w:r>
            <w:rPr>
              <w:rFonts w:hint="eastAsia"/>
            </w:rPr>
            <w:t>本公司在日常活动中面临各种与金融工具相关的风险，主要包括信用风险、流动性风险及市场风险。管理层已审议并批准管理这些风险的政策，概括如下。</w:t>
          </w:r>
        </w:p>
        <w:p>
          <w:pPr>
            <w:spacing w:line="360" w:lineRule="exact"/>
            <w:ind w:firstLine="420" w:firstLineChars="200"/>
          </w:pPr>
          <w:r>
            <w:rPr>
              <w:rFonts w:hint="eastAsia"/>
            </w:rPr>
            <w:t>（1）信用风险</w:t>
          </w:r>
        </w:p>
        <w:p>
          <w:pPr>
            <w:spacing w:line="360" w:lineRule="exact"/>
            <w:ind w:firstLine="420" w:firstLineChars="200"/>
          </w:pPr>
          <w:r>
            <w:rPr>
              <w:rFonts w:hint="eastAsia"/>
            </w:rPr>
            <w:t>信用风险，是指金融工具的一方不能履行义务，造成另一方发生财务损失的风险。</w:t>
          </w:r>
        </w:p>
        <w:p>
          <w:pPr>
            <w:spacing w:line="360" w:lineRule="exact"/>
            <w:ind w:firstLine="420" w:firstLineChars="200"/>
          </w:pPr>
          <w:r>
            <w:rPr>
              <w:rFonts w:hint="eastAsia"/>
            </w:rPr>
            <w:t>1）信用风险管理实务</w:t>
          </w:r>
        </w:p>
        <w:p>
          <w:pPr>
            <w:spacing w:line="360" w:lineRule="exact"/>
            <w:ind w:firstLine="420" w:firstLineChars="200"/>
          </w:pPr>
          <w:r>
            <w:rPr>
              <w:rFonts w:hint="eastAsia"/>
            </w:rPr>
            <w:t>①信用风险的评价方法</w:t>
          </w:r>
        </w:p>
        <w:p>
          <w:pPr>
            <w:spacing w:line="360" w:lineRule="exact"/>
            <w:ind w:firstLine="420" w:firstLineChars="200"/>
          </w:pPr>
          <w:r>
            <w:rPr>
              <w:rFonts w:hint="eastAsia"/>
            </w:rPr>
            <w:t>公司在每个资产负债表日评估相关金融工具的信用风险自初始确认后是否已显著增加。在确定信用风险自初始确认后是否显著增加时，公司考虑在无须付出不必要的额外成本或努力即可获得合理且有依据的信息，包括基于历史数据的定性和定量分析、外部信用风险评级以及前瞻性信息。公司以单项金融工具或者具有相似信用风险特征的金融工具组合为基础，通过比较金融工具在资产负债表日发生违约的风险与在初始确认日发生违约的风险，以确定金融工具预计存续期内发生违约风险的变化情况。</w:t>
          </w:r>
        </w:p>
        <w:p>
          <w:pPr>
            <w:spacing w:line="360" w:lineRule="exact"/>
            <w:ind w:firstLine="420" w:firstLineChars="200"/>
          </w:pPr>
          <w:r>
            <w:rPr>
              <w:rFonts w:hint="eastAsia"/>
            </w:rPr>
            <w:t>当触发以下一个或多个定量、定性标准时，公司认为金融工具的信用风险已发生显著增加：</w:t>
          </w:r>
        </w:p>
        <w:p>
          <w:pPr>
            <w:spacing w:line="360" w:lineRule="exact"/>
            <w:ind w:firstLine="420" w:firstLineChars="200"/>
          </w:pPr>
          <w:r>
            <w:rPr>
              <w:rFonts w:hint="eastAsia"/>
            </w:rPr>
            <w:t>a.定量标准主要为资产负债表日剩余存续期违约概率较初始确认时上升超过一定比例；</w:t>
          </w:r>
        </w:p>
        <w:p>
          <w:pPr>
            <w:spacing w:line="360" w:lineRule="exact"/>
            <w:ind w:firstLine="420" w:firstLineChars="200"/>
          </w:pPr>
          <w:r>
            <w:rPr>
              <w:rFonts w:hint="eastAsia"/>
            </w:rPr>
            <w:t>b.定性标准主要为债务人经营或财务情况出现重大不利变化、现存的或预期的技术、市场、经济或法律环境变化并将对债务人对公司的还款能力产生重大不利影响等。</w:t>
          </w:r>
        </w:p>
        <w:p>
          <w:pPr>
            <w:spacing w:line="360" w:lineRule="exact"/>
            <w:ind w:firstLine="420" w:firstLineChars="200"/>
          </w:pPr>
          <w:r>
            <w:rPr>
              <w:rFonts w:hint="eastAsia"/>
            </w:rPr>
            <w:t>②违约和已发生信用减值资产的定义</w:t>
          </w:r>
        </w:p>
        <w:p>
          <w:pPr>
            <w:spacing w:line="360" w:lineRule="exact"/>
            <w:ind w:firstLine="420" w:firstLineChars="200"/>
          </w:pPr>
          <w:r>
            <w:rPr>
              <w:rFonts w:hint="eastAsia"/>
            </w:rPr>
            <w:t>当金融工具符合以下一项或多项条件时，公司将该金融资产界定为已发生违约，其标准与已发生信用减值的定义一致：</w:t>
          </w:r>
        </w:p>
        <w:p>
          <w:pPr>
            <w:spacing w:line="360" w:lineRule="exact"/>
            <w:ind w:firstLine="420" w:firstLineChars="200"/>
          </w:pPr>
          <w:r>
            <w:rPr>
              <w:rFonts w:hint="eastAsia"/>
            </w:rPr>
            <w:t>a.债务人发生重大财务困难；</w:t>
          </w:r>
        </w:p>
        <w:p>
          <w:pPr>
            <w:spacing w:line="360" w:lineRule="exact"/>
            <w:ind w:firstLine="420" w:firstLineChars="200"/>
          </w:pPr>
          <w:r>
            <w:rPr>
              <w:rFonts w:hint="eastAsia"/>
            </w:rPr>
            <w:t>b.债务人违反合同中对债务人的约束条款；</w:t>
          </w:r>
        </w:p>
        <w:p>
          <w:pPr>
            <w:spacing w:line="360" w:lineRule="exact"/>
            <w:ind w:firstLine="420" w:firstLineChars="200"/>
          </w:pPr>
          <w:r>
            <w:rPr>
              <w:rFonts w:hint="eastAsia"/>
            </w:rPr>
            <w:t>c.债务人很可能破产或进行其他财务重组；</w:t>
          </w:r>
        </w:p>
        <w:p>
          <w:pPr>
            <w:spacing w:line="360" w:lineRule="exact"/>
            <w:ind w:firstLine="420" w:firstLineChars="200"/>
          </w:pPr>
          <w:r>
            <w:rPr>
              <w:rFonts w:hint="eastAsia"/>
            </w:rPr>
            <w:t>d.债权人出于与债务人财务困难有关的经济或合同考虑，给予债务人在任何其他情况下都不会做出的让步。</w:t>
          </w:r>
        </w:p>
        <w:p>
          <w:pPr>
            <w:spacing w:line="360" w:lineRule="exact"/>
            <w:ind w:firstLine="420" w:firstLineChars="200"/>
          </w:pPr>
          <w:r>
            <w:rPr>
              <w:rFonts w:hint="eastAsia"/>
            </w:rPr>
            <w:t>2）预期信用损失的计量</w:t>
          </w:r>
        </w:p>
        <w:p>
          <w:pPr>
            <w:spacing w:line="360" w:lineRule="exact"/>
            <w:ind w:firstLine="420" w:firstLineChars="200"/>
          </w:pPr>
          <w:r>
            <w:rPr>
              <w:rFonts w:hint="eastAsia"/>
            </w:rPr>
            <w:t>预期信用损失计量的关键参数包括违约概率、违约损失率和违约风险敞口。公司考虑历史统计数据（如交易对手评级、担保方式及抵质押物类别、还款方式等）的定量分析及前瞻性信息，建立违约概率、违约损失率及违约风险敞口模型。</w:t>
          </w:r>
        </w:p>
        <w:p>
          <w:pPr>
            <w:spacing w:line="360" w:lineRule="exact"/>
            <w:ind w:firstLine="420" w:firstLineChars="200"/>
          </w:pPr>
          <w:r>
            <w:rPr>
              <w:rFonts w:hint="eastAsia"/>
            </w:rPr>
            <w:t>3）金融工具损失准备期初余额与期末余额调节表</w:t>
          </w:r>
          <w:bookmarkStart w:id="437" w:name="OLE_LINK104"/>
          <w:r>
            <w:rPr>
              <w:rFonts w:hint="eastAsia"/>
            </w:rPr>
            <w:t>详见</w:t>
          </w:r>
          <w:bookmarkEnd w:id="437"/>
          <w:r>
            <w:rPr>
              <w:rFonts w:hint="eastAsia"/>
            </w:rPr>
            <w:t>“</w:t>
          </w:r>
          <w:bookmarkStart w:id="438" w:name="OLE_LINK105"/>
          <w:r>
            <w:rPr>
              <w:rFonts w:hint="eastAsia"/>
            </w:rPr>
            <w:t>第八节.七、合并财务报表项目注释.4、应收票据</w:t>
          </w:r>
          <w:bookmarkEnd w:id="438"/>
          <w:r>
            <w:rPr>
              <w:rFonts w:hint="eastAsia"/>
            </w:rPr>
            <w:t>，第八节.七、合并财务报表项目注释.5、应收账款</w:t>
          </w:r>
          <w:bookmarkStart w:id="439" w:name="OLE_LINK157"/>
          <w:r>
            <w:rPr>
              <w:rFonts w:hint="eastAsia"/>
            </w:rPr>
            <w:t>，第八节.七、合并财务报表项目注释.7、应收款项融资</w:t>
          </w:r>
          <w:bookmarkEnd w:id="439"/>
          <w:r>
            <w:rPr>
              <w:rFonts w:hint="eastAsia"/>
            </w:rPr>
            <w:t>，第八节.七、合并财务报表项目注释.9、其他应收款，第八节.七、合并财务报表项目注释.16、长期应收款”。</w:t>
          </w:r>
        </w:p>
        <w:p>
          <w:pPr>
            <w:spacing w:line="360" w:lineRule="exact"/>
            <w:ind w:firstLine="420" w:firstLineChars="200"/>
          </w:pPr>
          <w:r>
            <w:rPr>
              <w:rFonts w:hint="eastAsia"/>
            </w:rPr>
            <w:t>4）信用风险敞口及信用风险集中度</w:t>
          </w:r>
        </w:p>
        <w:p>
          <w:pPr>
            <w:spacing w:line="360" w:lineRule="exact"/>
            <w:ind w:firstLine="420" w:firstLineChars="200"/>
          </w:pPr>
          <w:r>
            <w:rPr>
              <w:rFonts w:hint="eastAsia"/>
            </w:rPr>
            <w:t>本公司的信用风险主要来自货币资金和应收款项。为控制上述相关风险，本公司分别采取了以下措施。</w:t>
          </w:r>
        </w:p>
        <w:p>
          <w:pPr>
            <w:spacing w:line="360" w:lineRule="exact"/>
            <w:ind w:firstLine="420" w:firstLineChars="200"/>
          </w:pPr>
          <w:r>
            <w:rPr>
              <w:rFonts w:hint="eastAsia"/>
            </w:rPr>
            <w:t>①货币资金</w:t>
          </w:r>
        </w:p>
        <w:p>
          <w:pPr>
            <w:spacing w:line="360" w:lineRule="exact"/>
            <w:ind w:firstLine="420" w:firstLineChars="200"/>
          </w:pPr>
          <w:r>
            <w:rPr>
              <w:rFonts w:hint="eastAsia"/>
            </w:rPr>
            <w:t>本公司将银行存款和其他货币资金存放于信用评级较高的金融机构，故其信用风险较低。</w:t>
          </w:r>
        </w:p>
        <w:p>
          <w:pPr>
            <w:spacing w:line="360" w:lineRule="exact"/>
            <w:ind w:firstLine="420" w:firstLineChars="200"/>
          </w:pPr>
          <w:r>
            <w:rPr>
              <w:rFonts w:hint="eastAsia"/>
            </w:rPr>
            <w:t>②应收款项</w:t>
          </w:r>
        </w:p>
        <w:p>
          <w:pPr>
            <w:spacing w:line="360" w:lineRule="exact"/>
            <w:ind w:firstLine="420" w:firstLineChars="200"/>
          </w:pPr>
          <w:r>
            <w:rPr>
              <w:rFonts w:hint="eastAsia"/>
            </w:rPr>
            <w:t>本公司定期对采用信用方式交易的客户进行信用评估。根据信用评估结果，本公司选择与经认可的且信用良好的客户进行交易，并对其应收款项余额进行监控，以确保本公司不会面临重大坏账风险。</w:t>
          </w:r>
        </w:p>
        <w:p>
          <w:pPr>
            <w:spacing w:line="360" w:lineRule="exact"/>
            <w:ind w:firstLine="420" w:firstLineChars="200"/>
            <w:jc w:val="both"/>
          </w:pPr>
          <w:r>
            <w:rPr>
              <w:rFonts w:hint="eastAsia"/>
            </w:rPr>
            <w:t>由于本公司的应收账款风险点分布于多个合作方和多个客户，截至2026年6月30日，本公司应收账款的前五名客户的余额占应收账款比例为12.79%，本公司不存在重大的信用集中风险。</w:t>
          </w:r>
        </w:p>
        <w:p>
          <w:pPr>
            <w:spacing w:line="360" w:lineRule="exact"/>
            <w:ind w:firstLine="420" w:firstLineChars="200"/>
          </w:pPr>
          <w:r>
            <w:rPr>
              <w:rFonts w:hint="eastAsia"/>
            </w:rPr>
            <w:t>本公司所承受的最大信用风险敞口为资产负债表中每项金融资产的账面价值。</w:t>
          </w:r>
        </w:p>
        <w:p>
          <w:pPr>
            <w:spacing w:line="360" w:lineRule="exact"/>
            <w:ind w:firstLine="420" w:firstLineChars="200"/>
          </w:pPr>
          <w:r>
            <w:rPr>
              <w:rFonts w:hint="eastAsia"/>
            </w:rPr>
            <w:t>（2）流动性风险</w:t>
          </w:r>
        </w:p>
        <w:p>
          <w:pPr>
            <w:spacing w:line="360" w:lineRule="exact"/>
            <w:ind w:firstLine="420" w:firstLineChars="200"/>
          </w:pPr>
          <w:r>
            <w:rPr>
              <w:rFonts w:hint="eastAsia"/>
            </w:rPr>
            <w:t>流动性风险，是指本公司在履行以交付现金或其他金融资产的方式结算的义务时发生资金短缺的风险。流动性风险可能源于无法尽快以公允价值售出金融资产；或者源于对方无法偿还其合同债务；或者源于提前到期的债务；或者源于无法产生预期的现金流量。</w:t>
          </w:r>
        </w:p>
        <w:p>
          <w:pPr>
            <w:spacing w:line="360" w:lineRule="exact"/>
            <w:ind w:firstLine="420" w:firstLineChars="200"/>
          </w:pPr>
          <w:r>
            <w:rPr>
              <w:rFonts w:hint="eastAsia"/>
            </w:rPr>
            <w:t>为控制该项风险，本公司综合运用票据结算、银行借款等多种融资手段，并采取长、短期融资方式适当结合，优化融资结构的方法，保持融资持续性与灵活性之间的平衡。本公司已从多家商业银行取得银行授信额度以满足营运资金需求和资本开支。</w:t>
          </w:r>
        </w:p>
        <w:p>
          <w:pPr>
            <w:spacing w:line="360" w:lineRule="exact"/>
            <w:ind w:firstLine="420" w:firstLineChars="200"/>
          </w:pPr>
          <w:r>
            <w:rPr>
              <w:rFonts w:hint="eastAsia"/>
            </w:rPr>
            <w:t>金融负债按剩余到期日分类</w:t>
          </w:r>
        </w:p>
        <w:p>
          <w:pPr>
            <w:ind w:firstLine="420" w:firstLineChars="200"/>
            <w:jc w:val="right"/>
          </w:pPr>
          <w:r>
            <w:rPr>
              <w:rFonts w:hint="eastAsia"/>
            </w:rPr>
            <w:t>单位：元 币种：人民币</w:t>
          </w:r>
        </w:p>
        <w:tbl>
          <w:tblPr>
            <w:tblStyle w:val="43"/>
            <w:tblW w:w="5000" w:type="pct"/>
            <w:tblInd w:w="0" w:type="dxa"/>
            <w:tblLayout w:type="autofit"/>
            <w:tblCellMar>
              <w:top w:w="0" w:type="dxa"/>
              <w:left w:w="108" w:type="dxa"/>
              <w:bottom w:w="0" w:type="dxa"/>
              <w:right w:w="108" w:type="dxa"/>
            </w:tblCellMar>
          </w:tblPr>
          <w:tblGrid>
            <w:gridCol w:w="1614"/>
            <w:gridCol w:w="1513"/>
            <w:gridCol w:w="1513"/>
            <w:gridCol w:w="1513"/>
            <w:gridCol w:w="1513"/>
            <w:gridCol w:w="1383"/>
          </w:tblGrid>
          <w:tr>
            <w:tblPrEx>
              <w:tblCellMar>
                <w:top w:w="0" w:type="dxa"/>
                <w:left w:w="108" w:type="dxa"/>
                <w:bottom w:w="0" w:type="dxa"/>
                <w:right w:w="108" w:type="dxa"/>
              </w:tblCellMar>
            </w:tblPrEx>
            <w:trPr>
              <w:trHeight w:val="288" w:hRule="atLeast"/>
              <w:tblHeader/>
            </w:trPr>
            <w:tc>
              <w:tcPr>
                <w:tcW w:w="892" w:type="pct"/>
                <w:vMerge w:val="restart"/>
                <w:tcBorders>
                  <w:top w:val="single" w:color="auto" w:sz="4" w:space="0"/>
                  <w:left w:val="single" w:color="auto" w:sz="4" w:space="0"/>
                  <w:bottom w:val="single" w:color="auto" w:sz="4" w:space="0"/>
                  <w:right w:val="single" w:color="auto" w:sz="4" w:space="0"/>
                </w:tcBorders>
                <w:vAlign w:val="center"/>
              </w:tcPr>
              <w:p>
                <w:pPr>
                  <w:jc w:val="center"/>
                  <w:rPr>
                    <w:rFonts w:cs="Times New Roman"/>
                    <w:bCs w:val="0"/>
                    <w:color w:val="000000"/>
                    <w:sz w:val="18"/>
                    <w:szCs w:val="18"/>
                  </w:rPr>
                </w:pPr>
                <w:r>
                  <w:rPr>
                    <w:rFonts w:hint="eastAsia" w:cs="Times New Roman"/>
                    <w:bCs w:val="0"/>
                    <w:sz w:val="18"/>
                    <w:szCs w:val="18"/>
                  </w:rPr>
                  <w:t>项目</w:t>
                </w:r>
              </w:p>
            </w:tc>
            <w:tc>
              <w:tcPr>
                <w:tcW w:w="4108" w:type="pct"/>
                <w:gridSpan w:val="5"/>
                <w:tcBorders>
                  <w:top w:val="single" w:color="auto" w:sz="4" w:space="0"/>
                  <w:left w:val="nil"/>
                  <w:bottom w:val="single" w:color="auto" w:sz="4" w:space="0"/>
                  <w:right w:val="single" w:color="auto" w:sz="4" w:space="0"/>
                </w:tcBorders>
                <w:vAlign w:val="center"/>
              </w:tcPr>
              <w:p>
                <w:pPr>
                  <w:jc w:val="center"/>
                  <w:rPr>
                    <w:rFonts w:cs="Times New Roman"/>
                    <w:bCs w:val="0"/>
                    <w:color w:val="000000"/>
                    <w:sz w:val="18"/>
                    <w:szCs w:val="18"/>
                  </w:rPr>
                </w:pPr>
                <w:r>
                  <w:rPr>
                    <w:rFonts w:hint="eastAsia" w:cs="Times New Roman"/>
                    <w:bCs w:val="0"/>
                    <w:sz w:val="18"/>
                    <w:szCs w:val="18"/>
                  </w:rPr>
                  <w:t>期末数</w:t>
                </w:r>
              </w:p>
            </w:tc>
          </w:tr>
          <w:tr>
            <w:tblPrEx>
              <w:tblCellMar>
                <w:top w:w="0" w:type="dxa"/>
                <w:left w:w="108" w:type="dxa"/>
                <w:bottom w:w="0" w:type="dxa"/>
                <w:right w:w="108" w:type="dxa"/>
              </w:tblCellMar>
            </w:tblPrEx>
            <w:trPr>
              <w:trHeight w:val="288" w:hRule="atLeast"/>
              <w:tblHeader/>
            </w:trPr>
            <w:tc>
              <w:tcPr>
                <w:tcW w:w="892" w:type="pct"/>
                <w:vMerge w:val="continue"/>
                <w:tcBorders>
                  <w:top w:val="single" w:color="auto" w:sz="4" w:space="0"/>
                  <w:left w:val="single" w:color="auto" w:sz="4" w:space="0"/>
                  <w:bottom w:val="single" w:color="auto" w:sz="4" w:space="0"/>
                  <w:right w:val="single" w:color="auto" w:sz="4" w:space="0"/>
                </w:tcBorders>
                <w:vAlign w:val="center"/>
              </w:tcPr>
              <w:p>
                <w:pPr>
                  <w:rPr>
                    <w:rFonts w:cs="Times New Roman"/>
                    <w:bCs w:val="0"/>
                    <w:color w:val="000000"/>
                    <w:sz w:val="18"/>
                    <w:szCs w:val="18"/>
                  </w:rPr>
                </w:pPr>
              </w:p>
            </w:tc>
            <w:tc>
              <w:tcPr>
                <w:tcW w:w="836" w:type="pct"/>
                <w:tcBorders>
                  <w:top w:val="nil"/>
                  <w:left w:val="nil"/>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账面价值</w:t>
                </w:r>
              </w:p>
            </w:tc>
            <w:tc>
              <w:tcPr>
                <w:tcW w:w="836" w:type="pct"/>
                <w:tcBorders>
                  <w:top w:val="nil"/>
                  <w:left w:val="nil"/>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未折现合同金额</w:t>
                </w:r>
              </w:p>
            </w:tc>
            <w:tc>
              <w:tcPr>
                <w:tcW w:w="836" w:type="pct"/>
                <w:tcBorders>
                  <w:top w:val="nil"/>
                  <w:left w:val="nil"/>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1年以内</w:t>
                </w:r>
              </w:p>
            </w:tc>
            <w:tc>
              <w:tcPr>
                <w:tcW w:w="836" w:type="pct"/>
                <w:tcBorders>
                  <w:top w:val="nil"/>
                  <w:left w:val="nil"/>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1-3年</w:t>
                </w:r>
              </w:p>
            </w:tc>
            <w:tc>
              <w:tcPr>
                <w:tcW w:w="762" w:type="pct"/>
                <w:tcBorders>
                  <w:top w:val="nil"/>
                  <w:left w:val="nil"/>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3年以上</w:t>
                </w:r>
              </w:p>
            </w:tc>
          </w:tr>
          <w:tr>
            <w:tblPrEx>
              <w:tblCellMar>
                <w:top w:w="0" w:type="dxa"/>
                <w:left w:w="108" w:type="dxa"/>
                <w:bottom w:w="0" w:type="dxa"/>
                <w:right w:w="108" w:type="dxa"/>
              </w:tblCellMar>
            </w:tblPrEx>
            <w:trPr>
              <w:trHeight w:val="288" w:hRule="atLeast"/>
            </w:trPr>
            <w:tc>
              <w:tcPr>
                <w:tcW w:w="892"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银行借款</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2,325,303,014.08</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2,416,017,458.70</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991,628,235.51</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1,162,316,228.09</w:t>
                </w:r>
              </w:p>
            </w:tc>
            <w:tc>
              <w:tcPr>
                <w:tcW w:w="762"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262,072,995.10</w:t>
                </w:r>
              </w:p>
            </w:tc>
          </w:tr>
          <w:tr>
            <w:tblPrEx>
              <w:tblCellMar>
                <w:top w:w="0" w:type="dxa"/>
                <w:left w:w="108" w:type="dxa"/>
                <w:bottom w:w="0" w:type="dxa"/>
                <w:right w:w="108" w:type="dxa"/>
              </w:tblCellMar>
            </w:tblPrEx>
            <w:trPr>
              <w:trHeight w:val="288" w:hRule="atLeast"/>
            </w:trPr>
            <w:tc>
              <w:tcPr>
                <w:tcW w:w="892"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应付票据</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662,455,993.63</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662,455,993.63</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662,455,993.63</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p>
            </w:tc>
            <w:tc>
              <w:tcPr>
                <w:tcW w:w="762" w:type="pct"/>
                <w:tcBorders>
                  <w:top w:val="nil"/>
                  <w:left w:val="nil"/>
                  <w:bottom w:val="single" w:color="auto" w:sz="4" w:space="0"/>
                  <w:right w:val="single" w:color="auto" w:sz="4" w:space="0"/>
                </w:tcBorders>
                <w:vAlign w:val="center"/>
              </w:tcPr>
              <w:p>
                <w:pPr>
                  <w:jc w:val="right"/>
                  <w:rPr>
                    <w:rFonts w:cs="Times New Roman"/>
                    <w:bCs w:val="0"/>
                    <w:sz w:val="18"/>
                    <w:szCs w:val="18"/>
                  </w:rPr>
                </w:pPr>
              </w:p>
            </w:tc>
          </w:tr>
          <w:tr>
            <w:tblPrEx>
              <w:tblCellMar>
                <w:top w:w="0" w:type="dxa"/>
                <w:left w:w="108" w:type="dxa"/>
                <w:bottom w:w="0" w:type="dxa"/>
                <w:right w:w="108" w:type="dxa"/>
              </w:tblCellMar>
            </w:tblPrEx>
            <w:trPr>
              <w:trHeight w:val="288" w:hRule="atLeast"/>
            </w:trPr>
            <w:tc>
              <w:tcPr>
                <w:tcW w:w="892"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应付账款</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762,651,643.32</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762,651,643.32</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762,651,643.32</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p>
            </w:tc>
            <w:tc>
              <w:tcPr>
                <w:tcW w:w="762" w:type="pct"/>
                <w:tcBorders>
                  <w:top w:val="nil"/>
                  <w:left w:val="nil"/>
                  <w:bottom w:val="single" w:color="auto" w:sz="4" w:space="0"/>
                  <w:right w:val="single" w:color="auto" w:sz="4" w:space="0"/>
                </w:tcBorders>
                <w:vAlign w:val="center"/>
              </w:tcPr>
              <w:p>
                <w:pPr>
                  <w:jc w:val="right"/>
                  <w:rPr>
                    <w:rFonts w:cs="Times New Roman"/>
                    <w:bCs w:val="0"/>
                    <w:sz w:val="18"/>
                    <w:szCs w:val="18"/>
                  </w:rPr>
                </w:pPr>
              </w:p>
            </w:tc>
          </w:tr>
          <w:tr>
            <w:tblPrEx>
              <w:tblCellMar>
                <w:top w:w="0" w:type="dxa"/>
                <w:left w:w="108" w:type="dxa"/>
                <w:bottom w:w="0" w:type="dxa"/>
                <w:right w:w="108" w:type="dxa"/>
              </w:tblCellMar>
            </w:tblPrEx>
            <w:trPr>
              <w:trHeight w:val="288" w:hRule="atLeast"/>
            </w:trPr>
            <w:tc>
              <w:tcPr>
                <w:tcW w:w="892"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其他应付款</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35,572,414.29</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35,572,414.29</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35,572,414.29</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p>
            </w:tc>
            <w:tc>
              <w:tcPr>
                <w:tcW w:w="762" w:type="pct"/>
                <w:tcBorders>
                  <w:top w:val="nil"/>
                  <w:left w:val="nil"/>
                  <w:bottom w:val="single" w:color="auto" w:sz="4" w:space="0"/>
                  <w:right w:val="single" w:color="auto" w:sz="4" w:space="0"/>
                </w:tcBorders>
                <w:vAlign w:val="center"/>
              </w:tcPr>
              <w:p>
                <w:pPr>
                  <w:jc w:val="right"/>
                  <w:rPr>
                    <w:rFonts w:cs="Times New Roman"/>
                    <w:bCs w:val="0"/>
                    <w:sz w:val="18"/>
                    <w:szCs w:val="18"/>
                  </w:rPr>
                </w:pPr>
              </w:p>
            </w:tc>
          </w:tr>
          <w:tr>
            <w:tblPrEx>
              <w:tblCellMar>
                <w:top w:w="0" w:type="dxa"/>
                <w:left w:w="108" w:type="dxa"/>
                <w:bottom w:w="0" w:type="dxa"/>
                <w:right w:w="108" w:type="dxa"/>
              </w:tblCellMar>
            </w:tblPrEx>
            <w:trPr>
              <w:trHeight w:val="288" w:hRule="atLeast"/>
            </w:trPr>
            <w:tc>
              <w:tcPr>
                <w:tcW w:w="892"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其他流动负债-票据相关</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257,011,779.41</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257,011,779.41</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257,011,779.41</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p>
            </w:tc>
            <w:tc>
              <w:tcPr>
                <w:tcW w:w="762" w:type="pct"/>
                <w:tcBorders>
                  <w:top w:val="nil"/>
                  <w:left w:val="nil"/>
                  <w:bottom w:val="single" w:color="auto" w:sz="4" w:space="0"/>
                  <w:right w:val="single" w:color="auto" w:sz="4" w:space="0"/>
                </w:tcBorders>
                <w:vAlign w:val="center"/>
              </w:tcPr>
              <w:p>
                <w:pPr>
                  <w:jc w:val="right"/>
                  <w:rPr>
                    <w:rFonts w:cs="Times New Roman"/>
                    <w:bCs w:val="0"/>
                    <w:sz w:val="18"/>
                    <w:szCs w:val="18"/>
                  </w:rPr>
                </w:pPr>
              </w:p>
            </w:tc>
          </w:tr>
          <w:tr>
            <w:tblPrEx>
              <w:tblCellMar>
                <w:top w:w="0" w:type="dxa"/>
                <w:left w:w="108" w:type="dxa"/>
                <w:bottom w:w="0" w:type="dxa"/>
                <w:right w:w="108" w:type="dxa"/>
              </w:tblCellMar>
            </w:tblPrEx>
            <w:trPr>
              <w:trHeight w:val="288" w:hRule="atLeast"/>
            </w:trPr>
            <w:tc>
              <w:tcPr>
                <w:tcW w:w="892"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租赁负债</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41,378,964.47</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48,011,344.18</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13,952,719.76</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 xml:space="preserve"> 12,700,609.85 </w:t>
                </w:r>
              </w:p>
            </w:tc>
            <w:tc>
              <w:tcPr>
                <w:tcW w:w="762"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 xml:space="preserve"> 21,358,014.57 </w:t>
                </w:r>
              </w:p>
            </w:tc>
          </w:tr>
          <w:tr>
            <w:tblPrEx>
              <w:tblCellMar>
                <w:top w:w="0" w:type="dxa"/>
                <w:left w:w="108" w:type="dxa"/>
                <w:bottom w:w="0" w:type="dxa"/>
                <w:right w:w="108" w:type="dxa"/>
              </w:tblCellMar>
            </w:tblPrEx>
            <w:trPr>
              <w:trHeight w:val="288" w:hRule="atLeast"/>
            </w:trPr>
            <w:tc>
              <w:tcPr>
                <w:tcW w:w="892"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长期应付款</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161,681,046.25</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171,129,211.12</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44,636,000.00</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 xml:space="preserve"> 85,567,944.45 </w:t>
                </w:r>
              </w:p>
            </w:tc>
            <w:tc>
              <w:tcPr>
                <w:tcW w:w="762"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 xml:space="preserve"> 40,925,266.67 </w:t>
                </w:r>
              </w:p>
            </w:tc>
          </w:tr>
          <w:tr>
            <w:tblPrEx>
              <w:tblCellMar>
                <w:top w:w="0" w:type="dxa"/>
                <w:left w:w="108" w:type="dxa"/>
                <w:bottom w:w="0" w:type="dxa"/>
                <w:right w:w="108" w:type="dxa"/>
              </w:tblCellMar>
            </w:tblPrEx>
            <w:trPr>
              <w:trHeight w:val="288" w:hRule="atLeast"/>
            </w:trPr>
            <w:tc>
              <w:tcPr>
                <w:tcW w:w="892" w:type="pct"/>
                <w:tcBorders>
                  <w:top w:val="nil"/>
                  <w:left w:val="single" w:color="auto" w:sz="4" w:space="0"/>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合计</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4,246,054,855.45</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4,352,849,844.65</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2,767,908,785.92</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 xml:space="preserve">1,260,584,782.39 </w:t>
                </w:r>
              </w:p>
            </w:tc>
            <w:tc>
              <w:tcPr>
                <w:tcW w:w="762" w:type="pct"/>
                <w:tcBorders>
                  <w:top w:val="nil"/>
                  <w:left w:val="nil"/>
                  <w:bottom w:val="single" w:color="auto" w:sz="4" w:space="0"/>
                  <w:right w:val="single" w:color="auto" w:sz="4" w:space="0"/>
                </w:tcBorders>
                <w:vAlign w:val="center"/>
              </w:tcPr>
              <w:p>
                <w:pPr>
                  <w:jc w:val="right"/>
                  <w:rPr>
                    <w:rFonts w:cs="Times New Roman"/>
                    <w:bCs w:val="0"/>
                    <w:sz w:val="18"/>
                    <w:szCs w:val="18"/>
                  </w:rPr>
                </w:pPr>
                <w:r>
                  <w:rPr>
                    <w:bCs w:val="0"/>
                    <w:sz w:val="18"/>
                    <w:szCs w:val="18"/>
                  </w:rPr>
                  <w:t xml:space="preserve">324,356,276.34 </w:t>
                </w:r>
              </w:p>
            </w:tc>
          </w:tr>
        </w:tbl>
        <w:p>
          <w:pPr>
            <w:ind w:firstLine="420" w:firstLineChars="200"/>
            <w:jc w:val="right"/>
          </w:pPr>
        </w:p>
        <w:tbl>
          <w:tblPr>
            <w:tblStyle w:val="43"/>
            <w:tblW w:w="5000" w:type="pct"/>
            <w:tblInd w:w="0" w:type="dxa"/>
            <w:tblLayout w:type="autofit"/>
            <w:tblCellMar>
              <w:top w:w="0" w:type="dxa"/>
              <w:left w:w="108" w:type="dxa"/>
              <w:bottom w:w="0" w:type="dxa"/>
              <w:right w:w="108" w:type="dxa"/>
            </w:tblCellMar>
          </w:tblPr>
          <w:tblGrid>
            <w:gridCol w:w="1616"/>
            <w:gridCol w:w="1513"/>
            <w:gridCol w:w="1513"/>
            <w:gridCol w:w="1513"/>
            <w:gridCol w:w="1513"/>
            <w:gridCol w:w="1381"/>
          </w:tblGrid>
          <w:tr>
            <w:tblPrEx>
              <w:tblCellMar>
                <w:top w:w="0" w:type="dxa"/>
                <w:left w:w="108" w:type="dxa"/>
                <w:bottom w:w="0" w:type="dxa"/>
                <w:right w:w="108" w:type="dxa"/>
              </w:tblCellMar>
            </w:tblPrEx>
            <w:trPr>
              <w:trHeight w:val="288" w:hRule="atLeast"/>
              <w:tblHeader/>
            </w:trPr>
            <w:tc>
              <w:tcPr>
                <w:tcW w:w="893" w:type="pct"/>
                <w:vMerge w:val="restart"/>
                <w:tcBorders>
                  <w:top w:val="single" w:color="auto" w:sz="4" w:space="0"/>
                  <w:left w:val="single" w:color="auto" w:sz="4" w:space="0"/>
                  <w:bottom w:val="single" w:color="auto" w:sz="4" w:space="0"/>
                  <w:right w:val="single" w:color="auto" w:sz="4" w:space="0"/>
                </w:tcBorders>
                <w:vAlign w:val="center"/>
              </w:tcPr>
              <w:p>
                <w:pPr>
                  <w:jc w:val="center"/>
                  <w:rPr>
                    <w:rFonts w:cs="Times New Roman"/>
                    <w:bCs w:val="0"/>
                    <w:color w:val="000000"/>
                    <w:sz w:val="18"/>
                    <w:szCs w:val="18"/>
                  </w:rPr>
                </w:pPr>
                <w:r>
                  <w:rPr>
                    <w:rFonts w:hint="eastAsia" w:cs="Times New Roman"/>
                    <w:bCs w:val="0"/>
                    <w:sz w:val="18"/>
                    <w:szCs w:val="18"/>
                  </w:rPr>
                  <w:t>项目</w:t>
                </w:r>
              </w:p>
            </w:tc>
            <w:tc>
              <w:tcPr>
                <w:tcW w:w="4107" w:type="pct"/>
                <w:gridSpan w:val="5"/>
                <w:tcBorders>
                  <w:top w:val="single" w:color="auto" w:sz="4" w:space="0"/>
                  <w:left w:val="nil"/>
                  <w:bottom w:val="single" w:color="auto" w:sz="4" w:space="0"/>
                  <w:right w:val="single" w:color="auto" w:sz="4" w:space="0"/>
                </w:tcBorders>
                <w:vAlign w:val="center"/>
              </w:tcPr>
              <w:p>
                <w:pPr>
                  <w:jc w:val="center"/>
                  <w:rPr>
                    <w:rFonts w:cs="Times New Roman"/>
                    <w:bCs w:val="0"/>
                    <w:color w:val="000000"/>
                    <w:sz w:val="18"/>
                    <w:szCs w:val="18"/>
                  </w:rPr>
                </w:pPr>
                <w:r>
                  <w:rPr>
                    <w:rFonts w:cs="Times New Roman"/>
                    <w:bCs w:val="0"/>
                    <w:sz w:val="18"/>
                    <w:szCs w:val="18"/>
                  </w:rPr>
                  <w:t>上年年末数</w:t>
                </w:r>
              </w:p>
            </w:tc>
          </w:tr>
          <w:tr>
            <w:tblPrEx>
              <w:tblCellMar>
                <w:top w:w="0" w:type="dxa"/>
                <w:left w:w="108" w:type="dxa"/>
                <w:bottom w:w="0" w:type="dxa"/>
                <w:right w:w="108" w:type="dxa"/>
              </w:tblCellMar>
            </w:tblPrEx>
            <w:trPr>
              <w:trHeight w:val="288" w:hRule="atLeast"/>
              <w:tblHeader/>
            </w:trPr>
            <w:tc>
              <w:tcPr>
                <w:tcW w:w="893" w:type="pct"/>
                <w:vMerge w:val="continue"/>
                <w:tcBorders>
                  <w:top w:val="single" w:color="auto" w:sz="4" w:space="0"/>
                  <w:left w:val="single" w:color="auto" w:sz="4" w:space="0"/>
                  <w:bottom w:val="single" w:color="auto" w:sz="4" w:space="0"/>
                  <w:right w:val="single" w:color="auto" w:sz="4" w:space="0"/>
                </w:tcBorders>
                <w:vAlign w:val="center"/>
              </w:tcPr>
              <w:p>
                <w:pPr>
                  <w:rPr>
                    <w:rFonts w:cs="Times New Roman"/>
                    <w:bCs w:val="0"/>
                    <w:color w:val="000000"/>
                    <w:sz w:val="18"/>
                    <w:szCs w:val="18"/>
                  </w:rPr>
                </w:pPr>
              </w:p>
            </w:tc>
            <w:tc>
              <w:tcPr>
                <w:tcW w:w="836" w:type="pct"/>
                <w:tcBorders>
                  <w:top w:val="nil"/>
                  <w:left w:val="nil"/>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账面价值</w:t>
                </w:r>
              </w:p>
            </w:tc>
            <w:tc>
              <w:tcPr>
                <w:tcW w:w="836" w:type="pct"/>
                <w:tcBorders>
                  <w:top w:val="nil"/>
                  <w:left w:val="nil"/>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未折现合同金额</w:t>
                </w:r>
              </w:p>
            </w:tc>
            <w:tc>
              <w:tcPr>
                <w:tcW w:w="836" w:type="pct"/>
                <w:tcBorders>
                  <w:top w:val="nil"/>
                  <w:left w:val="nil"/>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1年以内</w:t>
                </w:r>
              </w:p>
            </w:tc>
            <w:tc>
              <w:tcPr>
                <w:tcW w:w="836" w:type="pct"/>
                <w:tcBorders>
                  <w:top w:val="nil"/>
                  <w:left w:val="nil"/>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1-3年</w:t>
                </w:r>
              </w:p>
            </w:tc>
            <w:tc>
              <w:tcPr>
                <w:tcW w:w="761" w:type="pct"/>
                <w:tcBorders>
                  <w:top w:val="nil"/>
                  <w:left w:val="nil"/>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3年以上</w:t>
                </w:r>
              </w:p>
            </w:tc>
          </w:tr>
          <w:tr>
            <w:tblPrEx>
              <w:tblCellMar>
                <w:top w:w="0" w:type="dxa"/>
                <w:left w:w="108" w:type="dxa"/>
                <w:bottom w:w="0" w:type="dxa"/>
                <w:right w:w="108" w:type="dxa"/>
              </w:tblCellMar>
            </w:tblPrEx>
            <w:trPr>
              <w:trHeight w:val="288" w:hRule="atLeast"/>
            </w:trPr>
            <w:tc>
              <w:tcPr>
                <w:tcW w:w="893"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银行借款</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2,202,810,101.81</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2,302,077,838.86</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731,513,477.69</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1,258,297,677.24</w:t>
                </w:r>
              </w:p>
            </w:tc>
            <w:tc>
              <w:tcPr>
                <w:tcW w:w="761"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312,266,683.93</w:t>
                </w:r>
              </w:p>
            </w:tc>
          </w:tr>
          <w:tr>
            <w:tblPrEx>
              <w:tblCellMar>
                <w:top w:w="0" w:type="dxa"/>
                <w:left w:w="108" w:type="dxa"/>
                <w:bottom w:w="0" w:type="dxa"/>
                <w:right w:w="108" w:type="dxa"/>
              </w:tblCellMar>
            </w:tblPrEx>
            <w:trPr>
              <w:trHeight w:val="288" w:hRule="atLeast"/>
            </w:trPr>
            <w:tc>
              <w:tcPr>
                <w:tcW w:w="893"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应付票据</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878,158,051.60</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878,158,051.60</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878,158,051.60</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p>
            </w:tc>
            <w:tc>
              <w:tcPr>
                <w:tcW w:w="761" w:type="pct"/>
                <w:tcBorders>
                  <w:top w:val="nil"/>
                  <w:left w:val="nil"/>
                  <w:bottom w:val="single" w:color="auto" w:sz="4" w:space="0"/>
                  <w:right w:val="single" w:color="auto" w:sz="4" w:space="0"/>
                </w:tcBorders>
                <w:vAlign w:val="center"/>
              </w:tcPr>
              <w:p>
                <w:pPr>
                  <w:jc w:val="right"/>
                  <w:rPr>
                    <w:rFonts w:cs="Times New Roman"/>
                    <w:bCs w:val="0"/>
                    <w:sz w:val="18"/>
                    <w:szCs w:val="18"/>
                  </w:rPr>
                </w:pPr>
              </w:p>
            </w:tc>
          </w:tr>
          <w:tr>
            <w:tblPrEx>
              <w:tblCellMar>
                <w:top w:w="0" w:type="dxa"/>
                <w:left w:w="108" w:type="dxa"/>
                <w:bottom w:w="0" w:type="dxa"/>
                <w:right w:w="108" w:type="dxa"/>
              </w:tblCellMar>
            </w:tblPrEx>
            <w:trPr>
              <w:trHeight w:val="288" w:hRule="atLeast"/>
            </w:trPr>
            <w:tc>
              <w:tcPr>
                <w:tcW w:w="893"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应付账款</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743,992,815.82</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743,992,815.82</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681,979,531.93</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62,013,283.89</w:t>
                </w:r>
              </w:p>
            </w:tc>
            <w:tc>
              <w:tcPr>
                <w:tcW w:w="761" w:type="pct"/>
                <w:tcBorders>
                  <w:top w:val="nil"/>
                  <w:left w:val="nil"/>
                  <w:bottom w:val="single" w:color="auto" w:sz="4" w:space="0"/>
                  <w:right w:val="single" w:color="auto" w:sz="4" w:space="0"/>
                </w:tcBorders>
                <w:vAlign w:val="center"/>
              </w:tcPr>
              <w:p>
                <w:pPr>
                  <w:jc w:val="right"/>
                  <w:rPr>
                    <w:rFonts w:cs="Times New Roman"/>
                    <w:bCs w:val="0"/>
                    <w:sz w:val="18"/>
                    <w:szCs w:val="18"/>
                  </w:rPr>
                </w:pPr>
              </w:p>
            </w:tc>
          </w:tr>
          <w:tr>
            <w:trPr>
              <w:trHeight w:val="288" w:hRule="atLeast"/>
            </w:trPr>
            <w:tc>
              <w:tcPr>
                <w:tcW w:w="893"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其他应付款</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62,168,818.34</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62,168,818.34</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24,562,143.75</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19,073,295.33</w:t>
                </w:r>
              </w:p>
            </w:tc>
            <w:tc>
              <w:tcPr>
                <w:tcW w:w="761"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18,533,379.26</w:t>
                </w:r>
              </w:p>
            </w:tc>
          </w:tr>
          <w:tr>
            <w:tblPrEx>
              <w:tblCellMar>
                <w:top w:w="0" w:type="dxa"/>
                <w:left w:w="108" w:type="dxa"/>
                <w:bottom w:w="0" w:type="dxa"/>
                <w:right w:w="108" w:type="dxa"/>
              </w:tblCellMar>
            </w:tblPrEx>
            <w:trPr>
              <w:trHeight w:val="288" w:hRule="atLeast"/>
            </w:trPr>
            <w:tc>
              <w:tcPr>
                <w:tcW w:w="893"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其他流动负债-票据相关</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313,617,724.22</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313,617,724.22</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313,617,724.22</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p>
            </w:tc>
            <w:tc>
              <w:tcPr>
                <w:tcW w:w="761" w:type="pct"/>
                <w:tcBorders>
                  <w:top w:val="nil"/>
                  <w:left w:val="nil"/>
                  <w:bottom w:val="single" w:color="auto" w:sz="4" w:space="0"/>
                  <w:right w:val="single" w:color="auto" w:sz="4" w:space="0"/>
                </w:tcBorders>
                <w:vAlign w:val="center"/>
              </w:tcPr>
              <w:p>
                <w:pPr>
                  <w:jc w:val="right"/>
                  <w:rPr>
                    <w:rFonts w:cs="Times New Roman"/>
                    <w:bCs w:val="0"/>
                    <w:sz w:val="18"/>
                    <w:szCs w:val="18"/>
                  </w:rPr>
                </w:pPr>
              </w:p>
            </w:tc>
          </w:tr>
          <w:tr>
            <w:tblPrEx>
              <w:tblCellMar>
                <w:top w:w="0" w:type="dxa"/>
                <w:left w:w="108" w:type="dxa"/>
                <w:bottom w:w="0" w:type="dxa"/>
                <w:right w:w="108" w:type="dxa"/>
              </w:tblCellMar>
            </w:tblPrEx>
            <w:trPr>
              <w:trHeight w:val="288" w:hRule="atLeast"/>
            </w:trPr>
            <w:tc>
              <w:tcPr>
                <w:tcW w:w="893"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租赁负债</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22,208,854.09</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23,065,451.60</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10,551,682.55</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11,849,125.11</w:t>
                </w:r>
              </w:p>
            </w:tc>
            <w:tc>
              <w:tcPr>
                <w:tcW w:w="761"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664,643.94</w:t>
                </w:r>
              </w:p>
            </w:tc>
          </w:tr>
          <w:tr>
            <w:tblPrEx>
              <w:tblCellMar>
                <w:top w:w="0" w:type="dxa"/>
                <w:left w:w="108" w:type="dxa"/>
                <w:bottom w:w="0" w:type="dxa"/>
                <w:right w:w="108" w:type="dxa"/>
              </w:tblCellMar>
            </w:tblPrEx>
            <w:trPr>
              <w:trHeight w:val="288" w:hRule="atLeast"/>
            </w:trPr>
            <w:tc>
              <w:tcPr>
                <w:tcW w:w="893" w:type="pct"/>
                <w:tcBorders>
                  <w:top w:val="nil"/>
                  <w:left w:val="single" w:color="auto" w:sz="4" w:space="0"/>
                  <w:bottom w:val="single" w:color="auto" w:sz="4" w:space="0"/>
                  <w:right w:val="single" w:color="auto" w:sz="4" w:space="0"/>
                </w:tcBorders>
              </w:tcPr>
              <w:p>
                <w:pPr>
                  <w:jc w:val="center"/>
                  <w:rPr>
                    <w:rFonts w:cs="Times New Roman"/>
                    <w:bCs w:val="0"/>
                    <w:sz w:val="18"/>
                    <w:szCs w:val="18"/>
                  </w:rPr>
                </w:pPr>
                <w:r>
                  <w:rPr>
                    <w:rFonts w:hint="eastAsia" w:cs="Times New Roman"/>
                    <w:bCs w:val="0"/>
                    <w:sz w:val="18"/>
                    <w:szCs w:val="18"/>
                  </w:rPr>
                  <w:t>长期应付款</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181,929,540.89</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193,935,211.12</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45,259,555.56</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128,363,777.78</w:t>
                </w:r>
              </w:p>
            </w:tc>
            <w:tc>
              <w:tcPr>
                <w:tcW w:w="761"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20,311,877.78</w:t>
                </w:r>
              </w:p>
            </w:tc>
          </w:tr>
          <w:tr>
            <w:tblPrEx>
              <w:tblCellMar>
                <w:top w:w="0" w:type="dxa"/>
                <w:left w:w="108" w:type="dxa"/>
                <w:bottom w:w="0" w:type="dxa"/>
                <w:right w:w="108" w:type="dxa"/>
              </w:tblCellMar>
            </w:tblPrEx>
            <w:trPr>
              <w:trHeight w:val="288" w:hRule="atLeast"/>
            </w:trPr>
            <w:tc>
              <w:tcPr>
                <w:tcW w:w="893" w:type="pct"/>
                <w:tcBorders>
                  <w:top w:val="nil"/>
                  <w:left w:val="single" w:color="auto" w:sz="4" w:space="0"/>
                  <w:bottom w:val="single" w:color="auto" w:sz="4" w:space="0"/>
                  <w:right w:val="single" w:color="auto" w:sz="4" w:space="0"/>
                </w:tcBorders>
                <w:vAlign w:val="center"/>
              </w:tcPr>
              <w:p>
                <w:pPr>
                  <w:jc w:val="center"/>
                  <w:rPr>
                    <w:rFonts w:cs="Times New Roman"/>
                    <w:bCs w:val="0"/>
                    <w:sz w:val="18"/>
                    <w:szCs w:val="18"/>
                  </w:rPr>
                </w:pPr>
                <w:r>
                  <w:rPr>
                    <w:rFonts w:hint="eastAsia" w:cs="Times New Roman"/>
                    <w:bCs w:val="0"/>
                    <w:sz w:val="18"/>
                    <w:szCs w:val="18"/>
                  </w:rPr>
                  <w:t>合计</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4,404,885,906.77</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4,517,015,911.56</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2,685,642,167.30</w:t>
                </w:r>
              </w:p>
            </w:tc>
            <w:tc>
              <w:tcPr>
                <w:tcW w:w="836"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1,479,597,159.35</w:t>
                </w:r>
              </w:p>
            </w:tc>
            <w:tc>
              <w:tcPr>
                <w:tcW w:w="761" w:type="pct"/>
                <w:tcBorders>
                  <w:top w:val="nil"/>
                  <w:left w:val="nil"/>
                  <w:bottom w:val="single" w:color="auto" w:sz="4" w:space="0"/>
                  <w:right w:val="single" w:color="auto" w:sz="4" w:space="0"/>
                </w:tcBorders>
                <w:vAlign w:val="center"/>
              </w:tcPr>
              <w:p>
                <w:pPr>
                  <w:jc w:val="right"/>
                  <w:rPr>
                    <w:rFonts w:cs="Times New Roman"/>
                    <w:bCs w:val="0"/>
                    <w:sz w:val="18"/>
                    <w:szCs w:val="18"/>
                  </w:rPr>
                </w:pPr>
                <w:r>
                  <w:rPr>
                    <w:rFonts w:cs="Times New Roman"/>
                    <w:bCs w:val="0"/>
                    <w:sz w:val="18"/>
                    <w:szCs w:val="18"/>
                  </w:rPr>
                  <w:t>351,776,584.91</w:t>
                </w:r>
              </w:p>
            </w:tc>
          </w:tr>
        </w:tbl>
        <w:p>
          <w:pPr>
            <w:spacing w:line="360" w:lineRule="exact"/>
            <w:ind w:firstLine="420" w:firstLineChars="200"/>
          </w:pPr>
          <w:r>
            <w:rPr>
              <w:rFonts w:hint="eastAsia"/>
            </w:rPr>
            <w:t>注：银行借款及租赁负债包括列报到一年内的到期的非流动负债</w:t>
          </w:r>
        </w:p>
        <w:p>
          <w:pPr>
            <w:spacing w:line="360" w:lineRule="exact"/>
            <w:ind w:firstLine="420" w:firstLineChars="200"/>
          </w:pPr>
          <w:r>
            <w:rPr>
              <w:rFonts w:hint="eastAsia"/>
            </w:rPr>
            <w:t>（3）市场风险</w:t>
          </w:r>
        </w:p>
        <w:p>
          <w:pPr>
            <w:spacing w:line="360" w:lineRule="exact"/>
            <w:ind w:firstLine="420" w:firstLineChars="200"/>
          </w:pPr>
          <w:r>
            <w:rPr>
              <w:rFonts w:hint="eastAsia"/>
            </w:rPr>
            <w:t>市场风险，是指金融工具的公允价值或未来现金流量因市场价格变动而发生波动的风险。市场风险主要包括利率风险和外汇风险。</w:t>
          </w:r>
        </w:p>
        <w:p>
          <w:pPr>
            <w:spacing w:line="360" w:lineRule="exact"/>
            <w:ind w:firstLine="420" w:firstLineChars="200"/>
          </w:pPr>
          <w:r>
            <w:rPr>
              <w:rFonts w:hint="eastAsia"/>
            </w:rPr>
            <w:t>1）利率风险</w:t>
          </w:r>
        </w:p>
        <w:p>
          <w:pPr>
            <w:spacing w:line="360" w:lineRule="exact"/>
            <w:ind w:firstLine="420" w:firstLineChars="200"/>
            <w:jc w:val="both"/>
          </w:pPr>
          <w:r>
            <w:rPr>
              <w:rFonts w:hint="eastAsia"/>
            </w:rPr>
            <w:t>利率风险，是指金融工具的公允价值或未来现金流量因市场利率变动而发生波动的风险。固定利率的带息金融工具使本公司面临公允价值利率风险，浮动利率的带息金融工具使本公司面临现金流量利率风险。本公司根据市场环境来决定固定利率与浮动利率金融工具的比例，并通过定期审阅与监控维持适当的金融工具组合。本公司面临的现金流量利率风险主要与本公司以浮动利率计息的银行借款有关。截至2026年6月30日，本公司以浮动利率计息的银行借款人民币</w:t>
          </w:r>
          <w:r>
            <w:t>190,665.89</w:t>
          </w:r>
          <w:r>
            <w:rPr>
              <w:rFonts w:hint="eastAsia"/>
            </w:rPr>
            <w:t>万元（2025年12月31日：人民币</w:t>
          </w:r>
          <w:r>
            <w:t>169,634.94</w:t>
          </w:r>
          <w:r>
            <w:rPr>
              <w:rFonts w:hint="eastAsia"/>
            </w:rPr>
            <w:t>万元）。</w:t>
          </w:r>
          <w:r>
            <w:t>利率上升会增加新增带息债务的成本以及本公司尚未付清的以浮动利率计息的带息债务的利息支出，并对本公司的财务业绩产生不利影响，管理层会依据最新的市场状况及时做出调整来降低利率风险</w:t>
          </w:r>
          <w:r>
            <w:rPr>
              <w:rFonts w:hint="eastAsia"/>
            </w:rPr>
            <w:t>。</w:t>
          </w:r>
        </w:p>
        <w:p>
          <w:pPr>
            <w:spacing w:line="360" w:lineRule="exact"/>
            <w:ind w:firstLine="420" w:firstLineChars="200"/>
          </w:pPr>
          <w:r>
            <w:rPr>
              <w:rFonts w:hint="eastAsia"/>
            </w:rPr>
            <w:t>2）外汇风险</w:t>
          </w:r>
        </w:p>
        <w:p>
          <w:pPr>
            <w:spacing w:line="360" w:lineRule="exact"/>
            <w:ind w:firstLine="420" w:firstLineChars="200"/>
          </w:pPr>
          <w:r>
            <w:rPr>
              <w:rFonts w:hint="eastAsia"/>
            </w:rPr>
            <w:t>外汇风险，是指金融工具的公允价值或未来现金流量因外汇汇率变动而发生波动的风险。本公司于中国内地经营，且主要活动以人民币计价。因此，本公司所承担的外汇变动市场风险不重大。</w:t>
          </w:r>
        </w:p>
        <w:p>
          <w:pPr>
            <w:spacing w:line="360" w:lineRule="exact"/>
            <w:ind w:firstLine="420" w:firstLineChars="200"/>
          </w:pPr>
          <w:r>
            <w:rPr>
              <w:rFonts w:hint="eastAsia"/>
            </w:rPr>
            <w:t>本公司期末外币货币性资产和负债情况详见“第八节.七、合并财务报表项目注释.81、外币货币性项目”。</w:t>
          </w:r>
        </w:p>
      </w:sdtContent>
    </w:sdt>
    <w:p>
      <w:pPr>
        <w:pStyle w:val="4"/>
        <w:numPr>
          <w:ilvl w:val="0"/>
          <w:numId w:val="85"/>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套期</w:t>
      </w:r>
    </w:p>
    <w:p>
      <w:pPr>
        <w:pStyle w:val="5"/>
        <w:numPr>
          <w:ilvl w:val="0"/>
          <w:numId w:val="86"/>
        </w:numPr>
        <w:spacing w:line="360" w:lineRule="exact"/>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公司开展套期业务进行风险管理</w:t>
      </w:r>
    </w:p>
    <w:sdt>
      <w:sdtPr>
        <w:rPr>
          <w:color w:val="000000" w:themeColor="text1"/>
          <w14:textFill>
            <w14:solidFill>
              <w14:schemeClr w14:val="tx1"/>
            </w14:solidFill>
          </w14:textFill>
        </w:rPr>
        <w:alias w:val="是否适用：公司开展套期业务进行风险管理情况[双击切换]"/>
        <w:tag w:val="_GBC_2f499c37491c40ebb25e43ccee2adbf5"/>
        <w:id w:val="-1251960980"/>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公司开展套期业务进行风险管理的其他说明[双击切换]"/>
        <w:tag w:val="_GBC_75de8ffa05014fb7849cdf4959d00e5b"/>
        <w:id w:val="2041936473"/>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86"/>
        </w:numPr>
        <w:spacing w:line="360" w:lineRule="exact"/>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公司开展符合条件套期业务并应用套期会计</w:t>
      </w:r>
    </w:p>
    <w:sdt>
      <w:sdtPr>
        <w:rPr>
          <w:color w:val="000000" w:themeColor="text1"/>
          <w14:textFill>
            <w14:solidFill>
              <w14:schemeClr w14:val="tx1"/>
            </w14:solidFill>
          </w14:textFill>
        </w:rPr>
        <w:alias w:val="是否适用：公司开展符合条件套期业务并应用套期会计情况[双击切换]"/>
        <w:tag w:val="_GBC_6e6b563ac07d4214b853bf73488c53f8"/>
        <w:id w:val="174235293"/>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公司开展符合条件套期业务并应用套期会计情况的其他说明[双击切换]"/>
        <w:tag w:val="_GBC_27a95a99453a402ca0b1fc92fc64b202"/>
        <w:id w:val="1407878123"/>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86"/>
        </w:numPr>
        <w:spacing w:line="360" w:lineRule="exact"/>
        <w:ind w:left="0" w:firstLine="0"/>
        <w:rPr>
          <w:color w:val="000000" w:themeColor="text1"/>
          <w14:textFill>
            <w14:solidFill>
              <w14:schemeClr w14:val="tx1"/>
            </w14:solidFill>
          </w14:textFill>
        </w:rPr>
      </w:pPr>
      <w:r>
        <w:rPr>
          <w:rFonts w:hint="eastAsia"/>
          <w:color w:val="000000" w:themeColor="text1"/>
          <w14:textFill>
            <w14:solidFill>
              <w14:schemeClr w14:val="tx1"/>
            </w14:solidFill>
          </w14:textFill>
        </w:rPr>
        <w:t>公司开展套期业务进行风险管理、预期能实现风险管理目标但未应用套期会计</w:t>
      </w:r>
    </w:p>
    <w:sdt>
      <w:sdtPr>
        <w:rPr>
          <w:color w:val="000000" w:themeColor="text1"/>
          <w14:textFill>
            <w14:solidFill>
              <w14:schemeClr w14:val="tx1"/>
            </w14:solidFill>
          </w14:textFill>
        </w:rPr>
        <w:alias w:val="是否适用：公司开展套期业务进行风险管理、预期能实现风险管理目标但未应用套期会计[双击切换]"/>
        <w:tag w:val="_GBC_8ff64f4b33cf4c818fade70a82ac65ca"/>
        <w:id w:val="1034610943"/>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公司开展套期业务进行风险管理、预期能实现风险管理目标但未应用套期会计的其他说明[双击切换]"/>
        <w:tag w:val="_GBC_a996d12612974969937163f50fa093b8"/>
        <w:id w:val="-328135524"/>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85"/>
        </w:numPr>
        <w:spacing w:line="360" w:lineRule="exact"/>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金融资产转移</w:t>
      </w:r>
    </w:p>
    <w:p>
      <w:pPr>
        <w:pStyle w:val="5"/>
        <w:numPr>
          <w:ilvl w:val="0"/>
          <w:numId w:val="87"/>
        </w:numPr>
        <w:spacing w:line="360" w:lineRule="exact"/>
        <w:ind w:left="425" w:hanging="425"/>
        <w:rPr>
          <w:color w:val="000000" w:themeColor="text1"/>
          <w14:textFill>
            <w14:solidFill>
              <w14:schemeClr w14:val="tx1"/>
            </w14:solidFill>
          </w14:textFill>
        </w:rPr>
      </w:pPr>
      <w:bookmarkStart w:id="440" w:name="_Hlk153550670"/>
      <w:r>
        <w:rPr>
          <w:rFonts w:hint="eastAsia"/>
          <w:color w:val="000000" w:themeColor="text1"/>
          <w14:textFill>
            <w14:solidFill>
              <w14:schemeClr w14:val="tx1"/>
            </w14:solidFill>
          </w14:textFill>
        </w:rPr>
        <w:t>转移方式分类</w:t>
      </w:r>
    </w:p>
    <w:sdt>
      <w:sdtPr>
        <w:rPr>
          <w:color w:val="000000" w:themeColor="text1"/>
          <w14:textFill>
            <w14:solidFill>
              <w14:schemeClr w14:val="tx1"/>
            </w14:solidFill>
          </w14:textFill>
        </w:rPr>
        <w:alias w:val="是否适用：转移方式分类[双击切换]"/>
        <w:tag w:val="_GBC_3e1020fb455f4853972cca8d6b0a6b3e"/>
        <w:id w:val="-11299693"/>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转移方式分类"/>
          <w:tag w:val="_GBC_de1ad61d934042f8a064c3ae0d4f8be0"/>
          <w:id w:val="806515975"/>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转移方式分类"/>
          <w:tag w:val="_GBC_523a24325686464f98a38bad04cd2e3d"/>
          <w:id w:val="-13842758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r>
        <w:rPr>
          <w:color w:val="000000" w:themeColor="text1"/>
          <w14:textFill>
            <w14:solidFill>
              <w14:schemeClr w14:val="tx1"/>
            </w14:solidFill>
          </w14:textFill>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701"/>
        <w:gridCol w:w="1842"/>
        <w:gridCol w:w="1560"/>
        <w:gridCol w:w="2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b3639441c42426dafc439c62b582272"/>
            <w:id w:val="467866787"/>
          </w:sdtPr>
          <w:sdtContent>
            <w:tc>
              <w:tcPr>
                <w:tcW w:w="1555"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转移方式</w:t>
                </w:r>
              </w:p>
            </w:tc>
          </w:sdtContent>
        </w:sdt>
        <w:sdt>
          <w:sdtPr>
            <w:tag w:val="_PLD_ca0fdfb372924321ab96333f916ba97f"/>
            <w:id w:val="-63418553"/>
          </w:sdtPr>
          <w:sdtContent>
            <w:tc>
              <w:tcPr>
                <w:tcW w:w="1701"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已转移金融资产性质</w:t>
                </w:r>
              </w:p>
            </w:tc>
          </w:sdtContent>
        </w:sdt>
        <w:sdt>
          <w:sdtPr>
            <w:tag w:val="_PLD_0fd47e1e3a6745509c71fb3afe424e15"/>
            <w:id w:val="-1231221801"/>
          </w:sdtPr>
          <w:sdtContent>
            <w:tc>
              <w:tcPr>
                <w:tcW w:w="1842"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已转移金融资产金额</w:t>
                </w:r>
              </w:p>
            </w:tc>
          </w:sdtContent>
        </w:sdt>
        <w:sdt>
          <w:sdtPr>
            <w:tag w:val="_PLD_d7e5fc13720748c99b0fc16108739469"/>
            <w:id w:val="2092508231"/>
          </w:sdtPr>
          <w:sdtContent>
            <w:tc>
              <w:tcPr>
                <w:tcW w:w="1560"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终止确认情况</w:t>
                </w:r>
              </w:p>
            </w:tc>
          </w:sdtContent>
        </w:sdt>
        <w:sdt>
          <w:sdtPr>
            <w:tag w:val="_PLD_9657f1a55d3746549b602d8e206fdafe"/>
            <w:id w:val="-156312891"/>
          </w:sdtPr>
          <w:sdtContent>
            <w:tc>
              <w:tcPr>
                <w:tcW w:w="2165"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终止确认情况的判断依据</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pPr>
              <w:pStyle w:val="48"/>
              <w:widowControl w:val="0"/>
              <w:jc w:val="both"/>
            </w:pPr>
            <w:r>
              <w:rPr>
                <w:rFonts w:hint="eastAsia"/>
              </w:rPr>
              <w:t>票据贴现</w:t>
            </w:r>
          </w:p>
        </w:tc>
        <w:tc>
          <w:tcPr>
            <w:tcW w:w="1701" w:type="dxa"/>
            <w:vAlign w:val="center"/>
          </w:tcPr>
          <w:p>
            <w:pPr>
              <w:pStyle w:val="48"/>
              <w:widowControl w:val="0"/>
              <w:jc w:val="both"/>
            </w:pPr>
            <w:r>
              <w:rPr>
                <w:rFonts w:hint="eastAsia"/>
              </w:rPr>
              <w:t>应收票据</w:t>
            </w:r>
          </w:p>
        </w:tc>
        <w:tc>
          <w:tcPr>
            <w:tcW w:w="1842" w:type="dxa"/>
            <w:vAlign w:val="center"/>
          </w:tcPr>
          <w:p>
            <w:pPr>
              <w:widowControl w:val="0"/>
              <w:jc w:val="right"/>
            </w:pPr>
            <w:r>
              <w:rPr>
                <w:rFonts w:hint="eastAsia"/>
              </w:rPr>
              <w:t xml:space="preserve"> 221,927.64 </w:t>
            </w:r>
          </w:p>
        </w:tc>
        <w:tc>
          <w:tcPr>
            <w:tcW w:w="1560" w:type="dxa"/>
            <w:vAlign w:val="center"/>
          </w:tcPr>
          <w:p>
            <w:pPr>
              <w:pStyle w:val="48"/>
              <w:widowControl w:val="0"/>
              <w:jc w:val="both"/>
            </w:pPr>
            <w:r>
              <w:rPr>
                <w:rFonts w:hint="eastAsia"/>
              </w:rPr>
              <w:t>未终止确认</w:t>
            </w:r>
          </w:p>
        </w:tc>
        <w:tc>
          <w:tcPr>
            <w:tcW w:w="2165" w:type="dxa"/>
            <w:vAlign w:val="center"/>
          </w:tcPr>
          <w:p>
            <w:pPr>
              <w:pStyle w:val="48"/>
              <w:widowControl w:val="0"/>
              <w:jc w:val="both"/>
            </w:pPr>
            <w:r>
              <w:rPr>
                <w:rFonts w:hint="eastAsia"/>
              </w:rPr>
              <w:t>保留了其几乎所有的风险和报酬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pPr>
              <w:pStyle w:val="48"/>
              <w:widowControl w:val="0"/>
              <w:jc w:val="both"/>
            </w:pPr>
            <w:r>
              <w:rPr>
                <w:rFonts w:hint="eastAsia"/>
              </w:rPr>
              <w:t>应收账款贴现</w:t>
            </w:r>
          </w:p>
        </w:tc>
        <w:tc>
          <w:tcPr>
            <w:tcW w:w="1701" w:type="dxa"/>
            <w:vAlign w:val="center"/>
          </w:tcPr>
          <w:p>
            <w:pPr>
              <w:pStyle w:val="48"/>
              <w:widowControl w:val="0"/>
              <w:jc w:val="both"/>
            </w:pPr>
            <w:r>
              <w:rPr>
                <w:rFonts w:hint="eastAsia"/>
              </w:rPr>
              <w:t>应收账款</w:t>
            </w:r>
          </w:p>
        </w:tc>
        <w:tc>
          <w:tcPr>
            <w:tcW w:w="1842" w:type="dxa"/>
            <w:vAlign w:val="center"/>
          </w:tcPr>
          <w:p>
            <w:pPr>
              <w:widowControl w:val="0"/>
              <w:jc w:val="right"/>
            </w:pPr>
            <w:r>
              <w:rPr>
                <w:rFonts w:hint="eastAsia"/>
              </w:rPr>
              <w:t>1,600,000.00</w:t>
            </w:r>
          </w:p>
        </w:tc>
        <w:tc>
          <w:tcPr>
            <w:tcW w:w="1560" w:type="dxa"/>
            <w:vAlign w:val="center"/>
          </w:tcPr>
          <w:p>
            <w:pPr>
              <w:pStyle w:val="48"/>
              <w:widowControl w:val="0"/>
              <w:jc w:val="both"/>
            </w:pPr>
            <w:r>
              <w:rPr>
                <w:rFonts w:hint="eastAsia"/>
              </w:rPr>
              <w:t>未终止确认</w:t>
            </w:r>
          </w:p>
        </w:tc>
        <w:tc>
          <w:tcPr>
            <w:tcW w:w="2165" w:type="dxa"/>
            <w:vAlign w:val="center"/>
          </w:tcPr>
          <w:p>
            <w:pPr>
              <w:pStyle w:val="48"/>
              <w:widowControl w:val="0"/>
              <w:jc w:val="both"/>
            </w:pPr>
            <w:r>
              <w:rPr>
                <w:rFonts w:hint="eastAsia"/>
              </w:rPr>
              <w:t>保留了其几乎所有的风险和报酬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pPr>
              <w:pStyle w:val="48"/>
              <w:widowControl w:val="0"/>
              <w:jc w:val="both"/>
            </w:pPr>
            <w:r>
              <w:rPr>
                <w:rFonts w:hint="eastAsia"/>
              </w:rPr>
              <w:t>票据贴现</w:t>
            </w:r>
          </w:p>
        </w:tc>
        <w:tc>
          <w:tcPr>
            <w:tcW w:w="1701" w:type="dxa"/>
            <w:vAlign w:val="center"/>
          </w:tcPr>
          <w:p>
            <w:pPr>
              <w:pStyle w:val="48"/>
              <w:widowControl w:val="0"/>
              <w:jc w:val="both"/>
            </w:pPr>
            <w:r>
              <w:rPr>
                <w:rFonts w:hint="eastAsia"/>
              </w:rPr>
              <w:t>应收款项融资</w:t>
            </w:r>
          </w:p>
        </w:tc>
        <w:tc>
          <w:tcPr>
            <w:tcW w:w="1842" w:type="dxa"/>
            <w:vAlign w:val="center"/>
          </w:tcPr>
          <w:p>
            <w:pPr>
              <w:widowControl w:val="0"/>
              <w:jc w:val="right"/>
            </w:pPr>
            <w:r>
              <w:rPr>
                <w:rFonts w:hint="eastAsia"/>
              </w:rPr>
              <w:t xml:space="preserve"> 79,342,370.71 </w:t>
            </w:r>
          </w:p>
        </w:tc>
        <w:tc>
          <w:tcPr>
            <w:tcW w:w="1560" w:type="dxa"/>
            <w:vAlign w:val="center"/>
          </w:tcPr>
          <w:p>
            <w:pPr>
              <w:pStyle w:val="48"/>
              <w:widowControl w:val="0"/>
              <w:jc w:val="both"/>
            </w:pPr>
            <w:r>
              <w:rPr>
                <w:rFonts w:hint="eastAsia"/>
              </w:rPr>
              <w:t>终止确认</w:t>
            </w:r>
          </w:p>
        </w:tc>
        <w:tc>
          <w:tcPr>
            <w:tcW w:w="2165" w:type="dxa"/>
            <w:vAlign w:val="center"/>
          </w:tcPr>
          <w:p>
            <w:pPr>
              <w:pStyle w:val="48"/>
              <w:widowControl w:val="0"/>
              <w:jc w:val="both"/>
            </w:pPr>
            <w:r>
              <w:rPr>
                <w:rFonts w:hint="eastAsia"/>
              </w:rPr>
              <w:t>已经转移了其几乎所有的风险和报酬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pPr>
              <w:pStyle w:val="48"/>
              <w:widowControl w:val="0"/>
              <w:jc w:val="both"/>
            </w:pPr>
            <w:r>
              <w:rPr>
                <w:rFonts w:hint="eastAsia"/>
              </w:rPr>
              <w:t>票据背书</w:t>
            </w:r>
          </w:p>
        </w:tc>
        <w:tc>
          <w:tcPr>
            <w:tcW w:w="1701" w:type="dxa"/>
            <w:vAlign w:val="center"/>
          </w:tcPr>
          <w:p>
            <w:pPr>
              <w:pStyle w:val="48"/>
              <w:widowControl w:val="0"/>
              <w:jc w:val="both"/>
            </w:pPr>
            <w:r>
              <w:rPr>
                <w:rFonts w:hint="eastAsia"/>
              </w:rPr>
              <w:t>应收票据</w:t>
            </w:r>
          </w:p>
        </w:tc>
        <w:tc>
          <w:tcPr>
            <w:tcW w:w="1842" w:type="dxa"/>
            <w:vAlign w:val="center"/>
          </w:tcPr>
          <w:p>
            <w:pPr>
              <w:widowControl w:val="0"/>
              <w:jc w:val="right"/>
            </w:pPr>
            <w:r>
              <w:rPr>
                <w:rFonts w:hint="eastAsia"/>
              </w:rPr>
              <w:t xml:space="preserve"> 238,483,118.37 </w:t>
            </w:r>
          </w:p>
        </w:tc>
        <w:tc>
          <w:tcPr>
            <w:tcW w:w="1560" w:type="dxa"/>
            <w:vAlign w:val="center"/>
          </w:tcPr>
          <w:p>
            <w:pPr>
              <w:pStyle w:val="48"/>
              <w:widowControl w:val="0"/>
              <w:jc w:val="both"/>
            </w:pPr>
            <w:r>
              <w:rPr>
                <w:rFonts w:hint="eastAsia"/>
              </w:rPr>
              <w:t>未终止确认</w:t>
            </w:r>
          </w:p>
        </w:tc>
        <w:tc>
          <w:tcPr>
            <w:tcW w:w="2165" w:type="dxa"/>
            <w:vAlign w:val="center"/>
          </w:tcPr>
          <w:p>
            <w:pPr>
              <w:pStyle w:val="48"/>
              <w:widowControl w:val="0"/>
              <w:jc w:val="both"/>
            </w:pPr>
            <w:r>
              <w:rPr>
                <w:rFonts w:hint="eastAsia"/>
              </w:rPr>
              <w:t>保留了其几乎所有的风险和报酬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pPr>
              <w:pStyle w:val="48"/>
              <w:widowControl w:val="0"/>
              <w:jc w:val="both"/>
            </w:pPr>
            <w:r>
              <w:rPr>
                <w:rFonts w:hint="eastAsia"/>
              </w:rPr>
              <w:t>票据背书</w:t>
            </w:r>
          </w:p>
        </w:tc>
        <w:tc>
          <w:tcPr>
            <w:tcW w:w="1701" w:type="dxa"/>
            <w:vAlign w:val="center"/>
          </w:tcPr>
          <w:p>
            <w:pPr>
              <w:pStyle w:val="48"/>
              <w:widowControl w:val="0"/>
              <w:jc w:val="both"/>
            </w:pPr>
            <w:r>
              <w:rPr>
                <w:rFonts w:hint="eastAsia"/>
              </w:rPr>
              <w:t>应收账款</w:t>
            </w:r>
          </w:p>
        </w:tc>
        <w:tc>
          <w:tcPr>
            <w:tcW w:w="1842" w:type="dxa"/>
            <w:vAlign w:val="center"/>
          </w:tcPr>
          <w:p>
            <w:pPr>
              <w:widowControl w:val="0"/>
              <w:jc w:val="right"/>
            </w:pPr>
            <w:r>
              <w:rPr>
                <w:rFonts w:hint="eastAsia"/>
              </w:rPr>
              <w:t>18,528,661.04</w:t>
            </w:r>
          </w:p>
        </w:tc>
        <w:tc>
          <w:tcPr>
            <w:tcW w:w="1560" w:type="dxa"/>
            <w:vAlign w:val="center"/>
          </w:tcPr>
          <w:p>
            <w:pPr>
              <w:pStyle w:val="48"/>
              <w:widowControl w:val="0"/>
              <w:jc w:val="both"/>
            </w:pPr>
            <w:r>
              <w:rPr>
                <w:rFonts w:hint="eastAsia"/>
              </w:rPr>
              <w:t>未终止确认</w:t>
            </w:r>
          </w:p>
        </w:tc>
        <w:tc>
          <w:tcPr>
            <w:tcW w:w="2165" w:type="dxa"/>
            <w:vAlign w:val="center"/>
          </w:tcPr>
          <w:p>
            <w:pPr>
              <w:pStyle w:val="48"/>
              <w:widowControl w:val="0"/>
              <w:jc w:val="both"/>
            </w:pPr>
            <w:r>
              <w:rPr>
                <w:rFonts w:hint="eastAsia"/>
              </w:rPr>
              <w:t>保留了其几乎所有的风险和报酬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pPr>
              <w:pStyle w:val="48"/>
              <w:widowControl w:val="0"/>
              <w:jc w:val="both"/>
            </w:pPr>
            <w:r>
              <w:rPr>
                <w:rFonts w:hint="eastAsia"/>
              </w:rPr>
              <w:t>票据背书</w:t>
            </w:r>
          </w:p>
        </w:tc>
        <w:tc>
          <w:tcPr>
            <w:tcW w:w="1701" w:type="dxa"/>
            <w:vAlign w:val="center"/>
          </w:tcPr>
          <w:p>
            <w:pPr>
              <w:pStyle w:val="48"/>
              <w:widowControl w:val="0"/>
              <w:jc w:val="both"/>
            </w:pPr>
            <w:r>
              <w:rPr>
                <w:rFonts w:hint="eastAsia"/>
              </w:rPr>
              <w:t>应收款项融资</w:t>
            </w:r>
          </w:p>
        </w:tc>
        <w:tc>
          <w:tcPr>
            <w:tcW w:w="1842" w:type="dxa"/>
            <w:vAlign w:val="center"/>
          </w:tcPr>
          <w:p>
            <w:pPr>
              <w:widowControl w:val="0"/>
              <w:jc w:val="right"/>
            </w:pPr>
            <w:r>
              <w:rPr>
                <w:rFonts w:hint="eastAsia"/>
              </w:rPr>
              <w:t xml:space="preserve"> 279,599,815.77 </w:t>
            </w:r>
          </w:p>
        </w:tc>
        <w:tc>
          <w:tcPr>
            <w:tcW w:w="1560" w:type="dxa"/>
            <w:vAlign w:val="center"/>
          </w:tcPr>
          <w:p>
            <w:pPr>
              <w:pStyle w:val="48"/>
              <w:widowControl w:val="0"/>
              <w:jc w:val="both"/>
            </w:pPr>
            <w:r>
              <w:rPr>
                <w:rFonts w:hint="eastAsia"/>
              </w:rPr>
              <w:t>终止确认</w:t>
            </w:r>
          </w:p>
        </w:tc>
        <w:tc>
          <w:tcPr>
            <w:tcW w:w="2165" w:type="dxa"/>
            <w:vAlign w:val="center"/>
          </w:tcPr>
          <w:p>
            <w:pPr>
              <w:pStyle w:val="48"/>
              <w:widowControl w:val="0"/>
              <w:jc w:val="both"/>
            </w:pPr>
            <w:r>
              <w:rPr>
                <w:rFonts w:hint="eastAsia"/>
              </w:rPr>
              <w:t>已经转移了其几乎所有的风险和报酬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 w:type="dxa"/>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701" w:type="dxa"/>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1842" w:type="dxa"/>
          </w:tcPr>
          <w:p>
            <w:pPr>
              <w:widowControl w:val="0"/>
              <w:jc w:val="right"/>
            </w:pPr>
            <w:r>
              <w:t>617,775,893.53</w:t>
            </w:r>
          </w:p>
        </w:tc>
        <w:tc>
          <w:tcPr>
            <w:tcW w:w="1560" w:type="dxa"/>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165" w:type="dxa"/>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bookmarkEnd w:id="440"/>
    </w:tbl>
    <w:p>
      <w:pPr>
        <w:pStyle w:val="5"/>
        <w:numPr>
          <w:ilvl w:val="0"/>
          <w:numId w:val="87"/>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因转移而终止确认的金融资产</w:t>
      </w:r>
    </w:p>
    <w:sdt>
      <w:sdtPr>
        <w:rPr>
          <w:rFonts w:hint="eastAsia"/>
          <w:color w:val="000000" w:themeColor="text1"/>
          <w14:textFill>
            <w14:solidFill>
              <w14:schemeClr w14:val="tx1"/>
            </w14:solidFill>
          </w14:textFill>
        </w:rPr>
        <w:alias w:val="是否适用：因转移而终止确认的金融资产[双击切换]"/>
        <w:tag w:val="_GBC_46574eb995bc458dacbb66d429fbeb28"/>
        <w:id w:val="430641173"/>
        <w:placeholder>
          <w:docPart w:val="GBC22222222222222222222222222222"/>
        </w:placeholder>
      </w:sdtPr>
      <w:sdtEndPr>
        <w:rPr>
          <w:rFonts w:hint="eastAsia"/>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因转移而终止确认的金融资产"/>
          <w:tag w:val="_GBC_73bef3b995394289b78af2337e747985"/>
          <w:id w:val="1349371196"/>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因转移而终止确认的金融资产"/>
          <w:tag w:val="_GBC_427dcc46d1fd46199efb83964b12866d"/>
          <w:id w:val="4264327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5"/>
        <w:gridCol w:w="2206"/>
        <w:gridCol w:w="2206"/>
        <w:gridCol w:w="2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5d17113cbddd47c5b9a0a3fe5a5fb5d2"/>
            <w:id w:val="1828786288"/>
          </w:sdtPr>
          <w:sdtContent>
            <w:tc>
              <w:tcPr>
                <w:tcW w:w="2205"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39fc3a910f2f4edf8c92d540898fd934"/>
            <w:id w:val="-1716805913"/>
          </w:sdtPr>
          <w:sdtContent>
            <w:tc>
              <w:tcPr>
                <w:tcW w:w="2206"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金融资产转移的方式</w:t>
                </w:r>
              </w:p>
            </w:tc>
          </w:sdtContent>
        </w:sdt>
        <w:sdt>
          <w:sdtPr>
            <w:tag w:val="_PLD_2a51853a4561482eb23f14cfddfc722f"/>
            <w:id w:val="1762483908"/>
          </w:sdtPr>
          <w:sdtContent>
            <w:tc>
              <w:tcPr>
                <w:tcW w:w="2206"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终止确认的金融资产金额</w:t>
                </w:r>
              </w:p>
            </w:tc>
          </w:sdtContent>
        </w:sdt>
        <w:sdt>
          <w:sdtPr>
            <w:tag w:val="_PLD_266f18e2f96d4b5e952ee0b646ff98ac"/>
            <w:id w:val="-521938537"/>
          </w:sdtPr>
          <w:sdtContent>
            <w:tc>
              <w:tcPr>
                <w:tcW w:w="2206"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与终止确认相关的利得或损失</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Pr>
          <w:p>
            <w:pPr>
              <w:pStyle w:val="48"/>
              <w:widowControl w:val="0"/>
              <w:jc w:val="both"/>
            </w:pPr>
            <w:r>
              <w:rPr>
                <w:rFonts w:hint="eastAsia"/>
              </w:rPr>
              <w:t>应收款项融资</w:t>
            </w:r>
          </w:p>
        </w:tc>
        <w:tc>
          <w:tcPr>
            <w:tcW w:w="2206" w:type="dxa"/>
          </w:tcPr>
          <w:p>
            <w:pPr>
              <w:pStyle w:val="48"/>
              <w:widowControl w:val="0"/>
              <w:jc w:val="both"/>
            </w:pPr>
            <w:r>
              <w:rPr>
                <w:rFonts w:hint="eastAsia"/>
              </w:rPr>
              <w:t>票据贴现</w:t>
            </w:r>
          </w:p>
        </w:tc>
        <w:tc>
          <w:tcPr>
            <w:tcW w:w="2206" w:type="dxa"/>
          </w:tcPr>
          <w:p>
            <w:pPr>
              <w:widowControl w:val="0"/>
              <w:jc w:val="right"/>
            </w:pPr>
            <w:r>
              <w:t xml:space="preserve"> 79,342,370.71 </w:t>
            </w:r>
          </w:p>
        </w:tc>
        <w:tc>
          <w:tcPr>
            <w:tcW w:w="2206" w:type="dxa"/>
          </w:tcPr>
          <w:p>
            <w:pPr>
              <w:widowControl w:val="0"/>
              <w:jc w:val="right"/>
            </w:pPr>
            <w:r>
              <w:t>-254,349.86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Pr>
          <w:p>
            <w:pPr>
              <w:pStyle w:val="48"/>
              <w:widowControl w:val="0"/>
              <w:jc w:val="both"/>
            </w:pPr>
            <w:r>
              <w:rPr>
                <w:rFonts w:hint="eastAsia"/>
              </w:rPr>
              <w:t>应收款项融资</w:t>
            </w:r>
          </w:p>
        </w:tc>
        <w:tc>
          <w:tcPr>
            <w:tcW w:w="2206" w:type="dxa"/>
          </w:tcPr>
          <w:p>
            <w:pPr>
              <w:pStyle w:val="48"/>
              <w:widowControl w:val="0"/>
              <w:jc w:val="both"/>
            </w:pPr>
            <w:r>
              <w:rPr>
                <w:rFonts w:hint="eastAsia"/>
              </w:rPr>
              <w:t>票据背书</w:t>
            </w:r>
          </w:p>
        </w:tc>
        <w:tc>
          <w:tcPr>
            <w:tcW w:w="2206" w:type="dxa"/>
          </w:tcPr>
          <w:p>
            <w:pPr>
              <w:widowControl w:val="0"/>
              <w:jc w:val="right"/>
            </w:pPr>
            <w:r>
              <w:t xml:space="preserve"> 279,599,815.77 </w:t>
            </w:r>
          </w:p>
        </w:tc>
        <w:tc>
          <w:tcPr>
            <w:tcW w:w="2206" w:type="dxa"/>
          </w:tcPr>
          <w:p>
            <w:pPr>
              <w:widowControl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2206" w:type="dxa"/>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206" w:type="dxa"/>
          </w:tcPr>
          <w:p>
            <w:pPr>
              <w:widowControl w:val="0"/>
              <w:jc w:val="right"/>
            </w:pPr>
            <w:r>
              <w:t xml:space="preserve"> 358,942,186.48 </w:t>
            </w:r>
          </w:p>
        </w:tc>
        <w:tc>
          <w:tcPr>
            <w:tcW w:w="2206" w:type="dxa"/>
          </w:tcPr>
          <w:p>
            <w:pPr>
              <w:widowControl w:val="0"/>
              <w:jc w:val="right"/>
            </w:pPr>
            <w:r>
              <w:t xml:space="preserve"> -254,349.86 </w:t>
            </w:r>
          </w:p>
        </w:tc>
      </w:tr>
    </w:tbl>
    <w:p>
      <w:pPr>
        <w:pStyle w:val="5"/>
        <w:numPr>
          <w:ilvl w:val="0"/>
          <w:numId w:val="87"/>
        </w:numPr>
        <w:ind w:left="425" w:hanging="425"/>
        <w:rPr>
          <w:color w:val="000000" w:themeColor="text1"/>
          <w14:textFill>
            <w14:solidFill>
              <w14:schemeClr w14:val="tx1"/>
            </w14:solidFill>
          </w14:textFill>
        </w:rPr>
      </w:pPr>
      <w:r>
        <w:rPr>
          <w:rFonts w:hint="eastAsia"/>
          <w:color w:val="000000" w:themeColor="text1"/>
          <w14:textFill>
            <w14:solidFill>
              <w14:schemeClr w14:val="tx1"/>
            </w14:solidFill>
          </w14:textFill>
        </w:rPr>
        <w:t>继续涉入的转移金融资产</w:t>
      </w:r>
    </w:p>
    <w:sdt>
      <w:sdtPr>
        <w:rPr>
          <w:color w:val="000000" w:themeColor="text1"/>
          <w14:textFill>
            <w14:solidFill>
              <w14:schemeClr w14:val="tx1"/>
            </w14:solidFill>
          </w14:textFill>
        </w:rPr>
        <w:alias w:val="是否适用：继续涉入的转移金融资产[双击切换]"/>
        <w:tag w:val="_GBC_839df5011587479d8e96a4229c69e37a"/>
        <w:id w:val="-38726614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继续涉入的转移金融资产"/>
          <w:tag w:val="_GBC_b027ef003557490a94f75c9727c8dd3f"/>
          <w:id w:val="-54684338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继续涉入的转移金融资产"/>
          <w:tag w:val="_GBC_bf9a1e91db7a4fa5a8cf4f0452178198"/>
          <w:id w:val="161123625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5"/>
        <w:gridCol w:w="2206"/>
        <w:gridCol w:w="2206"/>
        <w:gridCol w:w="2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80ade223e9af44759210134baea1360c"/>
            <w:id w:val="-411079704"/>
          </w:sdtPr>
          <w:sdtContent>
            <w:tc>
              <w:tcPr>
                <w:tcW w:w="2205"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89e9203b3d94319be060ec562de0afd"/>
            <w:id w:val="175230738"/>
          </w:sdtPr>
          <w:sdtContent>
            <w:tc>
              <w:tcPr>
                <w:tcW w:w="2206"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资产转移方式</w:t>
                </w:r>
              </w:p>
            </w:tc>
          </w:sdtContent>
        </w:sdt>
        <w:sdt>
          <w:sdtPr>
            <w:tag w:val="_PLD_2eecba46481c4ef5bbf99d66463e5645"/>
            <w:id w:val="1167979595"/>
          </w:sdtPr>
          <w:sdtContent>
            <w:tc>
              <w:tcPr>
                <w:tcW w:w="2206"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继续涉入形成的资产金额</w:t>
                </w:r>
              </w:p>
            </w:tc>
          </w:sdtContent>
        </w:sdt>
        <w:sdt>
          <w:sdtPr>
            <w:tag w:val="_PLD_2b880c1a98144e93be726f53b3b16513"/>
            <w:id w:val="1157112723"/>
          </w:sdtPr>
          <w:sdtContent>
            <w:tc>
              <w:tcPr>
                <w:tcW w:w="2206" w:type="dxa"/>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继续涉入形成的负债金额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Pr>
          <w:p>
            <w:pPr>
              <w:pStyle w:val="48"/>
              <w:widowControl w:val="0"/>
              <w:jc w:val="both"/>
            </w:pPr>
            <w:r>
              <w:rPr>
                <w:rFonts w:hint="eastAsia"/>
              </w:rPr>
              <w:t>应收票据</w:t>
            </w:r>
          </w:p>
        </w:tc>
        <w:tc>
          <w:tcPr>
            <w:tcW w:w="2206" w:type="dxa"/>
          </w:tcPr>
          <w:p>
            <w:pPr>
              <w:pStyle w:val="48"/>
              <w:widowControl w:val="0"/>
              <w:jc w:val="both"/>
            </w:pPr>
            <w:r>
              <w:rPr>
                <w:rFonts w:hint="eastAsia"/>
              </w:rPr>
              <w:t>票据贴现</w:t>
            </w:r>
          </w:p>
        </w:tc>
        <w:tc>
          <w:tcPr>
            <w:tcW w:w="2206" w:type="dxa"/>
          </w:tcPr>
          <w:p>
            <w:pPr>
              <w:widowControl w:val="0"/>
              <w:jc w:val="right"/>
            </w:pPr>
            <w:r>
              <w:t xml:space="preserve"> 221,927.64 </w:t>
            </w:r>
          </w:p>
        </w:tc>
        <w:tc>
          <w:tcPr>
            <w:tcW w:w="2206" w:type="dxa"/>
          </w:tcPr>
          <w:p>
            <w:pPr>
              <w:widowControl w:val="0"/>
              <w:jc w:val="right"/>
            </w:pPr>
            <w:r>
              <w:t xml:space="preserve"> 221,927.64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Pr>
          <w:p>
            <w:pPr>
              <w:pStyle w:val="48"/>
              <w:widowControl w:val="0"/>
              <w:jc w:val="both"/>
            </w:pPr>
            <w:r>
              <w:rPr>
                <w:rFonts w:hint="eastAsia"/>
              </w:rPr>
              <w:t>应收账款</w:t>
            </w:r>
          </w:p>
        </w:tc>
        <w:tc>
          <w:tcPr>
            <w:tcW w:w="2206" w:type="dxa"/>
          </w:tcPr>
          <w:p>
            <w:pPr>
              <w:pStyle w:val="48"/>
              <w:widowControl w:val="0"/>
              <w:jc w:val="both"/>
            </w:pPr>
            <w:r>
              <w:rPr>
                <w:rFonts w:hint="eastAsia"/>
              </w:rPr>
              <w:t>应收账款贴现</w:t>
            </w:r>
          </w:p>
        </w:tc>
        <w:tc>
          <w:tcPr>
            <w:tcW w:w="2206" w:type="dxa"/>
          </w:tcPr>
          <w:p>
            <w:pPr>
              <w:widowControl w:val="0"/>
              <w:jc w:val="right"/>
            </w:pPr>
            <w:r>
              <w:t>1,600,000.00</w:t>
            </w:r>
          </w:p>
        </w:tc>
        <w:tc>
          <w:tcPr>
            <w:tcW w:w="2206" w:type="dxa"/>
          </w:tcPr>
          <w:p>
            <w:pPr>
              <w:widowControl w:val="0"/>
              <w:jc w:val="right"/>
            </w:pPr>
            <w:r>
              <w:t xml:space="preserve"> 1,600,000.00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Pr>
          <w:p>
            <w:pPr>
              <w:pStyle w:val="48"/>
              <w:widowControl w:val="0"/>
              <w:jc w:val="both"/>
            </w:pPr>
            <w:r>
              <w:rPr>
                <w:rFonts w:hint="eastAsia"/>
              </w:rPr>
              <w:t>应收票据</w:t>
            </w:r>
          </w:p>
        </w:tc>
        <w:tc>
          <w:tcPr>
            <w:tcW w:w="2206" w:type="dxa"/>
          </w:tcPr>
          <w:p>
            <w:pPr>
              <w:pStyle w:val="48"/>
              <w:widowControl w:val="0"/>
              <w:jc w:val="both"/>
            </w:pPr>
            <w:r>
              <w:rPr>
                <w:rFonts w:hint="eastAsia"/>
              </w:rPr>
              <w:t>票据背书</w:t>
            </w:r>
          </w:p>
        </w:tc>
        <w:tc>
          <w:tcPr>
            <w:tcW w:w="2206" w:type="dxa"/>
          </w:tcPr>
          <w:p>
            <w:pPr>
              <w:widowControl w:val="0"/>
              <w:jc w:val="right"/>
            </w:pPr>
            <w:r>
              <w:t xml:space="preserve"> 238,483,118.37 </w:t>
            </w:r>
          </w:p>
        </w:tc>
        <w:tc>
          <w:tcPr>
            <w:tcW w:w="2206" w:type="dxa"/>
          </w:tcPr>
          <w:p>
            <w:pPr>
              <w:widowControl w:val="0"/>
              <w:jc w:val="right"/>
            </w:pPr>
            <w:r>
              <w:t xml:space="preserve"> 238,483,118.37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Pr>
          <w:p>
            <w:pPr>
              <w:pStyle w:val="48"/>
              <w:widowControl w:val="0"/>
              <w:jc w:val="both"/>
            </w:pPr>
            <w:r>
              <w:rPr>
                <w:rFonts w:hint="eastAsia"/>
              </w:rPr>
              <w:t>应收账款</w:t>
            </w:r>
          </w:p>
        </w:tc>
        <w:tc>
          <w:tcPr>
            <w:tcW w:w="2206" w:type="dxa"/>
          </w:tcPr>
          <w:p>
            <w:pPr>
              <w:pStyle w:val="48"/>
              <w:widowControl w:val="0"/>
              <w:jc w:val="both"/>
            </w:pPr>
            <w:r>
              <w:rPr>
                <w:rFonts w:hint="eastAsia"/>
              </w:rPr>
              <w:t>票据背书</w:t>
            </w:r>
          </w:p>
        </w:tc>
        <w:tc>
          <w:tcPr>
            <w:tcW w:w="2206" w:type="dxa"/>
          </w:tcPr>
          <w:p>
            <w:pPr>
              <w:widowControl w:val="0"/>
              <w:jc w:val="right"/>
            </w:pPr>
            <w:r>
              <w:t xml:space="preserve"> 18,528,661.04 </w:t>
            </w:r>
          </w:p>
        </w:tc>
        <w:tc>
          <w:tcPr>
            <w:tcW w:w="2206" w:type="dxa"/>
          </w:tcPr>
          <w:p>
            <w:pPr>
              <w:widowControl w:val="0"/>
              <w:jc w:val="right"/>
            </w:pPr>
            <w:r>
              <w:t xml:space="preserve"> 18,528,661.04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5" w:type="dxa"/>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2206" w:type="dxa"/>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2206" w:type="dxa"/>
          </w:tcPr>
          <w:p>
            <w:pPr>
              <w:widowControl w:val="0"/>
              <w:jc w:val="right"/>
            </w:pPr>
            <w:r>
              <w:t xml:space="preserve"> 258,833,707.05 </w:t>
            </w:r>
          </w:p>
        </w:tc>
        <w:tc>
          <w:tcPr>
            <w:tcW w:w="2206" w:type="dxa"/>
          </w:tcPr>
          <w:p>
            <w:pPr>
              <w:widowControl w:val="0"/>
              <w:jc w:val="right"/>
            </w:pPr>
            <w:r>
              <w:t xml:space="preserve"> 258,833,707.05 </w:t>
            </w:r>
          </w:p>
        </w:tc>
      </w:tr>
    </w:tbl>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金融资产转移其他说明[双击切换]"/>
        <w:tag w:val="_GBC_d5c96ff7d4c3440e81b67f6ecd7164b1"/>
        <w:id w:val="215863904"/>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36"/>
    <w:p>
      <w:pPr>
        <w:pStyle w:val="3"/>
        <w:numPr>
          <w:ilvl w:val="0"/>
          <w:numId w:val="31"/>
        </w:numPr>
        <w:spacing w:line="360" w:lineRule="exact"/>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公允价值的披露</w:t>
      </w:r>
    </w:p>
    <w:p>
      <w:pPr>
        <w:pStyle w:val="4"/>
        <w:numPr>
          <w:ilvl w:val="0"/>
          <w:numId w:val="88"/>
        </w:numPr>
        <w:spacing w:line="360" w:lineRule="exact"/>
        <w:rPr>
          <w:rFonts w:hint="eastAsia" w:ascii="宋体" w:hAnsi="宋体"/>
          <w:color w:val="000000" w:themeColor="text1"/>
          <w14:textFill>
            <w14:solidFill>
              <w14:schemeClr w14:val="tx1"/>
            </w14:solidFill>
          </w14:textFill>
        </w:rPr>
      </w:pPr>
      <w:bookmarkStart w:id="441" w:name="_Hlk10539195"/>
      <w:r>
        <w:rPr>
          <w:rFonts w:hint="eastAsia" w:ascii="宋体" w:hAnsi="宋体"/>
          <w:color w:val="000000" w:themeColor="text1"/>
          <w14:textFill>
            <w14:solidFill>
              <w14:schemeClr w14:val="tx1"/>
            </w14:solidFill>
          </w14:textFill>
        </w:rPr>
        <w:t>以公允价值计量的资产和负债的期末公允价值</w:t>
      </w:r>
    </w:p>
    <w:sdt>
      <w:sdtPr>
        <w:rPr>
          <w:color w:val="000000" w:themeColor="text1"/>
          <w14:textFill>
            <w14:solidFill>
              <w14:schemeClr w14:val="tx1"/>
            </w14:solidFill>
          </w14:textFill>
        </w:rPr>
        <w:alias w:val="是否适用：以公允价值计量的资产和负债的期末公允价值[双击切换]"/>
        <w:tag w:val="_GBC_291486261b6a4e8092eea55d961b7664"/>
        <w:id w:val="56831305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以公允价值计量的资产和负债的期末公允价值"/>
          <w:tag w:val="_GBC_4b785696cde44d3f8a4a7d28ab963e38"/>
          <w:id w:val="184258284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以公允价值计量的资产和负债的期末公允价值"/>
          <w:tag w:val="_GBC_3bb5670d72804a4b8298edc3e439955a"/>
          <w:id w:val="-52917757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80"/>
        <w:gridCol w:w="1678"/>
        <w:gridCol w:w="1639"/>
        <w:gridCol w:w="1705"/>
        <w:gridCol w:w="1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5" w:hRule="atLeast"/>
        </w:trPr>
        <w:sdt>
          <w:sdtPr>
            <w:tag w:val="_PLD_25e2bb7801744f08a089c0e6a2b31b9b"/>
            <w:id w:val="288554709"/>
          </w:sdtPr>
          <w:sdtContent>
            <w:tc>
              <w:tcPr>
                <w:tcW w:w="1339" w:type="pct"/>
                <w:vMerge w:val="restart"/>
                <w:tcBorders>
                  <w:top w:val="single" w:color="auto" w:sz="4" w:space="0"/>
                  <w:left w:val="single" w:color="auto" w:sz="4" w:space="0"/>
                  <w:right w:val="single" w:color="auto" w:sz="4" w:space="0"/>
                </w:tcBorders>
                <w:vAlign w:val="center"/>
              </w:tcPr>
              <w:p>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项目</w:t>
                </w:r>
              </w:p>
            </w:tc>
          </w:sdtContent>
        </w:sdt>
        <w:sdt>
          <w:sdtPr>
            <w:tag w:val="_PLD_ad919f08ba5040a28e31328eb66da0bf"/>
            <w:id w:val="-1428026543"/>
          </w:sdtPr>
          <w:sdtContent>
            <w:tc>
              <w:tcPr>
                <w:tcW w:w="3661" w:type="pct"/>
                <w:gridSpan w:val="4"/>
                <w:tcBorders>
                  <w:top w:val="single" w:color="auto" w:sz="4" w:space="0"/>
                  <w:left w:val="single" w:color="auto" w:sz="4" w:space="0"/>
                  <w:bottom w:val="single" w:color="auto" w:sz="4" w:space="0"/>
                  <w:right w:val="single" w:color="auto" w:sz="4" w:space="0"/>
                </w:tcBorders>
                <w:vAlign w:val="center"/>
              </w:tcPr>
              <w:p>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期末公允价值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5" w:hRule="atLeast"/>
        </w:trPr>
        <w:tc>
          <w:tcPr>
            <w:tcW w:w="1339" w:type="pct"/>
            <w:vMerge w:val="continue"/>
            <w:tcBorders>
              <w:left w:val="single" w:color="auto" w:sz="4" w:space="0"/>
              <w:bottom w:val="single" w:color="auto" w:sz="4" w:space="0"/>
              <w:right w:val="single" w:color="auto" w:sz="4" w:space="0"/>
            </w:tcBorders>
            <w:vAlign w:val="center"/>
          </w:tcPr>
          <w:p>
            <w:pPr>
              <w:jc w:val="center"/>
              <w:outlineLvl w:val="2"/>
              <w:rPr>
                <w:rFonts w:cs="Cambria"/>
                <w:color w:val="000000" w:themeColor="text1"/>
                <w14:textFill>
                  <w14:solidFill>
                    <w14:schemeClr w14:val="tx1"/>
                  </w14:solidFill>
                </w14:textFill>
              </w:rPr>
            </w:pPr>
          </w:p>
        </w:tc>
        <w:sdt>
          <w:sdtPr>
            <w:tag w:val="_PLD_4bb34c3d92bf450fb80f7c0c95977a2b"/>
            <w:id w:val="1670288923"/>
          </w:sdtPr>
          <w:sdtContent>
            <w:tc>
              <w:tcPr>
                <w:tcW w:w="944" w:type="pct"/>
                <w:tcBorders>
                  <w:top w:val="single" w:color="auto" w:sz="4" w:space="0"/>
                  <w:left w:val="single" w:color="auto" w:sz="4" w:space="0"/>
                  <w:bottom w:val="single" w:color="auto" w:sz="4" w:space="0"/>
                  <w:right w:val="single" w:color="auto" w:sz="4" w:space="0"/>
                </w:tcBorders>
                <w:vAlign w:val="center"/>
              </w:tcPr>
              <w:p>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第一层次公允价值计量</w:t>
                </w:r>
              </w:p>
            </w:tc>
          </w:sdtContent>
        </w:sdt>
        <w:sdt>
          <w:sdtPr>
            <w:tag w:val="_PLD_08753059c9e04a10af2918fbc1559bed"/>
            <w:id w:val="-439837094"/>
          </w:sdtPr>
          <w:sdtContent>
            <w:tc>
              <w:tcPr>
                <w:tcW w:w="922" w:type="pct"/>
                <w:tcBorders>
                  <w:top w:val="single" w:color="auto" w:sz="4" w:space="0"/>
                  <w:left w:val="single" w:color="auto" w:sz="4" w:space="0"/>
                  <w:bottom w:val="single" w:color="auto" w:sz="4" w:space="0"/>
                  <w:right w:val="single" w:color="auto" w:sz="4" w:space="0"/>
                </w:tcBorders>
                <w:vAlign w:val="center"/>
              </w:tcPr>
              <w:p>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第二层次公允价值计量</w:t>
                </w:r>
              </w:p>
            </w:tc>
          </w:sdtContent>
        </w:sdt>
        <w:sdt>
          <w:sdtPr>
            <w:tag w:val="_PLD_b263de838c9c4afa9fddb6dee6409a62"/>
            <w:id w:val="1146468106"/>
          </w:sdtPr>
          <w:sdtContent>
            <w:tc>
              <w:tcPr>
                <w:tcW w:w="959" w:type="pct"/>
                <w:tcBorders>
                  <w:top w:val="single" w:color="auto" w:sz="4" w:space="0"/>
                  <w:left w:val="single" w:color="auto" w:sz="4" w:space="0"/>
                  <w:bottom w:val="single" w:color="auto" w:sz="4" w:space="0"/>
                  <w:right w:val="single" w:color="auto" w:sz="4" w:space="0"/>
                </w:tcBorders>
                <w:vAlign w:val="center"/>
              </w:tcPr>
              <w:p>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第三层次公允价值计量</w:t>
                </w:r>
              </w:p>
            </w:tc>
          </w:sdtContent>
        </w:sdt>
        <w:sdt>
          <w:sdtPr>
            <w:tag w:val="_PLD_50eba344a451417c8072228a7a4959c5"/>
            <w:id w:val="1323084911"/>
          </w:sdtPr>
          <w:sdtContent>
            <w:tc>
              <w:tcPr>
                <w:tcW w:w="836" w:type="pct"/>
                <w:tcBorders>
                  <w:top w:val="single" w:color="auto" w:sz="4" w:space="0"/>
                  <w:left w:val="single" w:color="auto" w:sz="4" w:space="0"/>
                  <w:bottom w:val="single" w:color="auto" w:sz="4" w:space="0"/>
                  <w:right w:val="single" w:color="auto" w:sz="4" w:space="0"/>
                </w:tcBorders>
                <w:vAlign w:val="center"/>
              </w:tcPr>
              <w:p>
                <w:pPr>
                  <w:jc w:val="cente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合计</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7"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b/>
                <w:color w:val="000000" w:themeColor="text1"/>
                <w14:textFill>
                  <w14:solidFill>
                    <w14:schemeClr w14:val="tx1"/>
                  </w14:solidFill>
                </w14:textFill>
              </w:rPr>
            </w:pPr>
            <w:r>
              <w:rPr>
                <w:rFonts w:hint="eastAsia" w:cs="Cambria"/>
                <w:b/>
                <w:color w:val="000000" w:themeColor="text1"/>
                <w14:textFill>
                  <w14:solidFill>
                    <w14:schemeClr w14:val="tx1"/>
                  </w14:solidFill>
                </w14:textFill>
              </w:rPr>
              <w:t>一、持续的公允价值计量</w:t>
            </w:r>
          </w:p>
        </w:tc>
        <w:tc>
          <w:tcPr>
            <w:tcW w:w="944"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（一）交易性金融资产</w:t>
            </w:r>
          </w:p>
        </w:tc>
        <w:tc>
          <w:tcPr>
            <w:tcW w:w="944"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color w:val="000000" w:themeColor="text1"/>
                <w14:textFill>
                  <w14:solidFill>
                    <w14:schemeClr w14:val="tx1"/>
                  </w14:solidFill>
                </w14:textFill>
              </w:rPr>
            </w:pPr>
            <w:r>
              <w:rPr>
                <w:color w:val="000000" w:themeColor="text1"/>
                <w14:textFill>
                  <w14:solidFill>
                    <w14:schemeClr w14:val="tx1"/>
                  </w14:solidFill>
                </w14:textFill>
              </w:rPr>
              <w:t>1.以公允价值计量且变动计入当期损益的金融资产</w:t>
            </w:r>
          </w:p>
        </w:tc>
        <w:tc>
          <w:tcPr>
            <w:tcW w:w="944"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w:t>
            </w:r>
            <w:r>
              <w:rPr>
                <w:rFonts w:cs="Cambria"/>
                <w:color w:val="000000" w:themeColor="text1"/>
                <w14:textFill>
                  <w14:solidFill>
                    <w14:schemeClr w14:val="tx1"/>
                  </w14:solidFill>
                </w14:textFill>
              </w:rPr>
              <w:t>1</w:t>
            </w:r>
            <w:r>
              <w:rPr>
                <w:rFonts w:hint="eastAsia" w:cs="Cambria"/>
                <w:color w:val="000000" w:themeColor="text1"/>
                <w14:textFill>
                  <w14:solidFill>
                    <w14:schemeClr w14:val="tx1"/>
                  </w14:solidFill>
                </w14:textFill>
              </w:rPr>
              <w:t>）债务工具投资</w:t>
            </w:r>
          </w:p>
        </w:tc>
        <w:tc>
          <w:tcPr>
            <w:tcW w:w="944"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w:t>
            </w:r>
            <w:r>
              <w:rPr>
                <w:rFonts w:cs="Cambria"/>
                <w:color w:val="000000" w:themeColor="text1"/>
                <w14:textFill>
                  <w14:solidFill>
                    <w14:schemeClr w14:val="tx1"/>
                  </w14:solidFill>
                </w14:textFill>
              </w:rPr>
              <w:t>2</w:t>
            </w:r>
            <w:r>
              <w:rPr>
                <w:rFonts w:hint="eastAsia" w:cs="Cambria"/>
                <w:color w:val="000000" w:themeColor="text1"/>
                <w14:textFill>
                  <w14:solidFill>
                    <w14:schemeClr w14:val="tx1"/>
                  </w14:solidFill>
                </w14:textFill>
              </w:rPr>
              <w:t>）权益工具投资</w:t>
            </w:r>
          </w:p>
        </w:tc>
        <w:tc>
          <w:tcPr>
            <w:tcW w:w="944"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w:t>
            </w:r>
            <w:r>
              <w:rPr>
                <w:rFonts w:cs="Cambria"/>
                <w:color w:val="000000" w:themeColor="text1"/>
                <w14:textFill>
                  <w14:solidFill>
                    <w14:schemeClr w14:val="tx1"/>
                  </w14:solidFill>
                </w14:textFill>
              </w:rPr>
              <w:t>3</w:t>
            </w:r>
            <w:r>
              <w:rPr>
                <w:rFonts w:hint="eastAsia" w:cs="Cambria"/>
                <w:color w:val="000000" w:themeColor="text1"/>
                <w14:textFill>
                  <w14:solidFill>
                    <w14:schemeClr w14:val="tx1"/>
                  </w14:solidFill>
                </w14:textFill>
              </w:rPr>
              <w:t>）衍生金融资产</w:t>
            </w:r>
          </w:p>
        </w:tc>
        <w:tc>
          <w:tcPr>
            <w:tcW w:w="944"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9"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cs="Cambria"/>
                <w:color w:val="000000" w:themeColor="text1"/>
                <w14:textFill>
                  <w14:solidFill>
                    <w14:schemeClr w14:val="tx1"/>
                  </w14:solidFill>
                </w14:textFill>
              </w:rPr>
              <w:t xml:space="preserve">2. </w:t>
            </w:r>
            <w:r>
              <w:rPr>
                <w:rFonts w:hint="eastAsia" w:cs="Cambria"/>
                <w:color w:val="000000" w:themeColor="text1"/>
                <w14:textFill>
                  <w14:solidFill>
                    <w14:schemeClr w14:val="tx1"/>
                  </w14:solidFill>
                </w14:textFill>
              </w:rPr>
              <w:t>指定以公允价值计量且其变动计入当期损益的金融资产</w:t>
            </w:r>
          </w:p>
        </w:tc>
        <w:tc>
          <w:tcPr>
            <w:tcW w:w="944"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w:t>
            </w:r>
            <w:r>
              <w:rPr>
                <w:rFonts w:cs="Cambria"/>
                <w:color w:val="000000" w:themeColor="text1"/>
                <w14:textFill>
                  <w14:solidFill>
                    <w14:schemeClr w14:val="tx1"/>
                  </w14:solidFill>
                </w14:textFill>
              </w:rPr>
              <w:t>1</w:t>
            </w:r>
            <w:r>
              <w:rPr>
                <w:rFonts w:hint="eastAsia" w:cs="Cambria"/>
                <w:color w:val="000000" w:themeColor="text1"/>
                <w14:textFill>
                  <w14:solidFill>
                    <w14:schemeClr w14:val="tx1"/>
                  </w14:solidFill>
                </w14:textFill>
              </w:rPr>
              <w:t>）债务工具投资</w:t>
            </w:r>
          </w:p>
        </w:tc>
        <w:tc>
          <w:tcPr>
            <w:tcW w:w="944"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w:t>
            </w:r>
            <w:r>
              <w:rPr>
                <w:rFonts w:cs="Cambria"/>
                <w:color w:val="000000" w:themeColor="text1"/>
                <w14:textFill>
                  <w14:solidFill>
                    <w14:schemeClr w14:val="tx1"/>
                  </w14:solidFill>
                </w14:textFill>
              </w:rPr>
              <w:t>2</w:t>
            </w:r>
            <w:r>
              <w:rPr>
                <w:rFonts w:hint="eastAsia" w:cs="Cambria"/>
                <w:color w:val="000000" w:themeColor="text1"/>
                <w14:textFill>
                  <w14:solidFill>
                    <w14:schemeClr w14:val="tx1"/>
                  </w14:solidFill>
                </w14:textFill>
              </w:rPr>
              <w:t>）权益工具投资</w:t>
            </w:r>
          </w:p>
        </w:tc>
        <w:tc>
          <w:tcPr>
            <w:tcW w:w="944"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（二）其他债权投资</w:t>
            </w:r>
          </w:p>
        </w:tc>
        <w:tc>
          <w:tcPr>
            <w:tcW w:w="944"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（三）其他权益工具投资</w:t>
            </w:r>
          </w:p>
        </w:tc>
        <w:tc>
          <w:tcPr>
            <w:tcW w:w="944"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r>
              <w:t xml:space="preserve"> 13,412,529.90 </w:t>
            </w:r>
          </w:p>
        </w:tc>
        <w:tc>
          <w:tcPr>
            <w:tcW w:w="922"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r>
              <w:t xml:space="preserve"> 13,412,529.90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（四）投资性房地产</w:t>
            </w:r>
          </w:p>
        </w:tc>
        <w:tc>
          <w:tcPr>
            <w:tcW w:w="944"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cs="Cambria"/>
                <w:color w:val="000000" w:themeColor="text1"/>
                <w14:textFill>
                  <w14:solidFill>
                    <w14:schemeClr w14:val="tx1"/>
                  </w14:solidFill>
                </w14:textFill>
              </w:rPr>
              <w:t>1.</w:t>
            </w:r>
            <w:r>
              <w:rPr>
                <w:rFonts w:hint="eastAsia" w:cs="Cambria"/>
                <w:color w:val="000000" w:themeColor="text1"/>
                <w14:textFill>
                  <w14:solidFill>
                    <w14:schemeClr w14:val="tx1"/>
                  </w14:solidFill>
                </w14:textFill>
              </w:rPr>
              <w:t>出租用的土地使用权</w:t>
            </w:r>
          </w:p>
        </w:tc>
        <w:tc>
          <w:tcPr>
            <w:tcW w:w="944"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cs="Cambria"/>
                <w:color w:val="000000" w:themeColor="text1"/>
                <w14:textFill>
                  <w14:solidFill>
                    <w14:schemeClr w14:val="tx1"/>
                  </w14:solidFill>
                </w14:textFill>
              </w:rPr>
              <w:t>2.</w:t>
            </w:r>
            <w:r>
              <w:rPr>
                <w:rFonts w:hint="eastAsia" w:cs="Cambria"/>
                <w:color w:val="000000" w:themeColor="text1"/>
                <w14:textFill>
                  <w14:solidFill>
                    <w14:schemeClr w14:val="tx1"/>
                  </w14:solidFill>
                </w14:textFill>
              </w:rPr>
              <w:t>出租的建筑物</w:t>
            </w:r>
          </w:p>
        </w:tc>
        <w:tc>
          <w:tcPr>
            <w:tcW w:w="944"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8"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cs="Cambria"/>
                <w:color w:val="000000" w:themeColor="text1"/>
                <w14:textFill>
                  <w14:solidFill>
                    <w14:schemeClr w14:val="tx1"/>
                  </w14:solidFill>
                </w14:textFill>
              </w:rPr>
              <w:t>3.</w:t>
            </w:r>
            <w:r>
              <w:rPr>
                <w:rFonts w:hint="eastAsia" w:cs="Cambria"/>
                <w:color w:val="000000" w:themeColor="text1"/>
                <w14:textFill>
                  <w14:solidFill>
                    <w14:schemeClr w14:val="tx1"/>
                  </w14:solidFill>
                </w14:textFill>
              </w:rPr>
              <w:t>持有并准备增值后转让的土地使用权</w:t>
            </w:r>
          </w:p>
        </w:tc>
        <w:tc>
          <w:tcPr>
            <w:tcW w:w="944"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（五）生物资产</w:t>
            </w:r>
          </w:p>
        </w:tc>
        <w:tc>
          <w:tcPr>
            <w:tcW w:w="944"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cs="Cambria"/>
                <w:color w:val="000000" w:themeColor="text1"/>
                <w14:textFill>
                  <w14:solidFill>
                    <w14:schemeClr w14:val="tx1"/>
                  </w14:solidFill>
                </w14:textFill>
              </w:rPr>
              <w:t>1.</w:t>
            </w:r>
            <w:r>
              <w:rPr>
                <w:rFonts w:hint="eastAsia" w:cs="Cambria"/>
                <w:color w:val="000000" w:themeColor="text1"/>
                <w14:textFill>
                  <w14:solidFill>
                    <w14:schemeClr w14:val="tx1"/>
                  </w14:solidFill>
                </w14:textFill>
              </w:rPr>
              <w:t>消耗性生物资产</w:t>
            </w:r>
          </w:p>
        </w:tc>
        <w:tc>
          <w:tcPr>
            <w:tcW w:w="944"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color w:val="000000" w:themeColor="text1"/>
                <w14:textFill>
                  <w14:solidFill>
                    <w14:schemeClr w14:val="tx1"/>
                  </w14:solidFill>
                </w14:textFill>
              </w:rPr>
            </w:pPr>
            <w:r>
              <w:rPr>
                <w:rFonts w:cs="Cambria"/>
                <w:color w:val="000000" w:themeColor="text1"/>
                <w14:textFill>
                  <w14:solidFill>
                    <w14:schemeClr w14:val="tx1"/>
                  </w14:solidFill>
                </w14:textFill>
              </w:rPr>
              <w:t>2.</w:t>
            </w:r>
            <w:r>
              <w:rPr>
                <w:rFonts w:hint="eastAsia" w:cs="Cambria"/>
                <w:color w:val="000000" w:themeColor="text1"/>
                <w14:textFill>
                  <w14:solidFill>
                    <w14:schemeClr w14:val="tx1"/>
                  </w14:solidFill>
                </w14:textFill>
              </w:rPr>
              <w:t>生产性生物资产</w:t>
            </w:r>
          </w:p>
        </w:tc>
        <w:tc>
          <w:tcPr>
            <w:tcW w:w="944"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836"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15"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rPr>
            </w:pPr>
            <w:r>
              <w:rPr>
                <w:rFonts w:cs="Cambria"/>
              </w:rPr>
              <w:t>（六）应收款项融资</w:t>
            </w:r>
          </w:p>
        </w:tc>
        <w:tc>
          <w:tcPr>
            <w:tcW w:w="944"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22"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r>
              <w:t xml:space="preserve"> 34,121,157.77 </w:t>
            </w:r>
          </w:p>
        </w:tc>
        <w:tc>
          <w:tcPr>
            <w:tcW w:w="836"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r>
              <w:t xml:space="preserve"> 34,121,157.77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8" w:hRule="atLeast"/>
        </w:trPr>
        <w:tc>
          <w:tcPr>
            <w:tcW w:w="1339" w:type="pct"/>
            <w:tcBorders>
              <w:top w:val="single" w:color="auto" w:sz="4" w:space="0"/>
              <w:left w:val="single" w:color="auto" w:sz="4" w:space="0"/>
              <w:bottom w:val="single" w:color="auto" w:sz="4" w:space="0"/>
              <w:right w:val="single" w:color="auto" w:sz="4" w:space="0"/>
            </w:tcBorders>
          </w:tcPr>
          <w:p>
            <w:pPr>
              <w:outlineLvl w:val="2"/>
              <w:rPr>
                <w:rFonts w:cs="Cambria"/>
                <w:b/>
                <w:color w:val="000000" w:themeColor="text1"/>
                <w14:textFill>
                  <w14:solidFill>
                    <w14:schemeClr w14:val="tx1"/>
                  </w14:solidFill>
                </w14:textFill>
              </w:rPr>
            </w:pPr>
            <w:r>
              <w:rPr>
                <w:rFonts w:hint="eastAsia" w:cs="Cambria"/>
                <w:b/>
                <w:color w:val="000000" w:themeColor="text1"/>
                <w14:textFill>
                  <w14:solidFill>
                    <w14:schemeClr w14:val="tx1"/>
                  </w14:solidFill>
                </w14:textFill>
              </w:rPr>
              <w:t>持续以公允价值计量的资产总额</w:t>
            </w:r>
          </w:p>
        </w:tc>
        <w:tc>
          <w:tcPr>
            <w:tcW w:w="944"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r>
              <w:t xml:space="preserve"> 13,412,529.90 </w:t>
            </w:r>
          </w:p>
        </w:tc>
        <w:tc>
          <w:tcPr>
            <w:tcW w:w="922"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p>
        </w:tc>
        <w:tc>
          <w:tcPr>
            <w:tcW w:w="959"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r>
              <w:t xml:space="preserve"> 34,121,157.77 </w:t>
            </w:r>
          </w:p>
        </w:tc>
        <w:tc>
          <w:tcPr>
            <w:tcW w:w="836" w:type="pct"/>
            <w:tcBorders>
              <w:top w:val="single" w:color="auto" w:sz="4" w:space="0"/>
              <w:left w:val="single" w:color="auto" w:sz="4" w:space="0"/>
              <w:bottom w:val="single" w:color="auto" w:sz="4" w:space="0"/>
              <w:right w:val="single" w:color="auto" w:sz="4" w:space="0"/>
            </w:tcBorders>
            <w:vAlign w:val="center"/>
          </w:tcPr>
          <w:p>
            <w:pPr>
              <w:jc w:val="right"/>
              <w:outlineLvl w:val="2"/>
              <w:rPr>
                <w:rFonts w:cs="Cambria"/>
              </w:rPr>
            </w:pPr>
            <w:r>
              <w:t xml:space="preserve"> 47,533,687.67 </w:t>
            </w:r>
          </w:p>
        </w:tc>
      </w:tr>
      <w:bookmarkEnd w:id="441"/>
    </w:tbl>
    <w:p>
      <w:pPr>
        <w:pStyle w:val="4"/>
        <w:numPr>
          <w:ilvl w:val="0"/>
          <w:numId w:val="88"/>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持续和非持续第一层次公允价值计量项目市价的确定依据</w:t>
      </w:r>
    </w:p>
    <w:sdt>
      <w:sdtPr>
        <w:rPr>
          <w:color w:val="000000" w:themeColor="text1"/>
          <w14:textFill>
            <w14:solidFill>
              <w14:schemeClr w14:val="tx1"/>
            </w14:solidFill>
          </w14:textFill>
        </w:rPr>
        <w:alias w:val="是否适用：持续和非持续第一层次公允价值计量项目市价的确定依据[双击切换]"/>
        <w:tag w:val="_GBC_699178e78c6743f697df07ed34d59216"/>
        <w:id w:val="-1892868718"/>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ind w:firstLine="420" w:firstLineChars="200"/>
        <w:rPr>
          <w:rFonts w:cs="Arial"/>
          <w:color w:val="000000" w:themeColor="text1"/>
          <w14:textFill>
            <w14:solidFill>
              <w14:schemeClr w14:val="tx1"/>
            </w14:solidFill>
          </w14:textFill>
        </w:rPr>
      </w:pPr>
      <w:sdt>
        <w:sdtPr>
          <w:rPr>
            <w:rFonts w:hint="eastAsia" w:cs="Arial"/>
            <w:color w:val="000000" w:themeColor="text1"/>
            <w14:textFill>
              <w14:solidFill>
                <w14:schemeClr w14:val="tx1"/>
              </w14:solidFill>
            </w14:textFill>
          </w:rPr>
          <w:alias w:val="持续和非持续第一层次公允价值计量项目市价的确定依据"/>
          <w:tag w:val="_GBC_8db65a2ca59047da919942f97cfc594e"/>
          <w:id w:val="-1401520646"/>
          <w:placeholder>
            <w:docPart w:val="GBC22222222222222222222222222222"/>
          </w:placeholder>
        </w:sdtPr>
        <w:sdtEndPr>
          <w:rPr>
            <w:rFonts w:hint="eastAsia" w:cs="Arial"/>
            <w:color w:val="000000" w:themeColor="text1"/>
            <w14:textFill>
              <w14:solidFill>
                <w14:schemeClr w14:val="tx1"/>
              </w14:solidFill>
            </w14:textFill>
          </w:rPr>
        </w:sdtEndPr>
        <w:sdtContent>
          <w:r>
            <w:rPr>
              <w:rFonts w:cs="Arial"/>
              <w:color w:val="000000" w:themeColor="text1"/>
              <w14:textFill>
                <w14:solidFill>
                  <w14:schemeClr w14:val="tx1"/>
                </w14:solidFill>
              </w14:textFill>
            </w:rPr>
            <w:t>本公司持有的第一层次公允价值计量的交易性金融资产为在活跃市场上交易的股票，本公司以其活跃市场报价确定其公允价值。</w:t>
          </w:r>
        </w:sdtContent>
      </w:sdt>
    </w:p>
    <w:p>
      <w:pPr>
        <w:pStyle w:val="4"/>
        <w:numPr>
          <w:ilvl w:val="0"/>
          <w:numId w:val="88"/>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持续和非持续第二层次公允价值计量项目，采用的估值技术和重要参数的定性及定量信息</w:t>
      </w:r>
    </w:p>
    <w:sdt>
      <w:sdtPr>
        <w:rPr>
          <w:rFonts w:hint="eastAsia" w:cs="Cambria"/>
          <w:color w:val="000000" w:themeColor="text1"/>
          <w14:textFill>
            <w14:solidFill>
              <w14:schemeClr w14:val="tx1"/>
            </w14:solidFill>
          </w14:textFill>
        </w:rPr>
        <w:alias w:val="是否适用：持续和非持续第二层次公允价值计量项目，采用的估值技术和重要参数的定性及定量信息[双击切换]"/>
        <w:tag w:val="_GBC_8bee9b1c9bf241d5ae1f2c4578fc3b6c"/>
        <w:id w:val="1095903157"/>
        <w:placeholder>
          <w:docPart w:val="GBC22222222222222222222222222222"/>
        </w:placeholder>
      </w:sdtPr>
      <w:sdtEndPr>
        <w:rPr>
          <w:rFonts w:hint="eastAsia" w:cs="Cambria"/>
          <w:color w:val="000000" w:themeColor="text1"/>
          <w14:textFill>
            <w14:solidFill>
              <w14:schemeClr w14:val="tx1"/>
            </w14:solidFill>
          </w14:textFill>
        </w:rPr>
      </w:sdtEndPr>
      <w:sdtContent>
        <w:p>
          <w:pPr>
            <w:tabs>
              <w:tab w:val="left" w:pos="1134"/>
            </w:tabs>
            <w:spacing w:line="360" w:lineRule="atLeast"/>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p>
      <w:pPr>
        <w:pStyle w:val="4"/>
        <w:numPr>
          <w:ilvl w:val="0"/>
          <w:numId w:val="88"/>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持续和非持续第三层次公允价值计量项目，采用的估值技术和重要参数的定性及定量信息</w:t>
      </w:r>
    </w:p>
    <w:sdt>
      <w:sdtPr>
        <w:rPr>
          <w:rFonts w:hint="eastAsia"/>
          <w:color w:val="000000" w:themeColor="text1"/>
          <w14:textFill>
            <w14:solidFill>
              <w14:schemeClr w14:val="tx1"/>
            </w14:solidFill>
          </w14:textFill>
        </w:rPr>
        <w:alias w:val="是否适用：持续和非持续第三层次公允价值计量项目，采用的估值技术和重要参数的定性及定量信息[双击切换]"/>
        <w:tag w:val="_GBC_4feedb18bf344f2ebff0035f82f30e3c"/>
        <w:id w:val="-1855716378"/>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持续和非持续第三层次公允价值计量项目，采用的估值技术和重要参数的定性及定量信息"/>
        <w:tag w:val="_GBC_db2fdcfb26ce4ca9ac1e8da23b16aaaa"/>
        <w:id w:val="-708173309"/>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atLeas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本公司持有的第三层次公允价值计量的应收款项融资为应收银行承兑汇票，其信用风险较小且剩余期限较短，本公司以其票面余额确定其公允价值。</w:t>
          </w:r>
        </w:p>
      </w:sdtContent>
    </w:sdt>
    <w:p>
      <w:pPr>
        <w:pStyle w:val="4"/>
        <w:numPr>
          <w:ilvl w:val="0"/>
          <w:numId w:val="88"/>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持续的第三层次公允价值计量项目，期初与期末账面价值间的调节信息及不可观察参数敏感性分析</w:t>
      </w:r>
    </w:p>
    <w:sdt>
      <w:sdtPr>
        <w:rPr>
          <w:rFonts w:hint="eastAsia"/>
          <w:color w:val="000000" w:themeColor="text1"/>
          <w14:textFill>
            <w14:solidFill>
              <w14:schemeClr w14:val="tx1"/>
            </w14:solidFill>
          </w14:textFill>
        </w:rPr>
        <w:alias w:val="是否适用：持续的第三层次公允价值计量项目，期初与期末账面价值间的调节信息及不可观察参数敏感性分析[双击切换]"/>
        <w:tag w:val="_GBC_fbb80659fa8c4cbba85b32b2b514495c"/>
        <w:id w:val="299508147"/>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88"/>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持续的公允价值计量项目，本期内发生各层级之间转换的，转换的原因及确定转换时点的政策</w:t>
      </w:r>
    </w:p>
    <w:sdt>
      <w:sdtPr>
        <w:rPr>
          <w:rFonts w:hint="eastAsia"/>
          <w:color w:val="000000" w:themeColor="text1"/>
          <w14:textFill>
            <w14:solidFill>
              <w14:schemeClr w14:val="tx1"/>
            </w14:solidFill>
          </w14:textFill>
        </w:rPr>
        <w:alias w:val="是否适用：持续的公允价值计量项目，本期内发生各层级之间转换的，转换的原因及确定转换时点的政策[双击切换]"/>
        <w:tag w:val="_GBC_e3d16a79a58242bc9c7be1f3a6f00898"/>
        <w:id w:val="548421655"/>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88"/>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本期内发生的估值技术变更及变更原因</w:t>
      </w:r>
    </w:p>
    <w:sdt>
      <w:sdtPr>
        <w:rPr>
          <w:color w:val="000000" w:themeColor="text1"/>
          <w14:textFill>
            <w14:solidFill>
              <w14:schemeClr w14:val="tx1"/>
            </w14:solidFill>
          </w14:textFill>
        </w:rPr>
        <w:alias w:val="是否适用：本期内发生的估值技术变更及变更原因[双击切换]"/>
        <w:tag w:val="_GBC_b070160060a9485c87417fe5a8b5e02f"/>
        <w:id w:val="397414966"/>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88"/>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不以公允价值计量的金融资产和金融负债的公允价值情况</w:t>
      </w:r>
    </w:p>
    <w:sdt>
      <w:sdtPr>
        <w:rPr>
          <w:rFonts w:hint="eastAsia" w:cstheme="minorBidi"/>
          <w:color w:val="000000" w:themeColor="text1"/>
          <w14:textFill>
            <w14:solidFill>
              <w14:schemeClr w14:val="tx1"/>
            </w14:solidFill>
          </w14:textFill>
        </w:rPr>
        <w:alias w:val="是否适用：不以公允价值计量的金融资产和金融负债的公允价值情况[双击切换]"/>
        <w:tag w:val="_GBC_848a058035fb408c922e66294e86defb"/>
        <w:id w:val="-209962149"/>
        <w:placeholder>
          <w:docPart w:val="GBC22222222222222222222222222222"/>
        </w:placeholder>
      </w:sdtPr>
      <w:sdtEndPr>
        <w:rPr>
          <w:rFonts w:hint="eastAsia" w:cstheme="minorBidi"/>
          <w:color w:val="000000" w:themeColor="text1"/>
          <w14:textFill>
            <w14:solidFill>
              <w14:schemeClr w14:val="tx1"/>
            </w14:solidFill>
          </w14:textFill>
        </w:rPr>
      </w:sdtEndPr>
      <w:sdtContent>
        <w:p>
          <w:pPr>
            <w:spacing w:line="360" w:lineRule="atLeast"/>
            <w:rPr>
              <w:rFonts w:cstheme="minorBidi"/>
              <w:color w:val="000000" w:themeColor="text1"/>
              <w14:textFill>
                <w14:solidFill>
                  <w14:schemeClr w14:val="tx1"/>
                </w14:solidFill>
              </w14:textFill>
            </w:rPr>
          </w:pPr>
          <w:r>
            <w:rPr>
              <w:rFonts w:ascii="宋体" w:hAnsi="宋体" w:cstheme="minorBidi"/>
              <w:color w:val="000000" w:themeColor="text1"/>
              <w14:textFill>
                <w14:solidFill>
                  <w14:schemeClr w14:val="tx1"/>
                </w14:solidFill>
              </w14:textFill>
            </w:rPr>
            <w:fldChar w:fldCharType="begin"/>
          </w:r>
          <w:r>
            <w:rPr>
              <w:rFonts w:ascii="宋体" w:hAnsi="宋体" w:cstheme="minorBidi"/>
              <w:color w:val="000000" w:themeColor="text1"/>
              <w14:textFill>
                <w14:solidFill>
                  <w14:schemeClr w14:val="tx1"/>
                </w14:solidFill>
              </w14:textFill>
            </w:rPr>
            <w:instrText xml:space="preserve"> </w:instrText>
          </w:r>
          <w:r>
            <w:rPr>
              <w:rFonts w:hint="eastAsia" w:ascii="宋体" w:hAnsi="宋体" w:cstheme="minorBidi"/>
              <w:color w:val="000000" w:themeColor="text1"/>
              <w14:textFill>
                <w14:solidFill>
                  <w14:schemeClr w14:val="tx1"/>
                </w14:solidFill>
              </w14:textFill>
            </w:rPr>
            <w:instrText xml:space="preserve">MACROBUTTON  SnrToggleCheckbox √适用</w:instrText>
          </w:r>
          <w:r>
            <w:rPr>
              <w:rFonts w:ascii="宋体" w:hAnsi="宋体" w:cstheme="minorBidi"/>
              <w:color w:val="000000" w:themeColor="text1"/>
              <w14:textFill>
                <w14:solidFill>
                  <w14:schemeClr w14:val="tx1"/>
                </w14:solidFill>
              </w14:textFill>
            </w:rPr>
            <w:instrText xml:space="preserve"> </w:instrText>
          </w:r>
          <w:r>
            <w:rPr>
              <w:rFonts w:ascii="宋体" w:hAnsi="宋体" w:cstheme="minorBidi"/>
              <w:color w:val="000000" w:themeColor="text1"/>
              <w14:textFill>
                <w14:solidFill>
                  <w14:schemeClr w14:val="tx1"/>
                </w14:solidFill>
              </w14:textFill>
            </w:rPr>
            <w:fldChar w:fldCharType="end"/>
          </w:r>
          <w:r>
            <w:rPr>
              <w:rFonts w:ascii="宋体" w:hAnsi="宋体" w:cstheme="minorBidi"/>
              <w:color w:val="000000" w:themeColor="text1"/>
              <w14:textFill>
                <w14:solidFill>
                  <w14:schemeClr w14:val="tx1"/>
                </w14:solidFill>
              </w14:textFill>
            </w:rPr>
            <w:fldChar w:fldCharType="begin"/>
          </w:r>
          <w:r>
            <w:rPr>
              <w:rFonts w:ascii="宋体" w:hAnsi="宋体" w:cstheme="minorBidi"/>
              <w:color w:val="000000" w:themeColor="text1"/>
              <w14:textFill>
                <w14:solidFill>
                  <w14:schemeClr w14:val="tx1"/>
                </w14:solidFill>
              </w14:textFill>
            </w:rPr>
            <w:instrText xml:space="preserve"> MACROBUTTON  SnrToggleCheckbox □不适用 </w:instrText>
          </w:r>
          <w:r>
            <w:rPr>
              <w:rFonts w:ascii="宋体" w:hAnsi="宋体" w:cstheme="minorBidi"/>
              <w:color w:val="000000" w:themeColor="text1"/>
              <w14:textFill>
                <w14:solidFill>
                  <w14:schemeClr w14:val="tx1"/>
                </w14:solidFill>
              </w14:textFill>
            </w:rPr>
            <w:fldChar w:fldCharType="end"/>
          </w:r>
        </w:p>
      </w:sdtContent>
    </w:sdt>
    <w:sdt>
      <w:sdtPr>
        <w:rPr>
          <w:rFonts w:hint="eastAsia" w:cstheme="minorBidi"/>
          <w:color w:val="000000" w:themeColor="text1"/>
          <w14:textFill>
            <w14:solidFill>
              <w14:schemeClr w14:val="tx1"/>
            </w14:solidFill>
          </w14:textFill>
        </w:rPr>
        <w:alias w:val="不以公允价值计量的金融资产和金融负债的公允价值情况"/>
        <w:tag w:val="_GBC_b98a8914aa7341d8811e287268440b08"/>
        <w:id w:val="1530531054"/>
        <w:placeholder>
          <w:docPart w:val="GBC22222222222222222222222222222"/>
        </w:placeholder>
      </w:sdtPr>
      <w:sdtEndPr>
        <w:rPr>
          <w:rFonts w:hint="eastAsia" w:cstheme="minorBidi"/>
          <w:color w:val="000000" w:themeColor="text1"/>
          <w14:textFill>
            <w14:solidFill>
              <w14:schemeClr w14:val="tx1"/>
            </w14:solidFill>
          </w14:textFill>
        </w:rPr>
      </w:sdtEndPr>
      <w:sdtContent>
        <w:p>
          <w:pPr>
            <w:spacing w:line="360" w:lineRule="atLeast"/>
            <w:ind w:firstLine="420" w:firstLineChars="200"/>
            <w:rPr>
              <w:rFonts w:cstheme="minorBidi"/>
              <w:color w:val="000000" w:themeColor="text1"/>
              <w14:textFill>
                <w14:solidFill>
                  <w14:schemeClr w14:val="tx1"/>
                </w14:solidFill>
              </w14:textFill>
            </w:rPr>
          </w:pPr>
          <w:r>
            <w:rPr>
              <w:rFonts w:cstheme="minorBidi"/>
              <w:color w:val="000000" w:themeColor="text1"/>
              <w14:textFill>
                <w14:solidFill>
                  <w14:schemeClr w14:val="tx1"/>
                </w14:solidFill>
              </w14:textFill>
            </w:rPr>
            <w:t>不以公允价值计量的金融资产和负债主要包括：应收款项、短期借款、应付款项、一年内到期的非流动负债和长期借款等。</w:t>
          </w:r>
        </w:p>
      </w:sdtContent>
    </w:sdt>
    <w:p>
      <w:pPr>
        <w:pStyle w:val="4"/>
        <w:numPr>
          <w:ilvl w:val="0"/>
          <w:numId w:val="88"/>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rFonts w:hint="eastAsia"/>
          <w:color w:val="000000" w:themeColor="text1"/>
          <w14:textFill>
            <w14:solidFill>
              <w14:schemeClr w14:val="tx1"/>
            </w14:solidFill>
          </w14:textFill>
        </w:rPr>
        <w:alias w:val="是否适用：公允价值其他需要披露的事项[双击切换]"/>
        <w:tag w:val="_GBC_9174a0e7dec04e80924ee384dabe783a"/>
        <w:id w:val="1414206585"/>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
        <w:numPr>
          <w:ilvl w:val="0"/>
          <w:numId w:val="31"/>
        </w:numPr>
        <w:spacing w:line="360" w:lineRule="atLeast"/>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关联方及关联交易</w:t>
      </w:r>
    </w:p>
    <w:p>
      <w:pPr>
        <w:pStyle w:val="4"/>
        <w:numPr>
          <w:ilvl w:val="0"/>
          <w:numId w:val="89"/>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本企业的母公司情况</w:t>
      </w:r>
    </w:p>
    <w:sdt>
      <w:sdtPr>
        <w:rPr>
          <w:color w:val="000000" w:themeColor="text1"/>
          <w14:textFill>
            <w14:solidFill>
              <w14:schemeClr w14:val="tx1"/>
            </w14:solidFill>
          </w14:textFill>
        </w:rPr>
        <w:alias w:val="是否适用：本企业的母公司情况[双击切换]"/>
        <w:tag w:val="_GBC_ead7e4ec9cc847adb62aa8efd8005802"/>
        <w:id w:val="-1037197824"/>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89"/>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本企业的子公司情况</w:t>
      </w:r>
    </w:p>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本企业子公司的情况详见附注</w:t>
      </w:r>
    </w:p>
    <w:sdt>
      <w:sdtPr>
        <w:rPr>
          <w:color w:val="000000" w:themeColor="text1"/>
          <w14:textFill>
            <w14:solidFill>
              <w14:schemeClr w14:val="tx1"/>
            </w14:solidFill>
          </w14:textFill>
        </w:rPr>
        <w:alias w:val="是否适用：本公司的子公司情况详见附注[双击切换]"/>
        <w:tag w:val="_GBC_a8d551b9f62149d3bf9322adae2c671f"/>
        <w:id w:val="-1145733407"/>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rFonts w:hint="eastAsia"/>
          <w:color w:val="000000" w:themeColor="text1"/>
          <w14:textFill>
            <w14:solidFill>
              <w14:schemeClr w14:val="tx1"/>
            </w14:solidFill>
          </w14:textFill>
        </w:rPr>
        <w:alias w:val="本公司的子公司情况详见附注"/>
        <w:tag w:val="_GBC_bb3e2669c3cc45d0a6637b1809087708"/>
        <w:id w:val="-578210926"/>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color w:val="000000" w:themeColor="text1"/>
              <w14:textFill>
                <w14:solidFill>
                  <w14:schemeClr w14:val="tx1"/>
                </w14:solidFill>
              </w14:textFill>
            </w:rPr>
            <w:t>本企业子公司的情况详见本报告“第八节.十、在其他主体中的权益”。</w:t>
          </w:r>
        </w:p>
      </w:sdtContent>
    </w:sdt>
    <w:p>
      <w:pPr>
        <w:pStyle w:val="4"/>
        <w:numPr>
          <w:ilvl w:val="0"/>
          <w:numId w:val="89"/>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本企业合营和联营企业情况</w:t>
      </w:r>
    </w:p>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本企业重要的合营或联营企业详见附注</w:t>
      </w:r>
    </w:p>
    <w:sdt>
      <w:sdtPr>
        <w:rPr>
          <w:color w:val="000000" w:themeColor="text1"/>
          <w14:textFill>
            <w14:solidFill>
              <w14:schemeClr w14:val="tx1"/>
            </w14:solidFill>
          </w14:textFill>
        </w:rPr>
        <w:alias w:val="是否适用：本企业重要的合营或联营企业详见附注[双击切换]"/>
        <w:tag w:val="_GBC_2a369d3377e94598b2a744dfe59973e2"/>
        <w:id w:val="-1036499482"/>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本期与本公司发生关联方交易，或前期与本公司发生关联方交易形成余额的其他合营或联营企业情况如下</w:t>
      </w:r>
    </w:p>
    <w:sdt>
      <w:sdtPr>
        <w:rPr>
          <w:color w:val="000000" w:themeColor="text1"/>
          <w14:textFill>
            <w14:solidFill>
              <w14:schemeClr w14:val="tx1"/>
            </w14:solidFill>
          </w14:textFill>
        </w:rPr>
        <w:alias w:val="是否适用：本期与本公司发生关联方交易，或前期与本公司发生关联方交易形成余额的其他合营或联营企业情况如下[双击切换]"/>
        <w:tag w:val="_GBC_cab97913a7cc4573b25c34077eadbc4c"/>
        <w:id w:val="-640654618"/>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85"/>
        <w:gridCol w:w="5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sdt>
          <w:sdtPr>
            <w:tag w:val="_PLD_e5c009b9730d40bc93f36e5e672cbe84"/>
            <w:id w:val="1598745708"/>
          </w:sdtPr>
          <w:sdtContent>
            <w:tc>
              <w:tcPr>
                <w:tcW w:w="2202" w:type="pct"/>
                <w:tcBorders>
                  <w:top w:val="single" w:color="auto" w:sz="4" w:space="0"/>
                  <w:left w:val="single" w:color="auto" w:sz="4" w:space="0"/>
                  <w:bottom w:val="single" w:color="auto" w:sz="4" w:space="0"/>
                  <w:right w:val="single" w:color="auto" w:sz="4" w:space="0"/>
                </w:tcBorders>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合营或联营企业名称</w:t>
                </w:r>
              </w:p>
            </w:tc>
          </w:sdtContent>
        </w:sdt>
        <w:sdt>
          <w:sdtPr>
            <w:tag w:val="_PLD_84c60036e8b849288542661d1d1b9890"/>
            <w:id w:val="1636917549"/>
          </w:sdtPr>
          <w:sdtContent>
            <w:tc>
              <w:tcPr>
                <w:tcW w:w="2798" w:type="pct"/>
                <w:tcBorders>
                  <w:top w:val="single" w:color="auto" w:sz="4" w:space="0"/>
                  <w:left w:val="single" w:color="auto" w:sz="4" w:space="0"/>
                  <w:bottom w:val="single" w:color="auto" w:sz="4" w:space="0"/>
                  <w:right w:val="single" w:color="auto" w:sz="4" w:space="0"/>
                </w:tcBorders>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与本企业关系</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202" w:type="pct"/>
            <w:tcBorders>
              <w:top w:val="single" w:color="auto" w:sz="4" w:space="0"/>
              <w:left w:val="single" w:color="auto" w:sz="4" w:space="0"/>
              <w:bottom w:val="single" w:color="auto" w:sz="4" w:space="0"/>
              <w:right w:val="single" w:color="auto" w:sz="4" w:space="0"/>
            </w:tcBorders>
          </w:tcPr>
          <w:p>
            <w:pPr>
              <w:pStyle w:val="48"/>
            </w:pPr>
            <w:r>
              <w:rPr>
                <w:rFonts w:hint="eastAsia"/>
              </w:rPr>
              <w:t>重庆能投长寿经开区售电有限公司</w:t>
            </w:r>
          </w:p>
        </w:tc>
        <w:tc>
          <w:tcPr>
            <w:tcW w:w="2798" w:type="pct"/>
            <w:tcBorders>
              <w:top w:val="single" w:color="auto" w:sz="4" w:space="0"/>
              <w:left w:val="single" w:color="auto" w:sz="4" w:space="0"/>
              <w:bottom w:val="single" w:color="auto" w:sz="4" w:space="0"/>
              <w:right w:val="single" w:color="auto" w:sz="4" w:space="0"/>
            </w:tcBorders>
          </w:tcPr>
          <w:p>
            <w:pPr>
              <w:pStyle w:val="48"/>
            </w:pPr>
            <w:r>
              <w:rPr>
                <w:rFonts w:hint="eastAsia"/>
              </w:rPr>
              <w:t>联营企业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0" w:hRule="atLeast"/>
        </w:trPr>
        <w:tc>
          <w:tcPr>
            <w:tcW w:w="2202" w:type="pct"/>
            <w:tcBorders>
              <w:top w:val="single" w:color="auto" w:sz="4" w:space="0"/>
              <w:left w:val="single" w:color="auto" w:sz="4" w:space="0"/>
              <w:bottom w:val="single" w:color="auto" w:sz="4" w:space="0"/>
              <w:right w:val="single" w:color="auto" w:sz="4" w:space="0"/>
            </w:tcBorders>
          </w:tcPr>
          <w:p>
            <w:pPr>
              <w:pStyle w:val="48"/>
            </w:pPr>
            <w:r>
              <w:t>深圳南海电气科技有限公司</w:t>
            </w:r>
          </w:p>
        </w:tc>
        <w:tc>
          <w:tcPr>
            <w:tcW w:w="2798" w:type="pct"/>
            <w:tcBorders>
              <w:top w:val="single" w:color="auto" w:sz="4" w:space="0"/>
              <w:left w:val="single" w:color="auto" w:sz="4" w:space="0"/>
              <w:bottom w:val="single" w:color="auto" w:sz="4" w:space="0"/>
              <w:right w:val="single" w:color="auto" w:sz="4" w:space="0"/>
            </w:tcBorders>
          </w:tcPr>
          <w:p>
            <w:pPr>
              <w:pStyle w:val="48"/>
            </w:pPr>
            <w:r>
              <w:t>联营企业</w:t>
            </w:r>
          </w:p>
        </w:tc>
      </w:tr>
    </w:tbl>
    <w:p>
      <w:pPr>
        <w:tabs>
          <w:tab w:val="left" w:pos="1134"/>
        </w:tabs>
        <w:spacing w:line="360" w:lineRule="exact"/>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其他说明</w:t>
      </w:r>
    </w:p>
    <w:sdt>
      <w:sdtPr>
        <w:rPr>
          <w:rFonts w:cs="Cambria"/>
          <w:color w:val="000000" w:themeColor="text1"/>
          <w14:textFill>
            <w14:solidFill>
              <w14:schemeClr w14:val="tx1"/>
            </w14:solidFill>
          </w14:textFill>
        </w:rPr>
        <w:alias w:val="是否适用：存在关联方交易或余额的合营和联营企业情况说明[双击切换]"/>
        <w:tag w:val="_GBC_6d56e8a9eaca4f499d758b2eb96268bf"/>
        <w:id w:val="1391378570"/>
        <w:placeholder>
          <w:docPart w:val="GBC22222222222222222222222222222"/>
        </w:placeholder>
      </w:sdtPr>
      <w:sdtEndPr>
        <w:rPr>
          <w:rFonts w:cs="Cambria"/>
          <w:color w:val="000000" w:themeColor="text1"/>
          <w14:textFill>
            <w14:solidFill>
              <w14:schemeClr w14:val="tx1"/>
            </w14:solidFill>
          </w14:textFill>
        </w:rPr>
      </w:sdtEndPr>
      <w:sdtContent>
        <w:p>
          <w:pPr>
            <w:tabs>
              <w:tab w:val="left" w:pos="1134"/>
            </w:tabs>
            <w:spacing w:line="360" w:lineRule="exact"/>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sdt>
      <w:sdtPr>
        <w:rPr>
          <w:rFonts w:cs="Cambria"/>
        </w:rPr>
        <w:alias w:val="存在关联方交易或余额的合营和联营企业情况说明"/>
        <w:tag w:val="_GBC_afdc74851c8d46aabe2bd15b0fcb9f8e"/>
        <w:id w:val="-1958859790"/>
        <w:placeholder>
          <w:docPart w:val="553D5FFA745D4300A1C7E1A7EDF3515A"/>
        </w:placeholder>
      </w:sdtPr>
      <w:sdtEndPr>
        <w:rPr>
          <w:rFonts w:cs="Cambria"/>
        </w:rPr>
      </w:sdtEndPr>
      <w:sdtContent>
        <w:p>
          <w:pPr>
            <w:tabs>
              <w:tab w:val="left" w:pos="1134"/>
            </w:tabs>
            <w:spacing w:line="360" w:lineRule="exact"/>
            <w:rPr>
              <w:rFonts w:cs="Cambria"/>
            </w:rPr>
          </w:pPr>
          <w:r>
            <w:rPr>
              <w:rFonts w:cs="Cambria"/>
            </w:rPr>
            <w:t>自202</w:t>
          </w:r>
          <w:r>
            <w:rPr>
              <w:rFonts w:hint="eastAsia" w:cs="Cambria"/>
            </w:rPr>
            <w:t>6</w:t>
          </w:r>
          <w:r>
            <w:rPr>
              <w:rFonts w:cs="Cambria"/>
            </w:rPr>
            <w:t>年</w:t>
          </w:r>
          <w:r>
            <w:rPr>
              <w:rFonts w:hint="eastAsia" w:cs="Cambria"/>
            </w:rPr>
            <w:t>6</w:t>
          </w:r>
          <w:r>
            <w:rPr>
              <w:rFonts w:cs="Cambria"/>
            </w:rPr>
            <w:t>月</w:t>
          </w:r>
          <w:r>
            <w:rPr>
              <w:rFonts w:hint="eastAsia" w:cs="Cambria"/>
            </w:rPr>
            <w:t>10</w:t>
          </w:r>
          <w:r>
            <w:rPr>
              <w:rFonts w:cs="Cambria"/>
            </w:rPr>
            <w:t>日起，</w:t>
          </w:r>
          <w:r>
            <w:t>深圳南海电气科技有限公司</w:t>
          </w:r>
          <w:r>
            <w:rPr>
              <w:rFonts w:cs="Cambria"/>
            </w:rPr>
            <w:t>成为本公司子公司</w:t>
          </w:r>
        </w:p>
      </w:sdtContent>
    </w:sdt>
    <w:p>
      <w:pPr>
        <w:tabs>
          <w:tab w:val="left" w:pos="1134"/>
        </w:tabs>
        <w:rPr>
          <w:rFonts w:cs="Cambria"/>
          <w:color w:val="000000" w:themeColor="text1"/>
          <w14:textFill>
            <w14:solidFill>
              <w14:schemeClr w14:val="tx1"/>
            </w14:solidFill>
          </w14:textFill>
        </w:rPr>
      </w:pPr>
    </w:p>
    <w:p>
      <w:pPr>
        <w:pStyle w:val="4"/>
        <w:numPr>
          <w:ilvl w:val="0"/>
          <w:numId w:val="89"/>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其他关联方情况</w:t>
      </w:r>
    </w:p>
    <w:sdt>
      <w:sdtPr>
        <w:rPr>
          <w:color w:val="000000" w:themeColor="text1"/>
          <w14:textFill>
            <w14:solidFill>
              <w14:schemeClr w14:val="tx1"/>
            </w14:solidFill>
          </w14:textFill>
        </w:rPr>
        <w:alias w:val="是否适用：其他关联方情况[双击切换]"/>
        <w:tag w:val="_GBC_f9c029ef57734babb6375a74af1e3736"/>
        <w:id w:val="-58646018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56"/>
        <w:gridCol w:w="4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sdt>
          <w:sdtPr>
            <w:tag w:val="_PLD_8fe00abbc9b249a98b2e3ac6b12f12db"/>
            <w:id w:val="58068485"/>
          </w:sdtPr>
          <w:sdtContent>
            <w:tc>
              <w:tcPr>
                <w:tcW w:w="2407" w:type="pct"/>
                <w:tcBorders>
                  <w:top w:val="single" w:color="auto" w:sz="4" w:space="0"/>
                  <w:left w:val="single" w:color="auto" w:sz="4" w:space="0"/>
                  <w:bottom w:val="single" w:color="auto" w:sz="4" w:space="0"/>
                  <w:right w:val="single" w:color="auto" w:sz="4" w:space="0"/>
                </w:tcBorders>
              </w:tcPr>
              <w:p>
                <w:pPr>
                  <w:jc w:val="center"/>
                  <w:rPr>
                    <w:rFonts w:cs="Cambria"/>
                    <w:color w:val="000000" w:themeColor="text1"/>
                    <w14:textFill>
                      <w14:solidFill>
                        <w14:schemeClr w14:val="tx1"/>
                      </w14:solidFill>
                    </w14:textFill>
                  </w:rPr>
                </w:pPr>
                <w:bookmarkStart w:id="442" w:name="OLE_LINK2"/>
                <w:r>
                  <w:rPr>
                    <w:rFonts w:hint="eastAsia" w:cs="Cambria"/>
                    <w:color w:val="000000" w:themeColor="text1"/>
                    <w14:textFill>
                      <w14:solidFill>
                        <w14:schemeClr w14:val="tx1"/>
                      </w14:solidFill>
                    </w14:textFill>
                  </w:rPr>
                  <w:t>其他关联方名称</w:t>
                </w:r>
              </w:p>
            </w:tc>
          </w:sdtContent>
        </w:sdt>
        <w:sdt>
          <w:sdtPr>
            <w:tag w:val="_PLD_c1304840da1e482f80286e0c7ca19002"/>
            <w:id w:val="867796003"/>
          </w:sdtPr>
          <w:sdtContent>
            <w:tc>
              <w:tcPr>
                <w:tcW w:w="2593" w:type="pct"/>
                <w:tcBorders>
                  <w:top w:val="single" w:color="auto" w:sz="4" w:space="0"/>
                  <w:left w:val="single" w:color="auto" w:sz="4" w:space="0"/>
                  <w:bottom w:val="single" w:color="auto" w:sz="4" w:space="0"/>
                  <w:right w:val="single" w:color="auto" w:sz="4" w:space="0"/>
                </w:tcBorders>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其他关联方与本企业关系</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07" w:type="pct"/>
            <w:tcBorders>
              <w:top w:val="single" w:color="auto" w:sz="4" w:space="0"/>
              <w:left w:val="single" w:color="auto" w:sz="4" w:space="0"/>
              <w:bottom w:val="single" w:color="auto" w:sz="4" w:space="0"/>
              <w:right w:val="single" w:color="auto" w:sz="4" w:space="0"/>
            </w:tcBorders>
            <w:vAlign w:val="center"/>
          </w:tcPr>
          <w:p>
            <w:pPr>
              <w:jc w:val="both"/>
              <w:rPr>
                <w:rFonts w:cs="Cambria"/>
              </w:rPr>
            </w:pPr>
            <w:r>
              <w:rPr>
                <w:rFonts w:hint="eastAsia"/>
              </w:rPr>
              <w:t>四川明珠电工材料有限责任公司</w:t>
            </w:r>
          </w:p>
        </w:tc>
        <w:tc>
          <w:tcPr>
            <w:tcW w:w="2593" w:type="pct"/>
            <w:tcBorders>
              <w:top w:val="single" w:color="auto" w:sz="4" w:space="0"/>
              <w:left w:val="single" w:color="auto" w:sz="4" w:space="0"/>
              <w:bottom w:val="single" w:color="auto" w:sz="4" w:space="0"/>
              <w:right w:val="single" w:color="auto" w:sz="4" w:space="0"/>
            </w:tcBorders>
            <w:vAlign w:val="center"/>
          </w:tcPr>
          <w:p>
            <w:pPr>
              <w:jc w:val="both"/>
              <w:rPr>
                <w:rFonts w:cs="Cambria"/>
                <w:color w:val="000000" w:themeColor="text1"/>
                <w14:textFill>
                  <w14:solidFill>
                    <w14:schemeClr w14:val="tx1"/>
                  </w14:solidFill>
                </w14:textFill>
              </w:rPr>
            </w:pPr>
            <w:r>
              <w:rPr>
                <w:rFonts w:hint="eastAsia"/>
              </w:rPr>
              <w:t>公司股东夏强（截至2025年12月31日持有公司102.2万股股票，占公司股份总数的0.31%，自2026年3月起不再持股）持股51%并担任执行董事兼经理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07" w:type="pct"/>
            <w:tcBorders>
              <w:top w:val="single" w:color="auto" w:sz="4" w:space="0"/>
              <w:left w:val="single" w:color="auto" w:sz="4" w:space="0"/>
              <w:bottom w:val="single" w:color="auto" w:sz="4" w:space="0"/>
              <w:right w:val="single" w:color="auto" w:sz="4" w:space="0"/>
            </w:tcBorders>
            <w:vAlign w:val="center"/>
          </w:tcPr>
          <w:p>
            <w:pPr>
              <w:jc w:val="both"/>
            </w:pPr>
            <w:bookmarkStart w:id="443" w:name="_Hlk236727585"/>
            <w:r>
              <w:t>四川元启星光数字能源科技有限公司</w:t>
            </w:r>
          </w:p>
        </w:tc>
        <w:tc>
          <w:tcPr>
            <w:tcW w:w="2593" w:type="pct"/>
            <w:tcBorders>
              <w:top w:val="single" w:color="auto" w:sz="4" w:space="0"/>
              <w:left w:val="single" w:color="auto" w:sz="4" w:space="0"/>
              <w:bottom w:val="single" w:color="auto" w:sz="4" w:space="0"/>
              <w:right w:val="single" w:color="auto" w:sz="4" w:space="0"/>
            </w:tcBorders>
          </w:tcPr>
          <w:p>
            <w:pPr>
              <w:jc w:val="both"/>
            </w:pPr>
            <w:r>
              <w:rPr>
                <w:rFonts w:hint="eastAsia"/>
              </w:rPr>
              <w:t>其他[注]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07" w:type="pct"/>
            <w:tcBorders>
              <w:top w:val="single" w:color="auto" w:sz="4" w:space="0"/>
              <w:left w:val="single" w:color="auto" w:sz="4" w:space="0"/>
              <w:bottom w:val="single" w:color="auto" w:sz="4" w:space="0"/>
              <w:right w:val="single" w:color="auto" w:sz="4" w:space="0"/>
            </w:tcBorders>
          </w:tcPr>
          <w:p>
            <w:pPr>
              <w:pStyle w:val="48"/>
            </w:pPr>
            <w:r>
              <w:t>东莞元启星光数字能源技术有限公司</w:t>
            </w:r>
          </w:p>
        </w:tc>
        <w:tc>
          <w:tcPr>
            <w:tcW w:w="2593" w:type="pct"/>
            <w:tcBorders>
              <w:top w:val="single" w:color="auto" w:sz="4" w:space="0"/>
              <w:left w:val="single" w:color="auto" w:sz="4" w:space="0"/>
              <w:bottom w:val="single" w:color="auto" w:sz="4" w:space="0"/>
              <w:right w:val="single" w:color="auto" w:sz="4" w:space="0"/>
            </w:tcBorders>
          </w:tcPr>
          <w:p>
            <w:pPr>
              <w:jc w:val="both"/>
              <w:rPr>
                <w:rFonts w:cs="Cambria"/>
                <w:color w:val="000000" w:themeColor="text1"/>
                <w14:textFill>
                  <w14:solidFill>
                    <w14:schemeClr w14:val="tx1"/>
                  </w14:solidFill>
                </w14:textFill>
              </w:rPr>
            </w:pPr>
            <w:r>
              <w:rPr>
                <w:rFonts w:hint="eastAsia"/>
              </w:rPr>
              <w:t>四川元启星光数字能源科技有限公司之子公司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07" w:type="pct"/>
            <w:tcBorders>
              <w:top w:val="single" w:color="auto" w:sz="4" w:space="0"/>
              <w:left w:val="single" w:color="auto" w:sz="4" w:space="0"/>
              <w:bottom w:val="single" w:color="auto" w:sz="4" w:space="0"/>
              <w:right w:val="single" w:color="auto" w:sz="4" w:space="0"/>
            </w:tcBorders>
          </w:tcPr>
          <w:p>
            <w:pPr>
              <w:rPr>
                <w:rFonts w:cs="Cambria"/>
              </w:rPr>
            </w:pPr>
            <w:r>
              <w:rPr>
                <w:rFonts w:hint="eastAsia"/>
              </w:rPr>
              <w:t>元启星光（防城港）数字能源技术有限公司</w:t>
            </w:r>
          </w:p>
        </w:tc>
        <w:tc>
          <w:tcPr>
            <w:tcW w:w="2593" w:type="pct"/>
            <w:tcBorders>
              <w:top w:val="single" w:color="auto" w:sz="4" w:space="0"/>
              <w:left w:val="single" w:color="auto" w:sz="4" w:space="0"/>
              <w:bottom w:val="single" w:color="auto" w:sz="4" w:space="0"/>
              <w:right w:val="single" w:color="auto" w:sz="4" w:space="0"/>
            </w:tcBorders>
          </w:tcPr>
          <w:p>
            <w:pPr>
              <w:jc w:val="both"/>
              <w:rPr>
                <w:rFonts w:cs="Cambria"/>
                <w:color w:val="000000" w:themeColor="text1"/>
                <w14:textFill>
                  <w14:solidFill>
                    <w14:schemeClr w14:val="tx1"/>
                  </w14:solidFill>
                </w14:textFill>
              </w:rPr>
            </w:pPr>
            <w:r>
              <w:rPr>
                <w:rFonts w:hint="eastAsia"/>
              </w:rPr>
              <w:t>四川元启星光数字能源科技有限公司之子公司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07" w:type="pct"/>
            <w:tcBorders>
              <w:top w:val="single" w:color="auto" w:sz="4" w:space="0"/>
              <w:left w:val="single" w:color="auto" w:sz="4" w:space="0"/>
              <w:bottom w:val="single" w:color="auto" w:sz="4" w:space="0"/>
              <w:right w:val="single" w:color="auto" w:sz="4" w:space="0"/>
            </w:tcBorders>
          </w:tcPr>
          <w:p>
            <w:pPr>
              <w:rPr>
                <w:rFonts w:cs="Cambria"/>
              </w:rPr>
            </w:pPr>
            <w:r>
              <w:rPr>
                <w:rFonts w:hint="eastAsia"/>
              </w:rPr>
              <w:t>元启星光（韶关）数字能源技术有限公司</w:t>
            </w:r>
          </w:p>
        </w:tc>
        <w:tc>
          <w:tcPr>
            <w:tcW w:w="2593" w:type="pct"/>
            <w:tcBorders>
              <w:top w:val="single" w:color="auto" w:sz="4" w:space="0"/>
              <w:left w:val="single" w:color="auto" w:sz="4" w:space="0"/>
              <w:bottom w:val="single" w:color="auto" w:sz="4" w:space="0"/>
              <w:right w:val="single" w:color="auto" w:sz="4" w:space="0"/>
            </w:tcBorders>
          </w:tcPr>
          <w:p>
            <w:pPr>
              <w:jc w:val="both"/>
              <w:rPr>
                <w:rFonts w:cs="Cambria"/>
                <w:color w:val="000000" w:themeColor="text1"/>
                <w14:textFill>
                  <w14:solidFill>
                    <w14:schemeClr w14:val="tx1"/>
                  </w14:solidFill>
                </w14:textFill>
              </w:rPr>
            </w:pPr>
            <w:r>
              <w:rPr>
                <w:rFonts w:hint="eastAsia"/>
              </w:rPr>
              <w:t>四川元启星光数字能源科技有限公司之子公司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07" w:type="pct"/>
            <w:tcBorders>
              <w:top w:val="single" w:color="auto" w:sz="4" w:space="0"/>
              <w:left w:val="single" w:color="auto" w:sz="4" w:space="0"/>
              <w:bottom w:val="single" w:color="auto" w:sz="4" w:space="0"/>
              <w:right w:val="single" w:color="auto" w:sz="4" w:space="0"/>
            </w:tcBorders>
          </w:tcPr>
          <w:p>
            <w:pPr>
              <w:rPr>
                <w:rFonts w:cs="Cambria"/>
              </w:rPr>
            </w:pPr>
            <w:r>
              <w:rPr>
                <w:rFonts w:hint="eastAsia"/>
              </w:rPr>
              <w:t>元启星光能源科技（古交）有限公司</w:t>
            </w:r>
          </w:p>
        </w:tc>
        <w:tc>
          <w:tcPr>
            <w:tcW w:w="2593" w:type="pct"/>
            <w:tcBorders>
              <w:top w:val="single" w:color="auto" w:sz="4" w:space="0"/>
              <w:left w:val="single" w:color="auto" w:sz="4" w:space="0"/>
              <w:bottom w:val="single" w:color="auto" w:sz="4" w:space="0"/>
              <w:right w:val="single" w:color="auto" w:sz="4" w:space="0"/>
            </w:tcBorders>
          </w:tcPr>
          <w:p>
            <w:pPr>
              <w:jc w:val="both"/>
              <w:rPr>
                <w:rFonts w:cs="Cambria"/>
                <w:color w:val="000000" w:themeColor="text1"/>
                <w14:textFill>
                  <w14:solidFill>
                    <w14:schemeClr w14:val="tx1"/>
                  </w14:solidFill>
                </w14:textFill>
              </w:rPr>
            </w:pPr>
            <w:r>
              <w:rPr>
                <w:rFonts w:hint="eastAsia"/>
              </w:rPr>
              <w:t>四川元启星光数字能源科技有限公司之子公司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07" w:type="pct"/>
            <w:tcBorders>
              <w:top w:val="single" w:color="auto" w:sz="4" w:space="0"/>
              <w:left w:val="single" w:color="auto" w:sz="4" w:space="0"/>
              <w:bottom w:val="single" w:color="auto" w:sz="4" w:space="0"/>
              <w:right w:val="single" w:color="auto" w:sz="4" w:space="0"/>
            </w:tcBorders>
          </w:tcPr>
          <w:p>
            <w:pPr>
              <w:rPr>
                <w:rFonts w:cs="Cambria"/>
              </w:rPr>
            </w:pPr>
            <w:r>
              <w:rPr>
                <w:rFonts w:hint="eastAsia"/>
              </w:rPr>
              <w:t>元启星光数字能源技术（新密市）有限公司</w:t>
            </w:r>
          </w:p>
        </w:tc>
        <w:tc>
          <w:tcPr>
            <w:tcW w:w="2593" w:type="pct"/>
            <w:tcBorders>
              <w:top w:val="single" w:color="auto" w:sz="4" w:space="0"/>
              <w:left w:val="single" w:color="auto" w:sz="4" w:space="0"/>
              <w:bottom w:val="single" w:color="auto" w:sz="4" w:space="0"/>
              <w:right w:val="single" w:color="auto" w:sz="4" w:space="0"/>
            </w:tcBorders>
          </w:tcPr>
          <w:p>
            <w:pPr>
              <w:jc w:val="both"/>
              <w:rPr>
                <w:rFonts w:cs="Cambria"/>
                <w:color w:val="000000" w:themeColor="text1"/>
                <w14:textFill>
                  <w14:solidFill>
                    <w14:schemeClr w14:val="tx1"/>
                  </w14:solidFill>
                </w14:textFill>
              </w:rPr>
            </w:pPr>
            <w:r>
              <w:rPr>
                <w:rFonts w:hint="eastAsia"/>
              </w:rPr>
              <w:t>四川元启星光数字能源科技有限公司之子公司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07" w:type="pct"/>
            <w:tcBorders>
              <w:top w:val="single" w:color="auto" w:sz="4" w:space="0"/>
              <w:left w:val="single" w:color="auto" w:sz="4" w:space="0"/>
              <w:bottom w:val="single" w:color="auto" w:sz="4" w:space="0"/>
              <w:right w:val="single" w:color="auto" w:sz="4" w:space="0"/>
            </w:tcBorders>
          </w:tcPr>
          <w:p>
            <w:pPr>
              <w:rPr>
                <w:rFonts w:cs="Cambria"/>
              </w:rPr>
            </w:pPr>
            <w:r>
              <w:rPr>
                <w:rFonts w:hint="eastAsia"/>
              </w:rPr>
              <w:t>元启星光数字能源科技（珙县）有限公司</w:t>
            </w:r>
          </w:p>
        </w:tc>
        <w:tc>
          <w:tcPr>
            <w:tcW w:w="2593" w:type="pct"/>
            <w:tcBorders>
              <w:top w:val="single" w:color="auto" w:sz="4" w:space="0"/>
              <w:left w:val="single" w:color="auto" w:sz="4" w:space="0"/>
              <w:bottom w:val="single" w:color="auto" w:sz="4" w:space="0"/>
              <w:right w:val="single" w:color="auto" w:sz="4" w:space="0"/>
            </w:tcBorders>
          </w:tcPr>
          <w:p>
            <w:pPr>
              <w:jc w:val="both"/>
              <w:rPr>
                <w:rFonts w:cs="Cambria"/>
                <w:color w:val="000000" w:themeColor="text1"/>
                <w14:textFill>
                  <w14:solidFill>
                    <w14:schemeClr w14:val="tx1"/>
                  </w14:solidFill>
                </w14:textFill>
              </w:rPr>
            </w:pPr>
            <w:r>
              <w:rPr>
                <w:rFonts w:hint="eastAsia"/>
              </w:rPr>
              <w:t>四川元启星光数字能源科技有限公司之子公司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07" w:type="pct"/>
            <w:tcBorders>
              <w:top w:val="single" w:color="auto" w:sz="4" w:space="0"/>
              <w:left w:val="single" w:color="auto" w:sz="4" w:space="0"/>
              <w:bottom w:val="single" w:color="auto" w:sz="4" w:space="0"/>
              <w:right w:val="single" w:color="auto" w:sz="4" w:space="0"/>
            </w:tcBorders>
          </w:tcPr>
          <w:p>
            <w:pPr>
              <w:rPr>
                <w:rFonts w:cs="Cambria"/>
              </w:rPr>
            </w:pPr>
            <w:r>
              <w:rPr>
                <w:rFonts w:hint="eastAsia"/>
              </w:rPr>
              <w:t>元启星光数字能源科技(桂阳)有限公司</w:t>
            </w:r>
          </w:p>
        </w:tc>
        <w:tc>
          <w:tcPr>
            <w:tcW w:w="2593" w:type="pct"/>
            <w:tcBorders>
              <w:top w:val="single" w:color="auto" w:sz="4" w:space="0"/>
              <w:left w:val="single" w:color="auto" w:sz="4" w:space="0"/>
              <w:bottom w:val="single" w:color="auto" w:sz="4" w:space="0"/>
              <w:right w:val="single" w:color="auto" w:sz="4" w:space="0"/>
            </w:tcBorders>
          </w:tcPr>
          <w:p>
            <w:pPr>
              <w:jc w:val="both"/>
              <w:rPr>
                <w:rFonts w:cs="Cambria"/>
                <w:color w:val="000000" w:themeColor="text1"/>
                <w14:textFill>
                  <w14:solidFill>
                    <w14:schemeClr w14:val="tx1"/>
                  </w14:solidFill>
                </w14:textFill>
              </w:rPr>
            </w:pPr>
            <w:r>
              <w:rPr>
                <w:rFonts w:hint="eastAsia"/>
              </w:rPr>
              <w:t>四川元启星光数字能源科技有限公司之子公司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07" w:type="pct"/>
            <w:tcBorders>
              <w:top w:val="single" w:color="auto" w:sz="4" w:space="0"/>
              <w:left w:val="single" w:color="auto" w:sz="4" w:space="0"/>
              <w:bottom w:val="single" w:color="auto" w:sz="4" w:space="0"/>
              <w:right w:val="single" w:color="auto" w:sz="4" w:space="0"/>
            </w:tcBorders>
          </w:tcPr>
          <w:p>
            <w:pPr>
              <w:rPr>
                <w:rFonts w:cs="Cambria"/>
              </w:rPr>
            </w:pPr>
            <w:r>
              <w:rPr>
                <w:rFonts w:hint="eastAsia"/>
              </w:rPr>
              <w:t>元启星光数字能源科技（孟州市）有限公司</w:t>
            </w:r>
          </w:p>
        </w:tc>
        <w:tc>
          <w:tcPr>
            <w:tcW w:w="2593" w:type="pct"/>
            <w:tcBorders>
              <w:top w:val="single" w:color="auto" w:sz="4" w:space="0"/>
              <w:left w:val="single" w:color="auto" w:sz="4" w:space="0"/>
              <w:bottom w:val="single" w:color="auto" w:sz="4" w:space="0"/>
              <w:right w:val="single" w:color="auto" w:sz="4" w:space="0"/>
            </w:tcBorders>
          </w:tcPr>
          <w:p>
            <w:pPr>
              <w:jc w:val="both"/>
              <w:rPr>
                <w:rFonts w:cs="Cambria"/>
                <w:color w:val="000000" w:themeColor="text1"/>
                <w14:textFill>
                  <w14:solidFill>
                    <w14:schemeClr w14:val="tx1"/>
                  </w14:solidFill>
                </w14:textFill>
              </w:rPr>
            </w:pPr>
            <w:r>
              <w:rPr>
                <w:rFonts w:hint="eastAsia"/>
              </w:rPr>
              <w:t>四川元启星光数字能源科技有限公司之子公司</w:t>
            </w:r>
          </w:p>
        </w:tc>
      </w:tr>
      <w:bookmarkEnd w:id="442"/>
      <w:bookmarkEnd w:id="443"/>
    </w:tbl>
    <w:p>
      <w:pPr>
        <w:tabs>
          <w:tab w:val="left" w:pos="1134"/>
        </w:tabs>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其他说明</w:t>
      </w:r>
    </w:p>
    <w:sdt>
      <w:sdtPr>
        <w:rPr>
          <w:rFonts w:cs="Cambria"/>
          <w:color w:val="000000" w:themeColor="text1"/>
          <w14:textFill>
            <w14:solidFill>
              <w14:schemeClr w14:val="tx1"/>
            </w14:solidFill>
          </w14:textFill>
        </w:rPr>
        <w:alias w:val="本企业的其他关联方情况的说明"/>
        <w:tag w:val="_GBC_214bcb1375e347c4be22006f5cc854a9"/>
        <w:id w:val="-1963099781"/>
        <w:placeholder>
          <w:docPart w:val="GBC22222222222222222222222222222"/>
        </w:placeholder>
      </w:sdtPr>
      <w:sdtEndPr>
        <w:rPr>
          <w:rFonts w:cs="Cambria"/>
          <w:color w:val="000000" w:themeColor="text1"/>
          <w14:textFill>
            <w14:solidFill>
              <w14:schemeClr w14:val="tx1"/>
            </w14:solidFill>
          </w14:textFill>
        </w:rPr>
      </w:sdtEndPr>
      <w:sdtContent>
        <w:p>
          <w:pPr>
            <w:tabs>
              <w:tab w:val="left" w:pos="1134"/>
            </w:tabs>
            <w:spacing w:line="360" w:lineRule="exact"/>
            <w:ind w:firstLine="420" w:firstLineChars="200"/>
            <w:jc w:val="both"/>
            <w:rPr>
              <w:rFonts w:cs="Cambria"/>
              <w:color w:val="000000" w:themeColor="text1"/>
              <w14:textFill>
                <w14:solidFill>
                  <w14:schemeClr w14:val="tx1"/>
                </w14:solidFill>
              </w14:textFill>
            </w:rPr>
          </w:pPr>
          <w:r>
            <w:rPr>
              <w:rFonts w:cs="Cambria"/>
              <w:color w:val="000000" w:themeColor="text1"/>
              <w14:textFill>
                <w14:solidFill>
                  <w14:schemeClr w14:val="tx1"/>
                </w14:solidFill>
              </w14:textFill>
            </w:rPr>
            <w:t>四川元启星光数字能源科技有限公司实际控制人之配偶，持有望变电气子公司望来电14.50%的股权。2026年上半年，元启星光及其子公司与望变电气及其子公司发生交易，该交易额产生的收入和利润对望变电气有重大</w:t>
          </w:r>
          <w:bookmarkStart w:id="554" w:name="_GoBack"/>
          <w:bookmarkEnd w:id="554"/>
          <w:r>
            <w:rPr>
              <w:rFonts w:cs="Cambria"/>
              <w:color w:val="000000" w:themeColor="text1"/>
              <w14:textFill>
                <w14:solidFill>
                  <w14:schemeClr w14:val="tx1"/>
                </w14:solidFill>
              </w14:textFill>
            </w:rPr>
            <w:t>影响。</w:t>
          </w:r>
        </w:p>
      </w:sdtContent>
    </w:sdt>
    <w:p>
      <w:pPr>
        <w:pStyle w:val="4"/>
        <w:numPr>
          <w:ilvl w:val="0"/>
          <w:numId w:val="89"/>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关联交易情况</w:t>
      </w:r>
    </w:p>
    <w:p>
      <w:pPr>
        <w:pStyle w:val="5"/>
        <w:numPr>
          <w:ilvl w:val="0"/>
          <w:numId w:val="90"/>
        </w:numPr>
        <w:tabs>
          <w:tab w:val="left" w:pos="616"/>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购销商品、提供和接受劳务的关联交易</w:t>
      </w:r>
    </w:p>
    <w:p>
      <w:pPr>
        <w:spacing w:line="360" w:lineRule="exact"/>
        <w:rPr>
          <w:color w:val="000000" w:themeColor="text1"/>
          <w14:textFill>
            <w14:solidFill>
              <w14:schemeClr w14:val="tx1"/>
            </w14:solidFill>
          </w14:textFill>
        </w:rPr>
      </w:pPr>
      <w:bookmarkStart w:id="444" w:name="_Hlk137124040"/>
      <w:r>
        <w:rPr>
          <w:rFonts w:hint="eastAsia"/>
          <w:color w:val="000000" w:themeColor="text1"/>
          <w14:textFill>
            <w14:solidFill>
              <w14:schemeClr w14:val="tx1"/>
            </w14:solidFill>
          </w14:textFill>
        </w:rPr>
        <w:t>采购商品/接受劳务情况表</w:t>
      </w:r>
    </w:p>
    <w:sdt>
      <w:sdtPr>
        <w:rPr>
          <w:color w:val="000000" w:themeColor="text1"/>
          <w14:textFill>
            <w14:solidFill>
              <w14:schemeClr w14:val="tx1"/>
            </w14:solidFill>
          </w14:textFill>
        </w:rPr>
        <w:alias w:val="是否适用：采购商品或接受劳务情况表[双击切换]"/>
        <w:tag w:val="_GBC_af7e43b831354837910c4edde708e04a"/>
        <w:id w:val="-847172887"/>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rFonts w:cs="Cambria"/>
          <w:b/>
          <w:bCs w:val="0"/>
          <w:color w:val="000000" w:themeColor="text1"/>
          <w14:textFill>
            <w14:solidFill>
              <w14:schemeClr w14:val="tx1"/>
            </w14:solidFill>
          </w14:textFill>
        </w:rPr>
      </w:pPr>
      <w:r>
        <w:rPr>
          <w:rFonts w:hint="eastAsia" w:cs="Cambria"/>
          <w:color w:val="000000" w:themeColor="text1"/>
          <w14:textFill>
            <w14:solidFill>
              <w14:schemeClr w14:val="tx1"/>
            </w14:solidFill>
          </w14:textFill>
        </w:rPr>
        <w:t>单位：</w:t>
      </w:r>
      <w:sdt>
        <w:sdtPr>
          <w:rPr>
            <w:rFonts w:hint="eastAsia" w:cs="Cambria"/>
            <w:color w:val="000000" w:themeColor="text1"/>
            <w14:textFill>
              <w14:solidFill>
                <w14:schemeClr w14:val="tx1"/>
              </w14:solidFill>
            </w14:textFill>
          </w:rPr>
          <w:alias w:val="单位：采购商品接受劳务情况表"/>
          <w:tag w:val="_GBC_45ae86deace34388a904346eae355be1"/>
          <w:id w:val="-2126369302"/>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元</w:t>
          </w:r>
        </w:sdtContent>
      </w:sdt>
      <w:r>
        <w:rPr>
          <w:rFonts w:hint="eastAsia" w:cs="Cambria"/>
          <w:color w:val="000000" w:themeColor="text1"/>
          <w14:textFill>
            <w14:solidFill>
              <w14:schemeClr w14:val="tx1"/>
            </w14:solidFill>
          </w14:textFill>
        </w:rPr>
        <w:t xml:space="preserve"> 币种：</w:t>
      </w:r>
      <w:sdt>
        <w:sdtPr>
          <w:rPr>
            <w:rFonts w:hint="eastAsia" w:cs="Cambria"/>
            <w:color w:val="000000" w:themeColor="text1"/>
            <w14:textFill>
              <w14:solidFill>
                <w14:schemeClr w14:val="tx1"/>
              </w14:solidFill>
            </w14:textFill>
          </w:rPr>
          <w:alias w:val="币种：采购商品接受劳务情况表"/>
          <w:tag w:val="_GBC_ac9ca64b68bd493da1d7e7c719a6104c"/>
          <w:id w:val="-959339388"/>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478"/>
        <w:gridCol w:w="1556"/>
        <w:gridCol w:w="1424"/>
        <w:gridCol w:w="1544"/>
        <w:gridCol w:w="1623"/>
        <w:gridCol w:w="142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5" w:hRule="atLeast"/>
        </w:trPr>
        <w:sdt>
          <w:sdtPr>
            <w:tag w:val="_PLD_c09a7dc97d494a8fb07056392e54876a"/>
            <w:id w:val="-1364194798"/>
          </w:sdtPr>
          <w:sdtContent>
            <w:tc>
              <w:tcPr>
                <w:tcW w:w="843"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关联方</w:t>
                </w:r>
              </w:p>
            </w:tc>
          </w:sdtContent>
        </w:sdt>
        <w:sdt>
          <w:sdtPr>
            <w:tag w:val="_PLD_6f5fdab53c694e56963e5e189cd0c28d"/>
            <w:id w:val="-1396736756"/>
          </w:sdtPr>
          <w:sdtContent>
            <w:tc>
              <w:tcPr>
                <w:tcW w:w="886"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关联交易内容</w:t>
                </w:r>
              </w:p>
            </w:tc>
          </w:sdtContent>
        </w:sdt>
        <w:sdt>
          <w:sdtPr>
            <w:tag w:val="_PLD_1237b998b2a64f30a674dff433b841b0"/>
            <w:id w:val="-1783641524"/>
          </w:sdtPr>
          <w:sdtContent>
            <w:tc>
              <w:tcPr>
                <w:tcW w:w="759" w:type="pct"/>
                <w:tcBorders>
                  <w:top w:val="single" w:color="auto" w:sz="4" w:space="0"/>
                  <w:left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本期发生额</w:t>
                </w:r>
              </w:p>
            </w:tc>
          </w:sdtContent>
        </w:sdt>
        <w:sdt>
          <w:sdtPr>
            <w:tag w:val="_PLD_b1a311757d3a457e811c8d8ffb0b6ac0"/>
            <w:id w:val="796732021"/>
          </w:sdtPr>
          <w:sdtContent>
            <w:tc>
              <w:tcPr>
                <w:tcW w:w="879" w:type="pc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获批的交易额度（如适用）</w:t>
                </w:r>
              </w:p>
            </w:tc>
          </w:sdtContent>
        </w:sdt>
        <w:sdt>
          <w:sdtPr>
            <w:tag w:val="_PLD_c145e8a0e9404dc7b7dab215447b876b"/>
            <w:id w:val="621894215"/>
          </w:sdtPr>
          <w:sdtEndPr>
            <w:rPr>
              <w:rFonts w:hint="eastAsia"/>
            </w:rPr>
          </w:sdtEndPr>
          <w:sdtContent>
            <w:tc>
              <w:tcPr>
                <w:tcW w:w="923" w:type="pc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是否超过交易额度</w:t>
                </w:r>
                <w:r>
                  <w:rPr>
                    <w:rFonts w:hint="eastAsia"/>
                    <w:color w:val="000000" w:themeColor="text1"/>
                    <w14:textFill>
                      <w14:solidFill>
                        <w14:schemeClr w14:val="tx1"/>
                      </w14:solidFill>
                    </w14:textFill>
                  </w:rPr>
                  <w:t>（如适用）</w:t>
                </w:r>
              </w:p>
            </w:tc>
          </w:sdtContent>
        </w:sdt>
        <w:sdt>
          <w:sdtPr>
            <w:tag w:val="_PLD_f7d77ff6fdf642199e4c9fc12f00610d"/>
            <w:id w:val="-1284575945"/>
          </w:sdtPr>
          <w:sdtContent>
            <w:tc>
              <w:tcPr>
                <w:tcW w:w="710" w:type="pct"/>
                <w:tcBorders>
                  <w:top w:val="single" w:color="auto" w:sz="4" w:space="0"/>
                  <w:left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3" w:type="pct"/>
            <w:tcBorders>
              <w:top w:val="single" w:color="auto" w:sz="4" w:space="0"/>
              <w:left w:val="single" w:color="auto" w:sz="4" w:space="0"/>
              <w:bottom w:val="single" w:color="auto" w:sz="4" w:space="0"/>
              <w:right w:val="single" w:color="auto" w:sz="4" w:space="0"/>
            </w:tcBorders>
          </w:tcPr>
          <w:p>
            <w:pPr>
              <w:pStyle w:val="48"/>
            </w:pPr>
            <w:bookmarkStart w:id="445" w:name="_Hlk40536931"/>
            <w:r>
              <w:rPr>
                <w:rFonts w:hint="eastAsia"/>
              </w:rPr>
              <w:t>四川明珠电工材料有限责任公司</w:t>
            </w:r>
          </w:p>
        </w:tc>
        <w:tc>
          <w:tcPr>
            <w:tcW w:w="886"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采购原材料</w:t>
            </w:r>
          </w:p>
        </w:tc>
        <w:tc>
          <w:tcPr>
            <w:tcW w:w="759"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21,606,508.26 </w:t>
            </w:r>
          </w:p>
        </w:tc>
        <w:tc>
          <w:tcPr>
            <w:tcW w:w="879" w:type="pct"/>
            <w:tcBorders>
              <w:top w:val="single" w:color="auto" w:sz="4" w:space="0"/>
              <w:left w:val="single" w:color="auto" w:sz="4" w:space="0"/>
              <w:bottom w:val="single" w:color="auto" w:sz="4" w:space="0"/>
              <w:right w:val="single" w:color="auto" w:sz="4" w:space="0"/>
            </w:tcBorders>
          </w:tcPr>
          <w:p>
            <w:pPr>
              <w:jc w:val="right"/>
            </w:pPr>
          </w:p>
        </w:tc>
        <w:tc>
          <w:tcPr>
            <w:tcW w:w="923"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c>
          <w:tcPr>
            <w:tcW w:w="710" w:type="pct"/>
            <w:tcBorders>
              <w:top w:val="single" w:color="auto" w:sz="4" w:space="0"/>
              <w:left w:val="single" w:color="auto" w:sz="4" w:space="0"/>
              <w:bottom w:val="single" w:color="auto" w:sz="4" w:space="0"/>
              <w:right w:val="single" w:color="auto" w:sz="4" w:space="0"/>
            </w:tcBorders>
          </w:tcPr>
          <w:p>
            <w:pPr>
              <w:jc w:val="right"/>
            </w:pPr>
            <w:r>
              <w:rPr>
                <w:rFonts w:hint="eastAsia"/>
              </w:rPr>
              <w:t xml:space="preserve"> 25,244,787.03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3" w:type="pct"/>
            <w:tcBorders>
              <w:top w:val="single" w:color="auto" w:sz="4" w:space="0"/>
              <w:left w:val="single" w:color="auto" w:sz="4" w:space="0"/>
              <w:bottom w:val="single" w:color="auto" w:sz="4" w:space="0"/>
              <w:right w:val="single" w:color="auto" w:sz="4" w:space="0"/>
            </w:tcBorders>
          </w:tcPr>
          <w:p>
            <w:pPr>
              <w:pStyle w:val="48"/>
            </w:pPr>
            <w:r>
              <w:rPr>
                <w:rFonts w:hint="eastAsia"/>
              </w:rPr>
              <w:t>重庆能投长寿经开区售电有限公司</w:t>
            </w:r>
          </w:p>
        </w:tc>
        <w:tc>
          <w:tcPr>
            <w:tcW w:w="886"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采购其他</w:t>
            </w:r>
          </w:p>
        </w:tc>
        <w:tc>
          <w:tcPr>
            <w:tcW w:w="759" w:type="pct"/>
            <w:tcBorders>
              <w:top w:val="single" w:color="auto" w:sz="4" w:space="0"/>
              <w:left w:val="single" w:color="auto" w:sz="4" w:space="0"/>
              <w:bottom w:val="single" w:color="auto" w:sz="4" w:space="0"/>
              <w:right w:val="single" w:color="auto" w:sz="4" w:space="0"/>
            </w:tcBorders>
            <w:vAlign w:val="center"/>
          </w:tcPr>
          <w:p>
            <w:pPr>
              <w:jc w:val="right"/>
            </w:pPr>
          </w:p>
        </w:tc>
        <w:tc>
          <w:tcPr>
            <w:tcW w:w="879" w:type="pct"/>
            <w:tcBorders>
              <w:top w:val="single" w:color="auto" w:sz="4" w:space="0"/>
              <w:left w:val="single" w:color="auto" w:sz="4" w:space="0"/>
              <w:bottom w:val="single" w:color="auto" w:sz="4" w:space="0"/>
              <w:right w:val="single" w:color="auto" w:sz="4" w:space="0"/>
            </w:tcBorders>
            <w:vAlign w:val="center"/>
          </w:tcPr>
          <w:p>
            <w:pPr>
              <w:jc w:val="right"/>
            </w:pPr>
          </w:p>
        </w:tc>
        <w:tc>
          <w:tcPr>
            <w:tcW w:w="923"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p>
        </w:tc>
        <w:tc>
          <w:tcPr>
            <w:tcW w:w="710"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10,000.00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843" w:type="pct"/>
            <w:tcBorders>
              <w:top w:val="single" w:color="auto" w:sz="4" w:space="0"/>
              <w:left w:val="single" w:color="auto" w:sz="4" w:space="0"/>
              <w:bottom w:val="single" w:color="auto" w:sz="4" w:space="0"/>
              <w:right w:val="single" w:color="auto" w:sz="4" w:space="0"/>
            </w:tcBorders>
          </w:tcPr>
          <w:p>
            <w:pPr>
              <w:pStyle w:val="48"/>
            </w:pPr>
            <w:r>
              <w:rPr>
                <w:rFonts w:hint="eastAsia"/>
              </w:rPr>
              <w:t>合计</w:t>
            </w:r>
          </w:p>
        </w:tc>
        <w:tc>
          <w:tcPr>
            <w:tcW w:w="886" w:type="pct"/>
            <w:tcBorders>
              <w:top w:val="single" w:color="auto" w:sz="4" w:space="0"/>
              <w:left w:val="single" w:color="auto" w:sz="4" w:space="0"/>
              <w:bottom w:val="single" w:color="auto" w:sz="4" w:space="0"/>
              <w:right w:val="single" w:color="auto" w:sz="4" w:space="0"/>
            </w:tcBorders>
          </w:tcPr>
          <w:p>
            <w:pPr>
              <w:pStyle w:val="48"/>
            </w:pPr>
          </w:p>
        </w:tc>
        <w:tc>
          <w:tcPr>
            <w:tcW w:w="759" w:type="pct"/>
            <w:tcBorders>
              <w:top w:val="single" w:color="auto" w:sz="4" w:space="0"/>
              <w:left w:val="single" w:color="auto" w:sz="4" w:space="0"/>
              <w:bottom w:val="single" w:color="auto" w:sz="4" w:space="0"/>
              <w:right w:val="single" w:color="auto" w:sz="4" w:space="0"/>
            </w:tcBorders>
          </w:tcPr>
          <w:p>
            <w:pPr>
              <w:jc w:val="right"/>
            </w:pPr>
            <w:r>
              <w:t>21,606,508.26</w:t>
            </w:r>
          </w:p>
        </w:tc>
        <w:tc>
          <w:tcPr>
            <w:tcW w:w="879" w:type="pct"/>
            <w:tcBorders>
              <w:top w:val="single" w:color="auto" w:sz="4" w:space="0"/>
              <w:left w:val="single" w:color="auto" w:sz="4" w:space="0"/>
              <w:bottom w:val="single" w:color="auto" w:sz="4" w:space="0"/>
              <w:right w:val="single" w:color="auto" w:sz="4" w:space="0"/>
            </w:tcBorders>
          </w:tcPr>
          <w:p>
            <w:pPr>
              <w:jc w:val="right"/>
            </w:pPr>
          </w:p>
        </w:tc>
        <w:tc>
          <w:tcPr>
            <w:tcW w:w="923"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c>
          <w:tcPr>
            <w:tcW w:w="710" w:type="pct"/>
            <w:tcBorders>
              <w:top w:val="single" w:color="auto" w:sz="4" w:space="0"/>
              <w:left w:val="single" w:color="auto" w:sz="4" w:space="0"/>
              <w:bottom w:val="single" w:color="auto" w:sz="4" w:space="0"/>
              <w:right w:val="single" w:color="auto" w:sz="4" w:space="0"/>
            </w:tcBorders>
          </w:tcPr>
          <w:p>
            <w:pPr>
              <w:jc w:val="right"/>
            </w:pPr>
            <w:r>
              <w:t>25,254,787.03</w:t>
            </w:r>
          </w:p>
        </w:tc>
      </w:tr>
      <w:bookmarkEnd w:id="444"/>
      <w:bookmarkEnd w:id="445"/>
    </w:tbl>
    <w:p>
      <w:pPr>
        <w:ind w:right="-775" w:rightChars="-369"/>
        <w:rPr>
          <w:color w:val="000000" w:themeColor="text1"/>
          <w14:textFill>
            <w14:solidFill>
              <w14:schemeClr w14:val="tx1"/>
            </w14:solidFill>
          </w14:textFill>
        </w:rPr>
      </w:pPr>
      <w:r>
        <w:rPr>
          <w:rFonts w:hint="eastAsia"/>
          <w:color w:val="000000" w:themeColor="text1"/>
          <w14:textFill>
            <w14:solidFill>
              <w14:schemeClr w14:val="tx1"/>
            </w14:solidFill>
          </w14:textFill>
        </w:rPr>
        <w:t>出售商品/提供劳务情况表</w:t>
      </w:r>
    </w:p>
    <w:sdt>
      <w:sdtPr>
        <w:rPr>
          <w:color w:val="000000" w:themeColor="text1"/>
          <w14:textFill>
            <w14:solidFill>
              <w14:schemeClr w14:val="tx1"/>
            </w14:solidFill>
          </w14:textFill>
        </w:rPr>
        <w:alias w:val="是否适用：出售商品或提供劳务情况表[双击切换]"/>
        <w:tag w:val="_GBC_18ae630e2f3641959d3a9fc1a3f3ccf3"/>
        <w:id w:val="-910771672"/>
        <w:placeholder>
          <w:docPart w:val="GBC22222222222222222222222222222"/>
        </w:placeholder>
      </w:sdtPr>
      <w:sdtEndPr>
        <w:rPr>
          <w:color w:val="000000" w:themeColor="text1"/>
          <w14:textFill>
            <w14:solidFill>
              <w14:schemeClr w14:val="tx1"/>
            </w14:solidFill>
          </w14:textFill>
        </w:rPr>
      </w:sdtEndPr>
      <w:sdtContent>
        <w:p>
          <w:pPr>
            <w:ind w:right="-775" w:rightChars="-369"/>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tabs>
          <w:tab w:val="left" w:pos="3870"/>
        </w:tabs>
        <w:jc w:val="right"/>
        <w:rPr>
          <w:rFonts w:cs="Cambria"/>
          <w:color w:val="000000" w:themeColor="text1"/>
          <w14:textFill>
            <w14:solidFill>
              <w14:schemeClr w14:val="tx1"/>
            </w14:solidFill>
          </w14:textFill>
        </w:rPr>
      </w:pPr>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w:t>
      </w:r>
      <w:sdt>
        <w:sdtPr>
          <w:rPr>
            <w:color w:val="000000" w:themeColor="text1"/>
            <w14:textFill>
              <w14:solidFill>
                <w14:schemeClr w14:val="tx1"/>
              </w14:solidFill>
            </w14:textFill>
          </w:rPr>
          <w:alias w:val="单位：出售商品提供劳务情况表"/>
          <w:tag w:val="_GBC_d53494f853ed4767a511f9c2c780c566"/>
          <w:id w:val="-2752583"/>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color w:val="000000" w:themeColor="text1"/>
            <w14:textFill>
              <w14:solidFill>
                <w14:schemeClr w14:val="tx1"/>
              </w14:solidFill>
            </w14:textFill>
          </w:rPr>
          <w:alias w:val="币种：出售商品提供劳务情况表"/>
          <w:tag w:val="_GBC_d298f57687684d2eafef1d8c13d51722"/>
          <w:id w:val="-115760416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2415"/>
        <w:gridCol w:w="2122"/>
        <w:gridCol w:w="2177"/>
        <w:gridCol w:w="217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Height w:val="273" w:hRule="atLeast"/>
        </w:trPr>
        <w:sdt>
          <w:sdtPr>
            <w:tag w:val="_PLD_70510986aab647e99b00ba57c32e64cd"/>
            <w:id w:val="796031661"/>
          </w:sdtPr>
          <w:sdtContent>
            <w:tc>
              <w:tcPr>
                <w:tcW w:w="1358"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关联方</w:t>
                </w:r>
              </w:p>
            </w:tc>
          </w:sdtContent>
        </w:sdt>
        <w:sdt>
          <w:sdtPr>
            <w:tag w:val="_PLD_66da90262f3d401c8151235b4c6f5e93"/>
            <w:id w:val="-1637106105"/>
          </w:sdtPr>
          <w:sdtContent>
            <w:tc>
              <w:tcPr>
                <w:tcW w:w="1193"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关联交易内容</w:t>
                </w:r>
              </w:p>
            </w:tc>
          </w:sdtContent>
        </w:sdt>
        <w:sdt>
          <w:sdtPr>
            <w:tag w:val="_PLD_09c424bd80324eb49dafea569ce1931b"/>
            <w:id w:val="214938222"/>
          </w:sdtPr>
          <w:sdtContent>
            <w:tc>
              <w:tcPr>
                <w:tcW w:w="1224" w:type="pct"/>
                <w:tcBorders>
                  <w:top w:val="single" w:color="auto" w:sz="4" w:space="0"/>
                  <w:left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本期发生额</w:t>
                </w:r>
              </w:p>
            </w:tc>
          </w:sdtContent>
        </w:sdt>
        <w:sdt>
          <w:sdtPr>
            <w:tag w:val="_PLD_fd0f9e0691744db49d5ceaf95d42197c"/>
            <w:id w:val="-1938901790"/>
          </w:sdtPr>
          <w:sdtContent>
            <w:tc>
              <w:tcPr>
                <w:tcW w:w="1225" w:type="pct"/>
                <w:tcBorders>
                  <w:top w:val="single" w:color="auto" w:sz="4" w:space="0"/>
                  <w:left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vAlign w:val="center"/>
          </w:tcPr>
          <w:p>
            <w:pPr>
              <w:pStyle w:val="48"/>
              <w:jc w:val="both"/>
            </w:pPr>
            <w:r>
              <w:rPr>
                <w:rFonts w:hint="eastAsia"/>
              </w:rPr>
              <w:t>元启星光数字能源科技（孟州市）有限公司</w:t>
            </w:r>
          </w:p>
        </w:tc>
        <w:tc>
          <w:tcPr>
            <w:tcW w:w="1193"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销售商品</w:t>
            </w:r>
          </w:p>
        </w:tc>
        <w:tc>
          <w:tcPr>
            <w:tcW w:w="1224"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91,760,848.52 </w:t>
            </w:r>
          </w:p>
        </w:tc>
        <w:tc>
          <w:tcPr>
            <w:tcW w:w="1225" w:type="pct"/>
            <w:tcBorders>
              <w:top w:val="single" w:color="auto" w:sz="4" w:space="0"/>
              <w:left w:val="single" w:color="auto" w:sz="4" w:space="0"/>
              <w:bottom w:val="single" w:color="auto" w:sz="4" w:space="0"/>
              <w:right w:val="single"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vAlign w:val="center"/>
          </w:tcPr>
          <w:p>
            <w:pPr>
              <w:pStyle w:val="48"/>
              <w:jc w:val="both"/>
            </w:pPr>
            <w:r>
              <w:rPr>
                <w:rFonts w:hint="eastAsia"/>
              </w:rPr>
              <w:t>元启星光数字能源技术（新密市）有限公司</w:t>
            </w:r>
          </w:p>
        </w:tc>
        <w:tc>
          <w:tcPr>
            <w:tcW w:w="1193"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销售商品</w:t>
            </w:r>
          </w:p>
        </w:tc>
        <w:tc>
          <w:tcPr>
            <w:tcW w:w="1224"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30,052,486.80 </w:t>
            </w:r>
          </w:p>
        </w:tc>
        <w:tc>
          <w:tcPr>
            <w:tcW w:w="1225" w:type="pct"/>
            <w:tcBorders>
              <w:top w:val="single" w:color="auto" w:sz="4" w:space="0"/>
              <w:left w:val="single" w:color="auto" w:sz="4" w:space="0"/>
              <w:bottom w:val="single" w:color="auto" w:sz="4" w:space="0"/>
              <w:right w:val="single"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vAlign w:val="center"/>
          </w:tcPr>
          <w:p>
            <w:pPr>
              <w:pStyle w:val="48"/>
              <w:jc w:val="both"/>
            </w:pPr>
            <w:r>
              <w:rPr>
                <w:rFonts w:hint="eastAsia"/>
              </w:rPr>
              <w:t>东莞元启星光数字能源技术有限公司</w:t>
            </w:r>
          </w:p>
        </w:tc>
        <w:tc>
          <w:tcPr>
            <w:tcW w:w="1193"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销售商品</w:t>
            </w:r>
          </w:p>
        </w:tc>
        <w:tc>
          <w:tcPr>
            <w:tcW w:w="1224"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15,488,584.07 </w:t>
            </w:r>
          </w:p>
        </w:tc>
        <w:tc>
          <w:tcPr>
            <w:tcW w:w="1225" w:type="pct"/>
            <w:tcBorders>
              <w:top w:val="single" w:color="auto" w:sz="4" w:space="0"/>
              <w:left w:val="single" w:color="auto" w:sz="4" w:space="0"/>
              <w:bottom w:val="single" w:color="auto" w:sz="4" w:space="0"/>
              <w:right w:val="single"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vAlign w:val="center"/>
          </w:tcPr>
          <w:p>
            <w:pPr>
              <w:pStyle w:val="48"/>
              <w:jc w:val="both"/>
            </w:pPr>
            <w:r>
              <w:rPr>
                <w:rFonts w:hint="eastAsia"/>
              </w:rPr>
              <w:t>元启星光能源科技（古交）有限公司</w:t>
            </w:r>
          </w:p>
        </w:tc>
        <w:tc>
          <w:tcPr>
            <w:tcW w:w="1193"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销售商品</w:t>
            </w:r>
          </w:p>
        </w:tc>
        <w:tc>
          <w:tcPr>
            <w:tcW w:w="1224"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11,595,752.21 </w:t>
            </w:r>
          </w:p>
        </w:tc>
        <w:tc>
          <w:tcPr>
            <w:tcW w:w="1225" w:type="pct"/>
            <w:tcBorders>
              <w:top w:val="single" w:color="auto" w:sz="4" w:space="0"/>
              <w:left w:val="single" w:color="auto" w:sz="4" w:space="0"/>
              <w:bottom w:val="single" w:color="auto" w:sz="4" w:space="0"/>
              <w:right w:val="single"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vAlign w:val="center"/>
          </w:tcPr>
          <w:p>
            <w:pPr>
              <w:pStyle w:val="48"/>
              <w:jc w:val="both"/>
            </w:pPr>
            <w:r>
              <w:rPr>
                <w:rFonts w:hint="eastAsia"/>
              </w:rPr>
              <w:t>元启星光数字能源科技（珙县）有限公司</w:t>
            </w:r>
          </w:p>
        </w:tc>
        <w:tc>
          <w:tcPr>
            <w:tcW w:w="1193"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销售商品</w:t>
            </w:r>
          </w:p>
        </w:tc>
        <w:tc>
          <w:tcPr>
            <w:tcW w:w="1224"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8,696,814.16 </w:t>
            </w:r>
          </w:p>
        </w:tc>
        <w:tc>
          <w:tcPr>
            <w:tcW w:w="1225" w:type="pct"/>
            <w:tcBorders>
              <w:top w:val="single" w:color="auto" w:sz="4" w:space="0"/>
              <w:left w:val="single" w:color="auto" w:sz="4" w:space="0"/>
              <w:bottom w:val="single" w:color="auto" w:sz="4" w:space="0"/>
              <w:right w:val="single"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vAlign w:val="center"/>
          </w:tcPr>
          <w:p>
            <w:pPr>
              <w:pStyle w:val="48"/>
              <w:jc w:val="both"/>
            </w:pPr>
            <w:r>
              <w:rPr>
                <w:rFonts w:hint="eastAsia"/>
              </w:rPr>
              <w:t>元启星光数字能源科技（桂阳）有限公司</w:t>
            </w:r>
          </w:p>
        </w:tc>
        <w:tc>
          <w:tcPr>
            <w:tcW w:w="1193"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销售商品</w:t>
            </w:r>
          </w:p>
        </w:tc>
        <w:tc>
          <w:tcPr>
            <w:tcW w:w="1224"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5,038,204.18 </w:t>
            </w:r>
          </w:p>
        </w:tc>
        <w:tc>
          <w:tcPr>
            <w:tcW w:w="1225" w:type="pct"/>
            <w:tcBorders>
              <w:top w:val="single" w:color="auto" w:sz="4" w:space="0"/>
              <w:left w:val="single" w:color="auto" w:sz="4" w:space="0"/>
              <w:bottom w:val="single" w:color="auto" w:sz="4" w:space="0"/>
              <w:right w:val="single"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vAlign w:val="center"/>
          </w:tcPr>
          <w:p>
            <w:pPr>
              <w:pStyle w:val="48"/>
              <w:jc w:val="both"/>
            </w:pPr>
            <w:r>
              <w:rPr>
                <w:rFonts w:hint="eastAsia"/>
              </w:rPr>
              <w:t>元启星光（防城港）数字能源技术有限公司</w:t>
            </w:r>
          </w:p>
        </w:tc>
        <w:tc>
          <w:tcPr>
            <w:tcW w:w="1193"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销售商品</w:t>
            </w:r>
          </w:p>
        </w:tc>
        <w:tc>
          <w:tcPr>
            <w:tcW w:w="1224"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2,816,106.19 </w:t>
            </w:r>
          </w:p>
        </w:tc>
        <w:tc>
          <w:tcPr>
            <w:tcW w:w="1225" w:type="pct"/>
            <w:tcBorders>
              <w:top w:val="single" w:color="auto" w:sz="4" w:space="0"/>
              <w:left w:val="single" w:color="auto" w:sz="4" w:space="0"/>
              <w:bottom w:val="single" w:color="auto" w:sz="4" w:space="0"/>
              <w:right w:val="single"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vAlign w:val="center"/>
          </w:tcPr>
          <w:p>
            <w:pPr>
              <w:pStyle w:val="48"/>
              <w:jc w:val="both"/>
            </w:pPr>
            <w:r>
              <w:rPr>
                <w:rFonts w:hint="eastAsia"/>
              </w:rPr>
              <w:t>元启星光（韶关）数字能源技术有限公司</w:t>
            </w:r>
          </w:p>
        </w:tc>
        <w:tc>
          <w:tcPr>
            <w:tcW w:w="1193"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销售商品</w:t>
            </w:r>
          </w:p>
        </w:tc>
        <w:tc>
          <w:tcPr>
            <w:tcW w:w="1224"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1,408,053.10 </w:t>
            </w:r>
          </w:p>
        </w:tc>
        <w:tc>
          <w:tcPr>
            <w:tcW w:w="1225" w:type="pct"/>
            <w:tcBorders>
              <w:top w:val="single" w:color="auto" w:sz="4" w:space="0"/>
              <w:left w:val="single" w:color="auto" w:sz="4" w:space="0"/>
              <w:bottom w:val="single" w:color="auto" w:sz="4" w:space="0"/>
              <w:right w:val="single"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vAlign w:val="center"/>
          </w:tcPr>
          <w:p>
            <w:pPr>
              <w:pStyle w:val="48"/>
              <w:jc w:val="both"/>
            </w:pPr>
            <w:r>
              <w:rPr>
                <w:rFonts w:hint="eastAsia"/>
              </w:rPr>
              <w:t>元启星光数字能源科技（桂阳）有限公司</w:t>
            </w:r>
          </w:p>
        </w:tc>
        <w:tc>
          <w:tcPr>
            <w:tcW w:w="1193"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销售其他</w:t>
            </w:r>
          </w:p>
        </w:tc>
        <w:tc>
          <w:tcPr>
            <w:tcW w:w="1224"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12,053,052.60 </w:t>
            </w:r>
          </w:p>
        </w:tc>
        <w:tc>
          <w:tcPr>
            <w:tcW w:w="1225" w:type="pct"/>
            <w:tcBorders>
              <w:top w:val="single" w:color="auto" w:sz="4" w:space="0"/>
              <w:left w:val="single" w:color="auto" w:sz="4" w:space="0"/>
              <w:bottom w:val="single" w:color="auto" w:sz="4" w:space="0"/>
              <w:right w:val="single"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vAlign w:val="center"/>
          </w:tcPr>
          <w:p>
            <w:pPr>
              <w:pStyle w:val="48"/>
              <w:jc w:val="both"/>
            </w:pPr>
            <w:r>
              <w:rPr>
                <w:rFonts w:hint="eastAsia"/>
              </w:rPr>
              <w:t>重庆能投长寿经开区售电有限公司</w:t>
            </w:r>
          </w:p>
        </w:tc>
        <w:tc>
          <w:tcPr>
            <w:tcW w:w="1193"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销售其他</w:t>
            </w:r>
          </w:p>
        </w:tc>
        <w:tc>
          <w:tcPr>
            <w:tcW w:w="1224"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48,827.46 </w:t>
            </w:r>
          </w:p>
        </w:tc>
        <w:tc>
          <w:tcPr>
            <w:tcW w:w="1225" w:type="pct"/>
            <w:tcBorders>
              <w:top w:val="single" w:color="auto" w:sz="4" w:space="0"/>
              <w:left w:val="single" w:color="auto" w:sz="4" w:space="0"/>
              <w:bottom w:val="single" w:color="auto" w:sz="4" w:space="0"/>
              <w:right w:val="single" w:color="auto" w:sz="4" w:space="0"/>
            </w:tcBorders>
            <w:vAlign w:val="center"/>
          </w:tcPr>
          <w:p>
            <w:pPr>
              <w:jc w:val="right"/>
            </w:pPr>
            <w:r>
              <w:rPr>
                <w:rFonts w:hint="eastAsia"/>
              </w:rPr>
              <w:t xml:space="preserve"> 163,231.74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cantSplit/>
        </w:trPr>
        <w:tc>
          <w:tcPr>
            <w:tcW w:w="1358" w:type="pct"/>
            <w:tcBorders>
              <w:top w:val="single" w:color="auto" w:sz="4" w:space="0"/>
              <w:left w:val="single" w:color="auto" w:sz="4" w:space="0"/>
              <w:bottom w:val="single" w:color="auto" w:sz="4" w:space="0"/>
              <w:right w:val="single" w:color="auto" w:sz="4" w:space="0"/>
            </w:tcBorders>
          </w:tcPr>
          <w:p>
            <w:pPr>
              <w:jc w:val="center"/>
            </w:pPr>
            <w:r>
              <w:rPr>
                <w:rFonts w:hint="eastAsia"/>
              </w:rPr>
              <w:t>合计</w:t>
            </w:r>
          </w:p>
        </w:tc>
        <w:tc>
          <w:tcPr>
            <w:tcW w:w="1193" w:type="pct"/>
            <w:tcBorders>
              <w:top w:val="single" w:color="auto" w:sz="4" w:space="0"/>
              <w:left w:val="single" w:color="auto" w:sz="4" w:space="0"/>
              <w:bottom w:val="single" w:color="auto" w:sz="4" w:space="0"/>
              <w:right w:val="single" w:color="auto" w:sz="4" w:space="0"/>
            </w:tcBorders>
            <w:vAlign w:val="center"/>
          </w:tcPr>
          <w:p>
            <w:pPr>
              <w:jc w:val="both"/>
            </w:pPr>
          </w:p>
        </w:tc>
        <w:tc>
          <w:tcPr>
            <w:tcW w:w="1224" w:type="pct"/>
            <w:tcBorders>
              <w:top w:val="single" w:color="auto" w:sz="4" w:space="0"/>
              <w:left w:val="single" w:color="auto" w:sz="4" w:space="0"/>
              <w:bottom w:val="single" w:color="auto" w:sz="4" w:space="0"/>
              <w:right w:val="single" w:color="auto" w:sz="4" w:space="0"/>
            </w:tcBorders>
          </w:tcPr>
          <w:p>
            <w:pPr>
              <w:jc w:val="right"/>
            </w:pPr>
            <w:r>
              <w:t xml:space="preserve"> 178,958,729.29 </w:t>
            </w:r>
          </w:p>
        </w:tc>
        <w:tc>
          <w:tcPr>
            <w:tcW w:w="1225" w:type="pct"/>
            <w:tcBorders>
              <w:top w:val="single" w:color="auto" w:sz="4" w:space="0"/>
              <w:left w:val="single" w:color="auto" w:sz="4" w:space="0"/>
              <w:bottom w:val="single" w:color="auto" w:sz="4" w:space="0"/>
              <w:right w:val="single" w:color="auto" w:sz="4" w:space="0"/>
            </w:tcBorders>
          </w:tcPr>
          <w:p>
            <w:pPr>
              <w:jc w:val="right"/>
            </w:pPr>
            <w:r>
              <w:t xml:space="preserve"> 163,231.74 </w:t>
            </w:r>
          </w:p>
        </w:tc>
      </w:tr>
    </w:tbl>
    <w:p>
      <w:pPr>
        <w:spacing w:line="360" w:lineRule="exact"/>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购销商品、提供和接受劳务的关联交易说明</w:t>
      </w:r>
    </w:p>
    <w:sdt>
      <w:sdtPr>
        <w:rPr>
          <w:rFonts w:cs="Cambria"/>
          <w:color w:val="000000" w:themeColor="text1"/>
          <w14:textFill>
            <w14:solidFill>
              <w14:schemeClr w14:val="tx1"/>
            </w14:solidFill>
          </w14:textFill>
        </w:rPr>
        <w:alias w:val="是否适用：购销商品、提供和接受劳务的关联交易说明[双击切换]"/>
        <w:tag w:val="_GBC_9ec9e1b38e7f48d89bb7f6441bed1bd1"/>
        <w:id w:val="-1341853597"/>
        <w:placeholder>
          <w:docPart w:val="GBC22222222222222222222222222222"/>
        </w:placeholder>
      </w:sdtPr>
      <w:sdtEndPr>
        <w:rPr>
          <w:rFonts w:cs="Cambria"/>
          <w:color w:val="000000" w:themeColor="text1"/>
          <w14:textFill>
            <w14:solidFill>
              <w14:schemeClr w14:val="tx1"/>
            </w14:solidFill>
          </w14:textFill>
        </w:rPr>
      </w:sdtEndPr>
      <w:sdtContent>
        <w:p>
          <w:pPr>
            <w:spacing w:line="360" w:lineRule="exact"/>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p>
      <w:pPr>
        <w:pStyle w:val="5"/>
        <w:numPr>
          <w:ilvl w:val="0"/>
          <w:numId w:val="90"/>
        </w:numPr>
        <w:tabs>
          <w:tab w:val="left" w:pos="616"/>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关联受托管理/承包及委托管理/出包情况</w:t>
      </w:r>
    </w:p>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本公司受托管理/承包情况表：</w:t>
      </w:r>
    </w:p>
    <w:sdt>
      <w:sdtPr>
        <w:rPr>
          <w:rFonts w:cs="Cambria"/>
          <w:color w:val="000000" w:themeColor="text1"/>
          <w14:textFill>
            <w14:solidFill>
              <w14:schemeClr w14:val="tx1"/>
            </w14:solidFill>
          </w14:textFill>
        </w:rPr>
        <w:alias w:val="是否适用：本公司受托管理或承包情况表[双击切换]"/>
        <w:tag w:val="_GBC_3810b3cad54c4b2f9754e7d6be3e9480"/>
        <w:id w:val="2138833482"/>
        <w:placeholder>
          <w:docPart w:val="GBC22222222222222222222222222222"/>
        </w:placeholder>
      </w:sdtPr>
      <w:sdtEndPr>
        <w:rPr>
          <w:rFonts w:cs="Cambria"/>
          <w:color w:val="000000" w:themeColor="text1"/>
          <w14:textFill>
            <w14:solidFill>
              <w14:schemeClr w14:val="tx1"/>
            </w14:solidFill>
          </w14:textFill>
        </w:rPr>
      </w:sdtEndPr>
      <w:sdtContent>
        <w:p>
          <w:pPr>
            <w:spacing w:line="360" w:lineRule="exact"/>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p>
      <w:pPr>
        <w:spacing w:line="360" w:lineRule="exact"/>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关联托管/承包情况说明</w:t>
      </w:r>
    </w:p>
    <w:sdt>
      <w:sdtPr>
        <w:rPr>
          <w:rFonts w:cs="Cambria"/>
          <w:color w:val="000000" w:themeColor="text1"/>
          <w14:textFill>
            <w14:solidFill>
              <w14:schemeClr w14:val="tx1"/>
            </w14:solidFill>
          </w14:textFill>
        </w:rPr>
        <w:alias w:val="是否适用：关联托管或承包情况说明[双击切换]"/>
        <w:tag w:val="_GBC_42ec6e3170b04610899c528ce7bda003"/>
        <w:id w:val="514590256"/>
        <w:placeholder>
          <w:docPart w:val="GBC22222222222222222222222222222"/>
        </w:placeholder>
      </w:sdtPr>
      <w:sdtEndPr>
        <w:rPr>
          <w:rFonts w:cs="Cambria"/>
          <w:color w:val="000000" w:themeColor="text1"/>
          <w14:textFill>
            <w14:solidFill>
              <w14:schemeClr w14:val="tx1"/>
            </w14:solidFill>
          </w14:textFill>
        </w:rPr>
      </w:sdtEndPr>
      <w:sdtContent>
        <w:p>
          <w:pPr>
            <w:spacing w:line="360" w:lineRule="exact"/>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p>
      <w:pPr>
        <w:spacing w:line="360" w:lineRule="exact"/>
        <w:rPr>
          <w:rFonts w:cs="Cambria"/>
          <w:bCs w:val="0"/>
          <w:color w:val="000000" w:themeColor="text1"/>
          <w14:textFill>
            <w14:solidFill>
              <w14:schemeClr w14:val="tx1"/>
            </w14:solidFill>
          </w14:textFill>
        </w:rPr>
      </w:pPr>
      <w:r>
        <w:rPr>
          <w:rFonts w:hint="eastAsia"/>
          <w:color w:val="000000" w:themeColor="text1"/>
          <w14:textFill>
            <w14:solidFill>
              <w14:schemeClr w14:val="tx1"/>
            </w14:solidFill>
          </w14:textFill>
        </w:rPr>
        <w:t>本公司委托管理/出包情况表：</w:t>
      </w:r>
    </w:p>
    <w:sdt>
      <w:sdtPr>
        <w:rPr>
          <w:rFonts w:cs="Cambria"/>
          <w:bCs w:val="0"/>
          <w:color w:val="000000" w:themeColor="text1"/>
          <w14:textFill>
            <w14:solidFill>
              <w14:schemeClr w14:val="tx1"/>
            </w14:solidFill>
          </w14:textFill>
        </w:rPr>
        <w:alias w:val="是否适用：本公司委托管理或出包情况表[双击切换]"/>
        <w:tag w:val="_GBC_37bf111a27194665b76f71bb5418d53c"/>
        <w:id w:val="-1504037859"/>
        <w:placeholder>
          <w:docPart w:val="GBC22222222222222222222222222222"/>
        </w:placeholder>
      </w:sdtPr>
      <w:sdtEndPr>
        <w:rPr>
          <w:rFonts w:cs="Cambria"/>
          <w:bCs w:val="0"/>
          <w:color w:val="000000" w:themeColor="text1"/>
          <w14:textFill>
            <w14:solidFill>
              <w14:schemeClr w14:val="tx1"/>
            </w14:solidFill>
          </w14:textFill>
        </w:rPr>
      </w:sdtEndPr>
      <w:sdtContent>
        <w:p>
          <w:pPr>
            <w:spacing w:line="360" w:lineRule="exact"/>
            <w:rPr>
              <w:rFonts w:cs="Cambria"/>
              <w:bCs w:val="0"/>
              <w:color w:val="000000" w:themeColor="text1"/>
              <w14:textFill>
                <w14:solidFill>
                  <w14:schemeClr w14:val="tx1"/>
                </w14:solidFill>
              </w14:textFill>
            </w:rPr>
          </w:pPr>
          <w:r>
            <w:rPr>
              <w:rFonts w:ascii="宋体" w:hAnsi="宋体" w:cs="Cambria"/>
              <w:bCs w:val="0"/>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bCs w:val="0"/>
              <w:color w:val="000000" w:themeColor="text1"/>
              <w14:textFill>
                <w14:solidFill>
                  <w14:schemeClr w14:val="tx1"/>
                </w14:solidFill>
              </w14:textFill>
            </w:rPr>
            <w:fldChar w:fldCharType="end"/>
          </w:r>
          <w:r>
            <w:rPr>
              <w:rFonts w:ascii="宋体" w:hAnsi="宋体" w:cs="Cambria"/>
              <w:bCs w:val="0"/>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bCs w:val="0"/>
              <w:color w:val="000000" w:themeColor="text1"/>
              <w14:textFill>
                <w14:solidFill>
                  <w14:schemeClr w14:val="tx1"/>
                </w14:solidFill>
              </w14:textFill>
            </w:rPr>
            <w:fldChar w:fldCharType="end"/>
          </w:r>
        </w:p>
      </w:sdtContent>
    </w:sdt>
    <w:p>
      <w:pPr>
        <w:spacing w:line="360" w:lineRule="exact"/>
        <w:rPr>
          <w:rFonts w:cs="Cambria"/>
          <w:bCs w:val="0"/>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关联管理/出包情况说明</w:t>
      </w:r>
    </w:p>
    <w:sdt>
      <w:sdtPr>
        <w:rPr>
          <w:rFonts w:cs="Cambria"/>
          <w:bCs w:val="0"/>
          <w:color w:val="000000" w:themeColor="text1"/>
          <w14:textFill>
            <w14:solidFill>
              <w14:schemeClr w14:val="tx1"/>
            </w14:solidFill>
          </w14:textFill>
        </w:rPr>
        <w:alias w:val="是否适用：关联管理或出包情况说明[双击切换]"/>
        <w:tag w:val="_GBC_0b0339c118c542eb8a6e3a68fab8e375"/>
        <w:id w:val="-1980366360"/>
        <w:placeholder>
          <w:docPart w:val="GBC22222222222222222222222222222"/>
        </w:placeholder>
      </w:sdtPr>
      <w:sdtEndPr>
        <w:rPr>
          <w:rFonts w:cs="Cambria"/>
          <w:bCs w:val="0"/>
          <w:color w:val="000000" w:themeColor="text1"/>
          <w14:textFill>
            <w14:solidFill>
              <w14:schemeClr w14:val="tx1"/>
            </w14:solidFill>
          </w14:textFill>
        </w:rPr>
      </w:sdtEndPr>
      <w:sdtContent>
        <w:p>
          <w:pPr>
            <w:spacing w:line="360" w:lineRule="exact"/>
            <w:rPr>
              <w:rFonts w:cs="Cambria"/>
              <w:bCs w:val="0"/>
              <w:color w:val="000000" w:themeColor="text1"/>
              <w14:textFill>
                <w14:solidFill>
                  <w14:schemeClr w14:val="tx1"/>
                </w14:solidFill>
              </w14:textFill>
            </w:rPr>
          </w:pPr>
          <w:r>
            <w:rPr>
              <w:rFonts w:ascii="宋体" w:hAnsi="宋体" w:cs="Cambria"/>
              <w:bCs w:val="0"/>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bCs w:val="0"/>
              <w:color w:val="000000" w:themeColor="text1"/>
              <w14:textFill>
                <w14:solidFill>
                  <w14:schemeClr w14:val="tx1"/>
                </w14:solidFill>
              </w14:textFill>
            </w:rPr>
            <w:fldChar w:fldCharType="end"/>
          </w:r>
          <w:r>
            <w:rPr>
              <w:rFonts w:ascii="宋体" w:hAnsi="宋体" w:cs="Cambria"/>
              <w:bCs w:val="0"/>
              <w:color w:val="000000" w:themeColor="text1"/>
              <w14:textFill>
                <w14:solidFill>
                  <w14:schemeClr w14:val="tx1"/>
                </w14:solidFill>
              </w14:textFill>
            </w:rPr>
            <w:fldChar w:fldCharType="begin"/>
          </w:r>
          <w:r>
            <w:rPr>
              <w:rFonts w:hint="eastAsia"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bCs w:val="0"/>
              <w:color w:val="000000" w:themeColor="text1"/>
              <w14:textFill>
                <w14:solidFill>
                  <w14:schemeClr w14:val="tx1"/>
                </w14:solidFill>
              </w14:textFill>
            </w:rPr>
            <w:fldChar w:fldCharType="end"/>
          </w:r>
        </w:p>
      </w:sdtContent>
    </w:sdt>
    <w:p>
      <w:pPr>
        <w:pStyle w:val="5"/>
        <w:numPr>
          <w:ilvl w:val="0"/>
          <w:numId w:val="90"/>
        </w:numPr>
        <w:tabs>
          <w:tab w:val="left" w:pos="616"/>
        </w:tabs>
        <w:spacing w:line="360" w:lineRule="exact"/>
        <w:rPr>
          <w:rFonts w:hint="eastAsia" w:ascii="宋体" w:hAnsi="宋体"/>
          <w:color w:val="000000" w:themeColor="text1"/>
          <w14:textFill>
            <w14:solidFill>
              <w14:schemeClr w14:val="tx1"/>
            </w14:solidFill>
          </w14:textFill>
        </w:rPr>
      </w:pPr>
      <w:bookmarkStart w:id="446" w:name="_Hlk105747475"/>
      <w:r>
        <w:rPr>
          <w:rFonts w:hint="eastAsia" w:ascii="宋体" w:hAnsi="宋体"/>
          <w:color w:val="000000" w:themeColor="text1"/>
          <w14:textFill>
            <w14:solidFill>
              <w14:schemeClr w14:val="tx1"/>
            </w14:solidFill>
          </w14:textFill>
        </w:rPr>
        <w:t>关联租赁情况</w:t>
      </w:r>
    </w:p>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本公司作为出租方：</w:t>
      </w:r>
    </w:p>
    <w:sdt>
      <w:sdtPr>
        <w:rPr>
          <w:color w:val="000000" w:themeColor="text1"/>
          <w14:textFill>
            <w14:solidFill>
              <w14:schemeClr w14:val="tx1"/>
            </w14:solidFill>
          </w14:textFill>
        </w:rPr>
        <w:alias w:val="是否适用：本公司作为出租方的租赁情况表[双击切换]"/>
        <w:tag w:val="_GBC_f12cb8266cbd482b93c6a4bba1b05fb7"/>
        <w:id w:val="1912268501"/>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本公司作为承租方：</w:t>
      </w:r>
    </w:p>
    <w:sdt>
      <w:sdtPr>
        <w:rPr>
          <w:color w:val="000000" w:themeColor="text1"/>
          <w14:textFill>
            <w14:solidFill>
              <w14:schemeClr w14:val="tx1"/>
            </w14:solidFill>
          </w14:textFill>
        </w:rPr>
        <w:alias w:val="是否适用：本公司作为承租方的租赁情况表[双击切换]"/>
        <w:tag w:val="_GBC_e3319fb4cbb04bb0ab5516046d7e77a4"/>
        <w:id w:val="-463431232"/>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关联租赁情况说明</w:t>
      </w:r>
    </w:p>
    <w:sdt>
      <w:sdtPr>
        <w:rPr>
          <w:color w:val="000000" w:themeColor="text1"/>
          <w14:textFill>
            <w14:solidFill>
              <w14:schemeClr w14:val="tx1"/>
            </w14:solidFill>
          </w14:textFill>
        </w:rPr>
        <w:alias w:val="是否适用：关联租赁情况说明[双击切换]"/>
        <w:tag w:val="_GBC_a8d25c1a27d24bbeb9dd0063be85a310"/>
        <w:id w:val="-893501034"/>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46"/>
    <w:p>
      <w:pPr>
        <w:pStyle w:val="5"/>
        <w:numPr>
          <w:ilvl w:val="0"/>
          <w:numId w:val="90"/>
        </w:numPr>
        <w:tabs>
          <w:tab w:val="left" w:pos="616"/>
        </w:tabs>
        <w:spacing w:line="360" w:lineRule="exact"/>
        <w:rPr>
          <w:rFonts w:hint="eastAsia" w:ascii="宋体" w:hAnsi="宋体"/>
          <w:color w:val="000000" w:themeColor="text1"/>
          <w14:textFill>
            <w14:solidFill>
              <w14:schemeClr w14:val="tx1"/>
            </w14:solidFill>
          </w14:textFill>
        </w:rPr>
      </w:pPr>
      <w:bookmarkStart w:id="447" w:name="_Hlk105747684"/>
      <w:r>
        <w:rPr>
          <w:rFonts w:hint="eastAsia" w:ascii="宋体" w:hAnsi="宋体"/>
          <w:color w:val="000000" w:themeColor="text1"/>
          <w14:textFill>
            <w14:solidFill>
              <w14:schemeClr w14:val="tx1"/>
            </w14:solidFill>
          </w14:textFill>
        </w:rPr>
        <w:t>关联担保情况</w:t>
      </w:r>
    </w:p>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本公司作为担保方</w:t>
      </w:r>
    </w:p>
    <w:sdt>
      <w:sdtPr>
        <w:rPr>
          <w:color w:val="000000" w:themeColor="text1"/>
          <w14:textFill>
            <w14:solidFill>
              <w14:schemeClr w14:val="tx1"/>
            </w14:solidFill>
          </w14:textFill>
        </w:rPr>
        <w:alias w:val="是否适用：本公司作为担保方的担保情况表[双击切换]"/>
        <w:tag w:val="_GBC_f0150417f8ec4c5281b86683570391cb"/>
        <w:id w:val="181329287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本公司作为被担保方</w:t>
      </w:r>
    </w:p>
    <w:sdt>
      <w:sdtPr>
        <w:rPr>
          <w:rFonts w:cs="Cambria"/>
          <w:color w:val="000000" w:themeColor="text1"/>
          <w14:textFill>
            <w14:solidFill>
              <w14:schemeClr w14:val="tx1"/>
            </w14:solidFill>
          </w14:textFill>
        </w:rPr>
        <w:alias w:val="是否适用：本公司作为被担保方的担保情况表[双击切换]"/>
        <w:tag w:val="_GBC_3686094d29c941dd91bd168e3ef88833"/>
        <w:id w:val="-805003885"/>
        <w:placeholder>
          <w:docPart w:val="GBC22222222222222222222222222222"/>
        </w:placeholder>
      </w:sdtPr>
      <w:sdtEndPr>
        <w:rPr>
          <w:rFonts w:cs="Cambria"/>
          <w:color w:val="000000" w:themeColor="text1"/>
          <w14:textFill>
            <w14:solidFill>
              <w14:schemeClr w14:val="tx1"/>
            </w14:solidFill>
          </w14:textFill>
        </w:rPr>
      </w:sdtEndPr>
      <w:sdtContent>
        <w:p>
          <w:pPr>
            <w:spacing w:line="360" w:lineRule="exact"/>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p>
      <w:pPr>
        <w:jc w:val="right"/>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单位：</w:t>
      </w:r>
      <w:sdt>
        <w:sdtPr>
          <w:rPr>
            <w:rFonts w:hint="eastAsia" w:cs="Cambria"/>
            <w:color w:val="000000" w:themeColor="text1"/>
            <w14:textFill>
              <w14:solidFill>
                <w14:schemeClr w14:val="tx1"/>
              </w14:solidFill>
            </w14:textFill>
          </w:rPr>
          <w:alias w:val="单位：财务附注：本公司作为被担保方"/>
          <w:tag w:val="_GBC_af3d3d55d9c648f8b2e94dcdd804c683"/>
          <w:id w:val="182022951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元</w:t>
          </w:r>
        </w:sdtContent>
      </w:sdt>
      <w:r>
        <w:rPr>
          <w:rFonts w:hint="eastAsia" w:cs="Cambria"/>
          <w:color w:val="000000" w:themeColor="text1"/>
          <w14:textFill>
            <w14:solidFill>
              <w14:schemeClr w14:val="tx1"/>
            </w14:solidFill>
          </w14:textFill>
        </w:rPr>
        <w:t xml:space="preserve"> 币种：</w:t>
      </w:r>
      <w:sdt>
        <w:sdtPr>
          <w:rPr>
            <w:rFonts w:hint="eastAsia" w:cs="Cambria"/>
            <w:color w:val="000000" w:themeColor="text1"/>
            <w14:textFill>
              <w14:solidFill>
                <w14:schemeClr w14:val="tx1"/>
              </w14:solidFill>
            </w14:textFill>
          </w:rPr>
          <w:alias w:val="币种：财务附注：本公司作为被担保方"/>
          <w:tag w:val="_GBC_684efbccec674b3abab20e6aa5c20b55"/>
          <w:id w:val="-1855321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571"/>
        <w:gridCol w:w="1652"/>
        <w:gridCol w:w="1805"/>
        <w:gridCol w:w="1791"/>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sdt>
          <w:sdtPr>
            <w:tag w:val="_PLD_6088efc2eccd46e6a311f035e3addd31"/>
            <w:id w:val="-1133240421"/>
          </w:sdtPr>
          <w:sdtContent>
            <w:tc>
              <w:tcPr>
                <w:tcW w:w="883"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担保方</w:t>
                </w:r>
              </w:p>
            </w:tc>
          </w:sdtContent>
        </w:sdt>
        <w:sdt>
          <w:sdtPr>
            <w:tag w:val="_PLD_e7f78a4ceee3432c87548a75d87de01f"/>
            <w:id w:val="-980230130"/>
          </w:sdtPr>
          <w:sdtContent>
            <w:tc>
              <w:tcPr>
                <w:tcW w:w="929"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担保金额</w:t>
                </w:r>
              </w:p>
            </w:tc>
          </w:sdtContent>
        </w:sdt>
        <w:sdt>
          <w:sdtPr>
            <w:tag w:val="_PLD_258ee883a1494cba8aadfb02a67b1d9f"/>
            <w:id w:val="-192457037"/>
          </w:sdtPr>
          <w:sdtContent>
            <w:tc>
              <w:tcPr>
                <w:tcW w:w="1015"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担保起始日</w:t>
                </w:r>
              </w:p>
            </w:tc>
          </w:sdtContent>
        </w:sdt>
        <w:sdt>
          <w:sdtPr>
            <w:tag w:val="_PLD_219bfe3bbd6a4eeab9cd5e00e9bb2477"/>
            <w:id w:val="1761877188"/>
          </w:sdtPr>
          <w:sdtContent>
            <w:tc>
              <w:tcPr>
                <w:tcW w:w="1007"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担保到期日</w:t>
                </w:r>
              </w:p>
            </w:tc>
          </w:sdtContent>
        </w:sdt>
        <w:sdt>
          <w:sdtPr>
            <w:tag w:val="_PLD_e2efca4906c0464cb3ccf5445b144c22"/>
            <w:id w:val="-789817174"/>
          </w:sdtPr>
          <w:sdtContent>
            <w:tc>
              <w:tcPr>
                <w:tcW w:w="1166"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担保是否已经履行完毕</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83" w:type="pct"/>
            <w:tcBorders>
              <w:top w:val="single" w:color="auto" w:sz="4" w:space="0"/>
              <w:left w:val="single" w:color="auto" w:sz="4" w:space="0"/>
              <w:bottom w:val="single" w:color="auto" w:sz="4" w:space="0"/>
              <w:right w:val="single" w:color="auto" w:sz="4" w:space="0"/>
            </w:tcBorders>
          </w:tcPr>
          <w:p>
            <w:pPr>
              <w:rPr>
                <w:rFonts w:cs="Cambria"/>
              </w:rPr>
            </w:pPr>
            <w:r>
              <w:rPr>
                <w:rFonts w:hint="eastAsia"/>
              </w:rPr>
              <w:t>杨泽民、秦惠兰</w:t>
            </w:r>
          </w:p>
        </w:tc>
        <w:tc>
          <w:tcPr>
            <w:tcW w:w="929" w:type="pct"/>
            <w:tcBorders>
              <w:top w:val="single" w:color="auto" w:sz="4" w:space="0"/>
              <w:left w:val="single" w:color="auto" w:sz="4" w:space="0"/>
              <w:bottom w:val="single" w:color="auto" w:sz="4" w:space="0"/>
              <w:right w:val="single" w:color="auto" w:sz="4" w:space="0"/>
            </w:tcBorders>
          </w:tcPr>
          <w:p>
            <w:pPr>
              <w:jc w:val="right"/>
              <w:rPr>
                <w:rFonts w:cs="Cambria"/>
              </w:rPr>
            </w:pPr>
            <w:r>
              <w:rPr>
                <w:rFonts w:hint="eastAsia"/>
              </w:rPr>
              <w:t>80,000,000.00</w:t>
            </w:r>
          </w:p>
        </w:tc>
        <w:tc>
          <w:tcPr>
            <w:tcW w:w="1015" w:type="pct"/>
            <w:tcBorders>
              <w:top w:val="single" w:color="auto" w:sz="4" w:space="0"/>
              <w:left w:val="single" w:color="auto" w:sz="4" w:space="0"/>
              <w:bottom w:val="single" w:color="auto" w:sz="4" w:space="0"/>
              <w:right w:val="single" w:color="auto" w:sz="4" w:space="0"/>
            </w:tcBorders>
          </w:tcPr>
          <w:p>
            <w:pPr>
              <w:jc w:val="right"/>
              <w:rPr>
                <w:rFonts w:cs="Cambria"/>
              </w:rPr>
            </w:pPr>
            <w:r>
              <w:rPr>
                <w:rFonts w:hint="eastAsia"/>
              </w:rPr>
              <w:t>2021/11/1</w:t>
            </w:r>
          </w:p>
        </w:tc>
        <w:tc>
          <w:tcPr>
            <w:tcW w:w="1007" w:type="pct"/>
            <w:tcBorders>
              <w:top w:val="single" w:color="auto" w:sz="4" w:space="0"/>
              <w:left w:val="single" w:color="auto" w:sz="4" w:space="0"/>
              <w:bottom w:val="single" w:color="auto" w:sz="4" w:space="0"/>
              <w:right w:val="single" w:color="auto" w:sz="4" w:space="0"/>
            </w:tcBorders>
          </w:tcPr>
          <w:p>
            <w:pPr>
              <w:jc w:val="right"/>
              <w:rPr>
                <w:rFonts w:cs="Cambria"/>
              </w:rPr>
            </w:pPr>
            <w:r>
              <w:rPr>
                <w:rFonts w:hint="eastAsia"/>
              </w:rPr>
              <w:t>2027/12/31</w:t>
            </w:r>
          </w:p>
        </w:tc>
        <w:tc>
          <w:tcPr>
            <w:tcW w:w="1166" w:type="pct"/>
            <w:tcBorders>
              <w:top w:val="single" w:color="auto" w:sz="4" w:space="0"/>
              <w:left w:val="single" w:color="auto" w:sz="4" w:space="0"/>
              <w:bottom w:val="single" w:color="auto" w:sz="4" w:space="0"/>
              <w:right w:val="single" w:color="auto" w:sz="4" w:space="0"/>
            </w:tcBorders>
          </w:tcPr>
          <w:p>
            <w:pPr>
              <w:jc w:val="center"/>
              <w:rPr>
                <w:rFonts w:cs="Cambria"/>
                <w:color w:val="000000" w:themeColor="text1"/>
                <w14:textFill>
                  <w14:solidFill>
                    <w14:schemeClr w14:val="tx1"/>
                  </w14:solidFill>
                </w14:textFill>
              </w:rPr>
            </w:pPr>
            <w:r>
              <w:rPr>
                <w:rFonts w:hint="eastAsia"/>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83" w:type="pct"/>
            <w:tcBorders>
              <w:top w:val="single" w:color="auto" w:sz="4" w:space="0"/>
              <w:left w:val="single" w:color="auto" w:sz="4" w:space="0"/>
              <w:bottom w:val="single" w:color="auto" w:sz="4" w:space="0"/>
              <w:right w:val="single" w:color="auto" w:sz="4" w:space="0"/>
            </w:tcBorders>
          </w:tcPr>
          <w:p>
            <w:pPr>
              <w:rPr>
                <w:rFonts w:cs="Cambria"/>
              </w:rPr>
            </w:pPr>
            <w:r>
              <w:rPr>
                <w:rFonts w:hint="eastAsia"/>
              </w:rPr>
              <w:t>杨泽民、秦惠兰</w:t>
            </w:r>
          </w:p>
        </w:tc>
        <w:tc>
          <w:tcPr>
            <w:tcW w:w="929" w:type="pct"/>
            <w:tcBorders>
              <w:top w:val="single" w:color="auto" w:sz="4" w:space="0"/>
              <w:left w:val="single" w:color="auto" w:sz="4" w:space="0"/>
              <w:bottom w:val="single" w:color="auto" w:sz="4" w:space="0"/>
              <w:right w:val="single" w:color="auto" w:sz="4" w:space="0"/>
            </w:tcBorders>
          </w:tcPr>
          <w:p>
            <w:pPr>
              <w:jc w:val="right"/>
              <w:rPr>
                <w:rFonts w:cs="Cambria"/>
              </w:rPr>
            </w:pPr>
            <w:r>
              <w:rPr>
                <w:rFonts w:hint="eastAsia"/>
              </w:rPr>
              <w:t>180,000,000.00</w:t>
            </w:r>
          </w:p>
        </w:tc>
        <w:tc>
          <w:tcPr>
            <w:tcW w:w="1015" w:type="pct"/>
            <w:tcBorders>
              <w:top w:val="single" w:color="auto" w:sz="4" w:space="0"/>
              <w:left w:val="single" w:color="auto" w:sz="4" w:space="0"/>
              <w:bottom w:val="single" w:color="auto" w:sz="4" w:space="0"/>
              <w:right w:val="single" w:color="auto" w:sz="4" w:space="0"/>
            </w:tcBorders>
          </w:tcPr>
          <w:p>
            <w:pPr>
              <w:jc w:val="right"/>
              <w:rPr>
                <w:rFonts w:cs="Cambria"/>
              </w:rPr>
            </w:pPr>
            <w:r>
              <w:rPr>
                <w:rFonts w:hint="eastAsia"/>
              </w:rPr>
              <w:t>2022/11/8</w:t>
            </w:r>
          </w:p>
        </w:tc>
        <w:tc>
          <w:tcPr>
            <w:tcW w:w="1007" w:type="pct"/>
            <w:tcBorders>
              <w:top w:val="single" w:color="auto" w:sz="4" w:space="0"/>
              <w:left w:val="single" w:color="auto" w:sz="4" w:space="0"/>
              <w:bottom w:val="single" w:color="auto" w:sz="4" w:space="0"/>
              <w:right w:val="single" w:color="auto" w:sz="4" w:space="0"/>
            </w:tcBorders>
          </w:tcPr>
          <w:p>
            <w:pPr>
              <w:jc w:val="right"/>
              <w:rPr>
                <w:rFonts w:cs="Cambria"/>
              </w:rPr>
            </w:pPr>
            <w:r>
              <w:rPr>
                <w:rFonts w:hint="eastAsia"/>
              </w:rPr>
              <w:t>2026/2/25</w:t>
            </w:r>
          </w:p>
        </w:tc>
        <w:tc>
          <w:tcPr>
            <w:tcW w:w="1166" w:type="pct"/>
            <w:tcBorders>
              <w:top w:val="single" w:color="auto" w:sz="4" w:space="0"/>
              <w:left w:val="single" w:color="auto" w:sz="4" w:space="0"/>
              <w:bottom w:val="single" w:color="auto" w:sz="4" w:space="0"/>
              <w:right w:val="single" w:color="auto" w:sz="4" w:space="0"/>
            </w:tcBorders>
          </w:tcPr>
          <w:p>
            <w:pPr>
              <w:jc w:val="center"/>
              <w:rPr>
                <w:rFonts w:cs="Cambria"/>
                <w:color w:val="000000" w:themeColor="text1"/>
                <w14:textFill>
                  <w14:solidFill>
                    <w14:schemeClr w14:val="tx1"/>
                  </w14:solidFill>
                </w14:textFill>
              </w:rPr>
            </w:pPr>
            <w:r>
              <w:rPr>
                <w:rFonts w:hint="eastAsi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83" w:type="pct"/>
            <w:tcBorders>
              <w:top w:val="single" w:color="auto" w:sz="4" w:space="0"/>
              <w:left w:val="single" w:color="auto" w:sz="4" w:space="0"/>
              <w:bottom w:val="single" w:color="auto" w:sz="4" w:space="0"/>
              <w:right w:val="single" w:color="auto" w:sz="4" w:space="0"/>
            </w:tcBorders>
          </w:tcPr>
          <w:p>
            <w:pPr>
              <w:rPr>
                <w:rFonts w:cs="Cambria"/>
              </w:rPr>
            </w:pPr>
            <w:r>
              <w:rPr>
                <w:rFonts w:hint="eastAsia"/>
              </w:rPr>
              <w:t>杨泽民、秦惠兰</w:t>
            </w:r>
          </w:p>
        </w:tc>
        <w:tc>
          <w:tcPr>
            <w:tcW w:w="929" w:type="pct"/>
            <w:tcBorders>
              <w:top w:val="single" w:color="auto" w:sz="4" w:space="0"/>
              <w:left w:val="single" w:color="auto" w:sz="4" w:space="0"/>
              <w:bottom w:val="single" w:color="auto" w:sz="4" w:space="0"/>
              <w:right w:val="single" w:color="auto" w:sz="4" w:space="0"/>
            </w:tcBorders>
          </w:tcPr>
          <w:p>
            <w:pPr>
              <w:jc w:val="right"/>
              <w:rPr>
                <w:rFonts w:cs="Cambria"/>
              </w:rPr>
            </w:pPr>
            <w:r>
              <w:rPr>
                <w:rFonts w:hint="eastAsia"/>
              </w:rPr>
              <w:t>796,500,000.00</w:t>
            </w:r>
          </w:p>
        </w:tc>
        <w:tc>
          <w:tcPr>
            <w:tcW w:w="1015" w:type="pct"/>
            <w:tcBorders>
              <w:top w:val="single" w:color="auto" w:sz="4" w:space="0"/>
              <w:left w:val="single" w:color="auto" w:sz="4" w:space="0"/>
              <w:bottom w:val="single" w:color="auto" w:sz="4" w:space="0"/>
              <w:right w:val="single" w:color="auto" w:sz="4" w:space="0"/>
            </w:tcBorders>
          </w:tcPr>
          <w:p>
            <w:pPr>
              <w:jc w:val="right"/>
              <w:rPr>
                <w:rFonts w:cs="Cambria"/>
              </w:rPr>
            </w:pPr>
            <w:r>
              <w:rPr>
                <w:rFonts w:hint="eastAsia"/>
              </w:rPr>
              <w:t>2022/12/28</w:t>
            </w:r>
          </w:p>
        </w:tc>
        <w:tc>
          <w:tcPr>
            <w:tcW w:w="1007" w:type="pct"/>
            <w:tcBorders>
              <w:top w:val="single" w:color="auto" w:sz="4" w:space="0"/>
              <w:left w:val="single" w:color="auto" w:sz="4" w:space="0"/>
              <w:bottom w:val="single" w:color="auto" w:sz="4" w:space="0"/>
              <w:right w:val="single" w:color="auto" w:sz="4" w:space="0"/>
            </w:tcBorders>
          </w:tcPr>
          <w:p>
            <w:pPr>
              <w:jc w:val="right"/>
              <w:rPr>
                <w:rFonts w:cs="Cambria"/>
              </w:rPr>
            </w:pPr>
            <w:r>
              <w:rPr>
                <w:rFonts w:hint="eastAsia"/>
              </w:rPr>
              <w:t>2026/3/5</w:t>
            </w:r>
          </w:p>
        </w:tc>
        <w:tc>
          <w:tcPr>
            <w:tcW w:w="1166" w:type="pct"/>
            <w:tcBorders>
              <w:top w:val="single" w:color="auto" w:sz="4" w:space="0"/>
              <w:left w:val="single" w:color="auto" w:sz="4" w:space="0"/>
              <w:bottom w:val="single" w:color="auto" w:sz="4" w:space="0"/>
              <w:right w:val="single" w:color="auto" w:sz="4" w:space="0"/>
            </w:tcBorders>
          </w:tcPr>
          <w:p>
            <w:pPr>
              <w:jc w:val="center"/>
              <w:rPr>
                <w:rFonts w:cs="Cambria"/>
                <w:color w:val="000000" w:themeColor="text1"/>
                <w14:textFill>
                  <w14:solidFill>
                    <w14:schemeClr w14:val="tx1"/>
                  </w14:solidFill>
                </w14:textFill>
              </w:rPr>
            </w:pPr>
            <w:r>
              <w:rPr>
                <w:rFonts w:hint="eastAsia"/>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883" w:type="pct"/>
            <w:tcBorders>
              <w:top w:val="single" w:color="auto" w:sz="4" w:space="0"/>
              <w:left w:val="single" w:color="auto" w:sz="4" w:space="0"/>
              <w:bottom w:val="single" w:color="auto" w:sz="4" w:space="0"/>
              <w:right w:val="single" w:color="auto" w:sz="4" w:space="0"/>
            </w:tcBorders>
          </w:tcPr>
          <w:p>
            <w:pPr>
              <w:jc w:val="center"/>
              <w:rPr>
                <w:rFonts w:cs="Cambria"/>
              </w:rPr>
            </w:pPr>
            <w:r>
              <w:rPr>
                <w:rFonts w:hint="eastAsia"/>
              </w:rPr>
              <w:t>合计</w:t>
            </w:r>
          </w:p>
        </w:tc>
        <w:tc>
          <w:tcPr>
            <w:tcW w:w="929" w:type="pct"/>
            <w:tcBorders>
              <w:top w:val="single" w:color="auto" w:sz="4" w:space="0"/>
              <w:left w:val="single" w:color="auto" w:sz="4" w:space="0"/>
              <w:bottom w:val="single" w:color="auto" w:sz="4" w:space="0"/>
              <w:right w:val="single" w:color="auto" w:sz="4" w:space="0"/>
            </w:tcBorders>
          </w:tcPr>
          <w:p>
            <w:pPr>
              <w:jc w:val="right"/>
              <w:rPr>
                <w:rFonts w:cs="Cambria"/>
              </w:rPr>
            </w:pPr>
            <w:r>
              <w:rPr>
                <w:rFonts w:hint="eastAsia"/>
              </w:rPr>
              <w:t>1,056,500,000.00</w:t>
            </w:r>
          </w:p>
        </w:tc>
        <w:tc>
          <w:tcPr>
            <w:tcW w:w="1015" w:type="pct"/>
            <w:tcBorders>
              <w:top w:val="single" w:color="auto" w:sz="4" w:space="0"/>
              <w:left w:val="single" w:color="auto" w:sz="4" w:space="0"/>
              <w:bottom w:val="single" w:color="auto" w:sz="4" w:space="0"/>
              <w:right w:val="single" w:color="auto" w:sz="4" w:space="0"/>
            </w:tcBorders>
          </w:tcPr>
          <w:p>
            <w:pPr>
              <w:rPr>
                <w:rFonts w:cs="Cambria"/>
              </w:rPr>
            </w:pPr>
          </w:p>
        </w:tc>
        <w:tc>
          <w:tcPr>
            <w:tcW w:w="1007" w:type="pct"/>
            <w:tcBorders>
              <w:top w:val="single" w:color="auto" w:sz="4" w:space="0"/>
              <w:left w:val="single" w:color="auto" w:sz="4" w:space="0"/>
              <w:bottom w:val="single" w:color="auto" w:sz="4" w:space="0"/>
              <w:right w:val="single" w:color="auto" w:sz="4" w:space="0"/>
            </w:tcBorders>
          </w:tcPr>
          <w:p>
            <w:pPr>
              <w:rPr>
                <w:rFonts w:cs="Cambria"/>
              </w:rPr>
            </w:pPr>
          </w:p>
        </w:tc>
        <w:tc>
          <w:tcPr>
            <w:tcW w:w="1166" w:type="pct"/>
            <w:tcBorders>
              <w:top w:val="single" w:color="auto" w:sz="4" w:space="0"/>
              <w:left w:val="single" w:color="auto" w:sz="4" w:space="0"/>
              <w:bottom w:val="single" w:color="auto" w:sz="4" w:space="0"/>
              <w:right w:val="single" w:color="auto" w:sz="4" w:space="0"/>
            </w:tcBorders>
          </w:tcPr>
          <w:p>
            <w:pPr>
              <w:rPr>
                <w:rFonts w:cs="Cambria"/>
                <w:color w:val="000000" w:themeColor="text1"/>
                <w14:textFill>
                  <w14:solidFill>
                    <w14:schemeClr w14:val="tx1"/>
                  </w14:solidFill>
                </w14:textFill>
              </w:rPr>
            </w:pPr>
          </w:p>
        </w:tc>
      </w:tr>
    </w:tbl>
    <w:p>
      <w:pP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关联担保情况说明</w:t>
      </w:r>
    </w:p>
    <w:sdt>
      <w:sdtPr>
        <w:rPr>
          <w:rFonts w:cs="Cambria"/>
          <w:color w:val="000000" w:themeColor="text1"/>
          <w14:textFill>
            <w14:solidFill>
              <w14:schemeClr w14:val="tx1"/>
            </w14:solidFill>
          </w14:textFill>
        </w:rPr>
        <w:alias w:val="是否适用：关联担保情况说明[双击切换]"/>
        <w:tag w:val="_GBC_9a5a4769e8804b779ae17adb041890d7"/>
        <w:id w:val="-951315772"/>
        <w:placeholder>
          <w:docPart w:val="GBC22222222222222222222222222222"/>
        </w:placeholder>
      </w:sdtPr>
      <w:sdtEndPr>
        <w:rPr>
          <w:rFonts w:cs="Cambria"/>
          <w:color w:val="000000" w:themeColor="text1"/>
          <w14:textFill>
            <w14:solidFill>
              <w14:schemeClr w14:val="tx1"/>
            </w14:solidFill>
          </w14:textFill>
        </w:rPr>
      </w:sdtEndPr>
      <w:sdtContent>
        <w:p>
          <w:pPr>
            <w:rPr>
              <w:rFonts w:cs="Cambria"/>
              <w:color w:val="000000" w:themeColor="text1"/>
              <w14:textFill>
                <w14:solidFill>
                  <w14:schemeClr w14:val="tx1"/>
                </w14:solidFill>
              </w14:textFill>
            </w:rPr>
          </w:pPr>
          <w:r>
            <w:rPr>
              <w:rFonts w:ascii="宋体" w:hAnsi="宋体" w:cs="Cambria"/>
              <w:color w:val="000000" w:themeColor="text1"/>
              <w14:textFill>
                <w14:solidFill>
                  <w14:schemeClr w14:val="tx1"/>
                </w14:solidFill>
              </w14:textFill>
            </w:rPr>
            <w:fldChar w:fldCharType="begin"/>
          </w:r>
          <w:r>
            <w:rPr>
              <w:rFonts w:ascii="宋体" w:hAnsi="宋体" w:cs="Cambria"/>
              <w:color w:val="000000" w:themeColor="text1"/>
              <w14:textFill>
                <w14:solidFill>
                  <w14:schemeClr w14:val="tx1"/>
                </w14:solidFill>
              </w14:textFill>
            </w:rPr>
            <w:instrText xml:space="preserve"> MACROBUTTON  SnrToggleCheckbox √适用 </w:instrText>
          </w:r>
          <w:r>
            <w:rPr>
              <w:rFonts w:ascii="宋体" w:hAnsi="宋体" w:cs="Cambria"/>
              <w:color w:val="000000" w:themeColor="text1"/>
              <w14:textFill>
                <w14:solidFill>
                  <w14:schemeClr w14:val="tx1"/>
                </w14:solidFill>
              </w14:textFill>
            </w:rPr>
            <w:fldChar w:fldCharType="end"/>
          </w:r>
          <w:r>
            <w:rPr>
              <w:rFonts w:ascii="宋体" w:hAnsi="宋体" w:cs="Cambria"/>
              <w:color w:val="000000" w:themeColor="text1"/>
              <w14:textFill>
                <w14:solidFill>
                  <w14:schemeClr w14:val="tx1"/>
                </w14:solidFill>
              </w14:textFill>
            </w:rPr>
            <w:fldChar w:fldCharType="begin"/>
          </w:r>
          <w:r>
            <w:rPr>
              <w:rFonts w:ascii="宋体" w:hAnsi="宋体" w:cs="Cambria"/>
              <w:color w:val="000000" w:themeColor="text1"/>
              <w14:textFill>
                <w14:solidFill>
                  <w14:schemeClr w14:val="tx1"/>
                </w14:solidFill>
              </w14:textFill>
            </w:rPr>
            <w:instrText xml:space="preserve"> MACROBUTTON  SnrToggleCheckbox □不适用 </w:instrText>
          </w:r>
          <w:r>
            <w:rPr>
              <w:rFonts w:ascii="宋体" w:hAnsi="宋体" w:cs="Cambria"/>
              <w:color w:val="000000" w:themeColor="text1"/>
              <w14:textFill>
                <w14:solidFill>
                  <w14:schemeClr w14:val="tx1"/>
                </w14:solidFill>
              </w14:textFill>
            </w:rPr>
            <w:fldChar w:fldCharType="end"/>
          </w:r>
        </w:p>
      </w:sdtContent>
    </w:sdt>
    <w:sdt>
      <w:sdtPr>
        <w:rPr>
          <w:rFonts w:cs="Cambria"/>
          <w:color w:val="000000" w:themeColor="text1"/>
          <w14:textFill>
            <w14:solidFill>
              <w14:schemeClr w14:val="tx1"/>
            </w14:solidFill>
          </w14:textFill>
        </w:rPr>
        <w:alias w:val="关联担保说明"/>
        <w:tag w:val="_GBC_e0444f9afd5a4ce58c84bff06eddbd44"/>
        <w:id w:val="746228147"/>
        <w:placeholder>
          <w:docPart w:val="GBC22222222222222222222222222222"/>
        </w:placeholder>
      </w:sdtPr>
      <w:sdtEndPr>
        <w:rPr>
          <w:rFonts w:cs="Cambria"/>
          <w:color w:val="000000" w:themeColor="text1"/>
          <w14:textFill>
            <w14:solidFill>
              <w14:schemeClr w14:val="tx1"/>
            </w14:solidFill>
          </w14:textFill>
        </w:rPr>
      </w:sdtEndPr>
      <w:sdtContent>
        <w:p>
          <w:pPr>
            <w:spacing w:line="360" w:lineRule="exact"/>
            <w:ind w:firstLine="420" w:firstLineChars="200"/>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1）2021年11月1日杨泽民、秦惠兰与中国工商银行股份有限公司都匀分行签订担保协议，担保人杨泽民、秦惠兰为黔南望江变压器有限公司与中国工商银行股份有限公司都匀分行签订的《项目贷款合同》提供担保，担保金额0.8亿元，实际担保余额0.2亿元；</w:t>
          </w:r>
        </w:p>
        <w:p>
          <w:pPr>
            <w:spacing w:line="360" w:lineRule="exact"/>
            <w:ind w:firstLine="420" w:firstLineChars="200"/>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2）2022年11月08日杨泽民、秦惠兰与中信银行股份有限公司重庆分行签订担保协议，担保人杨泽民、秦惠兰为本公司与中信银行股份有限公司重庆分行签订的《授信合同》提供担保，担保金额1.8亿元，截至2026年6月30日，因主债务已履行完毕，该担保责任相应终止；</w:t>
          </w:r>
        </w:p>
        <w:p>
          <w:pPr>
            <w:spacing w:line="360" w:lineRule="exact"/>
            <w:ind w:firstLine="420" w:firstLineChars="200"/>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3）2022年12月28日杨泽民、秦惠兰与重庆三峡银行股份有限公司长寿支行签订担保协议，担保人杨泽民、秦惠兰为本公司与重庆三峡银行股份有限公司长寿支行签订的《授信合同》提供担保，担保金额7.965亿元，截至2026年6月30日，因主债务已履行完毕，该担保责任相应终止。</w:t>
          </w:r>
          <w:r>
            <w:rPr>
              <w:rFonts w:hint="eastAsia" w:cs="Cambria"/>
              <w:color w:val="000000" w:themeColor="text1"/>
              <w14:textFill>
                <w14:solidFill>
                  <w14:schemeClr w14:val="tx1"/>
                </w14:solidFill>
              </w14:textFill>
            </w:rPr>
            <w:tab/>
          </w:r>
        </w:p>
      </w:sdtContent>
    </w:sdt>
    <w:bookmarkEnd w:id="447"/>
    <w:p>
      <w:pPr>
        <w:pStyle w:val="5"/>
        <w:numPr>
          <w:ilvl w:val="0"/>
          <w:numId w:val="90"/>
        </w:numPr>
        <w:tabs>
          <w:tab w:val="left" w:pos="616"/>
        </w:tabs>
        <w:spacing w:line="360" w:lineRule="exact"/>
        <w:rPr>
          <w:rFonts w:hint="eastAsia" w:ascii="宋体" w:hAnsi="宋体"/>
          <w:color w:val="000000" w:themeColor="text1"/>
          <w14:textFill>
            <w14:solidFill>
              <w14:schemeClr w14:val="tx1"/>
            </w14:solidFill>
          </w14:textFill>
        </w:rPr>
      </w:pPr>
      <w:bookmarkStart w:id="448" w:name="_Hlk72829984"/>
      <w:r>
        <w:rPr>
          <w:rFonts w:hint="eastAsia" w:ascii="宋体" w:hAnsi="宋体"/>
          <w:color w:val="000000" w:themeColor="text1"/>
          <w14:textFill>
            <w14:solidFill>
              <w14:schemeClr w14:val="tx1"/>
            </w14:solidFill>
          </w14:textFill>
        </w:rPr>
        <w:t>关联方资金拆借</w:t>
      </w:r>
    </w:p>
    <w:sdt>
      <w:sdtPr>
        <w:rPr>
          <w:color w:val="000000" w:themeColor="text1"/>
          <w14:textFill>
            <w14:solidFill>
              <w14:schemeClr w14:val="tx1"/>
            </w14:solidFill>
          </w14:textFill>
        </w:rPr>
        <w:alias w:val="是否适用：关联方资金拆借[双击切换]"/>
        <w:tag w:val="_GBC_4b2d20ddab104a06a9007945a55a3da5"/>
        <w:id w:val="-204711783"/>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48"/>
    <w:p>
      <w:pPr>
        <w:pStyle w:val="5"/>
        <w:numPr>
          <w:ilvl w:val="0"/>
          <w:numId w:val="90"/>
        </w:numPr>
        <w:tabs>
          <w:tab w:val="left" w:pos="616"/>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关联方资产转让、债务重组情况</w:t>
      </w:r>
    </w:p>
    <w:sdt>
      <w:sdtPr>
        <w:rPr>
          <w:color w:val="000000" w:themeColor="text1"/>
          <w14:textFill>
            <w14:solidFill>
              <w14:schemeClr w14:val="tx1"/>
            </w14:solidFill>
          </w14:textFill>
        </w:rPr>
        <w:alias w:val="是否适用：关联方资产转让、债务重组情况[双击切换]"/>
        <w:tag w:val="_GBC_c590c66abdbe454e89c4c55269fb6adf"/>
        <w:id w:val="120522380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90"/>
        </w:numPr>
        <w:tabs>
          <w:tab w:val="left" w:pos="616"/>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关键管理人员报酬</w:t>
      </w:r>
    </w:p>
    <w:sdt>
      <w:sdtPr>
        <w:rPr>
          <w:color w:val="000000" w:themeColor="text1"/>
          <w14:textFill>
            <w14:solidFill>
              <w14:schemeClr w14:val="tx1"/>
            </w14:solidFill>
          </w14:textFill>
        </w:rPr>
        <w:alias w:val="是否适用：关键管理人员报酬[双击切换]"/>
        <w:tag w:val="_GBC_48379e9c7f5743bb916ac1cb044f4057"/>
        <w:id w:val="800117702"/>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单位：</w:t>
      </w:r>
      <w:sdt>
        <w:sdtPr>
          <w:rPr>
            <w:rFonts w:hint="eastAsia" w:cs="Cambria"/>
            <w:color w:val="000000" w:themeColor="text1"/>
            <w14:textFill>
              <w14:solidFill>
                <w14:schemeClr w14:val="tx1"/>
              </w14:solidFill>
            </w14:textFill>
          </w:rPr>
          <w:alias w:val="单位：财务附注：关键管理人员报酬"/>
          <w:tag w:val="_GBC_ce83ed5df8424f9a845da83f15361f10"/>
          <w:id w:val="-1024019691"/>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元</w:t>
          </w:r>
        </w:sdtContent>
      </w:sdt>
      <w:r>
        <w:rPr>
          <w:rFonts w:hint="eastAsia" w:cs="Cambria"/>
          <w:color w:val="000000" w:themeColor="text1"/>
          <w14:textFill>
            <w14:solidFill>
              <w14:schemeClr w14:val="tx1"/>
            </w14:solidFill>
          </w14:textFill>
        </w:rPr>
        <w:t xml:space="preserve"> 币种：</w:t>
      </w:r>
      <w:sdt>
        <w:sdtPr>
          <w:rPr>
            <w:rFonts w:hint="eastAsia" w:cs="Cambria"/>
            <w:color w:val="000000" w:themeColor="text1"/>
            <w14:textFill>
              <w14:solidFill>
                <w14:schemeClr w14:val="tx1"/>
              </w14:solidFill>
            </w14:textFill>
          </w:rPr>
          <w:alias w:val="币种：财务附注：关键管理人员报酬"/>
          <w:tag w:val="_GBC_f493c9ef199846639115d5bc3032a26e"/>
          <w:id w:val="-198029079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s="Cambria"/>
            <w:color w:val="000000" w:themeColor="text1"/>
            <w14:textFill>
              <w14:solidFill>
                <w14:schemeClr w14:val="tx1"/>
              </w14:solidFill>
            </w14:textFill>
          </w:rPr>
        </w:sdtEndPr>
        <w:sdtContent>
          <w:r>
            <w:rPr>
              <w:rFonts w:hint="eastAsia" w:cs="Cambr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4"/>
        <w:gridCol w:w="3274"/>
        <w:gridCol w:w="2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7f843efe3664c9fbe7a215b63622ea0"/>
            <w:id w:val="-1968343506"/>
          </w:sdtPr>
          <w:sdtContent>
            <w:tc>
              <w:tcPr>
                <w:tcW w:w="1809"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项目</w:t>
                </w:r>
              </w:p>
            </w:tc>
          </w:sdtContent>
        </w:sdt>
        <w:sdt>
          <w:sdtPr>
            <w:tag w:val="_PLD_30a169af324e457e93d304c688a55945"/>
            <w:id w:val="471174719"/>
          </w:sdtPr>
          <w:sdtContent>
            <w:tc>
              <w:tcPr>
                <w:tcW w:w="1809"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本期发生额</w:t>
                </w:r>
              </w:p>
            </w:tc>
          </w:sdtContent>
        </w:sdt>
        <w:sdt>
          <w:sdtPr>
            <w:tag w:val="_PLD_bf5a91780f544d6eade38e70db331a30"/>
            <w:id w:val="1937624608"/>
          </w:sdtPr>
          <w:sdtContent>
            <w:tc>
              <w:tcPr>
                <w:tcW w:w="1382" w:type="pct"/>
                <w:tcBorders>
                  <w:top w:val="single" w:color="auto" w:sz="4" w:space="0"/>
                  <w:left w:val="single" w:color="auto" w:sz="4" w:space="0"/>
                  <w:bottom w:val="single" w:color="auto" w:sz="4" w:space="0"/>
                  <w:right w:val="single" w:color="auto" w:sz="4" w:space="0"/>
                </w:tcBorders>
                <w:vAlign w:val="center"/>
              </w:tcPr>
              <w:p>
                <w:pPr>
                  <w:jc w:val="cente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pct"/>
            <w:tcBorders>
              <w:top w:val="single" w:color="auto" w:sz="4" w:space="0"/>
              <w:left w:val="single" w:color="auto" w:sz="4" w:space="0"/>
              <w:bottom w:val="single" w:color="auto" w:sz="4" w:space="0"/>
              <w:right w:val="single" w:color="auto" w:sz="4" w:space="0"/>
            </w:tcBorders>
          </w:tcPr>
          <w:p>
            <w:pPr>
              <w:rPr>
                <w:rFonts w:cs="Cambria"/>
                <w:color w:val="000000" w:themeColor="text1"/>
                <w14:textFill>
                  <w14:solidFill>
                    <w14:schemeClr w14:val="tx1"/>
                  </w14:solidFill>
                </w14:textFill>
              </w:rPr>
            </w:pPr>
            <w:r>
              <w:rPr>
                <w:rFonts w:hint="eastAsia" w:cs="Cambria"/>
                <w:color w:val="000000" w:themeColor="text1"/>
                <w14:textFill>
                  <w14:solidFill>
                    <w14:schemeClr w14:val="tx1"/>
                  </w14:solidFill>
                </w14:textFill>
              </w:rPr>
              <w:t>关键管理人员报酬</w:t>
            </w:r>
          </w:p>
        </w:tc>
        <w:tc>
          <w:tcPr>
            <w:tcW w:w="1809" w:type="pct"/>
            <w:tcBorders>
              <w:top w:val="single" w:color="auto" w:sz="4" w:space="0"/>
              <w:left w:val="single" w:color="auto" w:sz="4" w:space="0"/>
              <w:bottom w:val="single" w:color="auto" w:sz="4" w:space="0"/>
              <w:right w:val="single" w:color="auto" w:sz="4" w:space="0"/>
            </w:tcBorders>
          </w:tcPr>
          <w:p>
            <w:pPr>
              <w:jc w:val="right"/>
              <w:rPr>
                <w:rFonts w:cs="Cambria"/>
              </w:rPr>
            </w:pPr>
            <w:r>
              <w:t xml:space="preserve"> 3,123,700.00 </w:t>
            </w:r>
          </w:p>
        </w:tc>
        <w:tc>
          <w:tcPr>
            <w:tcW w:w="1382" w:type="pct"/>
            <w:tcBorders>
              <w:top w:val="single" w:color="auto" w:sz="4" w:space="0"/>
              <w:left w:val="single" w:color="auto" w:sz="4" w:space="0"/>
              <w:bottom w:val="single" w:color="auto" w:sz="4" w:space="0"/>
              <w:right w:val="single" w:color="auto" w:sz="4" w:space="0"/>
            </w:tcBorders>
          </w:tcPr>
          <w:p>
            <w:pPr>
              <w:jc w:val="right"/>
              <w:rPr>
                <w:rFonts w:cs="Cambria"/>
              </w:rPr>
            </w:pPr>
            <w:r>
              <w:t>3,411,914.38</w:t>
            </w:r>
          </w:p>
        </w:tc>
      </w:tr>
    </w:tbl>
    <w:p>
      <w:pPr>
        <w:pStyle w:val="5"/>
        <w:numPr>
          <w:ilvl w:val="0"/>
          <w:numId w:val="90"/>
        </w:numPr>
        <w:tabs>
          <w:tab w:val="left" w:pos="616"/>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其他关联交易</w:t>
      </w:r>
    </w:p>
    <w:sdt>
      <w:sdtPr>
        <w:rPr>
          <w:color w:val="000000" w:themeColor="text1"/>
          <w14:textFill>
            <w14:solidFill>
              <w14:schemeClr w14:val="tx1"/>
            </w14:solidFill>
          </w14:textFill>
        </w:rPr>
        <w:alias w:val="是否适用：其他关联交易[双击切换]"/>
        <w:tag w:val="_GBC_9768a300838a499089a7b814ff3d817d"/>
        <w:id w:val="75105987"/>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89"/>
        </w:numPr>
        <w:spacing w:line="360" w:lineRule="exact"/>
        <w:rPr>
          <w:rFonts w:hint="eastAsia" w:ascii="宋体" w:hAnsi="宋体"/>
          <w:color w:val="000000" w:themeColor="text1"/>
          <w14:textFill>
            <w14:solidFill>
              <w14:schemeClr w14:val="tx1"/>
            </w14:solidFill>
          </w14:textFill>
        </w:rPr>
      </w:pPr>
      <w:bookmarkStart w:id="449" w:name="OLE_LINK15"/>
      <w:r>
        <w:rPr>
          <w:rFonts w:hint="eastAsia" w:ascii="宋体" w:hAnsi="宋体"/>
          <w:color w:val="000000" w:themeColor="text1"/>
          <w14:textFill>
            <w14:solidFill>
              <w14:schemeClr w14:val="tx1"/>
            </w14:solidFill>
          </w14:textFill>
        </w:rPr>
        <w:t>应收、应付关联方等未结算项目情况</w:t>
      </w:r>
    </w:p>
    <w:bookmarkEnd w:id="449"/>
    <w:p>
      <w:pPr>
        <w:pStyle w:val="5"/>
        <w:numPr>
          <w:ilvl w:val="0"/>
          <w:numId w:val="91"/>
        </w:numPr>
        <w:tabs>
          <w:tab w:val="left" w:pos="616"/>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应收项目</w:t>
      </w:r>
    </w:p>
    <w:sdt>
      <w:sdtPr>
        <w:rPr>
          <w:color w:val="000000" w:themeColor="text1"/>
          <w14:textFill>
            <w14:solidFill>
              <w14:schemeClr w14:val="tx1"/>
            </w14:solidFill>
          </w14:textFill>
        </w:rPr>
        <w:alias w:val="是否适用：应收项目[双击切换]"/>
        <w:tag w:val="_GBC_e5475e28b21641f6895ac4770b2631b5"/>
        <w:id w:val="-1141803670"/>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上市公司应收关联方款项"/>
          <w:tag w:val="_GBC_04d0c208b4494e01aba7984c41905093"/>
          <w:id w:val="-13171007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上市公司应收关联方款项"/>
          <w:tag w:val="_GBC_b106fdd467084a62837eebe1d06bbbee"/>
          <w:id w:val="-177330747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021"/>
        <w:gridCol w:w="2287"/>
        <w:gridCol w:w="1701"/>
        <w:gridCol w:w="1417"/>
        <w:gridCol w:w="1294"/>
        <w:gridCol w:w="1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blHeader/>
        </w:trPr>
        <w:sdt>
          <w:sdtPr>
            <w:tag w:val="_PLD_75750bc8ac464afa98573c85adea097c"/>
            <w:id w:val="-304699283"/>
          </w:sdtPr>
          <w:sdtContent>
            <w:tc>
              <w:tcPr>
                <w:tcW w:w="0" w:type="auto"/>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p>
            </w:tc>
          </w:sdtContent>
        </w:sdt>
        <w:sdt>
          <w:sdtPr>
            <w:tag w:val="_PLD_5006be842c534839b3dabcf833329dd5"/>
            <w:id w:val="-1249583284"/>
          </w:sdtPr>
          <w:sdtContent>
            <w:tc>
              <w:tcPr>
                <w:tcW w:w="2287" w:type="dxa"/>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关联方</w:t>
                </w:r>
              </w:p>
            </w:tc>
          </w:sdtContent>
        </w:sdt>
        <w:sdt>
          <w:sdtPr>
            <w:tag w:val="_PLD_f8f3c28b2f064090a27f319875eb1b52"/>
            <w:id w:val="-485787805"/>
          </w:sdtPr>
          <w:sdtContent>
            <w:tc>
              <w:tcPr>
                <w:tcW w:w="3118" w:type="dxa"/>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fdab8cbff0b74f19a916d61075f629a0"/>
            <w:id w:val="1544943869"/>
          </w:sdtPr>
          <w:sdtContent>
            <w:tc>
              <w:tcPr>
                <w:tcW w:w="2467" w:type="dxa"/>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blHeader/>
        </w:trPr>
        <w:tc>
          <w:tcPr>
            <w:tcW w:w="0" w:type="auto"/>
            <w:vMerge w:val="continue"/>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tc>
          <w:tcPr>
            <w:tcW w:w="2287" w:type="dxa"/>
            <w:vMerge w:val="continue"/>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sdt>
          <w:sdtPr>
            <w:tag w:val="_PLD_5c085d18049644c9860a00b248b7c0ba"/>
            <w:id w:val="2004554339"/>
          </w:sdtPr>
          <w:sdtContent>
            <w:tc>
              <w:tcPr>
                <w:tcW w:w="1701"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8262489c05a6417a883e2c877ded6170"/>
            <w:id w:val="-1148048305"/>
          </w:sdtPr>
          <w:sdtContent>
            <w:tc>
              <w:tcPr>
                <w:tcW w:w="1417"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46c6d827df3f47a3bc83a6dd8718f17e"/>
            <w:id w:val="454986681"/>
          </w:sdtPr>
          <w:sdtContent>
            <w:tc>
              <w:tcPr>
                <w:tcW w:w="1294"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fca2aa8baf8a48a7a4cdc730d7420d47"/>
            <w:id w:val="-1520074346"/>
          </w:sdtPr>
          <w:sdtContent>
            <w:tc>
              <w:tcPr>
                <w:tcW w:w="1173"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应收账款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重庆能投长寿经开区售电有限公司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34,250.00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1,712.50 </w:t>
            </w: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 72,643.22 </w:t>
            </w: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 3,871.82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应收账款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东莞元启星光数字能源技术有限公司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3,734,121.60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186,706.08 </w:t>
            </w: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应收账款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元启星光（防城港）数字能源技术有限公司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678,931.20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33,946.56 </w:t>
            </w: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应收账款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元启星光（韶关）数字能源技术有限公司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339,465.61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16,973.28 </w:t>
            </w: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应收账款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元启星光能源科技（古交）有限公司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2,795,606.39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139,780.32 </w:t>
            </w: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应收账款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元启星光数字能源技术（新密市）有限公司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30,563,379.00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1,528,168.95 </w:t>
            </w: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应收账款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元启星光数字能源科技（珙县）有限公司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2,096,704.80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104,835.24 </w:t>
            </w: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应收账款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元启星光数字能源科技（</w:t>
            </w:r>
            <w:r>
              <w:t>桂阳</w:t>
            </w:r>
            <w:r>
              <w:rPr>
                <w:rFonts w:hint="eastAsia"/>
              </w:rPr>
              <w:t>）有限公司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17,467,608.61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873,380.43 </w:t>
            </w: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应收账款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元启星光数字能源科技（孟州市）有限公司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92,425,336.58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4,621,266.83 </w:t>
            </w: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预付账款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重庆能投长寿经开区售电有限公司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3,000.00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 10,000.00 </w:t>
            </w: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长期应收款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元启星光数字能源科技（珙县）有限公司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7,421,963.89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长期应收款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元启星光（防城港）数字能源技术有限公司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2,403,296.28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长期应收款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东莞元启星光数字能源技术有限公司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13,218,129.55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长期应收款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元启星光（韶关）数字能源技术有限公司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1,201,648.14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长期应收款</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r>
              <w:rPr>
                <w:rFonts w:hint="eastAsia"/>
              </w:rPr>
              <w:t>元启星光能源科技（古交）有限公司</w:t>
            </w: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 xml:space="preserve">9,895,951.86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0" w:type="auto"/>
            <w:tcBorders>
              <w:top w:val="single" w:color="auto" w:sz="4" w:space="0"/>
              <w:left w:val="single" w:color="auto" w:sz="4" w:space="0"/>
              <w:bottom w:val="single" w:color="auto" w:sz="4" w:space="0"/>
              <w:right w:val="single" w:color="auto" w:sz="4" w:space="0"/>
            </w:tcBorders>
          </w:tcPr>
          <w:p>
            <w:pPr>
              <w:autoSpaceDE w:val="0"/>
              <w:autoSpaceDN w:val="0"/>
              <w:adjustRightInd w:val="0"/>
              <w:jc w:val="center"/>
            </w:pPr>
            <w:r>
              <w:rPr>
                <w:rFonts w:hint="eastAsia"/>
              </w:rPr>
              <w:t>合计</w:t>
            </w:r>
          </w:p>
        </w:tc>
        <w:tc>
          <w:tcPr>
            <w:tcW w:w="2287" w:type="dxa"/>
            <w:tcBorders>
              <w:top w:val="single" w:color="auto" w:sz="4" w:space="0"/>
              <w:left w:val="single" w:color="auto" w:sz="4" w:space="0"/>
              <w:bottom w:val="single" w:color="auto" w:sz="4" w:space="0"/>
              <w:right w:val="single" w:color="auto" w:sz="4" w:space="0"/>
            </w:tcBorders>
          </w:tcPr>
          <w:p>
            <w:pPr>
              <w:autoSpaceDE w:val="0"/>
              <w:autoSpaceDN w:val="0"/>
              <w:adjustRightInd w:val="0"/>
            </w:pPr>
          </w:p>
        </w:tc>
        <w:tc>
          <w:tcPr>
            <w:tcW w:w="17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t xml:space="preserve">184,279,393.51 </w:t>
            </w:r>
          </w:p>
        </w:tc>
        <w:tc>
          <w:tcPr>
            <w:tcW w:w="141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t xml:space="preserve">7,506,770.19 </w:t>
            </w:r>
          </w:p>
        </w:tc>
        <w:tc>
          <w:tcPr>
            <w:tcW w:w="12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t xml:space="preserve">82,643.22 </w:t>
            </w:r>
          </w:p>
        </w:tc>
        <w:tc>
          <w:tcPr>
            <w:tcW w:w="11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t xml:space="preserve">3,871.82 </w:t>
            </w:r>
          </w:p>
        </w:tc>
      </w:tr>
    </w:tbl>
    <w:p>
      <w:pPr>
        <w:pStyle w:val="5"/>
        <w:numPr>
          <w:ilvl w:val="0"/>
          <w:numId w:val="91"/>
        </w:numPr>
        <w:tabs>
          <w:tab w:val="left" w:pos="616"/>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应付项目</w:t>
      </w:r>
    </w:p>
    <w:p>
      <w:pPr>
        <w:rPr>
          <w:color w:val="000000" w:themeColor="text1"/>
          <w14:textFill>
            <w14:solidFill>
              <w14:schemeClr w14:val="tx1"/>
            </w14:solidFill>
          </w14:textFill>
        </w:rPr>
      </w:pPr>
      <w:sdt>
        <w:sdtPr>
          <w:rPr>
            <w:rFonts w:hint="eastAsia"/>
            <w:color w:val="000000" w:themeColor="text1"/>
            <w14:textFill>
              <w14:solidFill>
                <w14:schemeClr w14:val="tx1"/>
              </w14:solidFill>
            </w14:textFill>
          </w:rPr>
          <w:alias w:val="是否适用：应付项目[双击切换]"/>
          <w:tag w:val="_GBC_9dbefb51b716471b878d2e2863524a53"/>
          <w:id w:val="-1289042067"/>
          <w:placeholder>
            <w:docPart w:val="GBC22222222222222222222222222222"/>
          </w:placeholder>
        </w:sdtPr>
        <w:sdtEndPr>
          <w:rPr>
            <w:rFonts w:hint="eastAsia"/>
            <w:color w:val="000000" w:themeColor="text1"/>
            <w14:textFill>
              <w14:solidFill>
                <w14:schemeClr w14:val="tx1"/>
              </w14:solidFill>
            </w14:textFill>
          </w:rPr>
        </w:sdtEndPr>
        <w:sdtContent>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sdtContent>
      </w:sdt>
    </w:p>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上市公司应付关联方款项"/>
          <w:tag w:val="_GBC_08d04faee6a64768877db8f6ab14663e"/>
          <w:id w:val="28230981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上市公司应付关联方款项"/>
          <w:tag w:val="_GBC_124ea57c07fc4e23931a125a103e711c"/>
          <w:id w:val="1201363386"/>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0" w:type="dxa"/>
          <w:bottom w:w="0" w:type="dxa"/>
          <w:right w:w="30" w:type="dxa"/>
        </w:tblCellMar>
      </w:tblPr>
      <w:tblGrid>
        <w:gridCol w:w="1709"/>
        <w:gridCol w:w="2465"/>
        <w:gridCol w:w="2049"/>
        <w:gridCol w:w="2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blHeader/>
        </w:trPr>
        <w:sdt>
          <w:sdtPr>
            <w:tag w:val="_PLD_cf838d28f8e94c899328f1b9cd175b08"/>
            <w:id w:val="-1726209739"/>
          </w:sdtPr>
          <w:sdtContent>
            <w:tc>
              <w:tcPr>
                <w:tcW w:w="961" w:type="pct"/>
                <w:tcBorders>
                  <w:top w:val="single" w:color="auto" w:sz="4" w:space="0"/>
                  <w:left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w:t>
                </w:r>
              </w:p>
            </w:tc>
          </w:sdtContent>
        </w:sdt>
        <w:sdt>
          <w:sdtPr>
            <w:tag w:val="_PLD_25173a15407f4af6adbf91389dcc2257"/>
            <w:id w:val="916751201"/>
          </w:sdtPr>
          <w:sdtContent>
            <w:tc>
              <w:tcPr>
                <w:tcW w:w="1386" w:type="pct"/>
                <w:tcBorders>
                  <w:top w:val="single" w:color="auto" w:sz="4" w:space="0"/>
                  <w:left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关联方</w:t>
                </w:r>
              </w:p>
            </w:tc>
          </w:sdtContent>
        </w:sdt>
        <w:sdt>
          <w:sdtPr>
            <w:tag w:val="_PLD_a8551739db0f47cab1b1a6ea0e700367"/>
            <w:id w:val="1831715774"/>
          </w:sdtPr>
          <w:sdtContent>
            <w:tc>
              <w:tcPr>
                <w:tcW w:w="1152"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sdt>
          <w:sdtPr>
            <w:tag w:val="_PLD_83bc027cb7f1401db7a26beffe77ce00"/>
            <w:id w:val="-1327586783"/>
          </w:sdtPr>
          <w:sdtContent>
            <w:tc>
              <w:tcPr>
                <w:tcW w:w="1501"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6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应付账款</w:t>
            </w:r>
          </w:p>
        </w:tc>
        <w:tc>
          <w:tcPr>
            <w:tcW w:w="138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四川明珠电工材料有限责任公司</w:t>
            </w:r>
          </w:p>
        </w:tc>
        <w:tc>
          <w:tcPr>
            <w:tcW w:w="1152"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2,365,064.73</w:t>
            </w:r>
          </w:p>
        </w:tc>
        <w:tc>
          <w:tcPr>
            <w:tcW w:w="150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4,903,388.24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6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应付账款</w:t>
            </w:r>
          </w:p>
        </w:tc>
        <w:tc>
          <w:tcPr>
            <w:tcW w:w="138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深圳南海电气科技有限公司</w:t>
            </w:r>
          </w:p>
        </w:tc>
        <w:tc>
          <w:tcPr>
            <w:tcW w:w="1152"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c>
          <w:tcPr>
            <w:tcW w:w="150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50,850.00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6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合同负债</w:t>
            </w:r>
          </w:p>
        </w:tc>
        <w:tc>
          <w:tcPr>
            <w:tcW w:w="138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both"/>
            </w:pPr>
            <w:r>
              <w:rPr>
                <w:rFonts w:hint="eastAsia"/>
              </w:rPr>
              <w:t>元启星光数字能源科技（孟州市）有限公司</w:t>
            </w:r>
          </w:p>
        </w:tc>
        <w:tc>
          <w:tcPr>
            <w:tcW w:w="1152"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rPr>
                <w:rFonts w:hint="eastAsia"/>
              </w:rPr>
              <w:t>5,309,734.51</w:t>
            </w:r>
          </w:p>
        </w:tc>
        <w:tc>
          <w:tcPr>
            <w:tcW w:w="150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c>
          <w:tcPr>
            <w:tcW w:w="96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pPr>
            <w:r>
              <w:t>合计</w:t>
            </w:r>
          </w:p>
        </w:tc>
        <w:tc>
          <w:tcPr>
            <w:tcW w:w="1386" w:type="pct"/>
            <w:tcBorders>
              <w:top w:val="single" w:color="auto" w:sz="4" w:space="0"/>
              <w:left w:val="single" w:color="auto" w:sz="4" w:space="0"/>
              <w:bottom w:val="single" w:color="auto" w:sz="4" w:space="0"/>
              <w:right w:val="single" w:color="auto" w:sz="4" w:space="0"/>
            </w:tcBorders>
          </w:tcPr>
          <w:p>
            <w:pPr>
              <w:autoSpaceDE w:val="0"/>
              <w:autoSpaceDN w:val="0"/>
              <w:adjustRightInd w:val="0"/>
            </w:pPr>
          </w:p>
        </w:tc>
        <w:tc>
          <w:tcPr>
            <w:tcW w:w="1152"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t>7,674,799.24</w:t>
            </w:r>
          </w:p>
        </w:tc>
        <w:tc>
          <w:tcPr>
            <w:tcW w:w="1501"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right"/>
            </w:pPr>
            <w:r>
              <w:t>4,954,238.24</w:t>
            </w:r>
          </w:p>
        </w:tc>
      </w:tr>
    </w:tbl>
    <w:p>
      <w:pPr>
        <w:pStyle w:val="5"/>
        <w:numPr>
          <w:ilvl w:val="0"/>
          <w:numId w:val="91"/>
        </w:numPr>
        <w:tabs>
          <w:tab w:val="left" w:pos="616"/>
        </w:tabs>
        <w:rPr>
          <w:rFonts w:hint="eastAsia" w:ascii="宋体" w:hAnsi="宋体"/>
          <w:color w:val="000000" w:themeColor="text1"/>
          <w14:textFill>
            <w14:solidFill>
              <w14:schemeClr w14:val="tx1"/>
            </w14:solidFill>
          </w14:textFill>
        </w:rPr>
      </w:pPr>
      <w:bookmarkStart w:id="450" w:name="_Hlk167976682"/>
      <w:r>
        <w:rPr>
          <w:rFonts w:hint="eastAsia" w:ascii="宋体" w:hAnsi="宋体"/>
          <w:color w:val="000000" w:themeColor="text1"/>
          <w14:textFill>
            <w14:solidFill>
              <w14:schemeClr w14:val="tx1"/>
            </w14:solidFill>
          </w14:textFill>
        </w:rPr>
        <w:t>其他项目</w:t>
      </w:r>
    </w:p>
    <w:sdt>
      <w:sdtPr>
        <w:rPr>
          <w:color w:val="000000" w:themeColor="text1"/>
          <w14:textFill>
            <w14:solidFill>
              <w14:schemeClr w14:val="tx1"/>
            </w14:solidFill>
          </w14:textFill>
        </w:rPr>
        <w:alias w:val="是否适用：关联方其他未结算项目情况[双击切换]"/>
        <w:tag w:val="_GBC_459b27789b354473a02699da087a3b51"/>
        <w:id w:val="61001897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50"/>
    <w:p>
      <w:pPr>
        <w:pStyle w:val="4"/>
        <w:numPr>
          <w:ilvl w:val="0"/>
          <w:numId w:val="89"/>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关联方承诺</w:t>
      </w:r>
    </w:p>
    <w:sdt>
      <w:sdtPr>
        <w:rPr>
          <w:color w:val="000000" w:themeColor="text1"/>
          <w14:textFill>
            <w14:solidFill>
              <w14:schemeClr w14:val="tx1"/>
            </w14:solidFill>
          </w14:textFill>
        </w:rPr>
        <w:alias w:val="是否适用：关联方承诺[双击切换]"/>
        <w:tag w:val="_GBC_b906cacab2e94825966fa70e345656b5"/>
        <w:id w:val="-193766224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89"/>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关联方及关联情况的其他说明[双击切换]"/>
        <w:tag w:val="_GBC_87161343db8b4a0b9e041c62c0df5e87"/>
        <w:id w:val="-20252830"/>
        <w:placeholder>
          <w:docPart w:val="GBC22222222222222222222222222222"/>
        </w:placeholder>
      </w:sdtPr>
      <w:sdtEndPr>
        <w:rPr>
          <w:color w:val="000000" w:themeColor="text1"/>
          <w14:textFill>
            <w14:solidFill>
              <w14:schemeClr w14:val="tx1"/>
            </w14:solidFill>
          </w14:textFill>
        </w:rPr>
      </w:sdtEndPr>
      <w:sdtContent>
        <w:p>
          <w:pPr>
            <w:rPr>
              <w:rFonts w:cs="Cambria"/>
              <w:color w:val="000000" w:themeColor="text1"/>
              <w:sz w:val="20"/>
              <w:szCs w:val="20"/>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
        <w:numPr>
          <w:ilvl w:val="0"/>
          <w:numId w:val="31"/>
        </w:numPr>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股份支付</w:t>
      </w:r>
    </w:p>
    <w:p>
      <w:pPr>
        <w:pStyle w:val="4"/>
        <w:numPr>
          <w:ilvl w:val="0"/>
          <w:numId w:val="92"/>
        </w:numPr>
        <w:ind w:left="420" w:hanging="420"/>
        <w:rPr>
          <w:rFonts w:hint="eastAsia" w:ascii="宋体" w:hAnsi="宋体" w:cs="宋体"/>
          <w:color w:val="000000" w:themeColor="text1"/>
          <w:kern w:val="0"/>
          <w:szCs w:val="24"/>
          <w14:textFill>
            <w14:solidFill>
              <w14:schemeClr w14:val="tx1"/>
            </w14:solidFill>
          </w14:textFill>
        </w:rPr>
      </w:pPr>
      <w:bookmarkStart w:id="451" w:name="_Hlk168492989"/>
      <w:r>
        <w:rPr>
          <w:rFonts w:hint="eastAsia" w:ascii="宋体" w:hAnsi="宋体" w:cs="宋体"/>
          <w:color w:val="000000" w:themeColor="text1"/>
          <w:kern w:val="0"/>
          <w:szCs w:val="24"/>
          <w14:textFill>
            <w14:solidFill>
              <w14:schemeClr w14:val="tx1"/>
            </w14:solidFill>
          </w14:textFill>
        </w:rPr>
        <w:t>各项权益工具</w:t>
      </w:r>
    </w:p>
    <w:p>
      <w:pPr>
        <w:pStyle w:val="5"/>
        <w:numPr>
          <w:ilvl w:val="0"/>
          <w:numId w:val="93"/>
        </w:numPr>
      </w:pPr>
      <w:r>
        <w:rPr>
          <w:rFonts w:hint="eastAsia"/>
        </w:rPr>
        <w:t>明细情况</w:t>
      </w:r>
    </w:p>
    <w:sdt>
      <w:sdtPr>
        <w:rPr>
          <w:color w:val="000000" w:themeColor="text1"/>
          <w14:textFill>
            <w14:solidFill>
              <w14:schemeClr w14:val="tx1"/>
            </w14:solidFill>
          </w14:textFill>
        </w:rPr>
        <w:alias w:val="是否适用：各项权益工具[双击切换]"/>
        <w:tag w:val="_GBC_65abee0b78064363a3f4a058a40176bf"/>
        <w:id w:val="-699938543"/>
        <w:placeholder>
          <w:docPart w:val="GBC22222222222222222222222222222"/>
        </w:placeholder>
      </w:sdtPr>
      <w:sdtEndPr>
        <w:rPr>
          <w:color w:val="000000" w:themeColor="text1"/>
          <w14:textFill>
            <w14:solidFill>
              <w14:schemeClr w14:val="tx1"/>
            </w14:solidFill>
          </w14:textFill>
        </w:rPr>
      </w:sdtEndPr>
      <w:sdtContent>
        <w:p>
          <w:pPr>
            <w:pStyle w:val="48"/>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51"/>
    <w:p>
      <w:pPr>
        <w:pStyle w:val="5"/>
        <w:numPr>
          <w:ilvl w:val="0"/>
          <w:numId w:val="93"/>
        </w:numPr>
      </w:pPr>
      <w:bookmarkStart w:id="452" w:name="_Hlk40787153"/>
      <w:bookmarkStart w:id="453" w:name="_Hlk168478628"/>
      <w:bookmarkStart w:id="454" w:name="_Hlk167977283"/>
      <w:r>
        <w:rPr>
          <w:rFonts w:hint="eastAsia"/>
        </w:rPr>
        <w:t>期末发行在外的股票期权或其他权益工具</w:t>
      </w:r>
    </w:p>
    <w:sdt>
      <w:sdtPr>
        <w:rPr>
          <w:color w:val="000000" w:themeColor="text1"/>
          <w14:textFill>
            <w14:solidFill>
              <w14:schemeClr w14:val="tx1"/>
            </w14:solidFill>
          </w14:textFill>
        </w:rPr>
        <w:alias w:val="是否适用：期末发行在外的股票期权或其他权益工具[双击切换]"/>
        <w:tag w:val="_GBC_f17c034d860345b98ee280169a254e4a"/>
        <w:id w:val="-315722570"/>
        <w:placeholder>
          <w:docPart w:val="GBC22222222222222222222222222222"/>
        </w:placeholder>
      </w:sdtPr>
      <w:sdtEndPr>
        <w:rPr>
          <w:color w:val="000000" w:themeColor="text1"/>
          <w14:textFill>
            <w14:solidFill>
              <w14:schemeClr w14:val="tx1"/>
            </w14:solidFill>
          </w14:textFill>
        </w:rPr>
      </w:sdtEndPr>
      <w:sdtContent>
        <w:p>
          <w:pPr>
            <w:pStyle w:val="48"/>
          </w:pPr>
          <w:bookmarkStart w:id="455" w:name="_Hlk168493917"/>
          <w:bookmarkStart w:id="456" w:name="_Hlk168493896"/>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52"/>
    <w:bookmarkEnd w:id="453"/>
    <w:bookmarkEnd w:id="454"/>
    <w:bookmarkEnd w:id="455"/>
    <w:bookmarkEnd w:id="456"/>
    <w:p>
      <w:pPr>
        <w:pStyle w:val="4"/>
        <w:numPr>
          <w:ilvl w:val="0"/>
          <w:numId w:val="92"/>
        </w:numPr>
        <w:ind w:left="420" w:hanging="420"/>
        <w:rPr>
          <w:rFonts w:hint="eastAsia" w:ascii="宋体" w:hAnsi="宋体" w:cs="宋体"/>
          <w:color w:val="000000" w:themeColor="text1"/>
          <w:kern w:val="0"/>
          <w:szCs w:val="24"/>
          <w14:textFill>
            <w14:solidFill>
              <w14:schemeClr w14:val="tx1"/>
            </w14:solidFill>
          </w14:textFill>
        </w:rPr>
      </w:pPr>
      <w:bookmarkStart w:id="457" w:name="_Hlk40787204"/>
      <w:bookmarkStart w:id="458" w:name="_Hlk40787299"/>
      <w:bookmarkStart w:id="459" w:name="_Hlk167977424"/>
      <w:r>
        <w:rPr>
          <w:rFonts w:hint="eastAsia" w:ascii="宋体" w:hAnsi="宋体" w:cs="宋体"/>
          <w:color w:val="000000" w:themeColor="text1"/>
          <w:kern w:val="0"/>
          <w:szCs w:val="24"/>
          <w14:textFill>
            <w14:solidFill>
              <w14:schemeClr w14:val="tx1"/>
            </w14:solidFill>
          </w14:textFill>
        </w:rPr>
        <w:t>以权益结算的股份支付情况</w:t>
      </w:r>
    </w:p>
    <w:sdt>
      <w:sdtPr>
        <w:rPr>
          <w:color w:val="000000" w:themeColor="text1"/>
          <w14:textFill>
            <w14:solidFill>
              <w14:schemeClr w14:val="tx1"/>
            </w14:solidFill>
          </w14:textFill>
        </w:rPr>
        <w:alias w:val="是否适用：以权益结算的股份支付情况[双击切换]"/>
        <w:tag w:val="_GBC_6dde9ffab03943229cd0918c8621502d"/>
        <w:id w:val="-980610319"/>
        <w:placeholder>
          <w:docPart w:val="GBC22222222222222222222222222222"/>
        </w:placeholder>
      </w:sdtPr>
      <w:sdtEndPr>
        <w:rPr>
          <w:color w:val="000000" w:themeColor="text1"/>
          <w14:textFill>
            <w14:solidFill>
              <w14:schemeClr w14:val="tx1"/>
            </w14:solidFill>
          </w14:textFill>
        </w:rPr>
      </w:sdtEndPr>
      <w:sdtContent>
        <w:p>
          <w:pPr>
            <w:pStyle w:val="48"/>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57"/>
    <w:bookmarkEnd w:id="458"/>
    <w:bookmarkEnd w:id="459"/>
    <w:p>
      <w:pPr>
        <w:pStyle w:val="4"/>
        <w:numPr>
          <w:ilvl w:val="0"/>
          <w:numId w:val="92"/>
        </w:numPr>
        <w:ind w:left="420" w:hanging="420"/>
        <w:rPr>
          <w:rFonts w:hint="eastAsia" w:ascii="宋体" w:hAnsi="宋体" w:cs="宋体"/>
          <w:color w:val="000000" w:themeColor="text1"/>
          <w:kern w:val="0"/>
          <w:szCs w:val="24"/>
          <w14:textFill>
            <w14:solidFill>
              <w14:schemeClr w14:val="tx1"/>
            </w14:solidFill>
          </w14:textFill>
        </w:rPr>
      </w:pPr>
      <w:bookmarkStart w:id="460" w:name="_Hlk167977563"/>
      <w:r>
        <w:rPr>
          <w:rFonts w:hint="eastAsia" w:ascii="宋体" w:hAnsi="宋体" w:cs="宋体"/>
          <w:color w:val="000000" w:themeColor="text1"/>
          <w:kern w:val="0"/>
          <w:szCs w:val="24"/>
          <w14:textFill>
            <w14:solidFill>
              <w14:schemeClr w14:val="tx1"/>
            </w14:solidFill>
          </w14:textFill>
        </w:rPr>
        <w:t>以现金结算的股份支付情况</w:t>
      </w:r>
    </w:p>
    <w:sdt>
      <w:sdtPr>
        <w:rPr>
          <w:color w:val="000000" w:themeColor="text1"/>
          <w14:textFill>
            <w14:solidFill>
              <w14:schemeClr w14:val="tx1"/>
            </w14:solidFill>
          </w14:textFill>
        </w:rPr>
        <w:alias w:val="是否适用：以现金结算的股份支付情况[双击切换]"/>
        <w:tag w:val="_GBC_2a6bb5b9d8a04286865cd607e7260a60"/>
        <w:id w:val="4873147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92"/>
        </w:numPr>
        <w:ind w:left="420" w:hanging="420"/>
        <w:rPr>
          <w:rFonts w:hint="eastAsia" w:ascii="宋体" w:hAnsi="宋体" w:cs="宋体"/>
          <w:color w:val="000000" w:themeColor="text1"/>
          <w:kern w:val="0"/>
          <w:szCs w:val="24"/>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本期股份支付费用</w:t>
      </w:r>
    </w:p>
    <w:sdt>
      <w:sdtPr>
        <w:rPr>
          <w:color w:val="000000" w:themeColor="text1"/>
          <w14:textFill>
            <w14:solidFill>
              <w14:schemeClr w14:val="tx1"/>
            </w14:solidFill>
          </w14:textFill>
        </w:rPr>
        <w:alias w:val="是否适用：股份支付费用[双击切换]"/>
        <w:tag w:val="_GBC_5b0304a006c7437ca2961c2d2bdf142a"/>
        <w:id w:val="-1832671413"/>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bookmarkStart w:id="461" w:name="_Hlk168494235"/>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60"/>
    <w:bookmarkEnd w:id="461"/>
    <w:p>
      <w:pPr>
        <w:pStyle w:val="4"/>
        <w:numPr>
          <w:ilvl w:val="0"/>
          <w:numId w:val="92"/>
        </w:numPr>
        <w:ind w:left="420" w:hanging="420"/>
        <w:rPr>
          <w:rFonts w:hint="eastAsia" w:ascii="宋体" w:hAnsi="宋体" w:cs="宋体"/>
          <w:color w:val="000000" w:themeColor="text1"/>
          <w:kern w:val="0"/>
          <w:szCs w:val="24"/>
          <w14:textFill>
            <w14:solidFill>
              <w14:schemeClr w14:val="tx1"/>
            </w14:solidFill>
          </w14:textFill>
        </w:rPr>
      </w:pPr>
      <w:bookmarkStart w:id="462" w:name="_Hlk168494436"/>
      <w:bookmarkEnd w:id="462"/>
      <w:r>
        <w:rPr>
          <w:rFonts w:hint="eastAsia" w:ascii="宋体" w:hAnsi="宋体" w:cs="宋体"/>
          <w:color w:val="000000" w:themeColor="text1"/>
          <w:kern w:val="0"/>
          <w:szCs w:val="24"/>
          <w14:textFill>
            <w14:solidFill>
              <w14:schemeClr w14:val="tx1"/>
            </w14:solidFill>
          </w14:textFill>
        </w:rPr>
        <w:t>股份支付的修改、终止情况</w:t>
      </w:r>
    </w:p>
    <w:sdt>
      <w:sdtPr>
        <w:rPr>
          <w:color w:val="000000" w:themeColor="text1"/>
          <w14:textFill>
            <w14:solidFill>
              <w14:schemeClr w14:val="tx1"/>
            </w14:solidFill>
          </w14:textFill>
        </w:rPr>
        <w:alias w:val="是否适用：股份支付的修改、终止情况[双击切换]"/>
        <w:tag w:val="_GBC_794cdee9be3b4b478fa83b914d22ea66"/>
        <w:id w:val="1362403067"/>
        <w:placeholder>
          <w:docPart w:val="GBC22222222222222222222222222222"/>
        </w:placeholder>
      </w:sdtPr>
      <w:sdtEndPr>
        <w:rPr>
          <w:color w:val="000000" w:themeColor="text1"/>
          <w14:textFill>
            <w14:solidFill>
              <w14:schemeClr w14:val="tx1"/>
            </w14:solidFill>
          </w14:textFill>
        </w:rPr>
      </w:sdtEndPr>
      <w:sdtContent>
        <w:p>
          <w:pPr>
            <w:rPr>
              <w:rFonts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92"/>
        </w:numPr>
        <w:ind w:left="420" w:hanging="420"/>
        <w:rPr>
          <w:rFonts w:hint="eastAsia" w:ascii="宋体" w:hAnsi="宋体" w:cs="宋体"/>
          <w:color w:val="000000" w:themeColor="text1"/>
          <w:kern w:val="0"/>
          <w:szCs w:val="24"/>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其他</w:t>
      </w:r>
    </w:p>
    <w:sdt>
      <w:sdtPr>
        <w:rPr>
          <w:color w:val="000000" w:themeColor="text1"/>
          <w14:textFill>
            <w14:solidFill>
              <w14:schemeClr w14:val="tx1"/>
            </w14:solidFill>
          </w14:textFill>
        </w:rPr>
        <w:alias w:val="是否适用：股份支付的其他情况说明[双击切换]"/>
        <w:tag w:val="_GBC_b8be1a19715949cab94dc673580d61a2"/>
        <w:id w:val="1951209566"/>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
        <w:numPr>
          <w:ilvl w:val="0"/>
          <w:numId w:val="31"/>
        </w:numPr>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承诺及或有事项</w:t>
      </w:r>
    </w:p>
    <w:p>
      <w:pPr>
        <w:pStyle w:val="4"/>
        <w:numPr>
          <w:ilvl w:val="0"/>
          <w:numId w:val="94"/>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重要承诺事项</w:t>
      </w:r>
    </w:p>
    <w:sdt>
      <w:sdtPr>
        <w:rPr>
          <w:color w:val="000000" w:themeColor="text1"/>
          <w14:textFill>
            <w14:solidFill>
              <w14:schemeClr w14:val="tx1"/>
            </w14:solidFill>
          </w14:textFill>
        </w:rPr>
        <w:alias w:val="是否适用：重要承诺事项[双击切换]"/>
        <w:tag w:val="_GBC_3ee02d2bff5e4dd69f75cc6148bdda8f"/>
        <w:id w:val="255254702"/>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资产负债表日存在的对外重要承诺、性质、金额</w:t>
      </w:r>
    </w:p>
    <w:sdt>
      <w:sdtPr>
        <w:rPr>
          <w:rFonts w:cs="Cambria"/>
          <w:bCs w:val="0"/>
          <w:color w:val="000000" w:themeColor="text1"/>
          <w14:textFill>
            <w14:solidFill>
              <w14:schemeClr w14:val="tx1"/>
            </w14:solidFill>
          </w14:textFill>
        </w:rPr>
        <w:alias w:val="资产负债表日存在的重要承诺"/>
        <w:tag w:val="_GBC_b0cd6a8a93e142e5926c06e28f794da3"/>
        <w:id w:val="-878474230"/>
        <w:placeholder>
          <w:docPart w:val="GBC22222222222222222222222222222"/>
        </w:placeholder>
      </w:sdtPr>
      <w:sdtEndPr>
        <w:rPr>
          <w:rFonts w:cs="Cambria"/>
          <w:bCs w:val="0"/>
          <w:color w:val="000000" w:themeColor="text1"/>
          <w14:textFill>
            <w14:solidFill>
              <w14:schemeClr w14:val="tx1"/>
            </w14:solidFill>
          </w14:textFill>
        </w:rPr>
      </w:sdtEndPr>
      <w:sdtContent>
        <w:p>
          <w:pPr>
            <w:spacing w:line="360" w:lineRule="exact"/>
            <w:ind w:firstLine="420" w:firstLineChars="200"/>
            <w:rPr>
              <w:rFonts w:cs="Cambria"/>
              <w:bCs w:val="0"/>
              <w:color w:val="000000" w:themeColor="text1"/>
              <w14:textFill>
                <w14:solidFill>
                  <w14:schemeClr w14:val="tx1"/>
                </w14:solidFill>
              </w14:textFill>
            </w:rPr>
          </w:pPr>
          <w:r>
            <w:rPr>
              <w:rFonts w:hint="eastAsia" w:cs="Cambria"/>
              <w:bCs w:val="0"/>
              <w:color w:val="000000" w:themeColor="text1"/>
              <w14:textFill>
                <w14:solidFill>
                  <w14:schemeClr w14:val="tx1"/>
                </w14:solidFill>
              </w14:textFill>
            </w:rPr>
            <w:t>截至2026年6月30日止，本公司开出未到期人民币保函</w:t>
          </w:r>
          <w:r>
            <w:rPr>
              <w:rFonts w:cs="Cambria"/>
              <w:bCs w:val="0"/>
              <w:color w:val="000000" w:themeColor="text1"/>
              <w14:textFill>
                <w14:solidFill>
                  <w14:schemeClr w14:val="tx1"/>
                </w14:solidFill>
              </w14:textFill>
            </w:rPr>
            <w:t>183,002,494.70</w:t>
          </w:r>
          <w:r>
            <w:rPr>
              <w:rFonts w:hint="eastAsia" w:cs="Cambria"/>
              <w:bCs w:val="0"/>
              <w:color w:val="000000" w:themeColor="text1"/>
              <w14:textFill>
                <w14:solidFill>
                  <w14:schemeClr w14:val="tx1"/>
                </w14:solidFill>
              </w14:textFill>
            </w:rPr>
            <w:t>元。</w:t>
          </w:r>
        </w:p>
        <w:p>
          <w:pPr>
            <w:spacing w:line="360" w:lineRule="exact"/>
            <w:ind w:firstLine="420" w:firstLineChars="200"/>
            <w:rPr>
              <w:rFonts w:cs="Cambria"/>
              <w:bCs w:val="0"/>
              <w:color w:val="000000" w:themeColor="text1"/>
              <w14:textFill>
                <w14:solidFill>
                  <w14:schemeClr w14:val="tx1"/>
                </w14:solidFill>
              </w14:textFill>
            </w:rPr>
          </w:pPr>
          <w:r>
            <w:rPr>
              <w:rFonts w:hint="eastAsia" w:cs="Cambria"/>
              <w:bCs w:val="0"/>
              <w:color w:val="000000" w:themeColor="text1"/>
              <w14:textFill>
                <w14:solidFill>
                  <w14:schemeClr w14:val="tx1"/>
                </w14:solidFill>
              </w14:textFill>
            </w:rPr>
            <w:t>除存在上述承诺事项外，截至2026年6月30日止，本公司不存在其他需要披露的重要承诺事项。</w:t>
          </w:r>
        </w:p>
      </w:sdtContent>
    </w:sdt>
    <w:p>
      <w:pPr>
        <w:pStyle w:val="4"/>
        <w:numPr>
          <w:ilvl w:val="0"/>
          <w:numId w:val="94"/>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或有事项</w:t>
      </w:r>
    </w:p>
    <w:p>
      <w:pPr>
        <w:pStyle w:val="5"/>
        <w:numPr>
          <w:ilvl w:val="0"/>
          <w:numId w:val="95"/>
        </w:numPr>
        <w:tabs>
          <w:tab w:val="left" w:pos="616"/>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资产负债表日存在的重要或有事项</w:t>
      </w:r>
    </w:p>
    <w:sdt>
      <w:sdtPr>
        <w:rPr>
          <w:color w:val="000000" w:themeColor="text1"/>
          <w14:textFill>
            <w14:solidFill>
              <w14:schemeClr w14:val="tx1"/>
            </w14:solidFill>
          </w14:textFill>
        </w:rPr>
        <w:alias w:val="是否适用：资产负债表日存在的重要或有事项[双击切换]"/>
        <w:tag w:val="_GBC_dea854a30b4642f6b78351afe6791c32"/>
        <w:id w:val="-134947839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资产负债表日存在的重要或有事项"/>
        <w:tag w:val="_GBC_9aacda4c45eb44bcb0d1f17e53741a1f"/>
        <w:id w:val="21624283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color w:val="000000" w:themeColor="text1"/>
              <w14:textFill>
                <w14:solidFill>
                  <w14:schemeClr w14:val="tx1"/>
                </w14:solidFill>
              </w14:textFill>
            </w:rPr>
            <w:t>截至202</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年</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月3</w:t>
          </w:r>
          <w:r>
            <w:rPr>
              <w:rFonts w:hint="eastAsia"/>
              <w:color w:val="000000" w:themeColor="text1"/>
              <w14:textFill>
                <w14:solidFill>
                  <w14:schemeClr w14:val="tx1"/>
                </w14:solidFill>
              </w14:textFill>
            </w:rPr>
            <w:t>0</w:t>
          </w:r>
          <w:r>
            <w:rPr>
              <w:color w:val="000000" w:themeColor="text1"/>
              <w14:textFill>
                <w14:solidFill>
                  <w14:schemeClr w14:val="tx1"/>
                </w14:solidFill>
              </w14:textFill>
            </w:rPr>
            <w:t>日止，本公司不存在需要披露的重要或有事项</w:t>
          </w:r>
          <w:r>
            <w:rPr>
              <w:rFonts w:hint="eastAsia"/>
              <w:color w:val="000000" w:themeColor="text1"/>
              <w14:textFill>
                <w14:solidFill>
                  <w14:schemeClr w14:val="tx1"/>
                </w14:solidFill>
              </w14:textFill>
            </w:rPr>
            <w:t>。</w:t>
          </w:r>
        </w:p>
      </w:sdtContent>
    </w:sdt>
    <w:p>
      <w:pPr>
        <w:pStyle w:val="5"/>
        <w:numPr>
          <w:ilvl w:val="0"/>
          <w:numId w:val="95"/>
        </w:numPr>
        <w:tabs>
          <w:tab w:val="left" w:pos="616"/>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公司没有需要披露的重要或有事项，也应予以说明：</w:t>
      </w:r>
    </w:p>
    <w:sdt>
      <w:sdtPr>
        <w:rPr>
          <w:color w:val="000000" w:themeColor="text1"/>
          <w14:textFill>
            <w14:solidFill>
              <w14:schemeClr w14:val="tx1"/>
            </w14:solidFill>
          </w14:textFill>
        </w:rPr>
        <w:alias w:val="是否适用：公司没有需要披露的重要或有事项，也应予以说明[双击切换]"/>
        <w:tag w:val="_GBC_a0545390a9694adcaaee8509e290303c"/>
        <w:id w:val="-125466472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94"/>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承诺及或有事项的其他情况说明[双击切换]"/>
        <w:tag w:val="_GBC_ff33b21a56eb4d3291f2b4875be5a2b2"/>
        <w:id w:val="-39936660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
        <w:numPr>
          <w:ilvl w:val="0"/>
          <w:numId w:val="31"/>
        </w:numPr>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资产负债表日后事项</w:t>
      </w:r>
    </w:p>
    <w:p>
      <w:pPr>
        <w:pStyle w:val="4"/>
        <w:numPr>
          <w:ilvl w:val="0"/>
          <w:numId w:val="96"/>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重要的非调整事项</w:t>
      </w:r>
    </w:p>
    <w:sdt>
      <w:sdtPr>
        <w:rPr>
          <w:color w:val="000000" w:themeColor="text1"/>
          <w14:textFill>
            <w14:solidFill>
              <w14:schemeClr w14:val="tx1"/>
            </w14:solidFill>
          </w14:textFill>
        </w:rPr>
        <w:alias w:val="是否适用：重要的非调整事项[双击切换]"/>
        <w:tag w:val="_GBC_ab366a8fb12748d6aa2a8401b360857c"/>
        <w:id w:val="153916286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ind w:firstLine="420" w:firstLineChars="200"/>
        <w:rPr>
          <w:color w:val="000000" w:themeColor="text1"/>
          <w14:textFill>
            <w14:solidFill>
              <w14:schemeClr w14:val="tx1"/>
            </w14:solidFill>
          </w14:textFill>
        </w:rPr>
      </w:pPr>
      <w:bookmarkStart w:id="463" w:name="OLE_LINK29"/>
      <w:bookmarkStart w:id="464" w:name="OLE_LINK24"/>
      <w:r>
        <w:rPr>
          <w:rFonts w:hint="eastAsia"/>
          <w:color w:val="000000" w:themeColor="text1"/>
          <w14:textFill>
            <w14:solidFill>
              <w14:schemeClr w14:val="tx1"/>
            </w14:solidFill>
          </w14:textFill>
        </w:rPr>
        <w:t>（1）</w:t>
      </w:r>
      <w:r>
        <w:rPr>
          <w:color w:val="000000" w:themeColor="text1"/>
          <w14:textFill>
            <w14:solidFill>
              <w14:schemeClr w14:val="tx1"/>
            </w14:solidFill>
          </w14:textFill>
        </w:rPr>
        <w:t>向特定对象发行股票</w:t>
      </w:r>
    </w:p>
    <w:p>
      <w:pPr>
        <w:spacing w:line="360" w:lineRule="exact"/>
        <w:ind w:firstLine="420" w:firstLineChars="200"/>
        <w:rPr>
          <w:color w:val="000000" w:themeColor="text1"/>
          <w14:textFill>
            <w14:solidFill>
              <w14:schemeClr w14:val="tx1"/>
            </w14:solidFill>
          </w14:textFill>
        </w:rPr>
      </w:pPr>
      <w:bookmarkStart w:id="465" w:name="OLE_LINK45"/>
      <w:r>
        <w:rPr>
          <w:color w:val="000000" w:themeColor="text1"/>
          <w14:textFill>
            <w14:solidFill>
              <w14:schemeClr w14:val="tx1"/>
            </w14:solidFill>
          </w14:textFill>
        </w:rPr>
        <w:t>公司于2026年8月11日收到中国证券监督管理委员会（以下简称“中国证监会”）出具的《关于同意重庆望变电气（集团）股份有限公司向特定对象发行股票注册的批复》，并于2026年8月12日发布《关于向特定对象发行股票申请获得中国证券监督管理委员会同意注册批复的公告》。</w:t>
      </w:r>
    </w:p>
    <w:p>
      <w:pPr>
        <w:spacing w:line="360" w:lineRule="exact"/>
        <w:ind w:firstLine="420" w:firstLineChars="200"/>
        <w:jc w:val="both"/>
        <w:rPr>
          <w:color w:val="000000" w:themeColor="text1"/>
          <w14:textFill>
            <w14:solidFill>
              <w14:schemeClr w14:val="tx1"/>
            </w14:solidFill>
          </w14:textFill>
        </w:rPr>
      </w:pPr>
      <w:r>
        <w:rPr>
          <w:color w:val="000000" w:themeColor="text1"/>
          <w14:textFill>
            <w14:solidFill>
              <w14:schemeClr w14:val="tx1"/>
            </w14:solidFill>
          </w14:textFill>
        </w:rPr>
        <w:t>本次发行对象为杨泽民先生控制</w:t>
      </w:r>
      <w:r>
        <w:rPr>
          <w:rFonts w:hint="eastAsia"/>
          <w:color w:val="000000" w:themeColor="text1"/>
          <w14:textFill>
            <w14:solidFill>
              <w14:schemeClr w14:val="tx1"/>
            </w14:solidFill>
          </w14:textFill>
        </w:rPr>
        <w:t>的企业“</w:t>
      </w:r>
      <w:r>
        <w:rPr>
          <w:color w:val="000000" w:themeColor="text1"/>
          <w14:textFill>
            <w14:solidFill>
              <w14:schemeClr w14:val="tx1"/>
            </w14:solidFill>
          </w14:textFill>
        </w:rPr>
        <w:t>重庆耀泽商业管理有限公司</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，上述对象以现金方式全额认购，</w:t>
      </w:r>
      <w:bookmarkStart w:id="466" w:name="OLE_LINK52"/>
      <w:r>
        <w:rPr>
          <w:color w:val="000000" w:themeColor="text1"/>
          <w14:textFill>
            <w14:solidFill>
              <w14:schemeClr w14:val="tx1"/>
            </w14:solidFill>
          </w14:textFill>
        </w:rPr>
        <w:t>认购数量为19,493,177股，</w:t>
      </w:r>
      <w:bookmarkStart w:id="467" w:name="OLE_LINK49"/>
      <w:r>
        <w:rPr>
          <w:color w:val="000000" w:themeColor="text1"/>
          <w14:textFill>
            <w14:solidFill>
              <w14:schemeClr w14:val="tx1"/>
            </w14:solidFill>
          </w14:textFill>
        </w:rPr>
        <w:t>应募集资金总额22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826</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51</w:t>
      </w:r>
      <w:r>
        <w:rPr>
          <w:rFonts w:hint="eastAsia"/>
          <w:color w:val="000000" w:themeColor="text1"/>
          <w14:textFill>
            <w14:solidFill>
              <w14:schemeClr w14:val="tx1"/>
            </w14:solidFill>
          </w14:textFill>
        </w:rPr>
        <w:t>万</w:t>
      </w:r>
      <w:r>
        <w:rPr>
          <w:color w:val="000000" w:themeColor="text1"/>
          <w14:textFill>
            <w14:solidFill>
              <w14:schemeClr w14:val="tx1"/>
            </w14:solidFill>
          </w14:textFill>
        </w:rPr>
        <w:t>元</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减除发行费用不含税金额228</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2万</w:t>
      </w:r>
      <w:r>
        <w:rPr>
          <w:color w:val="000000" w:themeColor="text1"/>
          <w14:textFill>
            <w14:solidFill>
              <w14:schemeClr w14:val="tx1"/>
            </w14:solidFill>
          </w14:textFill>
        </w:rPr>
        <w:t>元后</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募集资金净额为22</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597</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89</w:t>
      </w:r>
      <w:r>
        <w:rPr>
          <w:rFonts w:hint="eastAsia"/>
          <w:color w:val="000000" w:themeColor="text1"/>
          <w14:textFill>
            <w14:solidFill>
              <w14:schemeClr w14:val="tx1"/>
            </w14:solidFill>
          </w14:textFill>
        </w:rPr>
        <w:t>万</w:t>
      </w:r>
      <w:r>
        <w:rPr>
          <w:color w:val="000000" w:themeColor="text1"/>
          <w14:textFill>
            <w14:solidFill>
              <w14:schemeClr w14:val="tx1"/>
            </w14:solidFill>
          </w14:textFill>
        </w:rPr>
        <w:t>元。截至本财务报告批准报出日，</w:t>
      </w:r>
      <w:bookmarkEnd w:id="467"/>
      <w:r>
        <w:rPr>
          <w:color w:val="000000" w:themeColor="text1"/>
          <w14:textFill>
            <w14:solidFill>
              <w14:schemeClr w14:val="tx1"/>
            </w14:solidFill>
          </w14:textFill>
        </w:rPr>
        <w:t>相关股本登记手续尚在办理中。</w:t>
      </w:r>
      <w:bookmarkEnd w:id="465"/>
      <w:bookmarkEnd w:id="466"/>
    </w:p>
    <w:bookmarkEnd w:id="463"/>
    <w:p>
      <w:pPr>
        <w:spacing w:line="360" w:lineRule="exact"/>
        <w:ind w:firstLine="420" w:firstLineChars="200"/>
      </w:pPr>
      <w:r>
        <w:rPr>
          <w:rFonts w:hint="eastAsia"/>
        </w:rPr>
        <w:t>（2）设立子公司</w:t>
      </w:r>
    </w:p>
    <w:p>
      <w:pPr>
        <w:spacing w:line="360" w:lineRule="exact"/>
        <w:ind w:firstLine="420" w:firstLineChars="200"/>
      </w:pPr>
      <w:r>
        <w:rPr>
          <w:rFonts w:hint="eastAsia"/>
        </w:rPr>
        <w:t>1）根据战略规划及业务发展需要，</w:t>
      </w:r>
      <w:r>
        <w:t>公司之</w:t>
      </w:r>
      <w:r>
        <w:rPr>
          <w:rFonts w:hint="eastAsia"/>
        </w:rPr>
        <w:t>全资</w:t>
      </w:r>
      <w:r>
        <w:t>子公司</w:t>
      </w:r>
      <w:r>
        <w:rPr>
          <w:rFonts w:hint="eastAsia"/>
        </w:rPr>
        <w:t>投资设立</w:t>
      </w:r>
      <w:r>
        <w:t>望来充</w:t>
      </w:r>
      <w:r>
        <w:rPr>
          <w:rFonts w:hint="eastAsia"/>
        </w:rPr>
        <w:t>（</w:t>
      </w:r>
      <w:r>
        <w:t>贵州</w:t>
      </w:r>
      <w:r>
        <w:rPr>
          <w:rFonts w:hint="eastAsia"/>
        </w:rPr>
        <w:t>）</w:t>
      </w:r>
      <w:r>
        <w:t>科技有限公司</w:t>
      </w:r>
      <w:r>
        <w:rPr>
          <w:rFonts w:hint="eastAsia"/>
        </w:rPr>
        <w:t>，间接持股比例为100%，截至本财务报告批准报出日，该公司工商登记手续已经办理完毕。</w:t>
      </w:r>
    </w:p>
    <w:p>
      <w:pPr>
        <w:spacing w:line="360" w:lineRule="exact"/>
        <w:ind w:firstLine="420" w:firstLineChars="200"/>
        <w:rPr>
          <w:color w:val="000000" w:themeColor="text1"/>
          <w14:textFill>
            <w14:solidFill>
              <w14:schemeClr w14:val="tx1"/>
            </w14:solidFill>
          </w14:textFill>
        </w:rPr>
      </w:pPr>
      <w:r>
        <w:rPr>
          <w:rFonts w:hint="eastAsia"/>
        </w:rPr>
        <w:t>2）</w:t>
      </w:r>
      <w:r>
        <w:t>根据战略规划及业务发展需要，公司之</w:t>
      </w:r>
      <w:r>
        <w:rPr>
          <w:rFonts w:hint="eastAsia"/>
        </w:rPr>
        <w:t>控股</w:t>
      </w:r>
      <w:r>
        <w:t>子公司投资设立</w:t>
      </w:r>
      <w:bookmarkStart w:id="468" w:name="OLE_LINK19"/>
      <w:r>
        <w:t>望来充（</w:t>
      </w:r>
      <w:bookmarkStart w:id="469" w:name="OLE_LINK17"/>
      <w:r>
        <w:t>榆林</w:t>
      </w:r>
      <w:bookmarkEnd w:id="469"/>
      <w:r>
        <w:t>）新能源科技有限公司</w:t>
      </w:r>
      <w:bookmarkEnd w:id="468"/>
      <w:r>
        <w:t>，</w:t>
      </w:r>
      <w:r>
        <w:rPr>
          <w:rFonts w:hint="eastAsia"/>
        </w:rPr>
        <w:t>间接</w:t>
      </w:r>
      <w:r>
        <w:t>持股比例为</w:t>
      </w:r>
      <w:r>
        <w:rPr>
          <w:rFonts w:hint="eastAsia"/>
        </w:rPr>
        <w:t>65%</w:t>
      </w:r>
      <w:r>
        <w:t>，</w:t>
      </w:r>
      <w:bookmarkStart w:id="470" w:name="OLE_LINK28"/>
      <w:r>
        <w:t>截至本财务</w:t>
      </w:r>
      <w:r>
        <w:rPr>
          <w:color w:val="000000" w:themeColor="text1"/>
          <w14:textFill>
            <w14:solidFill>
              <w14:schemeClr w14:val="tx1"/>
            </w14:solidFill>
          </w14:textFill>
        </w:rPr>
        <w:t>报告批准报出日</w:t>
      </w:r>
      <w:bookmarkEnd w:id="470"/>
      <w:r>
        <w:rPr>
          <w:color w:val="000000" w:themeColor="text1"/>
          <w14:textFill>
            <w14:solidFill>
              <w14:schemeClr w14:val="tx1"/>
            </w14:solidFill>
          </w14:textFill>
        </w:rPr>
        <w:t>，该公司工商登记手续</w:t>
      </w:r>
      <w:bookmarkStart w:id="471" w:name="OLE_LINK27"/>
      <w:r>
        <w:rPr>
          <w:color w:val="000000" w:themeColor="text1"/>
          <w14:textFill>
            <w14:solidFill>
              <w14:schemeClr w14:val="tx1"/>
            </w14:solidFill>
          </w14:textFill>
        </w:rPr>
        <w:t>已经办理完毕</w:t>
      </w:r>
      <w:bookmarkEnd w:id="471"/>
      <w:r>
        <w:rPr>
          <w:color w:val="000000" w:themeColor="text1"/>
          <w14:textFill>
            <w14:solidFill>
              <w14:schemeClr w14:val="tx1"/>
            </w14:solidFill>
          </w14:textFill>
        </w:rPr>
        <w:t>。</w:t>
      </w:r>
    </w:p>
    <w:p>
      <w:pPr>
        <w:spacing w:line="36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w:t>
      </w:r>
      <w:r>
        <w:rPr>
          <w:color w:val="000000" w:themeColor="text1"/>
          <w14:textFill>
            <w14:solidFill>
              <w14:schemeClr w14:val="tx1"/>
            </w14:solidFill>
          </w14:textFill>
        </w:rPr>
        <w:t>根据战略规划及业务发展需要，公司之</w:t>
      </w:r>
      <w:r>
        <w:rPr>
          <w:rFonts w:hint="eastAsia"/>
          <w:color w:val="000000" w:themeColor="text1"/>
          <w14:textFill>
            <w14:solidFill>
              <w14:schemeClr w14:val="tx1"/>
            </w14:solidFill>
          </w14:textFill>
        </w:rPr>
        <w:t>全资</w:t>
      </w:r>
      <w:r>
        <w:rPr>
          <w:color w:val="000000" w:themeColor="text1"/>
          <w14:textFill>
            <w14:solidFill>
              <w14:schemeClr w14:val="tx1"/>
            </w14:solidFill>
          </w14:textFill>
        </w:rPr>
        <w:t>子公司投资设立</w:t>
      </w:r>
      <w:r>
        <w:rPr>
          <w:rFonts w:hint="eastAsia"/>
          <w:color w:val="000000" w:themeColor="text1"/>
          <w14:textFill>
            <w14:solidFill>
              <w14:schemeClr w14:val="tx1"/>
            </w14:solidFill>
          </w14:textFill>
        </w:rPr>
        <w:t>香港望变珺诺能源国际有限公司</w:t>
      </w:r>
      <w:r>
        <w:rPr>
          <w:color w:val="000000" w:themeColor="text1"/>
          <w14:textFill>
            <w14:solidFill>
              <w14:schemeClr w14:val="tx1"/>
            </w14:solidFill>
          </w14:textFill>
        </w:rPr>
        <w:t>，间接持股比例为</w:t>
      </w:r>
      <w:r>
        <w:rPr>
          <w:rFonts w:hint="eastAsia"/>
          <w:color w:val="000000" w:themeColor="text1"/>
          <w14:textFill>
            <w14:solidFill>
              <w14:schemeClr w14:val="tx1"/>
            </w14:solidFill>
          </w14:textFill>
        </w:rPr>
        <w:t>51</w:t>
      </w:r>
      <w:r>
        <w:rPr>
          <w:color w:val="000000" w:themeColor="text1"/>
          <w14:textFill>
            <w14:solidFill>
              <w14:schemeClr w14:val="tx1"/>
            </w14:solidFill>
          </w14:textFill>
        </w:rPr>
        <w:t>%，截至本财务报告批准报出日，该公司的设立注册手续已经办理完毕。</w:t>
      </w:r>
    </w:p>
    <w:bookmarkEnd w:id="464"/>
    <w:p>
      <w:pPr>
        <w:pStyle w:val="4"/>
        <w:numPr>
          <w:ilvl w:val="0"/>
          <w:numId w:val="96"/>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利润分配情况</w:t>
      </w:r>
    </w:p>
    <w:sdt>
      <w:sdtPr>
        <w:rPr>
          <w:color w:val="000000" w:themeColor="text1"/>
          <w14:textFill>
            <w14:solidFill>
              <w14:schemeClr w14:val="tx1"/>
            </w14:solidFill>
          </w14:textFill>
        </w:rPr>
        <w:alias w:val="是否适用：利润分配情况[双击切换]"/>
        <w:tag w:val="_GBC_a2ea8cd0604f474db0e7e62eb7fc0435"/>
        <w:id w:val="-291747210"/>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96"/>
        </w:numPr>
        <w:spacing w:line="360" w:lineRule="exact"/>
        <w:rPr>
          <w:rFonts w:hint="eastAsia" w:ascii="宋体" w:hAnsi="宋体"/>
          <w:color w:val="000000" w:themeColor="text1"/>
          <w14:textFill>
            <w14:solidFill>
              <w14:schemeClr w14:val="tx1"/>
            </w14:solidFill>
          </w14:textFill>
        </w:rPr>
      </w:pPr>
      <w:bookmarkStart w:id="472" w:name="_Toc241636515"/>
      <w:r>
        <w:rPr>
          <w:rFonts w:hint="eastAsia" w:ascii="宋体" w:hAnsi="宋体"/>
          <w:color w:val="000000" w:themeColor="text1"/>
          <w14:textFill>
            <w14:solidFill>
              <w14:schemeClr w14:val="tx1"/>
            </w14:solidFill>
          </w14:textFill>
        </w:rPr>
        <w:t>销售退回</w:t>
      </w:r>
    </w:p>
    <w:sdt>
      <w:sdtPr>
        <w:rPr>
          <w:color w:val="000000" w:themeColor="text1"/>
          <w14:textFill>
            <w14:solidFill>
              <w14:schemeClr w14:val="tx1"/>
            </w14:solidFill>
          </w14:textFill>
        </w:rPr>
        <w:alias w:val="是否适用：销售退回[双击切换]"/>
        <w:tag w:val="_GBC_4175c0e820fa43cd98dd2d05c0dea8a8"/>
        <w:id w:val="-137656452"/>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96"/>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其他资产负债表日后事项说明</w:t>
      </w:r>
      <w:bookmarkEnd w:id="472"/>
    </w:p>
    <w:sdt>
      <w:sdtPr>
        <w:rPr>
          <w:color w:val="000000" w:themeColor="text1"/>
          <w14:textFill>
            <w14:solidFill>
              <w14:schemeClr w14:val="tx1"/>
            </w14:solidFill>
          </w14:textFill>
        </w:rPr>
        <w:alias w:val="是否适用：其他资产负债表日后事项说明[双击切换]"/>
        <w:tag w:val="_GBC_3da0e7092a0048ed9e147e2e860785f5"/>
        <w:id w:val="62999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
        <w:numPr>
          <w:ilvl w:val="0"/>
          <w:numId w:val="31"/>
        </w:numPr>
        <w:spacing w:line="360" w:lineRule="exact"/>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其他重要事项</w:t>
      </w:r>
    </w:p>
    <w:p>
      <w:pPr>
        <w:pStyle w:val="4"/>
        <w:numPr>
          <w:ilvl w:val="0"/>
          <w:numId w:val="97"/>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前期会计差错更正</w:t>
      </w:r>
    </w:p>
    <w:p>
      <w:pPr>
        <w:pStyle w:val="5"/>
        <w:numPr>
          <w:ilvl w:val="0"/>
          <w:numId w:val="98"/>
        </w:numPr>
        <w:tabs>
          <w:tab w:val="left" w:pos="602"/>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追溯重述法</w:t>
      </w:r>
    </w:p>
    <w:sdt>
      <w:sdtPr>
        <w:rPr>
          <w:rFonts w:hint="eastAsia"/>
          <w:color w:val="000000" w:themeColor="text1"/>
          <w14:textFill>
            <w14:solidFill>
              <w14:schemeClr w14:val="tx1"/>
            </w14:solidFill>
          </w14:textFill>
        </w:rPr>
        <w:alias w:val="是否适用：追溯重述法[双击切换]"/>
        <w:tag w:val="_GBC_9d59987ec8f64e568cc0874cd76bb5ce"/>
        <w:id w:val="-1442529183"/>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98"/>
        </w:numPr>
        <w:tabs>
          <w:tab w:val="left" w:pos="602"/>
        </w:tabs>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未来适用法</w:t>
      </w:r>
    </w:p>
    <w:sdt>
      <w:sdtPr>
        <w:rPr>
          <w:color w:val="000000" w:themeColor="text1"/>
          <w14:textFill>
            <w14:solidFill>
              <w14:schemeClr w14:val="tx1"/>
            </w14:solidFill>
          </w14:textFill>
        </w:rPr>
        <w:alias w:val="是否适用：未来适用法[双击切换]"/>
        <w:tag w:val="_GBC_add0977272ee43e7938e3e96c6aaa92d"/>
        <w:id w:val="-1049991822"/>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97"/>
        </w:numPr>
        <w:spacing w:line="360" w:lineRule="exact"/>
        <w:rPr>
          <w:rFonts w:hint="eastAsia" w:ascii="宋体" w:hAnsi="宋体"/>
          <w:color w:val="000000" w:themeColor="text1"/>
          <w14:textFill>
            <w14:solidFill>
              <w14:schemeClr w14:val="tx1"/>
            </w14:solidFill>
          </w14:textFill>
        </w:rPr>
      </w:pPr>
      <w:bookmarkStart w:id="473" w:name="_Hlk167977672"/>
      <w:r>
        <w:rPr>
          <w:rFonts w:hint="eastAsia" w:ascii="宋体" w:hAnsi="宋体"/>
          <w:color w:val="000000" w:themeColor="text1"/>
          <w14:textFill>
            <w14:solidFill>
              <w14:schemeClr w14:val="tx1"/>
            </w14:solidFill>
          </w14:textFill>
        </w:rPr>
        <w:t>重要债务重组</w:t>
      </w:r>
    </w:p>
    <w:sdt>
      <w:sdtPr>
        <w:rPr>
          <w:color w:val="000000" w:themeColor="text1"/>
          <w14:textFill>
            <w14:solidFill>
              <w14:schemeClr w14:val="tx1"/>
            </w14:solidFill>
          </w14:textFill>
        </w:rPr>
        <w:alias w:val="是否适用：重要债务重组[双击切换]"/>
        <w:tag w:val="_GBC_14f62373def24b6b994f6cfe645fabcb"/>
        <w:id w:val="335893009"/>
        <w:placeholder>
          <w:docPart w:val="GBC22222222222222222222222222222"/>
        </w:placeholder>
      </w:sdtPr>
      <w:sdtEndPr>
        <w:rPr>
          <w:color w:val="000000" w:themeColor="text1"/>
          <w14:textFill>
            <w14:solidFill>
              <w14:schemeClr w14:val="tx1"/>
            </w14:solidFill>
          </w14:textFill>
        </w:rPr>
      </w:sdtEndPr>
      <w:sdtContent>
        <w:p>
          <w:pPr>
            <w:spacing w:line="360" w:lineRule="exact"/>
            <w:rPr>
              <w:rFonts w:asciiTheme="minorHAnsi" w:hAnsiTheme="minorHAnsi" w:eastAsiaTheme="minorEastAsia"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73"/>
    <w:p>
      <w:pPr>
        <w:pStyle w:val="4"/>
        <w:numPr>
          <w:ilvl w:val="0"/>
          <w:numId w:val="97"/>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资产置换</w:t>
      </w:r>
    </w:p>
    <w:p>
      <w:pPr>
        <w:pStyle w:val="5"/>
        <w:numPr>
          <w:ilvl w:val="0"/>
          <w:numId w:val="99"/>
        </w:numPr>
        <w:tabs>
          <w:tab w:val="left" w:pos="644"/>
        </w:tabs>
        <w:rPr>
          <w:rFonts w:hint="eastAsia" w:ascii="宋体" w:hAnsi="宋体"/>
          <w:color w:val="000000" w:themeColor="text1"/>
          <w14:textFill>
            <w14:solidFill>
              <w14:schemeClr w14:val="tx1"/>
            </w14:solidFill>
          </w14:textFill>
        </w:rPr>
      </w:pPr>
      <w:bookmarkStart w:id="474" w:name="_Toc161412438"/>
      <w:bookmarkStart w:id="475" w:name="_Toc241636517"/>
      <w:r>
        <w:rPr>
          <w:rFonts w:hint="eastAsia" w:ascii="宋体" w:hAnsi="宋体"/>
          <w:color w:val="000000" w:themeColor="text1"/>
          <w14:textFill>
            <w14:solidFill>
              <w14:schemeClr w14:val="tx1"/>
            </w14:solidFill>
          </w14:textFill>
        </w:rPr>
        <w:t>非货币性资产交换</w:t>
      </w:r>
      <w:bookmarkEnd w:id="474"/>
      <w:bookmarkEnd w:id="475"/>
    </w:p>
    <w:sdt>
      <w:sdtPr>
        <w:rPr>
          <w:color w:val="000000" w:themeColor="text1"/>
          <w14:textFill>
            <w14:solidFill>
              <w14:schemeClr w14:val="tx1"/>
            </w14:solidFill>
          </w14:textFill>
        </w:rPr>
        <w:alias w:val="是否适用：非货币性资产交换[双击切换]"/>
        <w:tag w:val="_GBC_1e8378570c9a4db08ad001118944af2e"/>
        <w:id w:val="-1249423474"/>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0"/>
          <w:numId w:val="99"/>
        </w:numPr>
        <w:tabs>
          <w:tab w:val="left" w:pos="644"/>
        </w:tabs>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其他资产置换</w:t>
      </w:r>
    </w:p>
    <w:sdt>
      <w:sdtPr>
        <w:rPr>
          <w:color w:val="000000" w:themeColor="text1"/>
          <w14:textFill>
            <w14:solidFill>
              <w14:schemeClr w14:val="tx1"/>
            </w14:solidFill>
          </w14:textFill>
        </w:rPr>
        <w:alias w:val="是否适用：其他资产置换[双击切换]"/>
        <w:tag w:val="_GBC_e20be5fc12b94f43a4090c14cc3aec63"/>
        <w:id w:val="155173195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97"/>
        </w:numPr>
        <w:rPr>
          <w:rFonts w:hint="eastAsia" w:ascii="宋体" w:hAnsi="宋体"/>
          <w:color w:val="000000" w:themeColor="text1"/>
          <w14:textFill>
            <w14:solidFill>
              <w14:schemeClr w14:val="tx1"/>
            </w14:solidFill>
          </w14:textFill>
        </w:rPr>
      </w:pPr>
      <w:bookmarkStart w:id="476" w:name="_Toc247371936"/>
      <w:r>
        <w:rPr>
          <w:rFonts w:hint="eastAsia" w:ascii="宋体" w:hAnsi="宋体"/>
          <w:color w:val="000000" w:themeColor="text1"/>
          <w14:textFill>
            <w14:solidFill>
              <w14:schemeClr w14:val="tx1"/>
            </w14:solidFill>
          </w14:textFill>
        </w:rPr>
        <w:t>年金计划</w:t>
      </w:r>
      <w:bookmarkEnd w:id="476"/>
    </w:p>
    <w:sdt>
      <w:sdtPr>
        <w:rPr>
          <w:color w:val="000000" w:themeColor="text1"/>
          <w14:textFill>
            <w14:solidFill>
              <w14:schemeClr w14:val="tx1"/>
            </w14:solidFill>
          </w14:textFill>
        </w:rPr>
        <w:alias w:val="是否适用：年金计划[双击切换]"/>
        <w:tag w:val="_GBC_f69a163f78f74a54a6443aaa7388f0dd"/>
        <w:id w:val="-892039"/>
        <w:placeholder>
          <w:docPart w:val="GBC22222222222222222222222222222"/>
        </w:placeholder>
      </w:sdtPr>
      <w:sdtEndPr>
        <w:rPr>
          <w:color w:val="000000" w:themeColor="text1"/>
          <w14:textFill>
            <w14:solidFill>
              <w14:schemeClr w14:val="tx1"/>
            </w14:solidFill>
          </w14:textFill>
        </w:rPr>
      </w:sdtEndPr>
      <w:sdtContent>
        <w:p>
          <w:pPr>
            <w:rPr>
              <w:rFonts w:cstheme="minorBidi"/>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97"/>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终止经营</w:t>
      </w:r>
    </w:p>
    <w:sdt>
      <w:sdtPr>
        <w:rPr>
          <w:color w:val="000000" w:themeColor="text1"/>
          <w14:textFill>
            <w14:solidFill>
              <w14:schemeClr w14:val="tx1"/>
            </w14:solidFill>
          </w14:textFill>
        </w:rPr>
        <w:alias w:val="是否适用：终止经营[双击切换]"/>
        <w:tag w:val="_GBC_8e88002e405543f593111633f63e4d8b"/>
        <w:id w:val="-2076271327"/>
        <w:placeholder>
          <w:docPart w:val="GBC22222222222222222222222222222"/>
        </w:placeholder>
      </w:sdtPr>
      <w:sdtEndPr>
        <w:rPr>
          <w:color w:val="000000" w:themeColor="text1"/>
          <w14:textFill>
            <w14:solidFill>
              <w14:schemeClr w14:val="tx1"/>
            </w14:solidFill>
          </w14:textFill>
        </w:rPr>
      </w:sdtEndPr>
      <w:sdtContent>
        <w:p>
          <w:pPr>
            <w:rPr>
              <w:rFonts w:cstheme="minorBidi"/>
              <w:color w:val="000000" w:themeColor="text1"/>
              <w:kern w:val="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97"/>
        </w:numPr>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分部信息</w:t>
      </w:r>
    </w:p>
    <w:p>
      <w:pPr>
        <w:pStyle w:val="5"/>
        <w:numPr>
          <w:ilvl w:val="1"/>
          <w:numId w:val="100"/>
        </w:numPr>
        <w:tabs>
          <w:tab w:val="left" w:pos="644"/>
        </w:tabs>
        <w:ind w:left="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报告分部的确定依据与会计政策</w:t>
      </w:r>
    </w:p>
    <w:sdt>
      <w:sdtPr>
        <w:rPr>
          <w:color w:val="000000" w:themeColor="text1"/>
          <w14:textFill>
            <w14:solidFill>
              <w14:schemeClr w14:val="tx1"/>
            </w14:solidFill>
          </w14:textFill>
        </w:rPr>
        <w:alias w:val="是否适用：报告分部的确定依据与会计政策[双击切换]"/>
        <w:tag w:val="_GBC_3684a11ce06644529eba619783a75583"/>
        <w:id w:val="1452439897"/>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
      <w:sdtPr>
        <w:rPr>
          <w:color w:val="000000" w:themeColor="text1"/>
          <w14:textFill>
            <w14:solidFill>
              <w14:schemeClr w14:val="tx1"/>
            </w14:solidFill>
          </w14:textFill>
        </w:rPr>
        <w:alias w:val="报告分部的确定依据与会计政策"/>
        <w:tag w:val="_GBC_025e15951a494fa2845d296cf8db1fdb"/>
        <w:id w:val="-1369380366"/>
        <w:placeholder>
          <w:docPart w:val="GBC22222222222222222222222222222"/>
        </w:placeholder>
      </w:sdtPr>
      <w:sdtEndPr>
        <w:rPr>
          <w:color w:val="000000" w:themeColor="text1"/>
          <w14:textFill>
            <w14:solidFill>
              <w14:schemeClr w14:val="tx1"/>
            </w14:solidFill>
          </w14:textFill>
        </w:rPr>
      </w:sdtEndPr>
      <w:sdtContent>
        <w:p>
          <w:pPr>
            <w:spacing w:line="360" w:lineRule="atLeas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本公司主要业务为生产和销售输配电及控制设备、取向硅钢。公司将此业务视作为一个整体实施管理、评估经营成果。因此，本公司无需披露分部信息。</w:t>
          </w:r>
        </w:p>
      </w:sdtContent>
    </w:sdt>
    <w:p>
      <w:pPr>
        <w:pStyle w:val="5"/>
        <w:numPr>
          <w:ilvl w:val="1"/>
          <w:numId w:val="100"/>
        </w:numPr>
        <w:tabs>
          <w:tab w:val="left" w:pos="644"/>
        </w:tabs>
        <w:spacing w:line="360" w:lineRule="atLeast"/>
        <w:ind w:left="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报告分部的财务信息</w:t>
      </w:r>
    </w:p>
    <w:sdt>
      <w:sdtPr>
        <w:rPr>
          <w:color w:val="000000" w:themeColor="text1"/>
          <w14:textFill>
            <w14:solidFill>
              <w14:schemeClr w14:val="tx1"/>
            </w14:solidFill>
          </w14:textFill>
        </w:rPr>
        <w:alias w:val="是否适用：报告分部的财务信息[双击切换]"/>
        <w:tag w:val="_GBC_25e6ee3686524d959ae273bb5aaa9cfb"/>
        <w:id w:val="1444649917"/>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1"/>
          <w:numId w:val="100"/>
        </w:numPr>
        <w:tabs>
          <w:tab w:val="left" w:pos="644"/>
        </w:tabs>
        <w:spacing w:line="360" w:lineRule="atLeast"/>
        <w:ind w:left="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公司无报告分部的，或者不能披露各报告分部的资产总额和负债总额的，应说明原因</w:t>
      </w:r>
    </w:p>
    <w:sdt>
      <w:sdtPr>
        <w:rPr>
          <w:rFonts w:hint="eastAsia"/>
          <w:color w:val="000000" w:themeColor="text1"/>
          <w14:textFill>
            <w14:solidFill>
              <w14:schemeClr w14:val="tx1"/>
            </w14:solidFill>
          </w14:textFill>
        </w:rPr>
        <w:alias w:val="是否适用：公司无报告分部的，或者不能披露各报告分部的资产总额和负债总额的，应说明原因[双击切换]"/>
        <w:tag w:val="_GBC_de327191b263431db97d3ba75838aba8"/>
        <w:id w:val="-184521330"/>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1"/>
          <w:numId w:val="100"/>
        </w:numPr>
        <w:tabs>
          <w:tab w:val="left" w:pos="644"/>
        </w:tabs>
        <w:spacing w:line="360" w:lineRule="atLeast"/>
        <w:ind w:left="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其他说明</w:t>
      </w:r>
    </w:p>
    <w:sdt>
      <w:sdtPr>
        <w:rPr>
          <w:color w:val="000000" w:themeColor="text1"/>
          <w14:textFill>
            <w14:solidFill>
              <w14:schemeClr w14:val="tx1"/>
            </w14:solidFill>
          </w14:textFill>
        </w:rPr>
        <w:alias w:val="是否适用：分部信息的其他说明[双击切换]"/>
        <w:tag w:val="_GBC_d4186588d0fd49e5b2642a9422c2353f"/>
        <w:id w:val="670771063"/>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97"/>
        </w:numPr>
        <w:spacing w:line="360" w:lineRule="atLeast"/>
        <w:rPr>
          <w:rFonts w:hint="eastAsia" w:ascii="宋体" w:hAnsi="宋体"/>
          <w:color w:val="000000" w:themeColor="text1"/>
          <w14:textFill>
            <w14:solidFill>
              <w14:schemeClr w14:val="tx1"/>
            </w14:solidFill>
          </w14:textFill>
        </w:rPr>
      </w:pPr>
      <w:bookmarkStart w:id="477" w:name="_Toc241636520"/>
      <w:bookmarkEnd w:id="477"/>
      <w:r>
        <w:rPr>
          <w:rFonts w:hint="eastAsia" w:ascii="宋体" w:hAnsi="宋体"/>
          <w:color w:val="000000" w:themeColor="text1"/>
          <w14:textFill>
            <w14:solidFill>
              <w14:schemeClr w14:val="tx1"/>
            </w14:solidFill>
          </w14:textFill>
        </w:rPr>
        <w:t>其他对投资者决策有影响的重要交易和事项</w:t>
      </w:r>
    </w:p>
    <w:sdt>
      <w:sdtPr>
        <w:rPr>
          <w:color w:val="000000" w:themeColor="text1"/>
          <w14:textFill>
            <w14:solidFill>
              <w14:schemeClr w14:val="tx1"/>
            </w14:solidFill>
          </w14:textFill>
        </w:rPr>
        <w:alias w:val="是否适用：其他对投资者决策有影响的重要交易和事项[双击切换]"/>
        <w:tag w:val="_GBC_6bb0ea1e73f644b99b2bccc9d2ea19e9"/>
        <w:id w:val="1163664952"/>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97"/>
        </w:numPr>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w:t>
      </w:r>
    </w:p>
    <w:sdt>
      <w:sdtPr>
        <w:rPr>
          <w:color w:val="000000" w:themeColor="text1"/>
          <w14:textFill>
            <w14:solidFill>
              <w14:schemeClr w14:val="tx1"/>
            </w14:solidFill>
          </w14:textFill>
        </w:rPr>
        <w:alias w:val="是否适用：其他重要事项的说明[双击切换]"/>
        <w:tag w:val="_GBC_518cb9b615c44ff597f57c3bba95c7fa"/>
        <w:id w:val="-2007734843"/>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sectPr>
          <w:pgSz w:w="11906" w:h="16838"/>
          <w:pgMar w:top="1525" w:right="1276" w:bottom="1440" w:left="1797" w:header="856" w:footer="992" w:gutter="0"/>
          <w:cols w:space="425" w:num="1"/>
          <w:docGrid w:linePitch="312" w:charSpace="0"/>
        </w:sectPr>
      </w:pPr>
    </w:p>
    <w:p>
      <w:pPr>
        <w:pStyle w:val="3"/>
        <w:numPr>
          <w:ilvl w:val="0"/>
          <w:numId w:val="31"/>
        </w:numPr>
        <w:spacing w:line="360" w:lineRule="exact"/>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母公司财务报表主要项目注释</w:t>
      </w:r>
    </w:p>
    <w:p>
      <w:pPr>
        <w:pStyle w:val="4"/>
        <w:numPr>
          <w:ilvl w:val="0"/>
          <w:numId w:val="101"/>
        </w:numPr>
        <w:spacing w:line="360" w:lineRule="exac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应收账款</w:t>
      </w:r>
    </w:p>
    <w:p>
      <w:pPr>
        <w:pStyle w:val="5"/>
        <w:numPr>
          <w:ilvl w:val="3"/>
          <w:numId w:val="102"/>
        </w:numPr>
        <w:spacing w:line="360" w:lineRule="exact"/>
        <w:ind w:left="426" w:hanging="426" w:hangingChars="202"/>
        <w:rPr>
          <w:color w:val="000000" w:themeColor="text1"/>
          <w14:textFill>
            <w14:solidFill>
              <w14:schemeClr w14:val="tx1"/>
            </w14:solidFill>
          </w14:textFill>
        </w:rPr>
      </w:pPr>
      <w:bookmarkStart w:id="478" w:name="_Hlk167980323"/>
      <w:bookmarkStart w:id="479" w:name="_Hlk533796665"/>
      <w:r>
        <w:rPr>
          <w:rFonts w:hint="eastAsia"/>
          <w:color w:val="000000" w:themeColor="text1"/>
          <w14:textFill>
            <w14:solidFill>
              <w14:schemeClr w14:val="tx1"/>
            </w14:solidFill>
          </w14:textFill>
        </w:rPr>
        <w:t>按账龄披露</w:t>
      </w:r>
    </w:p>
    <w:sdt>
      <w:sdtPr>
        <w:rPr>
          <w:color w:val="000000" w:themeColor="text1"/>
          <w14:textFill>
            <w14:solidFill>
              <w14:schemeClr w14:val="tx1"/>
            </w14:solidFill>
          </w14:textFill>
        </w:rPr>
        <w:alias w:val="是否适用：母公司应收账款按账龄披露[双击切换]"/>
        <w:tag w:val="_GBC_801584c2698f4c75b9eab05c08a26afd"/>
        <w:id w:val="-1856728659"/>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应收账款按账龄披露"/>
          <w:tag w:val="_GBC_308a90728c1f4859ad3f446cb4ef9717"/>
          <w:id w:val="-4861143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应收账款按账龄披露"/>
          <w:tag w:val="_GBC_777a884d0a3b4955b2e9309a1049a937"/>
          <w:id w:val="-195408953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7"/>
        <w:gridCol w:w="4751"/>
        <w:gridCol w:w="4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sdt>
          <w:sdtPr>
            <w:tag w:val="_PLD_cce686fc6c1f4a00a0687060595ff873"/>
            <w:id w:val="-1031187013"/>
          </w:sdtPr>
          <w:sdtContent>
            <w:tc>
              <w:tcPr>
                <w:tcW w:w="1628"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9fa8767136b3432ba1d3bea327b3af33"/>
            <w:id w:val="1090739498"/>
          </w:sdtPr>
          <w:sdtContent>
            <w:tc>
              <w:tcPr>
                <w:tcW w:w="168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sdt>
          <w:sdtPr>
            <w:tag w:val="_PLD_4053bba84d8a45f8a51648bc15113d5d"/>
            <w:id w:val="1585640381"/>
          </w:sdtPr>
          <w:sdtContent>
            <w:tc>
              <w:tcPr>
                <w:tcW w:w="1686"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1年以内（含1年）</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1,106,039,242.08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930,340,645.10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1至2年</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161,836,072.18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181,078,788.54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2至3年</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84,679,773.94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85,029,948.44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3至4年</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25,986,666.34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29,643,561.31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4至5年</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14,748,486.94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12,624,391.56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5年以上</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35,961,673.11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34,829,641.55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28"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1,429,251,914.59 </w:t>
            </w:r>
          </w:p>
        </w:tc>
        <w:tc>
          <w:tcPr>
            <w:tcW w:w="1686" w:type="pct"/>
            <w:tcBorders>
              <w:top w:val="single" w:color="auto" w:sz="4" w:space="0"/>
              <w:left w:val="single" w:color="auto" w:sz="4" w:space="0"/>
              <w:bottom w:val="single" w:color="auto" w:sz="4" w:space="0"/>
              <w:right w:val="single" w:color="auto" w:sz="4" w:space="0"/>
            </w:tcBorders>
          </w:tcPr>
          <w:p>
            <w:pPr>
              <w:jc w:val="right"/>
            </w:pPr>
            <w:r>
              <w:t xml:space="preserve"> 1,273,546,976.50 </w:t>
            </w:r>
          </w:p>
        </w:tc>
      </w:tr>
    </w:tbl>
    <w:p>
      <w:pPr>
        <w:rPr>
          <w:color w:val="000000" w:themeColor="text1"/>
          <w14:textFill>
            <w14:solidFill>
              <w14:schemeClr w14:val="tx1"/>
            </w14:solidFill>
          </w14:textFill>
        </w:rPr>
      </w:pPr>
    </w:p>
    <w:bookmarkEnd w:id="478"/>
    <w:bookmarkEnd w:id="479"/>
    <w:p>
      <w:pPr>
        <w:pStyle w:val="5"/>
        <w:numPr>
          <w:ilvl w:val="3"/>
          <w:numId w:val="102"/>
        </w:numPr>
        <w:ind w:left="426" w:hanging="426" w:hangingChars="202"/>
        <w:rPr>
          <w:color w:val="000000" w:themeColor="text1"/>
          <w14:textFill>
            <w14:solidFill>
              <w14:schemeClr w14:val="tx1"/>
            </w14:solidFill>
          </w14:textFill>
        </w:rPr>
      </w:pPr>
      <w:bookmarkStart w:id="480" w:name="_Hlk10540024"/>
      <w:r>
        <w:rPr>
          <w:rFonts w:hint="eastAsia"/>
          <w:color w:val="000000" w:themeColor="text1"/>
          <w14:textFill>
            <w14:solidFill>
              <w14:schemeClr w14:val="tx1"/>
            </w14:solidFill>
          </w14:textFill>
        </w:rPr>
        <w:t>按坏账计提方法分类披露</w:t>
      </w:r>
    </w:p>
    <w:sdt>
      <w:sdtPr>
        <w:rPr>
          <w:color w:val="000000" w:themeColor="text1"/>
          <w14:textFill>
            <w14:solidFill>
              <w14:schemeClr w14:val="tx1"/>
            </w14:solidFill>
          </w14:textFill>
        </w:rPr>
        <w:alias w:val="是否适用：母公司应收账款按坏账计提方法分类披露[双击切换]"/>
        <w:tag w:val="_GBC_bd7fb52eb7f647d5aa6c10677b261ee1"/>
        <w:id w:val="164763601"/>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autoSpaceDE w:val="0"/>
        <w:autoSpaceDN w:val="0"/>
        <w:adjustRightInd w:val="0"/>
        <w:ind w:left="425" w:right="105"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母公司应收账款按坏账计提方法分类披露"/>
          <w:tag w:val="_GBC_03786e76a9b246d5a93eac5a8936de3a"/>
          <w:id w:val="728645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母公司应收账款按坏账计提方法分类披露"/>
          <w:tag w:val="_GBC_1360c31492654a38991cae4cf45e7b4a"/>
          <w:id w:val="96835864"/>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1802"/>
        <w:gridCol w:w="1532"/>
        <w:gridCol w:w="783"/>
        <w:gridCol w:w="1375"/>
        <w:gridCol w:w="824"/>
        <w:gridCol w:w="1532"/>
        <w:gridCol w:w="1532"/>
        <w:gridCol w:w="799"/>
        <w:gridCol w:w="1376"/>
        <w:gridCol w:w="847"/>
        <w:gridCol w:w="1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59" w:hRule="atLeast"/>
        </w:trPr>
        <w:sdt>
          <w:sdtPr>
            <w:tag w:val="_PLD_2f021e03341f49af95f8857da6272a92"/>
            <w:id w:val="-1683417905"/>
          </w:sdtPr>
          <w:sdtContent>
            <w:tc>
              <w:tcPr>
                <w:tcW w:w="656"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类别</w:t>
                </w:r>
              </w:p>
            </w:tc>
          </w:sdtContent>
        </w:sdt>
        <w:sdt>
          <w:sdtPr>
            <w:tag w:val="_PLD_468e18ccdf48449f8e43799e7c3f622e"/>
            <w:id w:val="-2101948098"/>
          </w:sdtPr>
          <w:sdtContent>
            <w:tc>
              <w:tcPr>
                <w:tcW w:w="2163" w:type="pct"/>
                <w:gridSpan w:val="5"/>
                <w:tcBorders>
                  <w:top w:val="single" w:color="auto" w:sz="4" w:space="0"/>
                  <w:left w:val="single" w:color="auto" w:sz="4" w:space="0"/>
                  <w:right w:val="single" w:color="auto" w:sz="4" w:space="0"/>
                </w:tcBorders>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e387c0f70bd6484cafb1ada234d075bd"/>
            <w:id w:val="-1512368686"/>
          </w:sdtPr>
          <w:sdtContent>
            <w:tc>
              <w:tcPr>
                <w:tcW w:w="2181" w:type="pct"/>
                <w:gridSpan w:val="5"/>
                <w:tcBorders>
                  <w:top w:val="single" w:color="auto" w:sz="4" w:space="0"/>
                  <w:left w:val="single" w:color="auto" w:sz="4" w:space="0"/>
                  <w:right w:val="single" w:color="auto" w:sz="4" w:space="0"/>
                </w:tcBorders>
                <w:vAlign w:val="center"/>
              </w:tcPr>
              <w:p>
                <w:pPr>
                  <w:autoSpaceDE w:val="0"/>
                  <w:autoSpaceDN w:val="0"/>
                  <w:adjustRightInd w:val="0"/>
                  <w:snapToGrid w:val="0"/>
                  <w:spacing w:line="240" w:lineRule="atLeas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227" w:hRule="atLeast"/>
        </w:trPr>
        <w:tc>
          <w:tcPr>
            <w:tcW w:w="656" w:type="pct"/>
            <w:vMerge w:val="continue"/>
            <w:tcBorders>
              <w:left w:val="single" w:color="auto" w:sz="4" w:space="0"/>
              <w:right w:val="single" w:color="auto" w:sz="4" w:space="0"/>
            </w:tcBorders>
            <w:vAlign w:val="center"/>
          </w:tcPr>
          <w:p>
            <w:pPr>
              <w:rPr>
                <w:color w:val="000000" w:themeColor="text1"/>
                <w14:textFill>
                  <w14:solidFill>
                    <w14:schemeClr w14:val="tx1"/>
                  </w14:solidFill>
                </w14:textFill>
              </w:rPr>
            </w:pPr>
          </w:p>
        </w:tc>
        <w:sdt>
          <w:sdtPr>
            <w:tag w:val="_PLD_73365edbfe354cb683cc42de4c1c9f49"/>
            <w:id w:val="1950508261"/>
          </w:sdtPr>
          <w:sdtContent>
            <w:tc>
              <w:tcPr>
                <w:tcW w:w="847"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11f34c9ee2d5429280d0d85b2c50756a"/>
            <w:id w:val="-110360927"/>
          </w:sdtPr>
          <w:sdtContent>
            <w:tc>
              <w:tcPr>
                <w:tcW w:w="763"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6ade046afd0c47c0aae9506cc9d47486"/>
            <w:id w:val="-1825267243"/>
          </w:sdtPr>
          <w:sdtContent>
            <w:tc>
              <w:tcPr>
                <w:tcW w:w="553"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sdt>
          <w:sdtPr>
            <w:tag w:val="_PLD_abd9bd4831b9473aabae7411a299a204"/>
            <w:id w:val="-1201773410"/>
          </w:sdtPr>
          <w:sdtContent>
            <w:tc>
              <w:tcPr>
                <w:tcW w:w="858" w:type="pct"/>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76d8f3a48cba41949b5870f6cbb124af"/>
            <w:id w:val="1516031135"/>
          </w:sdtPr>
          <w:sdtContent>
            <w:tc>
              <w:tcPr>
                <w:tcW w:w="771" w:type="pct"/>
                <w:gridSpan w:val="2"/>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5062ab8e678b49c0bba488dc029ff27b"/>
            <w:id w:val="1584030495"/>
          </w:sdtPr>
          <w:sdtContent>
            <w:tc>
              <w:tcPr>
                <w:tcW w:w="553"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Height w:val="375" w:hRule="atLeast"/>
        </w:trPr>
        <w:tc>
          <w:tcPr>
            <w:tcW w:w="656" w:type="pct"/>
            <w:vMerge w:val="continue"/>
            <w:tcBorders>
              <w:left w:val="single" w:color="auto" w:sz="4" w:space="0"/>
              <w:bottom w:val="single" w:color="auto" w:sz="4" w:space="0"/>
              <w:right w:val="single" w:color="auto" w:sz="4" w:space="0"/>
            </w:tcBorders>
            <w:vAlign w:val="center"/>
          </w:tcPr>
          <w:p>
            <w:pPr>
              <w:rPr>
                <w:color w:val="000000" w:themeColor="text1"/>
                <w14:textFill>
                  <w14:solidFill>
                    <w14:schemeClr w14:val="tx1"/>
                  </w14:solidFill>
                </w14:textFill>
              </w:rPr>
            </w:pPr>
          </w:p>
        </w:tc>
        <w:sdt>
          <w:sdtPr>
            <w:tag w:val="_PLD_f6bdd572740240b5a7a2e643c29db5eb"/>
            <w:id w:val="-58559233"/>
          </w:sdtPr>
          <w:sdtContent>
            <w:tc>
              <w:tcPr>
                <w:tcW w:w="553"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0a09779b6e354e32b6df9b1e891e1509"/>
            <w:id w:val="-1089531536"/>
          </w:sdtPr>
          <w:sdtContent>
            <w:tc>
              <w:tcPr>
                <w:tcW w:w="295"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dd9c9061f11b453c8775ca1a11382d92"/>
            <w:id w:val="936645487"/>
          </w:sdtPr>
          <w:sdtContent>
            <w:tc>
              <w:tcPr>
                <w:tcW w:w="458"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988b69362ac14c0e94c26191e76b1e3a"/>
            <w:id w:val="-832915666"/>
          </w:sdtPr>
          <w:sdtContent>
            <w:tc>
              <w:tcPr>
                <w:tcW w:w="305"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553" w:type="pct"/>
            <w:vMerge w:val="continue"/>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sdt>
          <w:sdtPr>
            <w:tag w:val="_PLD_a5c1af5c86d545b993971c3da029159d"/>
            <w:id w:val="-744954217"/>
          </w:sdtPr>
          <w:sdtContent>
            <w:tc>
              <w:tcPr>
                <w:tcW w:w="553"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fd80073c74724a799d0de2171d95f241"/>
            <w:id w:val="-2020603026"/>
          </w:sdtPr>
          <w:sdtContent>
            <w:tc>
              <w:tcPr>
                <w:tcW w:w="305"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比例</w:t>
                </w:r>
                <w:r>
                  <w:rPr>
                    <w:color w:val="000000" w:themeColor="text1"/>
                    <w14:textFill>
                      <w14:solidFill>
                        <w14:schemeClr w14:val="tx1"/>
                      </w14:solidFill>
                    </w14:textFill>
                  </w:rPr>
                  <w:t>(%)</w:t>
                </w:r>
              </w:p>
            </w:tc>
          </w:sdtContent>
        </w:sdt>
        <w:sdt>
          <w:sdtPr>
            <w:tag w:val="_PLD_917059b3ee7f4b52afe8c3fa58f3e369"/>
            <w:id w:val="-871606780"/>
          </w:sdtPr>
          <w:sdtContent>
            <w:tc>
              <w:tcPr>
                <w:tcW w:w="458"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金额</w:t>
                </w:r>
              </w:p>
            </w:tc>
          </w:sdtContent>
        </w:sdt>
        <w:sdt>
          <w:sdtPr>
            <w:tag w:val="_PLD_ea90ccc029834397956c79bbe869d343"/>
            <w:id w:val="1064380864"/>
          </w:sdtPr>
          <w:sdtContent>
            <w:tc>
              <w:tcPr>
                <w:tcW w:w="313" w:type="pct"/>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计提比例</w:t>
                </w:r>
                <w:r>
                  <w:rPr>
                    <w:color w:val="000000" w:themeColor="text1"/>
                    <w14:textFill>
                      <w14:solidFill>
                        <w14:schemeClr w14:val="tx1"/>
                      </w14:solidFill>
                    </w14:textFill>
                  </w:rPr>
                  <w:t>(%)</w:t>
                </w:r>
              </w:p>
            </w:tc>
          </w:sdtContent>
        </w:sdt>
        <w:tc>
          <w:tcPr>
            <w:tcW w:w="553"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56"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32,925,836.93 </w:t>
            </w:r>
          </w:p>
        </w:tc>
        <w:tc>
          <w:tcPr>
            <w:tcW w:w="295" w:type="pct"/>
            <w:tcBorders>
              <w:top w:val="single" w:color="auto" w:sz="4" w:space="0"/>
              <w:left w:val="single" w:color="auto" w:sz="4" w:space="0"/>
              <w:bottom w:val="single" w:color="auto" w:sz="4" w:space="0"/>
              <w:right w:val="single" w:color="auto" w:sz="4" w:space="0"/>
            </w:tcBorders>
            <w:vAlign w:val="center"/>
          </w:tcPr>
          <w:p>
            <w:pPr>
              <w:jc w:val="right"/>
            </w:pPr>
            <w:r>
              <w:t xml:space="preserve"> 2.30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29,315,701.76 </w:t>
            </w:r>
          </w:p>
        </w:tc>
        <w:tc>
          <w:tcPr>
            <w:tcW w:w="305" w:type="pct"/>
            <w:tcBorders>
              <w:top w:val="single" w:color="auto" w:sz="4" w:space="0"/>
              <w:left w:val="single" w:color="auto" w:sz="4" w:space="0"/>
              <w:bottom w:val="single" w:color="auto" w:sz="4" w:space="0"/>
              <w:right w:val="single" w:color="auto" w:sz="4" w:space="0"/>
            </w:tcBorders>
            <w:vAlign w:val="center"/>
          </w:tcPr>
          <w:p>
            <w:pPr>
              <w:jc w:val="right"/>
            </w:pPr>
            <w:r>
              <w:t xml:space="preserve"> 89.04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3,610,135.17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33,547,026.51 </w:t>
            </w:r>
          </w:p>
        </w:tc>
        <w:tc>
          <w:tcPr>
            <w:tcW w:w="305" w:type="pct"/>
            <w:tcBorders>
              <w:top w:val="single" w:color="auto" w:sz="4" w:space="0"/>
              <w:left w:val="single" w:color="auto" w:sz="4" w:space="0"/>
              <w:bottom w:val="single" w:color="auto" w:sz="4" w:space="0"/>
              <w:right w:val="single" w:color="auto" w:sz="4" w:space="0"/>
            </w:tcBorders>
            <w:vAlign w:val="center"/>
          </w:tcPr>
          <w:p>
            <w:pPr>
              <w:jc w:val="right"/>
            </w:pPr>
            <w:r>
              <w:t xml:space="preserve"> 2.63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29,452,072.52 </w:t>
            </w:r>
          </w:p>
        </w:tc>
        <w:tc>
          <w:tcPr>
            <w:tcW w:w="313" w:type="pct"/>
            <w:tcBorders>
              <w:top w:val="single" w:color="auto" w:sz="4" w:space="0"/>
              <w:left w:val="single" w:color="auto" w:sz="4" w:space="0"/>
              <w:bottom w:val="single" w:color="auto" w:sz="4" w:space="0"/>
              <w:right w:val="single" w:color="auto" w:sz="4" w:space="0"/>
            </w:tcBorders>
            <w:vAlign w:val="center"/>
          </w:tcPr>
          <w:p>
            <w:pPr>
              <w:jc w:val="right"/>
            </w:pPr>
            <w:r>
              <w:t xml:space="preserve"> 87.79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4,094,953.99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8ec8b92b0ab24a78ae82ff991696133e"/>
            <w:id w:val="-343712889"/>
          </w:sdtPr>
          <w:sdtContent>
            <w:tc>
              <w:tcPr>
                <w:tcW w:w="5000" w:type="pct"/>
                <w:gridSpan w:val="11"/>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56" w:type="pct"/>
            <w:tcBorders>
              <w:top w:val="single" w:color="auto" w:sz="4" w:space="0"/>
              <w:left w:val="single" w:color="auto" w:sz="4" w:space="0"/>
              <w:bottom w:val="single" w:color="auto" w:sz="4" w:space="0"/>
              <w:right w:val="single" w:color="auto" w:sz="4" w:space="0"/>
            </w:tcBorders>
            <w:vAlign w:val="center"/>
          </w:tcPr>
          <w:p>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1,396,326,077.66 </w:t>
            </w:r>
          </w:p>
        </w:tc>
        <w:tc>
          <w:tcPr>
            <w:tcW w:w="295" w:type="pct"/>
            <w:tcBorders>
              <w:top w:val="single" w:color="auto" w:sz="4" w:space="0"/>
              <w:left w:val="single" w:color="auto" w:sz="4" w:space="0"/>
              <w:bottom w:val="single" w:color="auto" w:sz="4" w:space="0"/>
              <w:right w:val="single" w:color="auto" w:sz="4" w:space="0"/>
            </w:tcBorders>
            <w:vAlign w:val="center"/>
          </w:tcPr>
          <w:p>
            <w:pPr>
              <w:jc w:val="right"/>
            </w:pPr>
            <w:r>
              <w:t xml:space="preserve"> 97.70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 96,022,585.61 </w:t>
            </w:r>
          </w:p>
        </w:tc>
        <w:tc>
          <w:tcPr>
            <w:tcW w:w="305" w:type="pct"/>
            <w:tcBorders>
              <w:top w:val="single" w:color="auto" w:sz="4" w:space="0"/>
              <w:left w:val="single" w:color="auto" w:sz="4" w:space="0"/>
              <w:bottom w:val="single" w:color="auto" w:sz="4" w:space="0"/>
              <w:right w:val="single" w:color="auto" w:sz="4" w:space="0"/>
            </w:tcBorders>
            <w:vAlign w:val="center"/>
          </w:tcPr>
          <w:p>
            <w:pPr>
              <w:jc w:val="right"/>
            </w:pPr>
            <w:r>
              <w:t xml:space="preserve"> 6.88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1,300,303,492.05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1,239,999,949.99 </w:t>
            </w:r>
          </w:p>
        </w:tc>
        <w:tc>
          <w:tcPr>
            <w:tcW w:w="305" w:type="pct"/>
            <w:tcBorders>
              <w:top w:val="single" w:color="auto" w:sz="4" w:space="0"/>
              <w:left w:val="single" w:color="auto" w:sz="4" w:space="0"/>
              <w:bottom w:val="single" w:color="auto" w:sz="4" w:space="0"/>
              <w:right w:val="single" w:color="auto" w:sz="4" w:space="0"/>
            </w:tcBorders>
            <w:vAlign w:val="center"/>
          </w:tcPr>
          <w:p>
            <w:pPr>
              <w:jc w:val="right"/>
            </w:pPr>
            <w:r>
              <w:t xml:space="preserve"> 97.37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 94,009,136.12 </w:t>
            </w:r>
          </w:p>
        </w:tc>
        <w:tc>
          <w:tcPr>
            <w:tcW w:w="313" w:type="pct"/>
            <w:tcBorders>
              <w:top w:val="single" w:color="auto" w:sz="4" w:space="0"/>
              <w:left w:val="single" w:color="auto" w:sz="4" w:space="0"/>
              <w:bottom w:val="single" w:color="auto" w:sz="4" w:space="0"/>
              <w:right w:val="single" w:color="auto" w:sz="4" w:space="0"/>
            </w:tcBorders>
            <w:vAlign w:val="center"/>
          </w:tcPr>
          <w:p>
            <w:pPr>
              <w:jc w:val="right"/>
            </w:pPr>
            <w:r>
              <w:t xml:space="preserve"> 7.58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1,145,990,813.87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bd68cdc38a0e426ea1ec99be844140b3"/>
            <w:id w:val="-1451853515"/>
          </w:sdtPr>
          <w:sdtContent>
            <w:tc>
              <w:tcPr>
                <w:tcW w:w="5000" w:type="pct"/>
                <w:gridSpan w:val="11"/>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其中：</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56"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rFonts w:hint="eastAsia"/>
              </w:rPr>
              <w:t>合并范围内关联方组合</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 329,944,929.74 </w:t>
            </w:r>
          </w:p>
        </w:tc>
        <w:tc>
          <w:tcPr>
            <w:tcW w:w="295" w:type="pct"/>
            <w:tcBorders>
              <w:top w:val="single" w:color="auto" w:sz="4" w:space="0"/>
              <w:left w:val="single" w:color="auto" w:sz="4" w:space="0"/>
              <w:bottom w:val="single" w:color="auto" w:sz="4" w:space="0"/>
              <w:right w:val="single" w:color="auto" w:sz="4" w:space="0"/>
            </w:tcBorders>
            <w:vAlign w:val="center"/>
          </w:tcPr>
          <w:p>
            <w:pPr>
              <w:jc w:val="right"/>
            </w:pPr>
            <w:r>
              <w:t xml:space="preserve"> 23.09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p>
        </w:tc>
        <w:tc>
          <w:tcPr>
            <w:tcW w:w="305" w:type="pct"/>
            <w:tcBorders>
              <w:top w:val="single" w:color="auto" w:sz="4" w:space="0"/>
              <w:left w:val="single" w:color="auto" w:sz="4" w:space="0"/>
              <w:bottom w:val="single" w:color="auto" w:sz="4" w:space="0"/>
              <w:right w:val="single" w:color="auto" w:sz="4" w:space="0"/>
            </w:tcBorders>
            <w:vAlign w:val="center"/>
          </w:tcPr>
          <w:p>
            <w:pPr>
              <w:jc w:val="right"/>
            </w:pP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 329,944,929.74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216,638,106.48</w:t>
            </w:r>
          </w:p>
        </w:tc>
        <w:tc>
          <w:tcPr>
            <w:tcW w:w="305" w:type="pct"/>
            <w:tcBorders>
              <w:top w:val="single" w:color="auto" w:sz="4" w:space="0"/>
              <w:left w:val="single" w:color="auto" w:sz="4" w:space="0"/>
              <w:bottom w:val="single" w:color="auto" w:sz="4" w:space="0"/>
              <w:right w:val="single" w:color="auto" w:sz="4" w:space="0"/>
            </w:tcBorders>
            <w:vAlign w:val="center"/>
          </w:tcPr>
          <w:p>
            <w:pPr>
              <w:jc w:val="right"/>
            </w:pPr>
            <w:r>
              <w:t>17.01</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p>
        </w:tc>
        <w:tc>
          <w:tcPr>
            <w:tcW w:w="313" w:type="pct"/>
            <w:tcBorders>
              <w:top w:val="single" w:color="auto" w:sz="4" w:space="0"/>
              <w:left w:val="single" w:color="auto" w:sz="4" w:space="0"/>
              <w:bottom w:val="single" w:color="auto" w:sz="4" w:space="0"/>
              <w:right w:val="single" w:color="auto" w:sz="4" w:space="0"/>
            </w:tcBorders>
            <w:vAlign w:val="center"/>
          </w:tcPr>
          <w:p>
            <w:pPr>
              <w:jc w:val="right"/>
            </w:pP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216,638,106.48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56" w:type="pct"/>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rFonts w:hint="eastAsia"/>
              </w:rPr>
              <w:t>账龄组合</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1,066,381,147.92 </w:t>
            </w:r>
          </w:p>
        </w:tc>
        <w:tc>
          <w:tcPr>
            <w:tcW w:w="295" w:type="pct"/>
            <w:tcBorders>
              <w:top w:val="single" w:color="auto" w:sz="4" w:space="0"/>
              <w:left w:val="single" w:color="auto" w:sz="4" w:space="0"/>
              <w:bottom w:val="single" w:color="auto" w:sz="4" w:space="0"/>
              <w:right w:val="single" w:color="auto" w:sz="4" w:space="0"/>
            </w:tcBorders>
            <w:vAlign w:val="center"/>
          </w:tcPr>
          <w:p>
            <w:pPr>
              <w:jc w:val="right"/>
            </w:pPr>
            <w:r>
              <w:t xml:space="preserve"> 74.61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 96,022,585.61 </w:t>
            </w:r>
          </w:p>
        </w:tc>
        <w:tc>
          <w:tcPr>
            <w:tcW w:w="305" w:type="pct"/>
            <w:tcBorders>
              <w:top w:val="single" w:color="auto" w:sz="4" w:space="0"/>
              <w:left w:val="single" w:color="auto" w:sz="4" w:space="0"/>
              <w:bottom w:val="single" w:color="auto" w:sz="4" w:space="0"/>
              <w:right w:val="single" w:color="auto" w:sz="4" w:space="0"/>
            </w:tcBorders>
            <w:vAlign w:val="center"/>
          </w:tcPr>
          <w:p>
            <w:pPr>
              <w:jc w:val="right"/>
            </w:pPr>
            <w:r>
              <w:t xml:space="preserve"> 9.00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 970,358,562.31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1,023,361,843.51 </w:t>
            </w:r>
          </w:p>
        </w:tc>
        <w:tc>
          <w:tcPr>
            <w:tcW w:w="305" w:type="pct"/>
            <w:tcBorders>
              <w:top w:val="single" w:color="auto" w:sz="4" w:space="0"/>
              <w:left w:val="single" w:color="auto" w:sz="4" w:space="0"/>
              <w:bottom w:val="single" w:color="auto" w:sz="4" w:space="0"/>
              <w:right w:val="single" w:color="auto" w:sz="4" w:space="0"/>
            </w:tcBorders>
            <w:vAlign w:val="center"/>
          </w:tcPr>
          <w:p>
            <w:pPr>
              <w:jc w:val="right"/>
            </w:pPr>
            <w:r>
              <w:t xml:space="preserve"> 80.36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 94,009,136.12 </w:t>
            </w:r>
          </w:p>
        </w:tc>
        <w:tc>
          <w:tcPr>
            <w:tcW w:w="313" w:type="pct"/>
            <w:tcBorders>
              <w:top w:val="single" w:color="auto" w:sz="4" w:space="0"/>
              <w:left w:val="single" w:color="auto" w:sz="4" w:space="0"/>
              <w:bottom w:val="single" w:color="auto" w:sz="4" w:space="0"/>
              <w:right w:val="single" w:color="auto" w:sz="4" w:space="0"/>
            </w:tcBorders>
            <w:vAlign w:val="center"/>
          </w:tcPr>
          <w:p>
            <w:pPr>
              <w:jc w:val="right"/>
            </w:pPr>
            <w:r>
              <w:t xml:space="preserve"> 9.19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 929,352,707.39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656" w:type="pc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1,429,251,914.59</w:t>
            </w:r>
          </w:p>
        </w:tc>
        <w:tc>
          <w:tcPr>
            <w:tcW w:w="295"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100.00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125,338,287.37 </w:t>
            </w:r>
          </w:p>
        </w:tc>
        <w:tc>
          <w:tcPr>
            <w:tcW w:w="305"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8.77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1,303,913,627.22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1,273,546,976.50 </w:t>
            </w:r>
          </w:p>
        </w:tc>
        <w:tc>
          <w:tcPr>
            <w:tcW w:w="305"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100.00 </w:t>
            </w:r>
          </w:p>
        </w:tc>
        <w:tc>
          <w:tcPr>
            <w:tcW w:w="458" w:type="pct"/>
            <w:tcBorders>
              <w:top w:val="single" w:color="auto" w:sz="4" w:space="0"/>
              <w:left w:val="single" w:color="auto" w:sz="4" w:space="0"/>
              <w:bottom w:val="single" w:color="auto" w:sz="4" w:space="0"/>
              <w:right w:val="single" w:color="auto" w:sz="4" w:space="0"/>
            </w:tcBorders>
            <w:vAlign w:val="center"/>
          </w:tcPr>
          <w:p>
            <w:pPr>
              <w:jc w:val="right"/>
            </w:pPr>
            <w:r>
              <w:t xml:space="preserve">123,461,208.64 </w:t>
            </w:r>
          </w:p>
        </w:tc>
        <w:tc>
          <w:tcPr>
            <w:tcW w:w="313" w:type="pct"/>
            <w:tcBorders>
              <w:top w:val="single" w:color="auto" w:sz="4" w:space="0"/>
              <w:left w:val="single" w:color="auto" w:sz="4" w:space="0"/>
              <w:bottom w:val="single" w:color="auto" w:sz="4" w:space="0"/>
              <w:right w:val="single" w:color="auto" w:sz="4" w:space="0"/>
            </w:tcBorders>
            <w:vAlign w:val="center"/>
          </w:tcPr>
          <w:p>
            <w:pPr>
              <w:jc w:val="right"/>
              <w:rPr>
                <w:color w:val="000000" w:themeColor="text1"/>
                <w14:textFill>
                  <w14:solidFill>
                    <w14:schemeClr w14:val="tx1"/>
                  </w14:solidFill>
                </w14:textFill>
              </w:rPr>
            </w:pPr>
            <w:r>
              <w:t xml:space="preserve"> 9.69 </w:t>
            </w:r>
          </w:p>
        </w:tc>
        <w:tc>
          <w:tcPr>
            <w:tcW w:w="553" w:type="pct"/>
            <w:tcBorders>
              <w:top w:val="single" w:color="auto" w:sz="4" w:space="0"/>
              <w:left w:val="single" w:color="auto" w:sz="4" w:space="0"/>
              <w:bottom w:val="single" w:color="auto" w:sz="4" w:space="0"/>
              <w:right w:val="single" w:color="auto" w:sz="4" w:space="0"/>
            </w:tcBorders>
            <w:vAlign w:val="center"/>
          </w:tcPr>
          <w:p>
            <w:pPr>
              <w:jc w:val="right"/>
            </w:pPr>
            <w:r>
              <w:t xml:space="preserve">1,150,085,767.86 </w:t>
            </w:r>
          </w:p>
        </w:tc>
      </w:tr>
      <w:bookmarkEnd w:id="480"/>
    </w:tbl>
    <w:p>
      <w:pPr>
        <w:rPr>
          <w:color w:val="000000" w:themeColor="text1"/>
          <w14:textFill>
            <w14:solidFill>
              <w14:schemeClr w14:val="tx1"/>
            </w14:solidFill>
          </w14:textFill>
        </w:rPr>
      </w:pPr>
      <w:bookmarkStart w:id="481" w:name="_Hlk10540045"/>
      <w:bookmarkStart w:id="482" w:name="_Hlk10540056"/>
      <w:r>
        <w:rPr>
          <w:rFonts w:hint="eastAsia"/>
          <w:color w:val="000000" w:themeColor="text1"/>
          <w14:textFill>
            <w14:solidFill>
              <w14:schemeClr w14:val="tx1"/>
            </w14:solidFill>
          </w14:textFill>
        </w:rPr>
        <w:t>按单项计提坏账准备：</w:t>
      </w:r>
      <w:bookmarkEnd w:id="481"/>
    </w:p>
    <w:sdt>
      <w:sdtPr>
        <w:rPr>
          <w:color w:val="000000" w:themeColor="text1"/>
          <w14:textFill>
            <w14:solidFill>
              <w14:schemeClr w14:val="tx1"/>
            </w14:solidFill>
          </w14:textFill>
        </w:rPr>
        <w:alias w:val="是否适用：母公司应收账款按单项计提坏账准备[双击切换]"/>
        <w:tag w:val="_GBC_6aa7698e624f4481b0cf894058a63961"/>
        <w:id w:val="127883617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82"/>
    <w:p>
      <w:pPr>
        <w:rPr>
          <w:color w:val="000000" w:themeColor="text1"/>
          <w14:textFill>
            <w14:solidFill>
              <w14:schemeClr w14:val="tx1"/>
            </w14:solidFill>
          </w14:textFill>
        </w:rPr>
      </w:pPr>
      <w:bookmarkStart w:id="483" w:name="_Hlk10540079"/>
      <w:r>
        <w:rPr>
          <w:rFonts w:hint="eastAsia"/>
          <w:color w:val="000000" w:themeColor="text1"/>
          <w14:textFill>
            <w14:solidFill>
              <w14:schemeClr w14:val="tx1"/>
            </w14:solidFill>
          </w14:textFill>
        </w:rPr>
        <w:t>按组合计提坏账准备：</w:t>
      </w:r>
    </w:p>
    <w:sdt>
      <w:sdtPr>
        <w:rPr>
          <w:color w:val="000000" w:themeColor="text1"/>
          <w14:textFill>
            <w14:solidFill>
              <w14:schemeClr w14:val="tx1"/>
            </w14:solidFill>
          </w14:textFill>
        </w:rPr>
        <w:alias w:val="是否适用：母公司应收账款按组合计提坏账准备[双击切换]"/>
        <w:tag w:val="_GBC_bf96e631f2cf4f6a876dff49863ee9d3"/>
        <w:id w:val="1611168686"/>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r>
        <w:rPr>
          <w:rFonts w:hint="eastAsia"/>
          <w:color w:val="000000" w:themeColor="text1"/>
          <w14:textFill>
            <w14:solidFill>
              <w14:schemeClr w14:val="tx1"/>
            </w14:solidFill>
          </w14:textFill>
        </w:rPr>
        <w:t>组合计提项目：</w:t>
      </w:r>
      <w:sdt>
        <w:sdtPr>
          <w:rPr>
            <w:rFonts w:hint="eastAsia"/>
            <w:color w:val="000000" w:themeColor="text1"/>
            <w14:textFill>
              <w14:solidFill>
                <w14:schemeClr w14:val="tx1"/>
              </w14:solidFill>
            </w14:textFill>
          </w:rPr>
          <w:alias w:val="按组合计提坏账准备的应收账款明细-组合名称"/>
          <w:tag w:val="_GBC_c2c49e08c13c49f5b854cd65f748bccc"/>
          <w:id w:val="731502605"/>
          <w:placeholder>
            <w:docPart w:val="GBC22222222222222222222222222222"/>
          </w:placeholder>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账龄组合</w:t>
          </w:r>
        </w:sdtContent>
      </w:sdt>
    </w:p>
    <w:p>
      <w:pPr>
        <w:autoSpaceDE w:val="0"/>
        <w:autoSpaceDN w:val="0"/>
        <w:adjustRightInd w:val="0"/>
        <w:ind w:left="5880" w:right="105"/>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应收账款按组合计提坏账准备"/>
          <w:tag w:val="_GBC_eddb8416e4854df0b69f43851a8eba2b"/>
          <w:id w:val="-84269666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应收账款按组合计提坏账准备"/>
          <w:tag w:val="_GBC_326d8b8532c4476aa9c90eaa469806e2"/>
          <w:id w:val="207399810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3"/>
        <w:gridCol w:w="3596"/>
        <w:gridCol w:w="3660"/>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17679ab9c8247c6b2e334fd90bf61e9"/>
            <w:id w:val="-1253272670"/>
          </w:sdtPr>
          <w:sdtContent>
            <w:tc>
              <w:tcPr>
                <w:tcW w:w="1158"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名称</w:t>
                </w:r>
              </w:p>
            </w:tc>
          </w:sdtContent>
        </w:sdt>
        <w:sdt>
          <w:sdtPr>
            <w:tag w:val="_PLD_5135cd56467d4853affa6d0ae484f326"/>
            <w:id w:val="206372261"/>
          </w:sdtPr>
          <w:sdtContent>
            <w:tc>
              <w:tcPr>
                <w:tcW w:w="3842"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Merge w:val="continue"/>
          </w:tcPr>
          <w:p>
            <w:pPr>
              <w:jc w:val="center"/>
              <w:rPr>
                <w:color w:val="000000" w:themeColor="text1"/>
                <w14:textFill>
                  <w14:solidFill>
                    <w14:schemeClr w14:val="tx1"/>
                  </w14:solidFill>
                </w14:textFill>
              </w:rPr>
            </w:pPr>
          </w:p>
        </w:tc>
        <w:sdt>
          <w:sdtPr>
            <w:tag w:val="_PLD_6853d362c1364938aec50c34a4c1b2be"/>
            <w:id w:val="15197373"/>
          </w:sdtPr>
          <w:sdtContent>
            <w:tc>
              <w:tcPr>
                <w:tcW w:w="127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497956cded5b48c4b4741462475810da"/>
            <w:id w:val="-1987467428"/>
          </w:sdtPr>
          <w:sdtContent>
            <w:tc>
              <w:tcPr>
                <w:tcW w:w="129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tc>
          </w:sdtContent>
        </w:sdt>
        <w:sdt>
          <w:sdtPr>
            <w:tag w:val="_PLD_abeb28def5684beab5ea48273044d861"/>
            <w:id w:val="-426351361"/>
          </w:sdtPr>
          <w:sdtContent>
            <w:tc>
              <w:tcPr>
                <w:tcW w:w="1267" w:type="pct"/>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计提比例</w:t>
                </w:r>
                <w:r>
                  <w:rPr>
                    <w:rFonts w:hint="eastAsia"/>
                    <w:color w:val="000000" w:themeColor="text1"/>
                    <w14:textFill>
                      <w14:solidFill>
                        <w14:schemeClr w14:val="tx1"/>
                      </w14:solidFill>
                    </w14:textFill>
                  </w:rPr>
                  <w:t>（%）</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1年以内（含1年）</w:t>
            </w:r>
          </w:p>
        </w:tc>
        <w:tc>
          <w:tcPr>
            <w:tcW w:w="1276" w:type="pct"/>
          </w:tcPr>
          <w:p>
            <w:pPr>
              <w:jc w:val="right"/>
            </w:pPr>
            <w:r>
              <w:t xml:space="preserve"> 775,980,421.92 </w:t>
            </w:r>
          </w:p>
        </w:tc>
        <w:tc>
          <w:tcPr>
            <w:tcW w:w="1299" w:type="pct"/>
          </w:tcPr>
          <w:p>
            <w:pPr>
              <w:jc w:val="right"/>
            </w:pPr>
            <w:r>
              <w:t xml:space="preserve"> 38,799,021.09 </w:t>
            </w:r>
          </w:p>
        </w:tc>
        <w:tc>
          <w:tcPr>
            <w:tcW w:w="1267" w:type="pct"/>
          </w:tcPr>
          <w:p>
            <w:pPr>
              <w:jc w:val="right"/>
            </w:pPr>
            <w:r>
              <w:t xml:space="preserve"> 5.00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1至2年</w:t>
            </w:r>
          </w:p>
        </w:tc>
        <w:tc>
          <w:tcPr>
            <w:tcW w:w="1276" w:type="pct"/>
          </w:tcPr>
          <w:p>
            <w:pPr>
              <w:jc w:val="right"/>
            </w:pPr>
            <w:r>
              <w:t xml:space="preserve"> 161,836,072.18 </w:t>
            </w:r>
          </w:p>
        </w:tc>
        <w:tc>
          <w:tcPr>
            <w:tcW w:w="1299" w:type="pct"/>
          </w:tcPr>
          <w:p>
            <w:pPr>
              <w:jc w:val="right"/>
            </w:pPr>
            <w:r>
              <w:t xml:space="preserve"> 16,183,607.22 </w:t>
            </w:r>
          </w:p>
        </w:tc>
        <w:tc>
          <w:tcPr>
            <w:tcW w:w="1267" w:type="pct"/>
          </w:tcPr>
          <w:p>
            <w:pPr>
              <w:jc w:val="right"/>
            </w:pPr>
            <w:r>
              <w:t xml:space="preserve"> 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2至3年</w:t>
            </w:r>
          </w:p>
        </w:tc>
        <w:tc>
          <w:tcPr>
            <w:tcW w:w="1276" w:type="pct"/>
          </w:tcPr>
          <w:p>
            <w:pPr>
              <w:jc w:val="right"/>
            </w:pPr>
            <w:r>
              <w:t xml:space="preserve"> 82,967,951.94 </w:t>
            </w:r>
          </w:p>
        </w:tc>
        <w:tc>
          <w:tcPr>
            <w:tcW w:w="1299" w:type="pct"/>
          </w:tcPr>
          <w:p>
            <w:pPr>
              <w:jc w:val="right"/>
            </w:pPr>
            <w:r>
              <w:t xml:space="preserve"> 16,593,590.39 </w:t>
            </w:r>
          </w:p>
        </w:tc>
        <w:tc>
          <w:tcPr>
            <w:tcW w:w="1267" w:type="pct"/>
          </w:tcPr>
          <w:p>
            <w:pPr>
              <w:jc w:val="right"/>
            </w:pPr>
            <w:r>
              <w:t xml:space="preserve"> 20.00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3至4年</w:t>
            </w:r>
          </w:p>
        </w:tc>
        <w:tc>
          <w:tcPr>
            <w:tcW w:w="1276" w:type="pct"/>
          </w:tcPr>
          <w:p>
            <w:pPr>
              <w:jc w:val="right"/>
            </w:pPr>
            <w:r>
              <w:t xml:space="preserve"> 22,173,105.34 </w:t>
            </w:r>
          </w:p>
        </w:tc>
        <w:tc>
          <w:tcPr>
            <w:tcW w:w="1299" w:type="pct"/>
          </w:tcPr>
          <w:p>
            <w:pPr>
              <w:jc w:val="right"/>
            </w:pPr>
            <w:r>
              <w:t xml:space="preserve"> 6,651,931.60 </w:t>
            </w:r>
          </w:p>
        </w:tc>
        <w:tc>
          <w:tcPr>
            <w:tcW w:w="1267" w:type="pct"/>
          </w:tcPr>
          <w:p>
            <w:pPr>
              <w:jc w:val="right"/>
            </w:pPr>
            <w:r>
              <w:t xml:space="preserve"> 30.00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rPr>
                <w:rFonts w:hint="eastAsia"/>
              </w:rPr>
              <w:t>4至5年</w:t>
            </w:r>
          </w:p>
        </w:tc>
        <w:tc>
          <w:tcPr>
            <w:tcW w:w="1276" w:type="pct"/>
          </w:tcPr>
          <w:p>
            <w:pPr>
              <w:jc w:val="right"/>
            </w:pPr>
            <w:r>
              <w:t xml:space="preserve"> 11,258,322.46 </w:t>
            </w:r>
          </w:p>
        </w:tc>
        <w:tc>
          <w:tcPr>
            <w:tcW w:w="1299" w:type="pct"/>
          </w:tcPr>
          <w:p>
            <w:pPr>
              <w:jc w:val="right"/>
            </w:pPr>
            <w:r>
              <w:t xml:space="preserve"> 5,629,161.23 </w:t>
            </w:r>
          </w:p>
        </w:tc>
        <w:tc>
          <w:tcPr>
            <w:tcW w:w="1267" w:type="pct"/>
          </w:tcPr>
          <w:p>
            <w:pPr>
              <w:jc w:val="right"/>
            </w:pPr>
            <w:r>
              <w:t xml:space="preserve"> 50.00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tcPr>
          <w:p>
            <w:pPr>
              <w:pStyle w:val="48"/>
            </w:pPr>
            <w:r>
              <w:t>5年以上</w:t>
            </w:r>
          </w:p>
        </w:tc>
        <w:tc>
          <w:tcPr>
            <w:tcW w:w="1276" w:type="pct"/>
          </w:tcPr>
          <w:p>
            <w:pPr>
              <w:jc w:val="right"/>
            </w:pPr>
            <w:r>
              <w:t xml:space="preserve"> 12,165,274.08 </w:t>
            </w:r>
          </w:p>
        </w:tc>
        <w:tc>
          <w:tcPr>
            <w:tcW w:w="1299" w:type="pct"/>
          </w:tcPr>
          <w:p>
            <w:pPr>
              <w:jc w:val="right"/>
            </w:pPr>
            <w:r>
              <w:t xml:space="preserve"> 12,165,274.08 </w:t>
            </w:r>
          </w:p>
        </w:tc>
        <w:tc>
          <w:tcPr>
            <w:tcW w:w="1267" w:type="pct"/>
          </w:tcPr>
          <w:p>
            <w:pPr>
              <w:jc w:val="right"/>
            </w:pPr>
            <w:r>
              <w:t xml:space="preserve"> 100.00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276" w:type="pct"/>
          </w:tcPr>
          <w:p>
            <w:pPr>
              <w:jc w:val="right"/>
            </w:pPr>
            <w:r>
              <w:t xml:space="preserve"> 1,066,381,147.92 </w:t>
            </w:r>
          </w:p>
        </w:tc>
        <w:tc>
          <w:tcPr>
            <w:tcW w:w="1299" w:type="pct"/>
          </w:tcPr>
          <w:p>
            <w:pPr>
              <w:jc w:val="right"/>
            </w:pPr>
            <w:r>
              <w:t xml:space="preserve"> 96,022,585.61 </w:t>
            </w:r>
          </w:p>
        </w:tc>
        <w:tc>
          <w:tcPr>
            <w:tcW w:w="1267" w:type="pct"/>
          </w:tcPr>
          <w:p>
            <w:pPr>
              <w:jc w:val="right"/>
            </w:pPr>
            <w:r>
              <w:t xml:space="preserve"> 9.00 </w:t>
            </w:r>
          </w:p>
        </w:tc>
      </w:tr>
    </w:tbl>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按组合计提坏账准备的说明：</w:t>
      </w:r>
    </w:p>
    <w:sdt>
      <w:sdtPr>
        <w:rPr>
          <w:color w:val="000000" w:themeColor="text1"/>
          <w14:textFill>
            <w14:solidFill>
              <w14:schemeClr w14:val="tx1"/>
            </w14:solidFill>
          </w14:textFill>
        </w:rPr>
        <w:alias w:val="是否适用：母公司应收账款按组合计提坏账的确认标准及说明[双击切换]"/>
        <w:tag w:val="_GBC_186c78f5430148f29cc239ac6b530e5e"/>
        <w:id w:val="-518239229"/>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83"/>
    <w:p>
      <w:pPr>
        <w:rPr>
          <w:color w:val="000000" w:themeColor="text1"/>
          <w14:textFill>
            <w14:solidFill>
              <w14:schemeClr w14:val="tx1"/>
            </w14:solidFill>
          </w14:textFill>
        </w:rPr>
      </w:pPr>
      <w:bookmarkStart w:id="484" w:name="_Hlk534616017"/>
      <w:bookmarkStart w:id="485" w:name="_Hlk167980591"/>
      <w:r>
        <w:rPr>
          <w:rFonts w:hint="eastAsia"/>
          <w:color w:val="000000" w:themeColor="text1"/>
          <w14:textFill>
            <w14:solidFill>
              <w14:schemeClr w14:val="tx1"/>
            </w14:solidFill>
          </w14:textFill>
        </w:rPr>
        <w:t>按预期信用损失一般模型计提坏账准备</w:t>
      </w:r>
    </w:p>
    <w:sdt>
      <w:sdtPr>
        <w:rPr>
          <w:color w:val="000000" w:themeColor="text1"/>
          <w14:textFill>
            <w14:solidFill>
              <w14:schemeClr w14:val="tx1"/>
            </w14:solidFill>
          </w14:textFill>
        </w:rPr>
        <w:alias w:val="是否适用：母公司应收账款按一般预计信用损失模型计提坏账[双击切换]"/>
        <w:tag w:val="_GBC_f0abda0ef94e4c708c624cb545c56aeb"/>
        <w:id w:val="158534289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autoSpaceDE w:val="0"/>
        <w:autoSpaceDN w:val="0"/>
        <w:adjustRightInd w:val="0"/>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各阶段划分依据和坏账准备计提比例"/>
        <w:tag w:val="_GBC_0489be1e98c542ca9f393e48f8ce8d06"/>
        <w:id w:val="1196433769"/>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pPr>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pPr>
        <w:pStyle w:val="36"/>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对本期发生损失准备变动的应收账款账面余额显著变动的情况说明：</w:t>
      </w:r>
    </w:p>
    <w:sdt>
      <w:sdtPr>
        <w:rPr>
          <w:color w:val="000000" w:themeColor="text1"/>
          <w14:textFill>
            <w14:solidFill>
              <w14:schemeClr w14:val="tx1"/>
            </w14:solidFill>
          </w14:textFill>
        </w:rPr>
        <w:alias w:val="是否适用：母公司对本期发生损失准备变动的账面余额显著变动的情况说明[双击切换]"/>
        <w:tag w:val="_GBC_c77cf591dcd24f7788bd4150e02a7f8f"/>
        <w:id w:val="26068829"/>
        <w:placeholder>
          <w:docPart w:val="GBC22222222222222222222222222222"/>
        </w:placeholder>
      </w:sdtPr>
      <w:sdtEndPr>
        <w:rPr>
          <w:color w:val="000000" w:themeColor="text1"/>
          <w14:textFill>
            <w14:solidFill>
              <w14:schemeClr w14:val="tx1"/>
            </w14:solidFill>
          </w14:textFill>
        </w:rPr>
      </w:sdtEndPr>
      <w:sdtContent>
        <w:p>
          <w:pPr>
            <w:autoSpaceDE w:val="0"/>
            <w:autoSpaceDN w:val="0"/>
            <w:adjustRightInd w:val="0"/>
            <w:ind w:right="105" w:rightChars="50"/>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84"/>
    <w:bookmarkEnd w:id="485"/>
    <w:p>
      <w:pPr>
        <w:pStyle w:val="5"/>
        <w:numPr>
          <w:ilvl w:val="3"/>
          <w:numId w:val="102"/>
        </w:numPr>
        <w:ind w:left="426" w:hanging="426" w:hangingChars="202"/>
        <w:rPr>
          <w:color w:val="000000" w:themeColor="text1"/>
          <w14:textFill>
            <w14:solidFill>
              <w14:schemeClr w14:val="tx1"/>
            </w14:solidFill>
          </w14:textFill>
        </w:rPr>
      </w:pPr>
      <w:bookmarkStart w:id="486" w:name="_Hlk10540190"/>
      <w:bookmarkStart w:id="487" w:name="_Hlk10540207"/>
      <w:r>
        <w:rPr>
          <w:rFonts w:hint="eastAsia"/>
          <w:color w:val="000000" w:themeColor="text1"/>
          <w14:textFill>
            <w14:solidFill>
              <w14:schemeClr w14:val="tx1"/>
            </w14:solidFill>
          </w14:textFill>
        </w:rPr>
        <w:t>坏账准备的情况</w:t>
      </w:r>
      <w:bookmarkEnd w:id="486"/>
    </w:p>
    <w:sdt>
      <w:sdtPr>
        <w:rPr>
          <w:color w:val="000000" w:themeColor="text1"/>
          <w14:textFill>
            <w14:solidFill>
              <w14:schemeClr w14:val="tx1"/>
            </w14:solidFill>
          </w14:textFill>
        </w:rPr>
        <w:alias w:val="是否适用：母公司应收账款坏账准备情况[双击切换]"/>
        <w:tag w:val="_GBC_f73789de2ecf49c4bad380c8767c93cf"/>
        <w:id w:val="-1529085751"/>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snapToGrid w:val="0"/>
        <w:spacing w:line="240" w:lineRule="atLeast"/>
        <w:ind w:left="425" w:firstLine="0" w:firstLineChars="0"/>
        <w:jc w:val="right"/>
        <w:rPr>
          <w:rFonts w:hint="eastAsia" w:ascii="宋体" w:hAnsi="宋体"/>
          <w:color w:val="000000" w:themeColor="text1"/>
          <w:szCs w:val="21"/>
          <w14:textFill>
            <w14:solidFill>
              <w14:schemeClr w14:val="tx1"/>
            </w14:solidFill>
          </w14:textFill>
        </w:rPr>
      </w:pPr>
      <w:bookmarkStart w:id="488" w:name="_Hlk41553597"/>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母公司应收账款坏账准备情况"/>
          <w:tag w:val="_GBC_b1cb6a2ed32f4cbba0ff71c0724458cf"/>
          <w:id w:val="182962875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母公司应收账款坏账准备情况"/>
          <w:tag w:val="_GBC_d354bf362fbe459f823a08ebfd7e3967"/>
          <w:id w:val="-12071795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2306"/>
        <w:gridCol w:w="1938"/>
        <w:gridCol w:w="2104"/>
        <w:gridCol w:w="1938"/>
        <w:gridCol w:w="1943"/>
        <w:gridCol w:w="1938"/>
        <w:gridCol w:w="1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sdt>
          <w:sdtPr>
            <w:tag w:val="_PLD_f6bf13992bdc4b06bd6f364458e0df47"/>
            <w:id w:val="-652298274"/>
          </w:sdtPr>
          <w:sdtContent>
            <w:tc>
              <w:tcPr>
                <w:tcW w:w="818"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类别</w:t>
                </w:r>
              </w:p>
            </w:tc>
          </w:sdtContent>
        </w:sdt>
        <w:sdt>
          <w:sdtPr>
            <w:tag w:val="_PLD_579b33cd0d7e490d998a64c9f202ccfb"/>
            <w:id w:val="693880939"/>
          </w:sdtPr>
          <w:sdtContent>
            <w:tc>
              <w:tcPr>
                <w:tcW w:w="687"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期初余额</w:t>
                </w:r>
              </w:p>
            </w:tc>
          </w:sdtContent>
        </w:sdt>
        <w:sdt>
          <w:sdtPr>
            <w:tag w:val="_PLD_2cbc55bce2ef44bbb40e4050dfe846f1"/>
            <w:id w:val="635604011"/>
          </w:sdtPr>
          <w:sdtContent>
            <w:tc>
              <w:tcPr>
                <w:tcW w:w="2809" w:type="pct"/>
                <w:gridSpan w:val="4"/>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本期变动</w:t>
                </w:r>
                <w:r>
                  <w:rPr>
                    <w:color w:val="000000" w:themeColor="text1"/>
                    <w14:textFill>
                      <w14:solidFill>
                        <w14:schemeClr w14:val="tx1"/>
                      </w14:solidFill>
                    </w14:textFill>
                  </w:rPr>
                  <w:t>金额</w:t>
                </w:r>
              </w:p>
            </w:tc>
          </w:sdtContent>
        </w:sdt>
        <w:sdt>
          <w:sdtPr>
            <w:tag w:val="_PLD_dcc9f714adf8465eb1a49da61466de1f"/>
            <w:id w:val="-1275628332"/>
          </w:sdtPr>
          <w:sdtContent>
            <w:tc>
              <w:tcPr>
                <w:tcW w:w="685" w:type="pct"/>
                <w:vMerge w:val="restar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818" w:type="pct"/>
            <w:vMerge w:val="continue"/>
            <w:shd w:val="clear" w:color="auto" w:fill="FFFFFF"/>
          </w:tcPr>
          <w:p>
            <w:pPr>
              <w:widowControl w:val="0"/>
              <w:jc w:val="center"/>
              <w:rPr>
                <w:color w:val="000000" w:themeColor="text1"/>
                <w14:textFill>
                  <w14:solidFill>
                    <w14:schemeClr w14:val="tx1"/>
                  </w14:solidFill>
                </w14:textFill>
              </w:rPr>
            </w:pPr>
          </w:p>
        </w:tc>
        <w:tc>
          <w:tcPr>
            <w:tcW w:w="687" w:type="pct"/>
            <w:vMerge w:val="continue"/>
            <w:shd w:val="clear" w:color="auto" w:fill="FFFFFF"/>
          </w:tcPr>
          <w:p>
            <w:pPr>
              <w:widowControl w:val="0"/>
              <w:jc w:val="center"/>
              <w:rPr>
                <w:color w:val="000000" w:themeColor="text1"/>
                <w14:textFill>
                  <w14:solidFill>
                    <w14:schemeClr w14:val="tx1"/>
                  </w14:solidFill>
                </w14:textFill>
              </w:rPr>
            </w:pPr>
          </w:p>
        </w:tc>
        <w:sdt>
          <w:sdtPr>
            <w:tag w:val="_PLD_e4e43f7257b14faaaaf4b09b161bf7b7"/>
            <w:id w:val="1065374444"/>
          </w:sdtPr>
          <w:sdtContent>
            <w:tc>
              <w:tcPr>
                <w:tcW w:w="746" w:type="pct"/>
                <w:shd w:val="clear" w:color="auto" w:fill="FFFFFF"/>
                <w:vAlign w:val="center"/>
              </w:tcPr>
              <w:p>
                <w:pPr>
                  <w:widowControl w:val="0"/>
                  <w:jc w:val="center"/>
                  <w:rPr>
                    <w:color w:val="000000" w:themeColor="text1"/>
                    <w14:textFill>
                      <w14:solidFill>
                        <w14:schemeClr w14:val="tx1"/>
                      </w14:solidFill>
                    </w14:textFill>
                  </w:rPr>
                </w:pPr>
                <w:r>
                  <w:rPr>
                    <w:color w:val="000000" w:themeColor="text1"/>
                    <w14:textFill>
                      <w14:solidFill>
                        <w14:schemeClr w14:val="tx1"/>
                      </w14:solidFill>
                    </w14:textFill>
                  </w:rPr>
                  <w:t>计提</w:t>
                </w:r>
              </w:p>
            </w:tc>
          </w:sdtContent>
        </w:sdt>
        <w:sdt>
          <w:sdtPr>
            <w:tag w:val="_PLD_bf7fb55a6c2a4d18926896fd921fc857"/>
            <w:id w:val="2034606367"/>
          </w:sdtPr>
          <w:sdtContent>
            <w:tc>
              <w:tcPr>
                <w:tcW w:w="687" w:type="pct"/>
                <w:shd w:val="clear" w:color="auto" w:fill="FFFFFF"/>
                <w:vAlign w:val="center"/>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收回或转回</w:t>
                </w:r>
              </w:p>
            </w:tc>
          </w:sdtContent>
        </w:sdt>
        <w:tc>
          <w:tcPr>
            <w:tcW w:w="689" w:type="pct"/>
            <w:shd w:val="clear" w:color="auto" w:fill="FFFFFF"/>
            <w:vAlign w:val="center"/>
          </w:tcPr>
          <w:sdt>
            <w:sdtPr>
              <w:tag w:val="_PLD_536d31c824d74db3baaa7f5b6cd0a9ec"/>
              <w:id w:val="-2060784594"/>
            </w:sdtPr>
            <w:sdtContent>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转销或核销</w:t>
                </w:r>
              </w:p>
            </w:sdtContent>
          </w:sdt>
        </w:tc>
        <w:tc>
          <w:tcPr>
            <w:tcW w:w="687" w:type="pct"/>
            <w:shd w:val="clear" w:color="auto" w:fill="FFFFFF"/>
            <w:vAlign w:val="center"/>
          </w:tcPr>
          <w:sdt>
            <w:sdtPr>
              <w:tag w:val="_PLD_32a7ce101f6b48d68c39e1edb6e78b82"/>
              <w:id w:val="32232044"/>
            </w:sdtPr>
            <w:sdtContent>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其他变动</w:t>
                </w:r>
              </w:p>
            </w:sdtContent>
          </w:sdt>
        </w:tc>
        <w:tc>
          <w:tcPr>
            <w:tcW w:w="685" w:type="pct"/>
            <w:vMerge w:val="continue"/>
            <w:shd w:val="clear" w:color="auto" w:fill="FFFFFF"/>
          </w:tcPr>
          <w:p>
            <w:pPr>
              <w:widowControl w:val="0"/>
              <w:jc w:val="right"/>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818" w:type="pct"/>
          </w:tcPr>
          <w:p>
            <w:pPr>
              <w:widowControl w:val="0"/>
            </w:pPr>
            <w:r>
              <w:rPr>
                <w:rFonts w:hint="eastAsia"/>
              </w:rPr>
              <w:t>按单项计提坏账准备</w:t>
            </w:r>
          </w:p>
        </w:tc>
        <w:tc>
          <w:tcPr>
            <w:tcW w:w="687" w:type="pct"/>
          </w:tcPr>
          <w:p>
            <w:pPr>
              <w:widowControl w:val="0"/>
              <w:jc w:val="right"/>
            </w:pPr>
            <w:r>
              <w:t xml:space="preserve"> 29,452,072.52 </w:t>
            </w:r>
          </w:p>
        </w:tc>
        <w:tc>
          <w:tcPr>
            <w:tcW w:w="746" w:type="pct"/>
          </w:tcPr>
          <w:p>
            <w:pPr>
              <w:widowControl w:val="0"/>
              <w:jc w:val="right"/>
            </w:pPr>
            <w:r>
              <w:t xml:space="preserve"> 248,575.00 </w:t>
            </w:r>
          </w:p>
        </w:tc>
        <w:tc>
          <w:tcPr>
            <w:tcW w:w="687" w:type="pct"/>
          </w:tcPr>
          <w:p>
            <w:pPr>
              <w:widowControl w:val="0"/>
              <w:jc w:val="right"/>
            </w:pPr>
            <w:r>
              <w:t xml:space="preserve"> 384,945.76 </w:t>
            </w:r>
          </w:p>
        </w:tc>
        <w:tc>
          <w:tcPr>
            <w:tcW w:w="689" w:type="pct"/>
          </w:tcPr>
          <w:p>
            <w:pPr>
              <w:widowControl w:val="0"/>
              <w:jc w:val="right"/>
            </w:pPr>
          </w:p>
        </w:tc>
        <w:tc>
          <w:tcPr>
            <w:tcW w:w="687" w:type="pct"/>
          </w:tcPr>
          <w:p>
            <w:pPr>
              <w:widowControl w:val="0"/>
              <w:jc w:val="right"/>
            </w:pPr>
          </w:p>
        </w:tc>
        <w:tc>
          <w:tcPr>
            <w:tcW w:w="685" w:type="pct"/>
          </w:tcPr>
          <w:p>
            <w:pPr>
              <w:widowControl w:val="0"/>
              <w:jc w:val="right"/>
            </w:pPr>
            <w:r>
              <w:t xml:space="preserve"> 29,315,701.76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818" w:type="pct"/>
          </w:tcPr>
          <w:p>
            <w:pPr>
              <w:widowControl w:val="0"/>
            </w:pPr>
            <w:r>
              <w:rPr>
                <w:rFonts w:hint="eastAsia"/>
              </w:rPr>
              <w:t>按组合计提坏账准备</w:t>
            </w:r>
          </w:p>
        </w:tc>
        <w:tc>
          <w:tcPr>
            <w:tcW w:w="687" w:type="pct"/>
          </w:tcPr>
          <w:p>
            <w:pPr>
              <w:widowControl w:val="0"/>
              <w:jc w:val="right"/>
            </w:pPr>
            <w:r>
              <w:t xml:space="preserve"> 94,009,136.12 </w:t>
            </w:r>
          </w:p>
        </w:tc>
        <w:tc>
          <w:tcPr>
            <w:tcW w:w="746" w:type="pct"/>
          </w:tcPr>
          <w:p>
            <w:pPr>
              <w:widowControl w:val="0"/>
              <w:jc w:val="right"/>
            </w:pPr>
            <w:r>
              <w:t xml:space="preserve"> 3,483,111.34 </w:t>
            </w:r>
          </w:p>
        </w:tc>
        <w:tc>
          <w:tcPr>
            <w:tcW w:w="687" w:type="pct"/>
          </w:tcPr>
          <w:p>
            <w:pPr>
              <w:widowControl w:val="0"/>
              <w:jc w:val="right"/>
            </w:pPr>
          </w:p>
        </w:tc>
        <w:tc>
          <w:tcPr>
            <w:tcW w:w="689" w:type="pct"/>
          </w:tcPr>
          <w:p>
            <w:pPr>
              <w:widowControl w:val="0"/>
              <w:jc w:val="right"/>
            </w:pPr>
          </w:p>
        </w:tc>
        <w:tc>
          <w:tcPr>
            <w:tcW w:w="687" w:type="pct"/>
          </w:tcPr>
          <w:p>
            <w:pPr>
              <w:widowControl w:val="0"/>
              <w:jc w:val="right"/>
            </w:pPr>
            <w:r>
              <w:t xml:space="preserve"> </w:t>
            </w:r>
            <w:r>
              <w:rPr>
                <w:rFonts w:hint="eastAsia"/>
              </w:rPr>
              <w:t>-</w:t>
            </w:r>
            <w:r>
              <w:t xml:space="preserve">1,469,661.85 </w:t>
            </w:r>
          </w:p>
        </w:tc>
        <w:tc>
          <w:tcPr>
            <w:tcW w:w="685" w:type="pct"/>
          </w:tcPr>
          <w:p>
            <w:pPr>
              <w:widowControl w:val="0"/>
              <w:jc w:val="right"/>
            </w:pPr>
            <w:r>
              <w:t xml:space="preserve"> 96,022,585.61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jc w:val="center"/>
        </w:trPr>
        <w:tc>
          <w:tcPr>
            <w:tcW w:w="818" w:type="pct"/>
          </w:tcPr>
          <w:p>
            <w:pPr>
              <w:widowControl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87" w:type="pct"/>
          </w:tcPr>
          <w:p>
            <w:pPr>
              <w:widowControl w:val="0"/>
              <w:jc w:val="right"/>
            </w:pPr>
            <w:r>
              <w:t xml:space="preserve"> 123,461,208.64 </w:t>
            </w:r>
          </w:p>
        </w:tc>
        <w:tc>
          <w:tcPr>
            <w:tcW w:w="746" w:type="pct"/>
          </w:tcPr>
          <w:p>
            <w:pPr>
              <w:widowControl w:val="0"/>
              <w:jc w:val="right"/>
            </w:pPr>
            <w:r>
              <w:t xml:space="preserve"> 3,731,686.34 </w:t>
            </w:r>
          </w:p>
        </w:tc>
        <w:tc>
          <w:tcPr>
            <w:tcW w:w="687" w:type="pct"/>
          </w:tcPr>
          <w:p>
            <w:pPr>
              <w:widowControl w:val="0"/>
              <w:jc w:val="right"/>
            </w:pPr>
            <w:r>
              <w:t xml:space="preserve"> 384,945.76 </w:t>
            </w:r>
          </w:p>
        </w:tc>
        <w:tc>
          <w:tcPr>
            <w:tcW w:w="689" w:type="pct"/>
          </w:tcPr>
          <w:p>
            <w:pPr>
              <w:widowControl w:val="0"/>
              <w:jc w:val="right"/>
            </w:pPr>
            <w:r>
              <w:t xml:space="preserve">    </w:t>
            </w:r>
          </w:p>
        </w:tc>
        <w:tc>
          <w:tcPr>
            <w:tcW w:w="687" w:type="pct"/>
          </w:tcPr>
          <w:p>
            <w:pPr>
              <w:widowControl w:val="0"/>
              <w:jc w:val="right"/>
            </w:pPr>
            <w:r>
              <w:t xml:space="preserve"> </w:t>
            </w:r>
            <w:r>
              <w:rPr>
                <w:rFonts w:hint="eastAsia"/>
              </w:rPr>
              <w:t>-</w:t>
            </w:r>
            <w:r>
              <w:t xml:space="preserve">1,469,661.85 </w:t>
            </w:r>
          </w:p>
        </w:tc>
        <w:tc>
          <w:tcPr>
            <w:tcW w:w="685" w:type="pct"/>
          </w:tcPr>
          <w:p>
            <w:pPr>
              <w:widowControl w:val="0"/>
              <w:jc w:val="right"/>
            </w:pPr>
            <w:r>
              <w:t xml:space="preserve"> 125,338,287.37 </w:t>
            </w:r>
          </w:p>
        </w:tc>
      </w:tr>
    </w:tbl>
    <w:p>
      <w:pPr>
        <w:snapToGrid w:val="0"/>
        <w:spacing w:line="360" w:lineRule="atLeast"/>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注</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其他</w:t>
      </w:r>
      <w:r>
        <w:rPr>
          <w:rFonts w:hint="eastAsia" w:ascii="宋体" w:hAnsi="宋体"/>
          <w:color w:val="000000" w:themeColor="text1"/>
          <w14:textFill>
            <w14:solidFill>
              <w14:schemeClr w14:val="tx1"/>
            </w14:solidFill>
          </w14:textFill>
        </w:rPr>
        <w:t>变动</w:t>
      </w:r>
      <w:r>
        <w:rPr>
          <w:rFonts w:ascii="宋体" w:hAnsi="宋体"/>
          <w:color w:val="000000" w:themeColor="text1"/>
          <w14:textFill>
            <w14:solidFill>
              <w14:schemeClr w14:val="tx1"/>
            </w14:solidFill>
          </w14:textFill>
        </w:rPr>
        <w:t>金额系以房抵款债务重组</w:t>
      </w:r>
      <w:r>
        <w:rPr>
          <w:rFonts w:hint="eastAsia" w:ascii="宋体" w:hAnsi="宋体"/>
          <w:color w:val="000000" w:themeColor="text1"/>
          <w14:textFill>
            <w14:solidFill>
              <w14:schemeClr w14:val="tx1"/>
            </w14:solidFill>
          </w14:textFill>
        </w:rPr>
        <w:t>减少</w:t>
      </w:r>
      <w:r>
        <w:rPr>
          <w:rFonts w:ascii="宋体" w:hAnsi="宋体"/>
          <w:color w:val="000000" w:themeColor="text1"/>
          <w14:textFill>
            <w14:solidFill>
              <w14:schemeClr w14:val="tx1"/>
            </w14:solidFill>
          </w14:textFill>
        </w:rPr>
        <w:t>账准备1,469,661.85元</w:t>
      </w:r>
    </w:p>
    <w:bookmarkEnd w:id="487"/>
    <w:bookmarkEnd w:id="488"/>
    <w:p>
      <w:pPr>
        <w:spacing w:line="360" w:lineRule="atLeast"/>
        <w:rPr>
          <w:color w:val="000000" w:themeColor="text1"/>
          <w14:textFill>
            <w14:solidFill>
              <w14:schemeClr w14:val="tx1"/>
            </w14:solidFill>
          </w14:textFill>
        </w:rPr>
      </w:pPr>
      <w:bookmarkStart w:id="489" w:name="_Hlk167981805"/>
      <w:bookmarkStart w:id="490" w:name="_Hlk153789356"/>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母公司其中本期坏账准备收回或转回金额重要的[双击切换]"/>
        <w:tag w:val="_GBC_29cbd6f1a56c4bc9843a0a61bcf42c88"/>
        <w:id w:val="-381404529"/>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应收账款坏账准备情况的说明"/>
        <w:tag w:val="_GBC_0ab588d220454a20ba505c5d15821534"/>
        <w:id w:val="-628546183"/>
        <w:placeholder>
          <w:docPart w:val="GBC22222222222222222222222222222"/>
        </w:placeholder>
      </w:sdtPr>
      <w:sdtEndPr>
        <w:rPr>
          <w:color w:val="000000" w:themeColor="text1"/>
          <w14:textFill>
            <w14:solidFill>
              <w14:schemeClr w14:val="tx1"/>
            </w14:solidFill>
          </w14:textFill>
        </w:rPr>
      </w:sdtEndPr>
      <w:sdtContent>
        <w:p>
          <w:pPr>
            <w:spacing w:line="360" w:lineRule="atLeast"/>
            <w:ind w:right="-1594" w:rightChars="-759"/>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489"/>
    <w:bookmarkEnd w:id="490"/>
    <w:p>
      <w:pPr>
        <w:pStyle w:val="5"/>
        <w:numPr>
          <w:ilvl w:val="3"/>
          <w:numId w:val="102"/>
        </w:numPr>
        <w:spacing w:line="360" w:lineRule="atLeast"/>
        <w:ind w:left="426" w:hanging="426" w:hangingChars="202"/>
        <w:rPr>
          <w:color w:val="000000" w:themeColor="text1"/>
          <w14:textFill>
            <w14:solidFill>
              <w14:schemeClr w14:val="tx1"/>
            </w14:solidFill>
          </w14:textFill>
        </w:rPr>
      </w:pPr>
      <w:r>
        <w:rPr>
          <w:rFonts w:hint="eastAsia"/>
          <w:color w:val="000000" w:themeColor="text1"/>
          <w14:textFill>
            <w14:solidFill>
              <w14:schemeClr w14:val="tx1"/>
            </w14:solidFill>
          </w14:textFill>
        </w:rPr>
        <w:t>本期实际核销的应收账款情况</w:t>
      </w:r>
    </w:p>
    <w:sdt>
      <w:sdtPr>
        <w:rPr>
          <w:color w:val="000000" w:themeColor="text1"/>
          <w14:textFill>
            <w14:solidFill>
              <w14:schemeClr w14:val="tx1"/>
            </w14:solidFill>
          </w14:textFill>
        </w:rPr>
        <w:alias w:val="是否适用：母公司本期实际核销的应收账款情况[双击切换]"/>
        <w:tag w:val="_GBC_a8b9861b74fa43bdb4a98d13449f8f5e"/>
        <w:id w:val="-266771701"/>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其中重要的应收账款核销情况</w:t>
      </w:r>
    </w:p>
    <w:sdt>
      <w:sdtPr>
        <w:rPr>
          <w:color w:val="000000" w:themeColor="text1"/>
          <w14:textFill>
            <w14:solidFill>
              <w14:schemeClr w14:val="tx1"/>
            </w14:solidFill>
          </w14:textFill>
        </w:rPr>
        <w:alias w:val="是否适用：母公司其中重要的应收账款核销情况[双击切换]"/>
        <w:tag w:val="_GBC_827c9c10930747bc8ba843d89c64f1fb"/>
        <w:id w:val="-209273311"/>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应收账款核销说明：</w:t>
      </w:r>
    </w:p>
    <w:sdt>
      <w:sdtPr>
        <w:rPr>
          <w:color w:val="000000" w:themeColor="text1"/>
          <w14:textFill>
            <w14:solidFill>
              <w14:schemeClr w14:val="tx1"/>
            </w14:solidFill>
          </w14:textFill>
        </w:rPr>
        <w:alias w:val="是否适用：母公司应收账款核销说明[双击切换]"/>
        <w:tag w:val="_GBC_36d2cef3128f4b3389b38ed29442e2b3"/>
        <w:id w:val="1251627322"/>
        <w:placeholder>
          <w:docPart w:val="GBC22222222222222222222222222222"/>
        </w:placeholder>
      </w:sdtPr>
      <w:sdtEndPr>
        <w:rPr>
          <w:color w:val="000000" w:themeColor="text1"/>
          <w14:textFill>
            <w14:solidFill>
              <w14:schemeClr w14:val="tx1"/>
            </w14:solidFill>
          </w14:textFill>
        </w:rPr>
      </w:sdtEndPr>
      <w:sdtContent>
        <w:p>
          <w:pPr>
            <w:snapToGrid w:val="0"/>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5"/>
        <w:numPr>
          <w:ilvl w:val="3"/>
          <w:numId w:val="102"/>
        </w:numPr>
        <w:spacing w:line="360" w:lineRule="atLeast"/>
        <w:ind w:left="426" w:hanging="426" w:hangingChars="202"/>
        <w:rPr>
          <w:color w:val="000000" w:themeColor="text1"/>
          <w14:textFill>
            <w14:solidFill>
              <w14:schemeClr w14:val="tx1"/>
            </w14:solidFill>
          </w14:textFill>
        </w:rPr>
      </w:pPr>
      <w:bookmarkStart w:id="491" w:name="_Hlk90023019"/>
      <w:bookmarkStart w:id="492" w:name="_Hlk153789714"/>
      <w:bookmarkStart w:id="493" w:name="_Hlk167981941"/>
      <w:r>
        <w:rPr>
          <w:rFonts w:hint="eastAsia"/>
          <w:color w:val="000000" w:themeColor="text1"/>
          <w14:textFill>
            <w14:solidFill>
              <w14:schemeClr w14:val="tx1"/>
            </w14:solidFill>
          </w14:textFill>
        </w:rPr>
        <w:t>按欠款方归集的期末余额前五名的应收账款和合同资产情况</w:t>
      </w:r>
    </w:p>
    <w:sdt>
      <w:sdtPr>
        <w:rPr>
          <w:rFonts w:hint="eastAsia"/>
          <w:color w:val="000000" w:themeColor="text1"/>
          <w14:textFill>
            <w14:solidFill>
              <w14:schemeClr w14:val="tx1"/>
            </w14:solidFill>
          </w14:textFill>
        </w:rPr>
        <w:alias w:val="是否适用：按欠款方归集的期末余额前五名的应收账款情况[双击切换]"/>
        <w:tag w:val="_GBC_9395e3af825547b4abf8734a6459492f"/>
        <w:id w:val="1742440549"/>
        <w:placeholder>
          <w:docPart w:val="GBC22222222222222222222222222222"/>
        </w:placeholder>
      </w:sdtPr>
      <w:sdtEndPr>
        <w:rPr>
          <w:rFonts w:hint="eastAsia"/>
          <w:color w:val="000000" w:themeColor="text1"/>
          <w14:textFill>
            <w14:solidFill>
              <w14:schemeClr w14:val="tx1"/>
            </w14:solidFill>
          </w14:textFill>
        </w:rPr>
      </w:sdtEndPr>
      <w:sdtContent>
        <w:p>
          <w:pPr>
            <w:snapToGrid w:val="0"/>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w:instrText>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instrText xml:space="preserve">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240" w:lineRule="atLeast"/>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color w:val="000000" w:themeColor="text1"/>
            <w14:textFill>
              <w14:solidFill>
                <w14:schemeClr w14:val="tx1"/>
              </w14:solidFill>
            </w14:textFill>
          </w:rPr>
          <w:alias w:val="单位：财务附注：应收账款前五名欠款情况"/>
          <w:tag w:val="_GBC_d6261cbe3c904089bd795ccb3093ee73"/>
          <w:id w:val="-122543618"/>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color w:val="000000" w:themeColor="text1"/>
            <w14:textFill>
              <w14:solidFill>
                <w14:schemeClr w14:val="tx1"/>
              </w14:solidFill>
            </w14:textFill>
          </w:rPr>
        </w:sdtEndPr>
        <w:sdtContent>
          <w:r>
            <w:rPr>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应收账款前五名欠款情况"/>
          <w:tag w:val="_GBC_e64ffa6f9fba457f8f4da7574e1bd056"/>
          <w:id w:val="160784417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4"/>
        <w:gridCol w:w="2161"/>
        <w:gridCol w:w="2018"/>
        <w:gridCol w:w="3023"/>
        <w:gridCol w:w="2818"/>
        <w:gridCol w:w="2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sdt>
          <w:sdtPr>
            <w:tag w:val="_PLD_66e33a7e6be44d5eb2d50643e6237cc4"/>
            <w:id w:val="-6689109"/>
          </w:sdtPr>
          <w:sdtContent>
            <w:tc>
              <w:tcPr>
                <w:tcW w:w="612"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单位名称</w:t>
                </w:r>
              </w:p>
            </w:tc>
          </w:sdtContent>
        </w:sdt>
        <w:sdt>
          <w:sdtPr>
            <w:tag w:val="_PLD_e60db498c5ba4a96a970a6ce918e5153"/>
            <w:id w:val="-1927717146"/>
          </w:sdtPr>
          <w:sdtContent>
            <w:tc>
              <w:tcPr>
                <w:tcW w:w="767" w:type="pct"/>
                <w:vAlign w:val="center"/>
              </w:tcPr>
              <w:p>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应收账款期末余额</w:t>
                </w:r>
              </w:p>
            </w:tc>
          </w:sdtContent>
        </w:sdt>
        <w:sdt>
          <w:sdtPr>
            <w:tag w:val="_PLD_944b59d1898d47a2b9811200fe8238cc"/>
            <w:id w:val="-290677339"/>
          </w:sdtPr>
          <w:sdtContent>
            <w:tc>
              <w:tcPr>
                <w:tcW w:w="716"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合同资产期末余额</w:t>
                </w:r>
              </w:p>
            </w:tc>
          </w:sdtContent>
        </w:sdt>
        <w:sdt>
          <w:sdtPr>
            <w:tag w:val="_PLD_301be10e795242c58ee556a8cd07660a"/>
            <w:id w:val="883909348"/>
          </w:sdtPr>
          <w:sdtContent>
            <w:tc>
              <w:tcPr>
                <w:tcW w:w="107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应收账款和合同资产期末余额</w:t>
                </w:r>
              </w:p>
            </w:tc>
          </w:sdtContent>
        </w:sdt>
        <w:sdt>
          <w:sdtPr>
            <w:tag w:val="_PLD_9d7daec6d6fe4a5d9c133a5c71d1c062"/>
            <w:id w:val="265507493"/>
          </w:sdtPr>
          <w:sdtContent>
            <w:tc>
              <w:tcPr>
                <w:tcW w:w="100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占应收账款和合同资产期末余额合计数的比例（%）</w:t>
                </w:r>
              </w:p>
            </w:tc>
          </w:sdtContent>
        </w:sdt>
        <w:sdt>
          <w:sdtPr>
            <w:tag w:val="_PLD_50b08561bfef4171ad4e74488b9eb0c0"/>
            <w:id w:val="-924798473"/>
          </w:sdtPr>
          <w:sdtContent>
            <w:tc>
              <w:tcPr>
                <w:tcW w:w="83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2" w:type="pct"/>
          </w:tcPr>
          <w:p>
            <w:pPr>
              <w:ind w:right="105"/>
            </w:pPr>
            <w:r>
              <w:rPr>
                <w:rFonts w:hint="eastAsia"/>
              </w:rPr>
              <w:t>客户1</w:t>
            </w:r>
          </w:p>
        </w:tc>
        <w:tc>
          <w:tcPr>
            <w:tcW w:w="767" w:type="pct"/>
            <w:vAlign w:val="center"/>
          </w:tcPr>
          <w:p>
            <w:pPr>
              <w:ind w:right="73"/>
              <w:jc w:val="right"/>
            </w:pPr>
            <w:r>
              <w:t xml:space="preserve"> 220,052,856.95 </w:t>
            </w:r>
          </w:p>
        </w:tc>
        <w:tc>
          <w:tcPr>
            <w:tcW w:w="716" w:type="pct"/>
            <w:vAlign w:val="center"/>
          </w:tcPr>
          <w:p>
            <w:pPr>
              <w:jc w:val="right"/>
            </w:pPr>
          </w:p>
        </w:tc>
        <w:tc>
          <w:tcPr>
            <w:tcW w:w="1073" w:type="pct"/>
            <w:vAlign w:val="center"/>
          </w:tcPr>
          <w:p>
            <w:pPr>
              <w:jc w:val="right"/>
            </w:pPr>
            <w:r>
              <w:t xml:space="preserve"> 220,052,856.95 </w:t>
            </w:r>
          </w:p>
        </w:tc>
        <w:tc>
          <w:tcPr>
            <w:tcW w:w="1000" w:type="pct"/>
            <w:vAlign w:val="center"/>
          </w:tcPr>
          <w:p>
            <w:pPr>
              <w:jc w:val="right"/>
            </w:pPr>
            <w:r>
              <w:t xml:space="preserve"> 15.40 </w:t>
            </w:r>
          </w:p>
        </w:tc>
        <w:tc>
          <w:tcPr>
            <w:tcW w:w="832" w:type="pct"/>
            <w:vAlign w:val="center"/>
          </w:tcPr>
          <w:p>
            <w:pPr>
              <w:jc w:val="right"/>
            </w:pPr>
            <w: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2" w:type="pct"/>
          </w:tcPr>
          <w:p>
            <w:pPr>
              <w:ind w:right="105"/>
            </w:pPr>
            <w:r>
              <w:t>客户</w:t>
            </w:r>
            <w:r>
              <w:rPr>
                <w:rFonts w:hint="eastAsia"/>
              </w:rPr>
              <w:t>2</w:t>
            </w:r>
          </w:p>
        </w:tc>
        <w:tc>
          <w:tcPr>
            <w:tcW w:w="767" w:type="pct"/>
            <w:vAlign w:val="center"/>
          </w:tcPr>
          <w:p>
            <w:pPr>
              <w:ind w:right="73"/>
              <w:jc w:val="right"/>
            </w:pPr>
            <w:r>
              <w:t xml:space="preserve"> 42,724,053.88 </w:t>
            </w:r>
          </w:p>
        </w:tc>
        <w:tc>
          <w:tcPr>
            <w:tcW w:w="716" w:type="pct"/>
            <w:vAlign w:val="center"/>
          </w:tcPr>
          <w:p>
            <w:pPr>
              <w:jc w:val="right"/>
            </w:pPr>
          </w:p>
        </w:tc>
        <w:tc>
          <w:tcPr>
            <w:tcW w:w="1073" w:type="pct"/>
            <w:vAlign w:val="center"/>
          </w:tcPr>
          <w:p>
            <w:pPr>
              <w:jc w:val="right"/>
            </w:pPr>
            <w:r>
              <w:t xml:space="preserve"> 42,724,053.88 </w:t>
            </w:r>
          </w:p>
        </w:tc>
        <w:tc>
          <w:tcPr>
            <w:tcW w:w="1000" w:type="pct"/>
            <w:vAlign w:val="center"/>
          </w:tcPr>
          <w:p>
            <w:pPr>
              <w:jc w:val="right"/>
            </w:pPr>
            <w:r>
              <w:t xml:space="preserve"> 2.99 </w:t>
            </w:r>
          </w:p>
        </w:tc>
        <w:tc>
          <w:tcPr>
            <w:tcW w:w="832" w:type="pct"/>
            <w:vAlign w:val="center"/>
          </w:tcPr>
          <w:p>
            <w:pPr>
              <w:jc w:val="right"/>
            </w:pPr>
            <w:r>
              <w:t xml:space="preserve"> 2,136,202.69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2" w:type="pct"/>
          </w:tcPr>
          <w:p>
            <w:pPr>
              <w:ind w:right="105"/>
            </w:pPr>
            <w:r>
              <w:t>客户</w:t>
            </w:r>
            <w:r>
              <w:rPr>
                <w:rFonts w:hint="eastAsia"/>
              </w:rPr>
              <w:t>3</w:t>
            </w:r>
          </w:p>
        </w:tc>
        <w:tc>
          <w:tcPr>
            <w:tcW w:w="767" w:type="pct"/>
            <w:vAlign w:val="center"/>
          </w:tcPr>
          <w:p>
            <w:pPr>
              <w:ind w:right="73"/>
              <w:jc w:val="right"/>
            </w:pPr>
            <w:r>
              <w:t xml:space="preserve"> 41,730,813.54 </w:t>
            </w:r>
          </w:p>
        </w:tc>
        <w:tc>
          <w:tcPr>
            <w:tcW w:w="716" w:type="pct"/>
            <w:vAlign w:val="center"/>
          </w:tcPr>
          <w:p>
            <w:pPr>
              <w:jc w:val="right"/>
            </w:pPr>
          </w:p>
        </w:tc>
        <w:tc>
          <w:tcPr>
            <w:tcW w:w="1073" w:type="pct"/>
            <w:vAlign w:val="center"/>
          </w:tcPr>
          <w:p>
            <w:pPr>
              <w:jc w:val="right"/>
            </w:pPr>
            <w:r>
              <w:t xml:space="preserve"> 41,730,813.54 </w:t>
            </w:r>
          </w:p>
        </w:tc>
        <w:tc>
          <w:tcPr>
            <w:tcW w:w="1000" w:type="pct"/>
            <w:vAlign w:val="center"/>
          </w:tcPr>
          <w:p>
            <w:pPr>
              <w:jc w:val="right"/>
            </w:pPr>
            <w:r>
              <w:t xml:space="preserve"> 2.92 </w:t>
            </w:r>
          </w:p>
        </w:tc>
        <w:tc>
          <w:tcPr>
            <w:tcW w:w="832" w:type="pct"/>
            <w:vAlign w:val="center"/>
          </w:tcPr>
          <w:p>
            <w:pPr>
              <w:jc w:val="right"/>
            </w:pPr>
            <w: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2" w:type="pct"/>
          </w:tcPr>
          <w:p>
            <w:pPr>
              <w:ind w:right="105"/>
            </w:pPr>
            <w:r>
              <w:t>客户</w:t>
            </w:r>
            <w:r>
              <w:rPr>
                <w:rFonts w:hint="eastAsia"/>
              </w:rPr>
              <w:t>4</w:t>
            </w:r>
          </w:p>
        </w:tc>
        <w:tc>
          <w:tcPr>
            <w:tcW w:w="767" w:type="pct"/>
            <w:vAlign w:val="center"/>
          </w:tcPr>
          <w:p>
            <w:pPr>
              <w:ind w:right="73"/>
              <w:jc w:val="right"/>
            </w:pPr>
            <w:r>
              <w:t xml:space="preserve"> 36,112,709.04 </w:t>
            </w:r>
          </w:p>
        </w:tc>
        <w:tc>
          <w:tcPr>
            <w:tcW w:w="716" w:type="pct"/>
            <w:vAlign w:val="center"/>
          </w:tcPr>
          <w:p>
            <w:pPr>
              <w:jc w:val="right"/>
            </w:pPr>
          </w:p>
        </w:tc>
        <w:tc>
          <w:tcPr>
            <w:tcW w:w="1073" w:type="pct"/>
            <w:vAlign w:val="center"/>
          </w:tcPr>
          <w:p>
            <w:pPr>
              <w:jc w:val="right"/>
            </w:pPr>
            <w:r>
              <w:t xml:space="preserve"> 36,112,709.04 </w:t>
            </w:r>
          </w:p>
        </w:tc>
        <w:tc>
          <w:tcPr>
            <w:tcW w:w="1000" w:type="pct"/>
            <w:vAlign w:val="center"/>
          </w:tcPr>
          <w:p>
            <w:pPr>
              <w:jc w:val="right"/>
            </w:pPr>
            <w:r>
              <w:t xml:space="preserve"> 2.53 </w:t>
            </w:r>
          </w:p>
        </w:tc>
        <w:tc>
          <w:tcPr>
            <w:tcW w:w="832" w:type="pct"/>
            <w:vAlign w:val="center"/>
          </w:tcPr>
          <w:p>
            <w:pPr>
              <w:jc w:val="right"/>
            </w:pPr>
            <w:r>
              <w:t xml:space="preserve"> 1,805,635.45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2" w:type="pct"/>
          </w:tcPr>
          <w:p>
            <w:pPr>
              <w:ind w:right="105"/>
            </w:pPr>
            <w:r>
              <w:t>客户</w:t>
            </w:r>
            <w:r>
              <w:rPr>
                <w:rFonts w:hint="eastAsia"/>
              </w:rPr>
              <w:t>5</w:t>
            </w:r>
          </w:p>
        </w:tc>
        <w:tc>
          <w:tcPr>
            <w:tcW w:w="767" w:type="pct"/>
            <w:vAlign w:val="center"/>
          </w:tcPr>
          <w:p>
            <w:pPr>
              <w:ind w:right="73"/>
              <w:jc w:val="right"/>
            </w:pPr>
            <w:r>
              <w:t xml:space="preserve"> 34,800,360.00 </w:t>
            </w:r>
          </w:p>
        </w:tc>
        <w:tc>
          <w:tcPr>
            <w:tcW w:w="716" w:type="pct"/>
            <w:vAlign w:val="center"/>
          </w:tcPr>
          <w:p>
            <w:pPr>
              <w:jc w:val="right"/>
            </w:pPr>
          </w:p>
        </w:tc>
        <w:tc>
          <w:tcPr>
            <w:tcW w:w="1073" w:type="pct"/>
            <w:vAlign w:val="center"/>
          </w:tcPr>
          <w:p>
            <w:pPr>
              <w:jc w:val="right"/>
            </w:pPr>
            <w:r>
              <w:t xml:space="preserve"> 34,800,360.00 </w:t>
            </w:r>
          </w:p>
        </w:tc>
        <w:tc>
          <w:tcPr>
            <w:tcW w:w="1000" w:type="pct"/>
            <w:vAlign w:val="center"/>
          </w:tcPr>
          <w:p>
            <w:pPr>
              <w:jc w:val="right"/>
            </w:pPr>
            <w:r>
              <w:t xml:space="preserve"> 2.43 </w:t>
            </w:r>
          </w:p>
        </w:tc>
        <w:tc>
          <w:tcPr>
            <w:tcW w:w="832" w:type="pct"/>
            <w:vAlign w:val="center"/>
          </w:tcPr>
          <w:p>
            <w:pPr>
              <w:jc w:val="right"/>
            </w:pPr>
            <w:r>
              <w:t xml:space="preserve"> 1,740,018.00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12" w:type="pct"/>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767" w:type="pct"/>
            <w:vAlign w:val="center"/>
          </w:tcPr>
          <w:p>
            <w:pPr>
              <w:ind w:right="73"/>
              <w:jc w:val="right"/>
            </w:pPr>
            <w:r>
              <w:t xml:space="preserve"> 375,420,793.41 </w:t>
            </w:r>
          </w:p>
        </w:tc>
        <w:tc>
          <w:tcPr>
            <w:tcW w:w="716" w:type="pct"/>
            <w:vAlign w:val="center"/>
          </w:tcPr>
          <w:p>
            <w:pPr>
              <w:jc w:val="right"/>
            </w:pPr>
          </w:p>
        </w:tc>
        <w:tc>
          <w:tcPr>
            <w:tcW w:w="1073" w:type="pct"/>
            <w:vAlign w:val="center"/>
          </w:tcPr>
          <w:p>
            <w:pPr>
              <w:jc w:val="right"/>
            </w:pPr>
            <w:r>
              <w:t xml:space="preserve"> 375,420,793.41 </w:t>
            </w:r>
          </w:p>
        </w:tc>
        <w:tc>
          <w:tcPr>
            <w:tcW w:w="1000" w:type="pct"/>
            <w:vAlign w:val="center"/>
          </w:tcPr>
          <w:p>
            <w:pPr>
              <w:jc w:val="right"/>
            </w:pPr>
            <w:r>
              <w:t xml:space="preserve"> 26.27 </w:t>
            </w:r>
          </w:p>
        </w:tc>
        <w:tc>
          <w:tcPr>
            <w:tcW w:w="832" w:type="pct"/>
            <w:vAlign w:val="center"/>
          </w:tcPr>
          <w:p>
            <w:pPr>
              <w:jc w:val="right"/>
            </w:pPr>
            <w:r>
              <w:t xml:space="preserve"> 5,681,856.14 </w:t>
            </w:r>
          </w:p>
        </w:tc>
      </w:tr>
    </w:tbl>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按欠款方归集的期末余额前五名的应收账款情况的说明"/>
        <w:tag w:val="_GBC_60ef1597b00c4872bb998837689ad316"/>
        <w:id w:val="-1305549372"/>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491"/>
    <w:bookmarkEnd w:id="492"/>
    <w:bookmarkEnd w:id="493"/>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rFonts w:hint="eastAsia"/>
          <w:color w:val="000000" w:themeColor="text1"/>
          <w14:textFill>
            <w14:solidFill>
              <w14:schemeClr w14:val="tx1"/>
            </w14:solidFill>
          </w14:textFill>
        </w:rPr>
        <w:alias w:val="是否适用：母公司应收账款其他说明[双击切换]"/>
        <w:tag w:val="_GBC_22a2c0a255e04aacadf1c076323bc980"/>
        <w:id w:val="-84381711"/>
        <w:placeholder>
          <w:docPart w:val="GBC22222222222222222222222222222"/>
        </w:placeholder>
      </w:sdtPr>
      <w:sdtEndPr>
        <w:rPr>
          <w:rFonts w:hint="eastAsia"/>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101"/>
        </w:num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其他应收款</w:t>
      </w:r>
    </w:p>
    <w:p>
      <w:pPr>
        <w:pStyle w:val="5"/>
        <w:rPr>
          <w:rFonts w:hint="eastAsia" w:ascii="宋体" w:hAnsi="宋体"/>
          <w:color w:val="000000" w:themeColor="text1"/>
          <w14:textFill>
            <w14:solidFill>
              <w14:schemeClr w14:val="tx1"/>
            </w14:solidFill>
          </w14:textFill>
        </w:rPr>
      </w:pPr>
      <w:bookmarkStart w:id="494" w:name="_Hlk10546944"/>
      <w:r>
        <w:rPr>
          <w:rFonts w:hint="eastAsia" w:ascii="宋体" w:hAnsi="宋体"/>
          <w:color w:val="000000" w:themeColor="text1"/>
          <w14:textFill>
            <w14:solidFill>
              <w14:schemeClr w14:val="tx1"/>
            </w14:solidFill>
          </w14:textFill>
        </w:rPr>
        <w:t>项目列示</w:t>
      </w:r>
    </w:p>
    <w:sdt>
      <w:sdtPr>
        <w:rPr>
          <w:color w:val="000000" w:themeColor="text1"/>
          <w14:textFill>
            <w14:solidFill>
              <w14:schemeClr w14:val="tx1"/>
            </w14:solidFill>
          </w14:textFill>
        </w:rPr>
        <w:alias w:val="是否适用：母公司其他应收款分类列示[双击切换]"/>
        <w:tag w:val="_GBC_529e259f053b47d993fd4e3216204522"/>
        <w:id w:val="-804386898"/>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其他应收款分类列示"/>
          <w:tag w:val="_GBC_306e86db57e64b00a9602dc7cbf81457"/>
          <w:id w:val="-68174289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其他应收款分类列示"/>
          <w:tag w:val="_GBC_cd5866350ae3491e87e9f82a7ed2a7c3"/>
          <w:id w:val="-124648978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4916"/>
        <w:gridCol w:w="4521"/>
        <w:gridCol w:w="44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9b14d51b79194bdea749a527966a0a2e"/>
            <w:id w:val="-1890259549"/>
          </w:sdtPr>
          <w:sdtContent>
            <w:tc>
              <w:tcPr>
                <w:tcW w:w="176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1dd12447c07a4bf5b8eef82f2f9f5577"/>
            <w:id w:val="-504367352"/>
          </w:sdtPr>
          <w:sdtContent>
            <w:tc>
              <w:tcPr>
                <w:tcW w:w="162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2701e42352ac4ea1ae4d64adf5d28e89"/>
            <w:id w:val="1628667183"/>
          </w:sdtPr>
          <w:sdtContent>
            <w:tc>
              <w:tcPr>
                <w:tcW w:w="161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764" w:type="pct"/>
          </w:tcPr>
          <w:p>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应收利息</w:t>
            </w:r>
          </w:p>
        </w:tc>
        <w:tc>
          <w:tcPr>
            <w:tcW w:w="1622" w:type="pct"/>
          </w:tcPr>
          <w:p>
            <w:pPr>
              <w:ind w:right="5"/>
              <w:jc w:val="right"/>
            </w:pPr>
          </w:p>
        </w:tc>
        <w:tc>
          <w:tcPr>
            <w:tcW w:w="1614" w:type="pct"/>
          </w:tcPr>
          <w:p>
            <w:pPr>
              <w:ind w:right="5"/>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764" w:type="pct"/>
          </w:tcPr>
          <w:p>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应收股利</w:t>
            </w:r>
          </w:p>
        </w:tc>
        <w:tc>
          <w:tcPr>
            <w:tcW w:w="1622" w:type="pct"/>
          </w:tcPr>
          <w:p>
            <w:pPr>
              <w:ind w:right="5"/>
              <w:jc w:val="right"/>
            </w:pPr>
          </w:p>
        </w:tc>
        <w:tc>
          <w:tcPr>
            <w:tcW w:w="1614" w:type="pct"/>
          </w:tcPr>
          <w:p>
            <w:pPr>
              <w:ind w:right="5"/>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764" w:type="pct"/>
          </w:tcPr>
          <w:p>
            <w:pPr>
              <w:ind w:right="5"/>
              <w:rPr>
                <w:color w:val="000000" w:themeColor="text1"/>
                <w14:textFill>
                  <w14:solidFill>
                    <w14:schemeClr w14:val="tx1"/>
                  </w14:solidFill>
                </w14:textFill>
              </w:rPr>
            </w:pPr>
            <w:r>
              <w:rPr>
                <w:rFonts w:hint="eastAsia"/>
                <w:color w:val="000000" w:themeColor="text1"/>
                <w14:textFill>
                  <w14:solidFill>
                    <w14:schemeClr w14:val="tx1"/>
                  </w14:solidFill>
                </w14:textFill>
              </w:rPr>
              <w:t>其他应收款</w:t>
            </w:r>
          </w:p>
        </w:tc>
        <w:tc>
          <w:tcPr>
            <w:tcW w:w="1622" w:type="pct"/>
          </w:tcPr>
          <w:p>
            <w:pPr>
              <w:ind w:right="5"/>
              <w:jc w:val="right"/>
            </w:pPr>
            <w:r>
              <w:t>461,830,775.17</w:t>
            </w:r>
          </w:p>
        </w:tc>
        <w:tc>
          <w:tcPr>
            <w:tcW w:w="1614" w:type="pct"/>
          </w:tcPr>
          <w:p>
            <w:pPr>
              <w:ind w:right="5"/>
              <w:jc w:val="right"/>
            </w:pPr>
            <w:r>
              <w:t>382,065,489.93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764" w:type="pct"/>
            <w:vAlign w:val="center"/>
          </w:tcPr>
          <w:p>
            <w:pPr>
              <w:autoSpaceDE w:val="0"/>
              <w:autoSpaceDN w:val="0"/>
              <w:adjustRightIn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22" w:type="pct"/>
          </w:tcPr>
          <w:p>
            <w:pPr>
              <w:jc w:val="right"/>
            </w:pPr>
            <w:r>
              <w:t>461,830,775.17</w:t>
            </w:r>
          </w:p>
        </w:tc>
        <w:tc>
          <w:tcPr>
            <w:tcW w:w="1614" w:type="pct"/>
          </w:tcPr>
          <w:p>
            <w:pPr>
              <w:jc w:val="right"/>
            </w:pPr>
            <w:r>
              <w:t>382,065,489.93</w:t>
            </w:r>
          </w:p>
        </w:tc>
      </w:tr>
    </w:tbl>
    <w:p>
      <w:pPr>
        <w:spacing w:line="360" w:lineRule="exact"/>
        <w:rPr>
          <w:color w:val="000000" w:themeColor="text1"/>
          <w14:textFill>
            <w14:solidFill>
              <w14:schemeClr w14:val="tx1"/>
            </w14:solidFill>
          </w14:textFill>
        </w:rPr>
      </w:pPr>
      <w:bookmarkStart w:id="495" w:name="_Hlk533797002"/>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母公司其他应收款分类列示其他说明[双击切换]"/>
        <w:tag w:val="_GBC_87c9afe4c5c54a4b93c9b78663bd8bf3"/>
        <w:id w:val="-109955825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94"/>
    <w:bookmarkEnd w:id="495"/>
    <w:p>
      <w:pPr>
        <w:pStyle w:val="5"/>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应收利息</w:t>
      </w:r>
    </w:p>
    <w:p>
      <w:pPr>
        <w:pStyle w:val="6"/>
        <w:numPr>
          <w:ilvl w:val="0"/>
          <w:numId w:val="103"/>
        </w:numPr>
        <w:spacing w:line="360" w:lineRule="exact"/>
      </w:pPr>
      <w:bookmarkStart w:id="496" w:name="_Hlk10547023"/>
      <w:bookmarkStart w:id="497" w:name="_Hlk10547033"/>
      <w:r>
        <w:rPr>
          <w:rFonts w:hint="eastAsia"/>
        </w:rPr>
        <w:t>应收利息分类</w:t>
      </w:r>
      <w:bookmarkEnd w:id="496"/>
    </w:p>
    <w:sdt>
      <w:sdtPr>
        <w:rPr>
          <w:color w:val="000000" w:themeColor="text1"/>
          <w14:textFill>
            <w14:solidFill>
              <w14:schemeClr w14:val="tx1"/>
            </w14:solidFill>
          </w14:textFill>
        </w:rPr>
        <w:alias w:val="是否适用：母公司应收利息分类[双击切换]"/>
        <w:tag w:val="_GBC_7b29d5fc39c94a909c39eedf47c8008f"/>
        <w:id w:val="515810933"/>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97"/>
    <w:p>
      <w:pPr>
        <w:pStyle w:val="6"/>
        <w:numPr>
          <w:ilvl w:val="0"/>
          <w:numId w:val="103"/>
        </w:numPr>
        <w:spacing w:line="360" w:lineRule="exact"/>
      </w:pPr>
      <w:bookmarkStart w:id="498" w:name="_Hlk10547054"/>
      <w:bookmarkStart w:id="499" w:name="_Hlk10547064"/>
      <w:r>
        <w:rPr>
          <w:rFonts w:hint="eastAsia"/>
        </w:rPr>
        <w:t>重要逾期利息</w:t>
      </w:r>
      <w:bookmarkEnd w:id="498"/>
    </w:p>
    <w:sdt>
      <w:sdtPr>
        <w:rPr>
          <w:color w:val="000000" w:themeColor="text1"/>
          <w14:textFill>
            <w14:solidFill>
              <w14:schemeClr w14:val="tx1"/>
            </w14:solidFill>
          </w14:textFill>
        </w:rPr>
        <w:alias w:val="是否适用：母公司重要逾期利息[双击切换]"/>
        <w:tag w:val="_GBC_2527ddfc737d4b8c8fa3ca7d6387408d"/>
        <w:id w:val="1094133957"/>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499"/>
    <w:p>
      <w:pPr>
        <w:pStyle w:val="6"/>
        <w:numPr>
          <w:ilvl w:val="0"/>
          <w:numId w:val="103"/>
        </w:numPr>
        <w:spacing w:line="360" w:lineRule="exact"/>
      </w:pPr>
      <w:bookmarkStart w:id="500" w:name="_Hlk167983171"/>
      <w:bookmarkStart w:id="501" w:name="_Hlk154149455"/>
      <w:bookmarkStart w:id="502" w:name="_Hlk153789950"/>
      <w:r>
        <w:rPr>
          <w:rFonts w:hint="eastAsia"/>
        </w:rPr>
        <w:t>按坏账计提方法分类披露</w:t>
      </w:r>
    </w:p>
    <w:sdt>
      <w:sdtPr>
        <w:rPr>
          <w:color w:val="000000" w:themeColor="text1"/>
          <w14:textFill>
            <w14:solidFill>
              <w14:schemeClr w14:val="tx1"/>
            </w14:solidFill>
          </w14:textFill>
        </w:rPr>
        <w:alias w:val="是否适用：按坏账计提方法分类披露[双击切换]"/>
        <w:tag w:val="_GBC_9b6b7378a5064d4da42ce1b114ef0dd2"/>
        <w:id w:val="1589037924"/>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母公司按单项计提坏账准备的详细情况[双击切换]"/>
        <w:tag w:val="_GBC_9e66e9365aa445c3891c917c0b2cb0f8"/>
        <w:id w:val="43633002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母公司按单项计提坏账准备的说明[双击切换]"/>
        <w:tag w:val="_GBC_61cf7a42166c410985a3f556c1a407d3"/>
        <w:id w:val="-1153212119"/>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exact"/>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母公司按组合计提坏账准备的详细情况[双击切换]"/>
        <w:tag w:val="_GBC_d3043e47b1544d94a13ce780dd85e9fc"/>
        <w:id w:val="-858040177"/>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bookmarkEnd w:id="500"/>
    <w:bookmarkEnd w:id="501"/>
    <w:bookmarkEnd w:id="502"/>
    <w:p>
      <w:pPr>
        <w:pStyle w:val="6"/>
        <w:numPr>
          <w:ilvl w:val="0"/>
          <w:numId w:val="103"/>
        </w:numPr>
        <w:spacing w:line="360" w:lineRule="atLeast"/>
      </w:pPr>
      <w:bookmarkStart w:id="503" w:name="_Hlk10547083"/>
      <w:bookmarkEnd w:id="503"/>
      <w:bookmarkStart w:id="504" w:name="_Hlk10547096"/>
      <w:r>
        <w:rPr>
          <w:rFonts w:hint="eastAsia"/>
        </w:rPr>
        <w:t>按预期信用损失一般模型计提坏账准备</w:t>
      </w:r>
    </w:p>
    <w:sdt>
      <w:sdtPr>
        <w:rPr>
          <w:color w:val="000000" w:themeColor="text1"/>
          <w14:textFill>
            <w14:solidFill>
              <w14:schemeClr w14:val="tx1"/>
            </w14:solidFill>
          </w14:textFill>
        </w:rPr>
        <w:alias w:val="是否适用：母公司应收利息坏账准备调节表[双击切换]"/>
        <w:tag w:val="_GBC_051d1f4329834464b99226954bb8040d"/>
        <w:id w:val="-1080280351"/>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04"/>
    <w:p>
      <w:pPr>
        <w:pStyle w:val="6"/>
        <w:numPr>
          <w:ilvl w:val="0"/>
          <w:numId w:val="103"/>
        </w:numPr>
        <w:spacing w:line="360" w:lineRule="atLeast"/>
      </w:pPr>
      <w:bookmarkStart w:id="505" w:name="_Hlk154149866"/>
      <w:bookmarkStart w:id="506" w:name="_Hlk167984472"/>
      <w:bookmarkStart w:id="507" w:name="_Hlk10547119"/>
      <w:bookmarkStart w:id="508" w:name="_Hlk10547128"/>
      <w:r>
        <w:rPr>
          <w:rFonts w:hint="eastAsia"/>
        </w:rPr>
        <w:t>坏账准备的情况</w:t>
      </w:r>
    </w:p>
    <w:sdt>
      <w:sdtPr>
        <w:rPr>
          <w:color w:val="000000" w:themeColor="text1"/>
          <w14:textFill>
            <w14:solidFill>
              <w14:schemeClr w14:val="tx1"/>
            </w14:solidFill>
          </w14:textFill>
        </w:rPr>
        <w:alias w:val="是否适用：母公司坏账准备情况[双击切换]"/>
        <w:tag w:val="_GBC_4dc2b543f39042eeba6f1a6da14a23c7"/>
        <w:id w:val="197598085"/>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本期坏账准备收回或转回金额重要的[双击切换]"/>
        <w:tag w:val="_GBC_279266492b924c379c68ded1cd456b96"/>
        <w:id w:val="386468065"/>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母公司坏账准备情况的说明"/>
        <w:tag w:val="_GBC_3ab55111e91142e6a9275bfe02be4915"/>
        <w:id w:val="-78065875"/>
        <w:placeholder>
          <w:docPart w:val="GBC22222222222222222222222222222"/>
        </w:placeholder>
      </w:sdtPr>
      <w:sdtEndPr>
        <w:rPr>
          <w:color w:val="000000" w:themeColor="text1"/>
          <w14:textFill>
            <w14:solidFill>
              <w14:schemeClr w14:val="tx1"/>
            </w14:solidFill>
          </w14:textFill>
        </w:rPr>
      </w:sdtEndPr>
      <w:sdtContent>
        <w:p>
          <w:pPr>
            <w:spacing w:line="360" w:lineRule="atLeast"/>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6"/>
        <w:numPr>
          <w:ilvl w:val="0"/>
          <w:numId w:val="103"/>
        </w:numPr>
        <w:spacing w:line="360" w:lineRule="atLeast"/>
      </w:pPr>
      <w:r>
        <w:rPr>
          <w:rFonts w:hint="eastAsia"/>
        </w:rPr>
        <w:t>本期实际核销的应收利息情况</w:t>
      </w:r>
    </w:p>
    <w:sdt>
      <w:sdtPr>
        <w:rPr>
          <w:color w:val="000000" w:themeColor="text1"/>
          <w14:textFill>
            <w14:solidFill>
              <w14:schemeClr w14:val="tx1"/>
            </w14:solidFill>
          </w14:textFill>
        </w:rPr>
        <w:alias w:val="是否适用：实际核销的情况[双击切换]"/>
        <w:tag w:val="_GBC_e26e6d4104e24b8ba3faa4e27a6c1045"/>
        <w:id w:val="1678924810"/>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其中重要的应收利息核销情况</w:t>
      </w:r>
    </w:p>
    <w:sdt>
      <w:sdtPr>
        <w:rPr>
          <w:rFonts w:hint="eastAsia"/>
          <w:color w:val="000000" w:themeColor="text1"/>
          <w14:textFill>
            <w14:solidFill>
              <w14:schemeClr w14:val="tx1"/>
            </w14:solidFill>
          </w14:textFill>
        </w:rPr>
        <w:alias w:val="是否适用：母公司重要的核销情况[双击切换]"/>
        <w:tag w:val="_GBC_60da80ce578f488fb72578d4541af9c0"/>
        <w:id w:val="946814957"/>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母公司核销说明[双击切换]"/>
        <w:tag w:val="_GBC_ae6210dfe1cb4aa880cbee38195c69fa"/>
        <w:id w:val="-1162384840"/>
        <w:placeholder>
          <w:docPart w:val="GBC22222222222222222222222222222"/>
        </w:placeholder>
      </w:sdtPr>
      <w:sdtEndPr>
        <w:rPr>
          <w:color w:val="000000" w:themeColor="text1"/>
          <w14:textFill>
            <w14:solidFill>
              <w14:schemeClr w14:val="tx1"/>
            </w14:solidFill>
          </w14:textFill>
        </w:rPr>
      </w:sdtEndPr>
      <w:sdtContent>
        <w:p>
          <w:pPr>
            <w:snapToGrid w:val="0"/>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05"/>
    <w:bookmarkEnd w:id="506"/>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bookmarkEnd w:id="507"/>
    </w:p>
    <w:sdt>
      <w:sdtPr>
        <w:rPr>
          <w:color w:val="000000" w:themeColor="text1"/>
          <w14:textFill>
            <w14:solidFill>
              <w14:schemeClr w14:val="tx1"/>
            </w14:solidFill>
          </w14:textFill>
        </w:rPr>
        <w:alias w:val="是否适用：母公司应收利息其他说明[双击切换]"/>
        <w:tag w:val="_GBC_936c374258514f469f2c9bb36b889c43"/>
        <w:id w:val="922534752"/>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08"/>
    <w:p>
      <w:pPr>
        <w:pStyle w:val="5"/>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应收股利</w:t>
      </w:r>
    </w:p>
    <w:p>
      <w:pPr>
        <w:pStyle w:val="6"/>
        <w:numPr>
          <w:ilvl w:val="0"/>
          <w:numId w:val="103"/>
        </w:numPr>
        <w:spacing w:line="360" w:lineRule="atLeast"/>
      </w:pPr>
      <w:bookmarkStart w:id="509" w:name="_Hlk10547160"/>
      <w:bookmarkStart w:id="510" w:name="_Hlk10547171"/>
      <w:r>
        <w:rPr>
          <w:rFonts w:hint="eastAsia"/>
        </w:rPr>
        <w:t>应收股利</w:t>
      </w:r>
      <w:bookmarkEnd w:id="509"/>
    </w:p>
    <w:sdt>
      <w:sdtPr>
        <w:rPr>
          <w:color w:val="000000" w:themeColor="text1"/>
          <w14:textFill>
            <w14:solidFill>
              <w14:schemeClr w14:val="tx1"/>
            </w14:solidFill>
          </w14:textFill>
        </w:rPr>
        <w:alias w:val="是否适用：母公司应收股利[双击切换]"/>
        <w:tag w:val="_GBC_3f36acb68ddd426b990a146c5c14da80"/>
        <w:id w:val="-1871751330"/>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10"/>
    <w:p>
      <w:pPr>
        <w:pStyle w:val="6"/>
        <w:numPr>
          <w:ilvl w:val="0"/>
          <w:numId w:val="103"/>
        </w:numPr>
        <w:spacing w:line="360" w:lineRule="atLeast"/>
      </w:pPr>
      <w:bookmarkStart w:id="511" w:name="_Hlk10547188"/>
      <w:bookmarkStart w:id="512" w:name="_Hlk10547199"/>
      <w:r>
        <w:rPr>
          <w:rFonts w:hint="eastAsia"/>
        </w:rPr>
        <w:t>重要的账龄超过1年的应收股利</w:t>
      </w:r>
      <w:bookmarkEnd w:id="511"/>
    </w:p>
    <w:sdt>
      <w:sdtPr>
        <w:rPr>
          <w:color w:val="000000" w:themeColor="text1"/>
          <w14:textFill>
            <w14:solidFill>
              <w14:schemeClr w14:val="tx1"/>
            </w14:solidFill>
          </w14:textFill>
        </w:rPr>
        <w:alias w:val="是否适用：母公司重要的账龄超过1年的应收股利[双击切换]"/>
        <w:tag w:val="_GBC_5ce593c40926400393bed620009e5006"/>
        <w:id w:val="433407583"/>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12"/>
    <w:p>
      <w:pPr>
        <w:pStyle w:val="6"/>
        <w:numPr>
          <w:ilvl w:val="0"/>
          <w:numId w:val="103"/>
        </w:numPr>
        <w:spacing w:line="360" w:lineRule="atLeast"/>
      </w:pPr>
      <w:bookmarkStart w:id="513" w:name="_Hlk153790907"/>
      <w:bookmarkStart w:id="514" w:name="_Hlk154150045"/>
      <w:bookmarkStart w:id="515" w:name="_Hlk168041814"/>
      <w:r>
        <w:rPr>
          <w:rFonts w:hint="eastAsia"/>
        </w:rPr>
        <w:t>按坏账计提方法分类披露</w:t>
      </w:r>
    </w:p>
    <w:sdt>
      <w:sdtPr>
        <w:rPr>
          <w:color w:val="000000" w:themeColor="text1"/>
          <w14:textFill>
            <w14:solidFill>
              <w14:schemeClr w14:val="tx1"/>
            </w14:solidFill>
          </w14:textFill>
        </w:rPr>
        <w:alias w:val="是否适用：母公司按坏账计提方法分类披露[双击切换]"/>
        <w:tag w:val="_GBC_606fd71a57c6434eaa16ce805f815d2e"/>
        <w:id w:val="-142125523"/>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w:t>
      </w:r>
    </w:p>
    <w:sdt>
      <w:sdtPr>
        <w:rPr>
          <w:color w:val="000000" w:themeColor="text1"/>
          <w14:textFill>
            <w14:solidFill>
              <w14:schemeClr w14:val="tx1"/>
            </w14:solidFill>
          </w14:textFill>
        </w:rPr>
        <w:alias w:val="是否适用：母公司按单项计提坏账准备的详细情况[双击切换]"/>
        <w:tag w:val="_GBC_02d5c836df9842559c42aa2f751aa5ba"/>
        <w:id w:val="1583958441"/>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按单项计提坏账准备的说明：</w:t>
      </w:r>
    </w:p>
    <w:sdt>
      <w:sdtPr>
        <w:rPr>
          <w:color w:val="000000" w:themeColor="text1"/>
          <w14:textFill>
            <w14:solidFill>
              <w14:schemeClr w14:val="tx1"/>
            </w14:solidFill>
          </w14:textFill>
        </w:rPr>
        <w:alias w:val="是否适用：母公司按单项计提坏账准备的说明[双击切换]"/>
        <w:tag w:val="_GBC_4af2b30a86cf42d091fd1188b15fbce6"/>
        <w:id w:val="662355206"/>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rFonts w:ascii="Calibri" w:hAnsi="Calibri" w:cs="Times New Roman"/>
          <w:bCs w:val="0"/>
          <w:color w:val="000000" w:themeColor="text1"/>
          <w:szCs w:val="22"/>
          <w14:textFill>
            <w14:solidFill>
              <w14:schemeClr w14:val="tx1"/>
            </w14:solidFill>
          </w14:textFill>
        </w:rPr>
      </w:pPr>
      <w:r>
        <w:rPr>
          <w:rFonts w:hint="eastAsia" w:ascii="Calibri" w:hAnsi="Calibri" w:cs="Times New Roman"/>
          <w:color w:val="000000" w:themeColor="text1"/>
          <w:szCs w:val="22"/>
          <w14:textFill>
            <w14:solidFill>
              <w14:schemeClr w14:val="tx1"/>
            </w14:solidFill>
          </w14:textFill>
        </w:rPr>
        <w:t>按组合计提坏账准备：</w:t>
      </w:r>
    </w:p>
    <w:sdt>
      <w:sdtPr>
        <w:rPr>
          <w:rFonts w:ascii="Calibri" w:hAnsi="Calibri" w:cs="Times New Roman"/>
          <w:bCs w:val="0"/>
          <w:color w:val="000000" w:themeColor="text1"/>
          <w:szCs w:val="22"/>
          <w14:textFill>
            <w14:solidFill>
              <w14:schemeClr w14:val="tx1"/>
            </w14:solidFill>
          </w14:textFill>
        </w:rPr>
        <w:alias w:val="是否适用：母公司按组合计提坏账准备的详细情况[双击切换]"/>
        <w:tag w:val="_GBC_9f9d44f1ec164a3da4b2c14d4d129121"/>
        <w:id w:val="-274801185"/>
        <w:placeholder>
          <w:docPart w:val="GBC22222222222222222222222222222"/>
        </w:placeholder>
      </w:sdtPr>
      <w:sdtEndPr>
        <w:rPr>
          <w:rFonts w:ascii="Calibri" w:hAnsi="Calibri" w:cs="Times New Roman"/>
          <w:bCs w:val="0"/>
          <w:color w:val="000000" w:themeColor="text1"/>
          <w:szCs w:val="22"/>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□适用 </w:instrText>
          </w:r>
          <w:r>
            <w:rPr>
              <w:rFonts w:ascii="宋体" w:hAnsi="宋体" w:cs="Times New Roman"/>
              <w:bCs w:val="0"/>
              <w:color w:val="000000" w:themeColor="text1"/>
              <w:szCs w:val="22"/>
              <w14:textFill>
                <w14:solidFill>
                  <w14:schemeClr w14:val="tx1"/>
                </w14:solidFill>
              </w14:textFill>
            </w:rPr>
            <w:fldChar w:fldCharType="end"/>
          </w:r>
          <w:r>
            <w:rPr>
              <w:rFonts w:ascii="宋体" w:hAnsi="宋体" w:cs="Times New Roman"/>
              <w:bCs w:val="0"/>
              <w:color w:val="000000" w:themeColor="text1"/>
              <w:szCs w:val="22"/>
              <w14:textFill>
                <w14:solidFill>
                  <w14:schemeClr w14:val="tx1"/>
                </w14:solidFill>
              </w14:textFill>
            </w:rPr>
            <w:fldChar w:fldCharType="begin"/>
          </w:r>
          <w:r>
            <w:rPr>
              <w:rFonts w:hint="eastAsia" w:ascii="宋体" w:hAnsi="宋体" w:cs="Times New Roman"/>
              <w:color w:val="000000" w:themeColor="text1"/>
              <w:szCs w:val="22"/>
              <w14:textFill>
                <w14:solidFill>
                  <w14:schemeClr w14:val="tx1"/>
                </w14:solidFill>
              </w14:textFill>
            </w:rPr>
            <w:instrText xml:space="preserve"> MACROBUTTON  SnrToggleCheckbox √不适用 </w:instrText>
          </w:r>
          <w:r>
            <w:rPr>
              <w:rFonts w:ascii="宋体" w:hAnsi="宋体" w:cs="Times New Roman"/>
              <w:bCs w:val="0"/>
              <w:color w:val="000000" w:themeColor="text1"/>
              <w:szCs w:val="22"/>
              <w14:textFill>
                <w14:solidFill>
                  <w14:schemeClr w14:val="tx1"/>
                </w14:solidFill>
              </w14:textFill>
            </w:rPr>
            <w:fldChar w:fldCharType="end"/>
          </w:r>
        </w:p>
      </w:sdtContent>
    </w:sdt>
    <w:bookmarkEnd w:id="513"/>
    <w:bookmarkEnd w:id="514"/>
    <w:bookmarkEnd w:id="515"/>
    <w:p>
      <w:pPr>
        <w:pStyle w:val="6"/>
        <w:numPr>
          <w:ilvl w:val="0"/>
          <w:numId w:val="103"/>
        </w:numPr>
        <w:spacing w:line="360" w:lineRule="atLeast"/>
      </w:pPr>
      <w:bookmarkStart w:id="516" w:name="_Hlk10547212"/>
      <w:bookmarkEnd w:id="516"/>
      <w:bookmarkStart w:id="517" w:name="_Hlk10547224"/>
      <w:r>
        <w:rPr>
          <w:rFonts w:hint="eastAsia"/>
        </w:rPr>
        <w:t>按预期信用损失一般模型计提坏账准备</w:t>
      </w:r>
    </w:p>
    <w:sdt>
      <w:sdtPr>
        <w:rPr>
          <w:color w:val="000000" w:themeColor="text1"/>
          <w14:textFill>
            <w14:solidFill>
              <w14:schemeClr w14:val="tx1"/>
            </w14:solidFill>
          </w14:textFill>
        </w:rPr>
        <w:alias w:val="是否适用：母公司应收股利坏账准备调节表[双击切换]"/>
        <w:tag w:val="_GBC_9d130aecb6cb4874ac083fcdce5ee739"/>
        <w:id w:val="351766303"/>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17"/>
    <w:p>
      <w:pPr>
        <w:pStyle w:val="6"/>
        <w:numPr>
          <w:ilvl w:val="0"/>
          <w:numId w:val="103"/>
        </w:numPr>
        <w:spacing w:line="360" w:lineRule="atLeast"/>
      </w:pPr>
      <w:bookmarkStart w:id="518" w:name="_Hlk168042003"/>
      <w:bookmarkStart w:id="519" w:name="_Hlk153792018"/>
      <w:bookmarkStart w:id="520" w:name="_Hlk154150256"/>
      <w:r>
        <w:rPr>
          <w:rFonts w:hint="eastAsia"/>
        </w:rPr>
        <w:t>坏账准备的情况</w:t>
      </w:r>
    </w:p>
    <w:sdt>
      <w:sdtPr>
        <w:rPr>
          <w:color w:val="000000" w:themeColor="text1"/>
          <w14:textFill>
            <w14:solidFill>
              <w14:schemeClr w14:val="tx1"/>
            </w14:solidFill>
          </w14:textFill>
        </w:rPr>
        <w:alias w:val="是否适用：母公司坏账准备情况[双击切换]"/>
        <w:tag w:val="_GBC_4359768bbe6b4db5aaabe9fec181f50a"/>
        <w:id w:val="-18467570"/>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其中本期坏账准备收回或转回金额重要的：</w:t>
      </w:r>
    </w:p>
    <w:sdt>
      <w:sdtPr>
        <w:rPr>
          <w:color w:val="000000" w:themeColor="text1"/>
          <w14:textFill>
            <w14:solidFill>
              <w14:schemeClr w14:val="tx1"/>
            </w14:solidFill>
          </w14:textFill>
        </w:rPr>
        <w:alias w:val="是否适用：母公司本期坏账准备收回或转回金额重要的[双击切换]"/>
        <w:tag w:val="_GBC_15c983ff27c348dab992de66b12c1147"/>
        <w:id w:val="-1517606968"/>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母公司坏账准备情况的说明"/>
        <w:tag w:val="_GBC_c23d2aac5be544dab9d6cfeb3fe4c5b9"/>
        <w:id w:val="1970166101"/>
        <w:placeholder>
          <w:docPart w:val="GBC22222222222222222222222222222"/>
        </w:placeholder>
      </w:sdtPr>
      <w:sdtEndPr>
        <w:rPr>
          <w:color w:val="000000" w:themeColor="text1"/>
          <w14:textFill>
            <w14:solidFill>
              <w14:schemeClr w14:val="tx1"/>
            </w14:solidFill>
          </w14:textFill>
        </w:rPr>
      </w:sdtEndPr>
      <w:sdtContent>
        <w:p>
          <w:pPr>
            <w:spacing w:line="360" w:lineRule="atLeast"/>
            <w:ind w:right="42" w:rightChars="20"/>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6"/>
        <w:numPr>
          <w:ilvl w:val="0"/>
          <w:numId w:val="103"/>
        </w:numPr>
        <w:spacing w:line="360" w:lineRule="atLeast"/>
      </w:pPr>
      <w:bookmarkStart w:id="521" w:name="_Hlk155883151"/>
      <w:r>
        <w:rPr>
          <w:rFonts w:hint="eastAsia"/>
        </w:rPr>
        <w:t>本期实际核销的应收股利情况</w:t>
      </w:r>
    </w:p>
    <w:sdt>
      <w:sdtPr>
        <w:rPr>
          <w:color w:val="000000" w:themeColor="text1"/>
          <w14:textFill>
            <w14:solidFill>
              <w14:schemeClr w14:val="tx1"/>
            </w14:solidFill>
          </w14:textFill>
        </w:rPr>
        <w:alias w:val="是否适用：母公司实际核销的情况[双击切换]"/>
        <w:tag w:val="_GBC_aa389cb741114553a4e1a7aed4aa319e"/>
        <w:id w:val="1563599236"/>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21"/>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其中重要的应收股利核销情况</w:t>
      </w:r>
    </w:p>
    <w:sdt>
      <w:sdtPr>
        <w:rPr>
          <w:rFonts w:hint="eastAsia"/>
          <w:color w:val="000000" w:themeColor="text1"/>
          <w14:textFill>
            <w14:solidFill>
              <w14:schemeClr w14:val="tx1"/>
            </w14:solidFill>
          </w14:textFill>
        </w:rPr>
        <w:alias w:val="是否适用：母公司重要的核销情况[双击切换]"/>
        <w:tag w:val="_GBC_146148b0997846e4bafed15556419cf8"/>
        <w:id w:val="-1449077688"/>
        <w:placeholder>
          <w:docPart w:val="GBC22222222222222222222222222222"/>
        </w:placeholder>
      </w:sdtPr>
      <w:sdtEndPr>
        <w:rPr>
          <w:rFonts w:hint="eastAsia"/>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核销说明：</w:t>
      </w:r>
    </w:p>
    <w:sdt>
      <w:sdtPr>
        <w:rPr>
          <w:color w:val="000000" w:themeColor="text1"/>
          <w14:textFill>
            <w14:solidFill>
              <w14:schemeClr w14:val="tx1"/>
            </w14:solidFill>
          </w14:textFill>
        </w:rPr>
        <w:alias w:val="是否适用：母公司核销说明[双击切换]"/>
        <w:tag w:val="_GBC_61aa391f7973406cadb21e662d9b01ec"/>
        <w:id w:val="761730521"/>
        <w:placeholder>
          <w:docPart w:val="GBC22222222222222222222222222222"/>
        </w:placeholder>
      </w:sdtPr>
      <w:sdtEndPr>
        <w:rPr>
          <w:color w:val="000000" w:themeColor="text1"/>
          <w14:textFill>
            <w14:solidFill>
              <w14:schemeClr w14:val="tx1"/>
            </w14:solidFill>
          </w14:textFill>
        </w:rPr>
      </w:sdtEndPr>
      <w:sdtContent>
        <w:p>
          <w:pPr>
            <w:snapToGrid w:val="0"/>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18"/>
    <w:bookmarkEnd w:id="519"/>
    <w:bookmarkEnd w:id="520"/>
    <w:p>
      <w:pPr>
        <w:spacing w:line="360" w:lineRule="atLeast"/>
        <w:rPr>
          <w:color w:val="000000" w:themeColor="text1"/>
          <w14:textFill>
            <w14:solidFill>
              <w14:schemeClr w14:val="tx1"/>
            </w14:solidFill>
          </w14:textFill>
        </w:rPr>
      </w:pPr>
      <w:bookmarkStart w:id="522" w:name="_Hlk10547234"/>
      <w:bookmarkStart w:id="523" w:name="_Hlk10547244"/>
      <w:r>
        <w:rPr>
          <w:rFonts w:hint="eastAsia"/>
          <w:color w:val="000000" w:themeColor="text1"/>
          <w14:textFill>
            <w14:solidFill>
              <w14:schemeClr w14:val="tx1"/>
            </w14:solidFill>
          </w14:textFill>
        </w:rPr>
        <w:t>其他说明：</w:t>
      </w:r>
      <w:bookmarkEnd w:id="522"/>
    </w:p>
    <w:sdt>
      <w:sdtPr>
        <w:rPr>
          <w:color w:val="000000" w:themeColor="text1"/>
          <w14:textFill>
            <w14:solidFill>
              <w14:schemeClr w14:val="tx1"/>
            </w14:solidFill>
          </w14:textFill>
        </w:rPr>
        <w:alias w:val="是否适用：母公司应收股利其他说明[双击切换]"/>
        <w:tag w:val="_GBC_79a2eb8844e84fe3b78bb5ffcf2a57d5"/>
        <w:id w:val="2036305471"/>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23"/>
    <w:p>
      <w:pPr>
        <w:pStyle w:val="5"/>
        <w:spacing w:line="360" w:lineRule="atLeas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其他应收款</w:t>
      </w:r>
    </w:p>
    <w:p>
      <w:pPr>
        <w:pStyle w:val="6"/>
        <w:numPr>
          <w:ilvl w:val="0"/>
          <w:numId w:val="103"/>
        </w:numPr>
        <w:spacing w:line="360" w:lineRule="atLeast"/>
      </w:pPr>
      <w:bookmarkStart w:id="524" w:name="_Hlk153797719"/>
      <w:bookmarkStart w:id="525" w:name="_Hlk168042601"/>
      <w:r>
        <w:rPr>
          <w:rFonts w:hint="eastAsia"/>
        </w:rPr>
        <w:t>按账龄披露</w:t>
      </w:r>
    </w:p>
    <w:sdt>
      <w:sdtPr>
        <w:rPr>
          <w:color w:val="000000" w:themeColor="text1"/>
          <w14:textFill>
            <w14:solidFill>
              <w14:schemeClr w14:val="tx1"/>
            </w14:solidFill>
          </w14:textFill>
        </w:rPr>
        <w:alias w:val="是否适用：母公司其他应收款按账龄披露[双击切换]"/>
        <w:tag w:val="_GBC_5b9c67da114b4f51b08890c9615bd1d4"/>
        <w:id w:val="1915736345"/>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其他应收款按账龄披露"/>
          <w:tag w:val="_GBC_6ab414dc01fc4a13acb3e3755a5cc201"/>
          <w:id w:val="41059275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其他应收款按账龄披露"/>
          <w:tag w:val="_GBC_043422dceaa24b4d9763b5cc6404b654"/>
          <w:id w:val="52197628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13" w:type="dxa"/>
        </w:tblCellMar>
      </w:tblPr>
      <w:tblGrid>
        <w:gridCol w:w="4782"/>
        <w:gridCol w:w="4658"/>
        <w:gridCol w:w="4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sdt>
          <w:sdtPr>
            <w:tag w:val="_PLD_af35a4cb8d9748a7bccbc4e491ccfe60"/>
            <w:id w:val="1787462607"/>
          </w:sdtPr>
          <w:sdtContent>
            <w:tc>
              <w:tcPr>
                <w:tcW w:w="169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21e0bb0de0cb4a07bdd466a200c90bfc"/>
            <w:id w:val="-71592634"/>
          </w:sdtPr>
          <w:sdtContent>
            <w:tc>
              <w:tcPr>
                <w:tcW w:w="1652"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tc>
          <w:tcPr>
            <w:tcW w:w="1652" w:type="pct"/>
            <w:tcBorders>
              <w:top w:val="single" w:color="auto" w:sz="4" w:space="0"/>
              <w:left w:val="single" w:color="auto" w:sz="4" w:space="0"/>
              <w:bottom w:val="single" w:color="auto" w:sz="4" w:space="0"/>
              <w:right w:val="single" w:color="auto" w:sz="4" w:space="0"/>
            </w:tcBorders>
          </w:tcPr>
          <w:sdt>
            <w:sdtPr>
              <w:tag w:val="_PLD_6e9631382f39495983e2cd57b3906040"/>
              <w:id w:val="-137881631"/>
            </w:sdtPr>
            <w:sdtContent>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sdtContent>
          </w:sdt>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1年以内（含1年）</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459,609,320.38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378,875,706.64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1至2年</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1,636,003.92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1,738,334.74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2至3年</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1,048,701.23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1,634,243.77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3至4年</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976,192.40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879,119.80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4至5年</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482,507.42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349,854.62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5年以上</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1,040,200.20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962,353.00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13" w:type="dxa"/>
          </w:tblCellMar>
        </w:tblPrEx>
        <w:trPr>
          <w:cantSplit/>
        </w:trPr>
        <w:tc>
          <w:tcPr>
            <w:tcW w:w="169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464,792,925.55 </w:t>
            </w:r>
          </w:p>
        </w:tc>
        <w:tc>
          <w:tcPr>
            <w:tcW w:w="1652" w:type="pct"/>
            <w:tcBorders>
              <w:top w:val="single" w:color="auto" w:sz="4" w:space="0"/>
              <w:left w:val="single" w:color="auto" w:sz="4" w:space="0"/>
              <w:bottom w:val="single" w:color="auto" w:sz="4" w:space="0"/>
              <w:right w:val="single" w:color="auto" w:sz="4" w:space="0"/>
            </w:tcBorders>
          </w:tcPr>
          <w:p>
            <w:pPr>
              <w:jc w:val="right"/>
            </w:pPr>
            <w:r>
              <w:t xml:space="preserve"> 384,439,612.57 </w:t>
            </w:r>
          </w:p>
        </w:tc>
      </w:tr>
    </w:tbl>
    <w:p>
      <w:pPr>
        <w:rPr>
          <w:color w:val="000000" w:themeColor="text1"/>
          <w14:textFill>
            <w14:solidFill>
              <w14:schemeClr w14:val="tx1"/>
            </w14:solidFill>
          </w14:textFill>
        </w:rPr>
      </w:pPr>
    </w:p>
    <w:bookmarkEnd w:id="524"/>
    <w:bookmarkEnd w:id="525"/>
    <w:p>
      <w:pPr>
        <w:pStyle w:val="6"/>
        <w:numPr>
          <w:ilvl w:val="0"/>
          <w:numId w:val="103"/>
        </w:numPr>
      </w:pPr>
      <w:bookmarkStart w:id="526" w:name="_Hlk10547648"/>
      <w:r>
        <w:rPr>
          <w:rFonts w:hint="eastAsia"/>
        </w:rPr>
        <w:t>按款项性质分类情况</w:t>
      </w:r>
    </w:p>
    <w:sdt>
      <w:sdtPr>
        <w:rPr>
          <w:color w:val="000000" w:themeColor="text1"/>
          <w14:textFill>
            <w14:solidFill>
              <w14:schemeClr w14:val="tx1"/>
            </w14:solidFill>
          </w14:textFill>
        </w:rPr>
        <w:alias w:val="是否适用：母公司其他应收款按款项性质分类情况[双击切换]"/>
        <w:tag w:val="_GBC_101fec10ac1f41f39330610cac041192"/>
        <w:id w:val="1716859837"/>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财务附注：母公司其他应收款按款项性质分类情况"/>
          <w:tag w:val="_GBC_cdfadb9bdd864b32a99df11dec001a83"/>
          <w:id w:val="700438077"/>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母公司其他应收款按款项性质分类情况"/>
          <w:tag w:val="_GBC_cac854cfb75144bc86635f44f78d6611"/>
          <w:id w:val="1151249162"/>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1"/>
        <w:gridCol w:w="4640"/>
        <w:gridCol w:w="4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797d39f4d1fd488e93d36af61d0bebfd"/>
            <w:id w:val="-294518672"/>
          </w:sdtPr>
          <w:sdtContent>
            <w:tc>
              <w:tcPr>
                <w:tcW w:w="1700"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款项性质</w:t>
                </w:r>
              </w:p>
            </w:tc>
          </w:sdtContent>
        </w:sdt>
        <w:sdt>
          <w:sdtPr>
            <w:tag w:val="_PLD_7853db088d0a4b218482e741ebbac8e0"/>
            <w:id w:val="72169898"/>
          </w:sdtPr>
          <w:sdtContent>
            <w:tc>
              <w:tcPr>
                <w:tcW w:w="1647"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期末账面余额</w:t>
                </w:r>
              </w:p>
            </w:tc>
          </w:sdtContent>
        </w:sdt>
        <w:sdt>
          <w:sdtPr>
            <w:tag w:val="_PLD_56ab744bffee4ad28664bdf9e16551e2"/>
            <w:id w:val="-1898272477"/>
          </w:sdtPr>
          <w:sdtContent>
            <w:tc>
              <w:tcPr>
                <w:tcW w:w="165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期初账面余额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pPr>
              <w:rPr>
                <w:highlight w:val="yellow"/>
              </w:rPr>
            </w:pPr>
            <w:r>
              <w:rPr>
                <w:rFonts w:hint="eastAsia"/>
              </w:rPr>
              <w:t>合并范围内关联方往来</w:t>
            </w:r>
          </w:p>
        </w:tc>
        <w:tc>
          <w:tcPr>
            <w:tcW w:w="1647" w:type="pct"/>
          </w:tcPr>
          <w:p>
            <w:pPr>
              <w:jc w:val="right"/>
            </w:pPr>
            <w:r>
              <w:t xml:space="preserve"> 435,139,648.59 </w:t>
            </w:r>
          </w:p>
        </w:tc>
        <w:tc>
          <w:tcPr>
            <w:tcW w:w="1653" w:type="pct"/>
          </w:tcPr>
          <w:p>
            <w:pPr>
              <w:jc w:val="right"/>
            </w:pPr>
            <w:r>
              <w:t xml:space="preserve"> 369,587,223.55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pPr>
              <w:rPr>
                <w:highlight w:val="yellow"/>
              </w:rPr>
            </w:pPr>
            <w:r>
              <w:rPr>
                <w:rFonts w:hint="eastAsia"/>
              </w:rPr>
              <w:t>押金及保证金</w:t>
            </w:r>
          </w:p>
        </w:tc>
        <w:tc>
          <w:tcPr>
            <w:tcW w:w="1647" w:type="pct"/>
          </w:tcPr>
          <w:p>
            <w:pPr>
              <w:jc w:val="right"/>
            </w:pPr>
            <w:r>
              <w:t xml:space="preserve"> 23,276,699.92 </w:t>
            </w:r>
          </w:p>
        </w:tc>
        <w:tc>
          <w:tcPr>
            <w:tcW w:w="1653" w:type="pct"/>
          </w:tcPr>
          <w:p>
            <w:pPr>
              <w:jc w:val="right"/>
            </w:pPr>
            <w:r>
              <w:t xml:space="preserve"> 12,865,518.42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pPr>
              <w:rPr>
                <w:highlight w:val="yellow"/>
              </w:rPr>
            </w:pPr>
            <w:r>
              <w:rPr>
                <w:rFonts w:hint="eastAsia"/>
              </w:rPr>
              <w:t>往来及其他</w:t>
            </w:r>
          </w:p>
        </w:tc>
        <w:tc>
          <w:tcPr>
            <w:tcW w:w="1647" w:type="pct"/>
          </w:tcPr>
          <w:p>
            <w:pPr>
              <w:jc w:val="right"/>
            </w:pPr>
            <w:r>
              <w:t xml:space="preserve"> 6,376,577.04 </w:t>
            </w:r>
          </w:p>
        </w:tc>
        <w:tc>
          <w:tcPr>
            <w:tcW w:w="1653" w:type="pct"/>
          </w:tcPr>
          <w:p>
            <w:pPr>
              <w:jc w:val="right"/>
            </w:pPr>
            <w:r>
              <w:t xml:space="preserve"> 1,986,870.60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0" w:type="pct"/>
          </w:tcPr>
          <w:p>
            <w:pPr>
              <w:jc w:val="center"/>
              <w:rPr>
                <w:color w:val="000000" w:themeColor="text1"/>
                <w14:textFill>
                  <w14:solidFill>
                    <w14:schemeClr w14:val="tx1"/>
                  </w14:solidFill>
                </w14:textFill>
              </w:rPr>
            </w:pPr>
            <w:r>
              <w:rPr>
                <w:color w:val="000000" w:themeColor="text1"/>
                <w14:textFill>
                  <w14:solidFill>
                    <w14:schemeClr w14:val="tx1"/>
                  </w14:solidFill>
                </w14:textFill>
              </w:rPr>
              <w:t>合计</w:t>
            </w:r>
          </w:p>
        </w:tc>
        <w:tc>
          <w:tcPr>
            <w:tcW w:w="1647" w:type="pct"/>
          </w:tcPr>
          <w:p>
            <w:pPr>
              <w:jc w:val="right"/>
            </w:pPr>
            <w:r>
              <w:t xml:space="preserve"> 464,792,925.55 </w:t>
            </w:r>
          </w:p>
        </w:tc>
        <w:tc>
          <w:tcPr>
            <w:tcW w:w="1653" w:type="pct"/>
          </w:tcPr>
          <w:p>
            <w:pPr>
              <w:jc w:val="right"/>
            </w:pPr>
            <w:r>
              <w:t xml:space="preserve"> 384,439,612.57 </w:t>
            </w:r>
          </w:p>
        </w:tc>
      </w:tr>
      <w:bookmarkEnd w:id="526"/>
    </w:tbl>
    <w:p>
      <w:pPr>
        <w:pStyle w:val="6"/>
        <w:numPr>
          <w:ilvl w:val="0"/>
          <w:numId w:val="103"/>
        </w:numPr>
      </w:pPr>
      <w:bookmarkStart w:id="527" w:name="_Hlk10547765"/>
      <w:r>
        <w:rPr>
          <w:rFonts w:hint="eastAsia"/>
        </w:rPr>
        <w:t>坏账准备计提情况</w:t>
      </w:r>
    </w:p>
    <w:sdt>
      <w:sdtPr>
        <w:rPr>
          <w:color w:val="000000" w:themeColor="text1"/>
          <w14:textFill>
            <w14:solidFill>
              <w14:schemeClr w14:val="tx1"/>
            </w14:solidFill>
          </w14:textFill>
        </w:rPr>
        <w:alias w:val="是否适用：母公司其他应收款坏账准备调节表[双击切换]"/>
        <w:tag w:val="_GBC_550996ad46c8493eb98c011d7acf7dfb"/>
        <w:id w:val="411815490"/>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autoSpaceDE w:val="0"/>
        <w:autoSpaceDN w:val="0"/>
        <w:adjustRightInd w:val="0"/>
        <w:ind w:right="105" w:rightChars="50"/>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其他应收款坏账准备调节表"/>
          <w:tag w:val="_GBC_10c7491cbac54cf6a1a375367db16baf"/>
          <w:id w:val="645631218"/>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其他应收款坏账准备调节表"/>
          <w:tag w:val="_GBC_01762fded69841c1b87d684f3bcfb97f"/>
          <w:id w:val="-197543249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21"/>
        <w:gridCol w:w="2429"/>
        <w:gridCol w:w="3091"/>
        <w:gridCol w:w="3091"/>
        <w:gridCol w:w="2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a620ef8c0fe0407b955c4f58530e0b21"/>
            <w:id w:val="605777855"/>
          </w:sdtPr>
          <w:sdtContent>
            <w:tc>
              <w:tcPr>
                <w:tcW w:w="1001" w:type="pct"/>
                <w:vMerge w:val="restart"/>
                <w:vAlign w:val="center"/>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坏账准备</w:t>
                </w:r>
              </w:p>
            </w:tc>
          </w:sdtContent>
        </w:sdt>
        <w:sdt>
          <w:sdtPr>
            <w:tag w:val="_PLD_8699e9827a744831bf2fdadfa1ac52e1"/>
            <w:id w:val="1194422362"/>
          </w:sdtPr>
          <w:sdtContent>
            <w:tc>
              <w:tcPr>
                <w:tcW w:w="862" w:type="pct"/>
                <w:vAlign w:val="center"/>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第一阶段</w:t>
                </w:r>
              </w:p>
            </w:tc>
          </w:sdtContent>
        </w:sdt>
        <w:sdt>
          <w:sdtPr>
            <w:tag w:val="_PLD_d2f5c6d4cf0d4a86b39dc41f67fe87db"/>
            <w:id w:val="2042085287"/>
          </w:sdtPr>
          <w:sdtContent>
            <w:tc>
              <w:tcPr>
                <w:tcW w:w="1097" w:type="pct"/>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第二阶段</w:t>
                </w:r>
              </w:p>
            </w:tc>
          </w:sdtContent>
        </w:sdt>
        <w:sdt>
          <w:sdtPr>
            <w:tag w:val="_PLD_a09c7daba8c14a6498c7b83b77c97c72"/>
            <w:id w:val="-804695804"/>
          </w:sdtPr>
          <w:sdtContent>
            <w:tc>
              <w:tcPr>
                <w:tcW w:w="1097" w:type="pct"/>
              </w:tcPr>
              <w:p>
                <w:pPr>
                  <w:pStyle w:val="39"/>
                  <w:spacing w:after="0"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第三阶段</w:t>
                </w:r>
              </w:p>
            </w:tc>
          </w:sdtContent>
        </w:sdt>
        <w:sdt>
          <w:sdtPr>
            <w:tag w:val="_PLD_1ec064a14a75404dac24adc5e6ddd253"/>
            <w:id w:val="1237362068"/>
          </w:sdtPr>
          <w:sdtContent>
            <w:tc>
              <w:tcPr>
                <w:tcW w:w="943" w:type="pct"/>
                <w:vMerge w:val="restart"/>
                <w:vAlign w:val="center"/>
              </w:tcPr>
              <w:p>
                <w:pPr>
                  <w:pStyle w:val="39"/>
                  <w:spacing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合计</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Merge w:val="continue"/>
            <w:vAlign w:val="center"/>
          </w:tcPr>
          <w:p>
            <w:pPr>
              <w:jc w:val="center"/>
              <w:rPr>
                <w:color w:val="000000" w:themeColor="text1"/>
                <w14:textFill>
                  <w14:solidFill>
                    <w14:schemeClr w14:val="tx1"/>
                  </w14:solidFill>
                </w14:textFill>
              </w:rPr>
            </w:pPr>
          </w:p>
        </w:tc>
        <w:sdt>
          <w:sdtPr>
            <w:tag w:val="_PLD_506da2a2f1db4ead819aa958edd702e2"/>
            <w:id w:val="-1963024066"/>
          </w:sdtPr>
          <w:sdtContent>
            <w:tc>
              <w:tcPr>
                <w:tcW w:w="862" w:type="pct"/>
                <w:vAlign w:val="center"/>
              </w:tcPr>
              <w:p>
                <w:pPr>
                  <w:pStyle w:val="39"/>
                  <w:spacing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未来12个月预期信用损失</w:t>
                </w:r>
              </w:p>
            </w:tc>
          </w:sdtContent>
        </w:sdt>
        <w:sdt>
          <w:sdtPr>
            <w:tag w:val="_PLD_23a6590eef0649d4af75d4845c12f263"/>
            <w:id w:val="620502418"/>
          </w:sdtPr>
          <w:sdtContent>
            <w:tc>
              <w:tcPr>
                <w:tcW w:w="1097" w:type="pct"/>
                <w:vAlign w:val="center"/>
              </w:tcPr>
              <w:p>
                <w:pPr>
                  <w:pStyle w:val="39"/>
                  <w:spacing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整个存续期预期信用损失(未发生信用减值)</w:t>
                </w:r>
              </w:p>
            </w:tc>
          </w:sdtContent>
        </w:sdt>
        <w:sdt>
          <w:sdtPr>
            <w:tag w:val="_PLD_44518f4265ac43078f96c79efe9dd487"/>
            <w:id w:val="-1202473203"/>
          </w:sdtPr>
          <w:sdtContent>
            <w:tc>
              <w:tcPr>
                <w:tcW w:w="1097" w:type="pct"/>
                <w:vAlign w:val="center"/>
              </w:tcPr>
              <w:p>
                <w:pPr>
                  <w:pStyle w:val="39"/>
                  <w:spacing w:line="24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整个存续期预期信用损失(已发生信用减值)</w:t>
                </w:r>
              </w:p>
            </w:tc>
          </w:sdtContent>
        </w:sdt>
        <w:tc>
          <w:tcPr>
            <w:tcW w:w="943" w:type="pct"/>
            <w:vMerge w:val="continue"/>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2026年</w:t>
            </w:r>
            <w:r>
              <w:rPr>
                <w:rFonts w:hint="eastAsia" w:ascii="宋体" w:hAnsi="宋体" w:eastAsia="宋体" w:cs="宋体"/>
                <w:color w:val="000000" w:themeColor="text1"/>
                <w:sz w:val="21"/>
                <w:szCs w:val="21"/>
                <w:lang w:eastAsia="zh-CN"/>
                <w14:textFill>
                  <w14:solidFill>
                    <w14:schemeClr w14:val="tx1"/>
                  </w14:solidFill>
                </w14:textFill>
              </w:rPr>
              <w:t>1月1日余额</w:t>
            </w:r>
          </w:p>
        </w:tc>
        <w:tc>
          <w:tcPr>
            <w:tcW w:w="862" w:type="pct"/>
          </w:tcPr>
          <w:p>
            <w:pPr>
              <w:jc w:val="right"/>
            </w:pPr>
            <w:r>
              <w:t xml:space="preserve"> 464,424.17 </w:t>
            </w:r>
          </w:p>
        </w:tc>
        <w:tc>
          <w:tcPr>
            <w:tcW w:w="1097" w:type="pct"/>
          </w:tcPr>
          <w:p>
            <w:pPr>
              <w:jc w:val="right"/>
            </w:pPr>
            <w:r>
              <w:t xml:space="preserve"> 173,833.47 </w:t>
            </w:r>
          </w:p>
        </w:tc>
        <w:tc>
          <w:tcPr>
            <w:tcW w:w="1097" w:type="pct"/>
          </w:tcPr>
          <w:p>
            <w:pPr>
              <w:jc w:val="right"/>
            </w:pPr>
            <w:r>
              <w:t xml:space="preserve"> 1,735,865.00 </w:t>
            </w:r>
          </w:p>
        </w:tc>
        <w:tc>
          <w:tcPr>
            <w:tcW w:w="943" w:type="pct"/>
          </w:tcPr>
          <w:p>
            <w:pPr>
              <w:jc w:val="right"/>
            </w:pPr>
            <w:r>
              <w:t xml:space="preserve"> 2,374,122.64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2026年1月1日余额在本期</w:t>
            </w:r>
          </w:p>
        </w:tc>
        <w:tc>
          <w:tcPr>
            <w:tcW w:w="862" w:type="pct"/>
          </w:tcPr>
          <w:p>
            <w:pPr>
              <w:jc w:val="right"/>
            </w:pPr>
          </w:p>
        </w:tc>
        <w:tc>
          <w:tcPr>
            <w:tcW w:w="1097" w:type="pct"/>
          </w:tcPr>
          <w:p>
            <w:pPr>
              <w:jc w:val="right"/>
            </w:pPr>
          </w:p>
        </w:tc>
        <w:tc>
          <w:tcPr>
            <w:tcW w:w="1097" w:type="pct"/>
          </w:tcPr>
          <w:p>
            <w:pPr>
              <w:jc w:val="right"/>
            </w:pPr>
          </w:p>
        </w:tc>
        <w:tc>
          <w:tcPr>
            <w:tcW w:w="9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--转入第二阶段</w:t>
            </w:r>
          </w:p>
        </w:tc>
        <w:tc>
          <w:tcPr>
            <w:tcW w:w="862" w:type="pct"/>
          </w:tcPr>
          <w:p>
            <w:pPr>
              <w:jc w:val="right"/>
            </w:pPr>
            <w:r>
              <w:t xml:space="preserve"> -81,800.20 </w:t>
            </w:r>
          </w:p>
        </w:tc>
        <w:tc>
          <w:tcPr>
            <w:tcW w:w="1097" w:type="pct"/>
          </w:tcPr>
          <w:p>
            <w:pPr>
              <w:jc w:val="right"/>
            </w:pPr>
            <w:r>
              <w:t xml:space="preserve"> 81,800.20 </w:t>
            </w:r>
          </w:p>
        </w:tc>
        <w:tc>
          <w:tcPr>
            <w:tcW w:w="1097" w:type="pct"/>
          </w:tcPr>
          <w:p>
            <w:pPr>
              <w:jc w:val="right"/>
            </w:pPr>
          </w:p>
        </w:tc>
        <w:tc>
          <w:tcPr>
            <w:tcW w:w="9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--转入第三阶段</w:t>
            </w:r>
          </w:p>
        </w:tc>
        <w:tc>
          <w:tcPr>
            <w:tcW w:w="862" w:type="pct"/>
          </w:tcPr>
          <w:p>
            <w:pPr>
              <w:jc w:val="right"/>
            </w:pPr>
          </w:p>
        </w:tc>
        <w:tc>
          <w:tcPr>
            <w:tcW w:w="1097" w:type="pct"/>
          </w:tcPr>
          <w:p>
            <w:pPr>
              <w:jc w:val="right"/>
            </w:pPr>
            <w:r>
              <w:t xml:space="preserve"> -104,870.12 </w:t>
            </w:r>
          </w:p>
        </w:tc>
        <w:tc>
          <w:tcPr>
            <w:tcW w:w="1097" w:type="pct"/>
          </w:tcPr>
          <w:p>
            <w:pPr>
              <w:jc w:val="right"/>
            </w:pPr>
            <w:r>
              <w:t xml:space="preserve"> 104,870.12 </w:t>
            </w:r>
          </w:p>
        </w:tc>
        <w:tc>
          <w:tcPr>
            <w:tcW w:w="9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--转回第二阶段</w:t>
            </w:r>
          </w:p>
        </w:tc>
        <w:tc>
          <w:tcPr>
            <w:tcW w:w="862" w:type="pct"/>
          </w:tcPr>
          <w:p>
            <w:pPr>
              <w:jc w:val="right"/>
            </w:pPr>
          </w:p>
        </w:tc>
        <w:tc>
          <w:tcPr>
            <w:tcW w:w="1097" w:type="pct"/>
          </w:tcPr>
          <w:p>
            <w:pPr>
              <w:jc w:val="right"/>
            </w:pPr>
          </w:p>
        </w:tc>
        <w:tc>
          <w:tcPr>
            <w:tcW w:w="1097" w:type="pct"/>
          </w:tcPr>
          <w:p>
            <w:pPr>
              <w:jc w:val="right"/>
            </w:pPr>
          </w:p>
        </w:tc>
        <w:tc>
          <w:tcPr>
            <w:tcW w:w="9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--转回第一阶段</w:t>
            </w:r>
          </w:p>
        </w:tc>
        <w:tc>
          <w:tcPr>
            <w:tcW w:w="862" w:type="pct"/>
          </w:tcPr>
          <w:p>
            <w:pPr>
              <w:jc w:val="right"/>
            </w:pPr>
          </w:p>
        </w:tc>
        <w:tc>
          <w:tcPr>
            <w:tcW w:w="1097" w:type="pct"/>
          </w:tcPr>
          <w:p>
            <w:pPr>
              <w:jc w:val="right"/>
            </w:pPr>
          </w:p>
        </w:tc>
        <w:tc>
          <w:tcPr>
            <w:tcW w:w="1097" w:type="pct"/>
          </w:tcPr>
          <w:p>
            <w:pPr>
              <w:jc w:val="right"/>
            </w:pPr>
          </w:p>
        </w:tc>
        <w:tc>
          <w:tcPr>
            <w:tcW w:w="9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本期计提</w:t>
            </w:r>
          </w:p>
        </w:tc>
        <w:tc>
          <w:tcPr>
            <w:tcW w:w="862" w:type="pct"/>
          </w:tcPr>
          <w:p>
            <w:pPr>
              <w:jc w:val="right"/>
            </w:pPr>
            <w:r>
              <w:t xml:space="preserve"> 624,874.14 </w:t>
            </w:r>
          </w:p>
        </w:tc>
        <w:tc>
          <w:tcPr>
            <w:tcW w:w="1097" w:type="pct"/>
          </w:tcPr>
          <w:p>
            <w:pPr>
              <w:jc w:val="right"/>
            </w:pPr>
            <w:r>
              <w:t xml:space="preserve"> 12,836.85 </w:t>
            </w:r>
          </w:p>
        </w:tc>
        <w:tc>
          <w:tcPr>
            <w:tcW w:w="1097" w:type="pct"/>
          </w:tcPr>
          <w:p>
            <w:pPr>
              <w:jc w:val="right"/>
            </w:pPr>
            <w:r>
              <w:t xml:space="preserve"> -49,683.25 </w:t>
            </w:r>
          </w:p>
        </w:tc>
        <w:tc>
          <w:tcPr>
            <w:tcW w:w="943" w:type="pct"/>
          </w:tcPr>
          <w:p>
            <w:pPr>
              <w:jc w:val="right"/>
            </w:pPr>
            <w:r>
              <w:t xml:space="preserve"> 588,027.74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jc w:val="both"/>
              <w:rPr>
                <w:rFonts w:hint="eastAsia" w:ascii="宋体" w:hAnsi="宋体" w:eastAsia="宋体"/>
                <w:color w:val="000000" w:themeColor="text1"/>
                <w:sz w:val="21"/>
                <w:szCs w:val="21"/>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本期转回</w:t>
            </w:r>
          </w:p>
        </w:tc>
        <w:tc>
          <w:tcPr>
            <w:tcW w:w="862" w:type="pct"/>
          </w:tcPr>
          <w:p>
            <w:pPr>
              <w:jc w:val="right"/>
            </w:pPr>
          </w:p>
        </w:tc>
        <w:tc>
          <w:tcPr>
            <w:tcW w:w="1097" w:type="pct"/>
          </w:tcPr>
          <w:p>
            <w:pPr>
              <w:jc w:val="right"/>
            </w:pPr>
          </w:p>
        </w:tc>
        <w:tc>
          <w:tcPr>
            <w:tcW w:w="1097" w:type="pct"/>
          </w:tcPr>
          <w:p>
            <w:pPr>
              <w:jc w:val="right"/>
            </w:pPr>
          </w:p>
        </w:tc>
        <w:tc>
          <w:tcPr>
            <w:tcW w:w="9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本期转销</w:t>
            </w:r>
          </w:p>
        </w:tc>
        <w:tc>
          <w:tcPr>
            <w:tcW w:w="862" w:type="pct"/>
          </w:tcPr>
          <w:p>
            <w:pPr>
              <w:jc w:val="right"/>
            </w:pPr>
          </w:p>
        </w:tc>
        <w:tc>
          <w:tcPr>
            <w:tcW w:w="1097" w:type="pct"/>
          </w:tcPr>
          <w:p>
            <w:pPr>
              <w:jc w:val="right"/>
            </w:pPr>
          </w:p>
        </w:tc>
        <w:tc>
          <w:tcPr>
            <w:tcW w:w="1097" w:type="pct"/>
          </w:tcPr>
          <w:p>
            <w:pPr>
              <w:jc w:val="right"/>
            </w:pPr>
          </w:p>
        </w:tc>
        <w:tc>
          <w:tcPr>
            <w:tcW w:w="9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jc w:val="both"/>
              <w:rPr>
                <w:rFonts w:hint="eastAsia" w:ascii="宋体" w:hAnsi="宋体" w:eastAsia="宋体"/>
                <w:color w:val="000000" w:themeColor="text1"/>
                <w:sz w:val="21"/>
                <w:szCs w:val="21"/>
                <w14:textFill>
                  <w14:solidFill>
                    <w14:schemeClr w14:val="tx1"/>
                  </w14:solidFill>
                </w14:textFill>
              </w:rPr>
            </w:pPr>
            <w:r>
              <w:rPr>
                <w:rFonts w:hint="eastAsia" w:ascii="宋体" w:hAnsi="宋体" w:eastAsia="宋体"/>
                <w:color w:val="000000" w:themeColor="text1"/>
                <w:sz w:val="21"/>
                <w:szCs w:val="21"/>
                <w:lang w:eastAsia="zh-CN"/>
                <w14:textFill>
                  <w14:solidFill>
                    <w14:schemeClr w14:val="tx1"/>
                  </w14:solidFill>
                </w14:textFill>
              </w:rPr>
              <w:t>本期核销</w:t>
            </w:r>
          </w:p>
        </w:tc>
        <w:tc>
          <w:tcPr>
            <w:tcW w:w="862" w:type="pct"/>
          </w:tcPr>
          <w:p>
            <w:pPr>
              <w:jc w:val="right"/>
            </w:pPr>
          </w:p>
        </w:tc>
        <w:tc>
          <w:tcPr>
            <w:tcW w:w="1097" w:type="pct"/>
          </w:tcPr>
          <w:p>
            <w:pPr>
              <w:jc w:val="right"/>
            </w:pPr>
          </w:p>
        </w:tc>
        <w:tc>
          <w:tcPr>
            <w:tcW w:w="1097" w:type="pct"/>
          </w:tcPr>
          <w:p>
            <w:pPr>
              <w:jc w:val="right"/>
            </w:pPr>
          </w:p>
        </w:tc>
        <w:tc>
          <w:tcPr>
            <w:tcW w:w="9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jc w:val="both"/>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其他变动</w:t>
            </w:r>
          </w:p>
        </w:tc>
        <w:tc>
          <w:tcPr>
            <w:tcW w:w="862" w:type="pct"/>
          </w:tcPr>
          <w:p>
            <w:pPr>
              <w:jc w:val="right"/>
            </w:pPr>
          </w:p>
        </w:tc>
        <w:tc>
          <w:tcPr>
            <w:tcW w:w="1097" w:type="pct"/>
          </w:tcPr>
          <w:p>
            <w:pPr>
              <w:jc w:val="right"/>
            </w:pPr>
          </w:p>
        </w:tc>
        <w:tc>
          <w:tcPr>
            <w:tcW w:w="1097" w:type="pct"/>
          </w:tcPr>
          <w:p>
            <w:pPr>
              <w:jc w:val="right"/>
            </w:pPr>
          </w:p>
        </w:tc>
        <w:tc>
          <w:tcPr>
            <w:tcW w:w="943" w:type="pct"/>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1" w:type="pct"/>
            <w:vAlign w:val="center"/>
          </w:tcPr>
          <w:p>
            <w:pPr>
              <w:pStyle w:val="39"/>
              <w:spacing w:after="0" w:line="240" w:lineRule="auto"/>
              <w:rPr>
                <w:rFonts w:hint="eastAsia" w:ascii="宋体" w:hAnsi="宋体" w:eastAsia="宋体" w:cs="宋体"/>
                <w:color w:val="000000" w:themeColor="text1"/>
                <w:sz w:val="21"/>
                <w:szCs w:val="21"/>
                <w:lang w:eastAsia="zh-CN"/>
                <w14:textFill>
                  <w14:solidFill>
                    <w14:schemeClr w14:val="tx1"/>
                  </w14:solidFill>
                </w14:textFill>
              </w:rPr>
            </w:pPr>
            <w:r>
              <w:rPr>
                <w:rFonts w:ascii="宋体" w:hAnsi="宋体" w:eastAsia="宋体" w:cs="宋体"/>
                <w:color w:val="000000" w:themeColor="text1"/>
                <w:sz w:val="21"/>
                <w:szCs w:val="21"/>
                <w:lang w:eastAsia="zh-CN"/>
                <w14:textFill>
                  <w14:solidFill>
                    <w14:schemeClr w14:val="tx1"/>
                  </w14:solidFill>
                </w14:textFill>
              </w:rPr>
              <w:t>2026年6月30日</w:t>
            </w:r>
            <w:r>
              <w:rPr>
                <w:rFonts w:hint="eastAsia" w:ascii="宋体" w:hAnsi="宋体" w:eastAsia="宋体" w:cs="宋体"/>
                <w:color w:val="000000" w:themeColor="text1"/>
                <w:sz w:val="21"/>
                <w:szCs w:val="21"/>
                <w:lang w:eastAsia="zh-CN"/>
                <w14:textFill>
                  <w14:solidFill>
                    <w14:schemeClr w14:val="tx1"/>
                  </w14:solidFill>
                </w14:textFill>
              </w:rPr>
              <w:t>余额</w:t>
            </w:r>
          </w:p>
        </w:tc>
        <w:tc>
          <w:tcPr>
            <w:tcW w:w="862" w:type="pct"/>
          </w:tcPr>
          <w:p>
            <w:pPr>
              <w:jc w:val="right"/>
            </w:pPr>
            <w:r>
              <w:t xml:space="preserve"> 1,007,498.11 </w:t>
            </w:r>
          </w:p>
        </w:tc>
        <w:tc>
          <w:tcPr>
            <w:tcW w:w="1097" w:type="pct"/>
          </w:tcPr>
          <w:p>
            <w:pPr>
              <w:jc w:val="right"/>
            </w:pPr>
            <w:r>
              <w:t xml:space="preserve"> 163,600.40 </w:t>
            </w:r>
          </w:p>
        </w:tc>
        <w:tc>
          <w:tcPr>
            <w:tcW w:w="1097" w:type="pct"/>
          </w:tcPr>
          <w:p>
            <w:pPr>
              <w:jc w:val="right"/>
            </w:pPr>
            <w:r>
              <w:t xml:space="preserve"> 1,791,051.87 </w:t>
            </w:r>
          </w:p>
        </w:tc>
        <w:tc>
          <w:tcPr>
            <w:tcW w:w="943" w:type="pct"/>
          </w:tcPr>
          <w:p>
            <w:pPr>
              <w:jc w:val="right"/>
            </w:pPr>
            <w:r>
              <w:t xml:space="preserve"> 2,962,150.38 </w:t>
            </w:r>
          </w:p>
        </w:tc>
      </w:tr>
    </w:tbl>
    <w:p>
      <w:pPr>
        <w:autoSpaceDE w:val="0"/>
        <w:autoSpaceDN w:val="0"/>
        <w:adjustRightInd w:val="0"/>
        <w:spacing w:line="360" w:lineRule="atLeast"/>
        <w:ind w:right="105" w:rightChars="50"/>
        <w:rPr>
          <w:color w:val="000000" w:themeColor="text1"/>
          <w14:textFill>
            <w14:solidFill>
              <w14:schemeClr w14:val="tx1"/>
            </w14:solidFill>
          </w14:textFill>
        </w:rPr>
      </w:pPr>
      <w:r>
        <w:rPr>
          <w:rFonts w:hint="eastAsia"/>
          <w:color w:val="000000" w:themeColor="text1"/>
          <w14:textFill>
            <w14:solidFill>
              <w14:schemeClr w14:val="tx1"/>
            </w14:solidFill>
          </w14:textFill>
        </w:rPr>
        <w:t>各阶段划分依据和坏账准备计提比例</w:t>
      </w:r>
    </w:p>
    <w:sdt>
      <w:sdtPr>
        <w:rPr>
          <w:rFonts w:cs="Times New Roman"/>
          <w:bCs w:val="0"/>
          <w:color w:val="000000" w:themeColor="text1"/>
          <w:szCs w:val="22"/>
          <w14:textFill>
            <w14:solidFill>
              <w14:schemeClr w14:val="tx1"/>
            </w14:solidFill>
          </w14:textFill>
        </w:rPr>
        <w:alias w:val="其他应收款各阶段划分依据和坏账准备计提比例"/>
        <w:tag w:val="_GBC_d1deab3352d44521aa56c337c4c1cf70"/>
        <w:id w:val="-1042292555"/>
        <w:placeholder>
          <w:docPart w:val="GBC22222222222222222222222222222"/>
        </w:placeholder>
      </w:sdtPr>
      <w:sdtEndPr>
        <w:rPr>
          <w:rFonts w:cs="Times New Roman"/>
          <w:bCs w:val="0"/>
          <w:color w:val="000000" w:themeColor="text1"/>
          <w:szCs w:val="22"/>
          <w14:textFill>
            <w14:solidFill>
              <w14:schemeClr w14:val="tx1"/>
            </w14:solidFill>
          </w14:textFill>
        </w:rPr>
      </w:sdtEndPr>
      <w:sdtContent>
        <w:p>
          <w:pPr>
            <w:spacing w:line="360" w:lineRule="atLeast"/>
            <w:rPr>
              <w:rFonts w:cs="Times New Roman"/>
              <w:bCs w:val="0"/>
              <w:color w:val="000000" w:themeColor="text1"/>
              <w:szCs w:val="22"/>
              <w14:textFill>
                <w14:solidFill>
                  <w14:schemeClr w14:val="tx1"/>
                </w14:solidFill>
              </w14:textFill>
            </w:rPr>
          </w:pPr>
          <w:r>
            <w:rPr>
              <w:rFonts w:hint="eastAsia" w:cs="Times New Roman"/>
              <w:bCs w:val="0"/>
              <w:color w:val="000000" w:themeColor="text1"/>
              <w:szCs w:val="22"/>
              <w14:textFill>
                <w14:solidFill>
                  <w14:schemeClr w14:val="tx1"/>
                </w14:solidFill>
              </w14:textFill>
            </w:rPr>
            <w:t>无</w:t>
          </w:r>
        </w:p>
      </w:sdtContent>
    </w:sdt>
    <w:p>
      <w:pPr>
        <w:pStyle w:val="36"/>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对本期发生损失准备变动的其他应收款账面余额显著变动的情况说明：</w:t>
      </w:r>
    </w:p>
    <w:sdt>
      <w:sdtPr>
        <w:rPr>
          <w:color w:val="000000" w:themeColor="text1"/>
          <w14:textFill>
            <w14:solidFill>
              <w14:schemeClr w14:val="tx1"/>
            </w14:solidFill>
          </w14:textFill>
        </w:rPr>
        <w:alias w:val="是否适用：母公司其他应收款本期发生损失准备变动且账面余额显著变动的情况说明[双击切换]"/>
        <w:tag w:val="_GBC_51a7e143899e4bf4887327bb018327b9"/>
        <w:id w:val="-237939990"/>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本期坏账准备计提金额以及评估金融工具的信用风险是否显著增加的采用依据：</w:t>
      </w:r>
    </w:p>
    <w:sdt>
      <w:sdtPr>
        <w:rPr>
          <w:color w:val="000000" w:themeColor="text1"/>
          <w14:textFill>
            <w14:solidFill>
              <w14:schemeClr w14:val="tx1"/>
            </w14:solidFill>
          </w14:textFill>
        </w:rPr>
        <w:alias w:val="是否适用：母公司其他应收款坏账准备计提金额以及评估金融工具的信用风险是否显著增加的采用依据[双击切换]"/>
        <w:tag w:val="_GBC_d5682930254743bebaaf3c46f4513c04"/>
        <w:id w:val="1035693973"/>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27"/>
    <w:p>
      <w:pPr>
        <w:pStyle w:val="6"/>
        <w:numPr>
          <w:ilvl w:val="0"/>
          <w:numId w:val="103"/>
        </w:numPr>
        <w:spacing w:line="360" w:lineRule="atLeast"/>
      </w:pPr>
      <w:bookmarkStart w:id="528" w:name="_Hlk10548122"/>
      <w:r>
        <w:rPr>
          <w:rFonts w:hint="eastAsia"/>
        </w:rPr>
        <w:t>坏账准备的情况</w:t>
      </w:r>
    </w:p>
    <w:sdt>
      <w:sdtPr>
        <w:rPr>
          <w:color w:val="000000" w:themeColor="text1"/>
          <w14:textFill>
            <w14:solidFill>
              <w14:schemeClr w14:val="tx1"/>
            </w14:solidFill>
          </w14:textFill>
        </w:rPr>
        <w:alias w:val="是否适用：其他应收款坏账准备[双击切换]"/>
        <w:tag w:val="_GBC_746f45a984d44f56a795e5587d8e7cf2"/>
        <w:id w:val="-128558505"/>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28"/>
    <w:p>
      <w:pPr>
        <w:spacing w:line="360" w:lineRule="atLeast"/>
        <w:rPr>
          <w:color w:val="000000" w:themeColor="text1"/>
          <w14:textFill>
            <w14:solidFill>
              <w14:schemeClr w14:val="tx1"/>
            </w14:solidFill>
          </w14:textFill>
        </w:rPr>
      </w:pPr>
      <w:bookmarkStart w:id="529" w:name="_Hlk168055794"/>
      <w:r>
        <w:rPr>
          <w:rFonts w:hint="eastAsia"/>
          <w:color w:val="000000" w:themeColor="text1"/>
          <w14:textFill>
            <w14:solidFill>
              <w14:schemeClr w14:val="tx1"/>
            </w14:solidFill>
          </w14:textFill>
        </w:rPr>
        <w:t>其中本期坏账准备转回或收回金额重要的：</w:t>
      </w:r>
    </w:p>
    <w:sdt>
      <w:sdtPr>
        <w:rPr>
          <w:color w:val="000000" w:themeColor="text1"/>
          <w14:textFill>
            <w14:solidFill>
              <w14:schemeClr w14:val="tx1"/>
            </w14:solidFill>
          </w14:textFill>
        </w:rPr>
        <w:alias w:val="是否适用：母公司其他应收款坏账准备转回或收回金额重要的[双击切换]"/>
        <w:tag w:val="_GBC_98cb10e0ff8642ad9141960d4dbb7d85"/>
        <w:id w:val="532311830"/>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ind w:right="-1594" w:rightChars="-759"/>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其他应收款坏账准备情况的说明"/>
        <w:tag w:val="_GBC_83e986a007b44d029c897d7f19741e02"/>
        <w:id w:val="95216096"/>
        <w:placeholder>
          <w:docPart w:val="GBC22222222222222222222222222222"/>
        </w:placeholder>
      </w:sdtPr>
      <w:sdtEndPr>
        <w:rPr>
          <w:color w:val="000000" w:themeColor="text1"/>
          <w14:textFill>
            <w14:solidFill>
              <w14:schemeClr w14:val="tx1"/>
            </w14:solidFill>
          </w14:textFill>
        </w:rPr>
      </w:sdtEndPr>
      <w:sdtContent>
        <w:p>
          <w:pPr>
            <w:spacing w:line="360" w:lineRule="atLeast"/>
            <w:ind w:right="-1594" w:rightChars="-759"/>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bookmarkEnd w:id="529"/>
    <w:p>
      <w:pPr>
        <w:pStyle w:val="6"/>
        <w:numPr>
          <w:ilvl w:val="0"/>
          <w:numId w:val="103"/>
        </w:numPr>
        <w:spacing w:line="360" w:lineRule="atLeast"/>
      </w:pPr>
      <w:r>
        <w:rPr>
          <w:rFonts w:hint="eastAsia"/>
        </w:rPr>
        <w:t>本期实际核销的其他应收款情况</w:t>
      </w:r>
    </w:p>
    <w:sdt>
      <w:sdtPr>
        <w:rPr>
          <w:color w:val="000000" w:themeColor="text1"/>
          <w14:textFill>
            <w14:solidFill>
              <w14:schemeClr w14:val="tx1"/>
            </w14:solidFill>
          </w14:textFill>
        </w:rPr>
        <w:alias w:val="是否适用：母公司本期实际核销的其他应收款情况[双击切换]"/>
        <w:tag w:val="_GBC_dd1095756d2b471688ce5b700380fafc"/>
        <w:id w:val="-1213189704"/>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其中重要的其他应收款核销情况：</w:t>
      </w:r>
    </w:p>
    <w:sdt>
      <w:sdtPr>
        <w:rPr>
          <w:color w:val="000000" w:themeColor="text1"/>
          <w14:textFill>
            <w14:solidFill>
              <w14:schemeClr w14:val="tx1"/>
            </w14:solidFill>
          </w14:textFill>
        </w:rPr>
        <w:alias w:val="是否适用：母公司其中重要的其他应收款核销情况[双击切换]"/>
        <w:tag w:val="_GBC_5dff1eacde3a41d6914cb7afef2e2acf"/>
        <w:id w:val="-1047909645"/>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napToGrid w:val="0"/>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其他应收款核销说明：</w:t>
      </w:r>
    </w:p>
    <w:sdt>
      <w:sdtPr>
        <w:rPr>
          <w:bCs w:val="0"/>
          <w:color w:val="000000" w:themeColor="text1"/>
          <w14:textFill>
            <w14:solidFill>
              <w14:schemeClr w14:val="tx1"/>
            </w14:solidFill>
          </w14:textFill>
        </w:rPr>
        <w:alias w:val="是否适用：母公司其他应收款核销说明[双击切换]"/>
        <w:tag w:val="_GBC_7e98a555990349648a39fba0c7228ab7"/>
        <w:id w:val="140934809"/>
        <w:placeholder>
          <w:docPart w:val="GBC22222222222222222222222222222"/>
        </w:placeholder>
      </w:sdtPr>
      <w:sdtEndPr>
        <w:rPr>
          <w:bCs w:val="0"/>
          <w:color w:val="000000" w:themeColor="text1"/>
          <w14:textFill>
            <w14:solidFill>
              <w14:schemeClr w14:val="tx1"/>
            </w14:solidFill>
          </w14:textFill>
        </w:rPr>
      </w:sdtEndPr>
      <w:sdtContent>
        <w:p>
          <w:pPr>
            <w:snapToGrid w:val="0"/>
            <w:spacing w:line="360" w:lineRule="atLeast"/>
            <w:rPr>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p>
      <w:pPr>
        <w:pStyle w:val="6"/>
        <w:numPr>
          <w:ilvl w:val="0"/>
          <w:numId w:val="103"/>
        </w:numPr>
        <w:spacing w:line="360" w:lineRule="atLeast"/>
      </w:pPr>
      <w:r>
        <w:rPr>
          <w:rFonts w:hint="eastAsia"/>
        </w:rPr>
        <w:t>按欠款方归集的期末余额前五名的其他应收款情况</w:t>
      </w:r>
    </w:p>
    <w:sdt>
      <w:sdtPr>
        <w:rPr>
          <w:color w:val="000000" w:themeColor="text1"/>
          <w14:textFill>
            <w14:solidFill>
              <w14:schemeClr w14:val="tx1"/>
            </w14:solidFill>
          </w14:textFill>
        </w:rPr>
        <w:alias w:val="是否适用：母公司按欠款方归集的期末余额前五名的其他应收款情况[双击切换]"/>
        <w:tag w:val="_GBC_c31bd7806af645a4b98780e353753bee"/>
        <w:id w:val="467786330"/>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财务附注：其他应收账款前五名欠款情况"/>
          <w:tag w:val="_GBC_5eaec4085c10422f90a7a09ee515d922"/>
          <w:id w:val="578491420"/>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财务附注：其他应收账款前五名欠款情况"/>
          <w:tag w:val="_GBC_76fb156b47fb495eb1748f1f6ffdfc64"/>
          <w:id w:val="-119529829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2411"/>
        <w:gridCol w:w="1923"/>
        <w:gridCol w:w="2765"/>
        <w:gridCol w:w="2302"/>
        <w:gridCol w:w="1906"/>
        <w:gridCol w:w="2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1bf4103fa73c4527ab273af4182bdac9"/>
            <w:id w:val="-1998951295"/>
          </w:sdtPr>
          <w:sdtContent>
            <w:tc>
              <w:tcPr>
                <w:tcW w:w="865" w:type="pct"/>
                <w:vAlign w:val="center"/>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单位名称</w:t>
                </w:r>
              </w:p>
            </w:tc>
          </w:sdtContent>
        </w:sdt>
        <w:sdt>
          <w:sdtPr>
            <w:tag w:val="_PLD_2272ceae47e74a6489bfeb2c73aa1f4a"/>
            <w:id w:val="-216582601"/>
          </w:sdtPr>
          <w:sdtContent>
            <w:tc>
              <w:tcPr>
                <w:tcW w:w="690" w:type="pct"/>
                <w:vAlign w:val="center"/>
              </w:tcPr>
              <w:p>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13e1362304be4663873f1e8f72848948"/>
            <w:id w:val="592508055"/>
          </w:sdtPr>
          <w:sdtContent>
            <w:tc>
              <w:tcPr>
                <w:tcW w:w="992"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占其他应收款期末余额合计数的比例(</w:t>
                </w:r>
                <w:r>
                  <w:rPr>
                    <w:color w:val="000000" w:themeColor="text1"/>
                    <w14:textFill>
                      <w14:solidFill>
                        <w14:schemeClr w14:val="tx1"/>
                      </w14:solidFill>
                    </w14:textFill>
                  </w:rPr>
                  <w:t>%)</w:t>
                </w:r>
              </w:p>
            </w:tc>
          </w:sdtContent>
        </w:sdt>
        <w:sdt>
          <w:sdtPr>
            <w:tag w:val="_PLD_13e90710aaf8432b8989b8a8d1ceae0c"/>
            <w:id w:val="-1014996192"/>
          </w:sdtPr>
          <w:sdtContent>
            <w:tc>
              <w:tcPr>
                <w:tcW w:w="826" w:type="pct"/>
                <w:vAlign w:val="center"/>
              </w:tcPr>
              <w:p>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款项的性质</w:t>
                </w:r>
              </w:p>
            </w:tc>
          </w:sdtContent>
        </w:sdt>
        <w:sdt>
          <w:sdtPr>
            <w:tag w:val="_PLD_fcefa3ecef954c579974ef8beaeadf3a"/>
            <w:id w:val="514504784"/>
          </w:sdtPr>
          <w:sdtContent>
            <w:tc>
              <w:tcPr>
                <w:tcW w:w="684" w:type="pct"/>
                <w:vAlign w:val="center"/>
              </w:tcPr>
              <w:p>
                <w:pPr>
                  <w:ind w:right="73"/>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账龄</w:t>
                </w:r>
              </w:p>
            </w:tc>
          </w:sdtContent>
        </w:sdt>
        <w:sdt>
          <w:sdtPr>
            <w:tag w:val="_PLD_f2c7137b0fd6426d9d9640429eb47701"/>
            <w:id w:val="868883005"/>
          </w:sdtPr>
          <w:sdtContent>
            <w:tc>
              <w:tcPr>
                <w:tcW w:w="943"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坏账准备</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pPr>
              <w:ind w:right="105"/>
            </w:pPr>
            <w:r>
              <w:t>单位1</w:t>
            </w:r>
          </w:p>
        </w:tc>
        <w:tc>
          <w:tcPr>
            <w:tcW w:w="690" w:type="pct"/>
            <w:vAlign w:val="center"/>
          </w:tcPr>
          <w:p>
            <w:pPr>
              <w:ind w:right="73"/>
              <w:jc w:val="right"/>
            </w:pPr>
            <w:r>
              <w:rPr>
                <w:rFonts w:hint="eastAsia"/>
              </w:rPr>
              <w:t xml:space="preserve"> 238,784,180.62 </w:t>
            </w:r>
          </w:p>
        </w:tc>
        <w:tc>
          <w:tcPr>
            <w:tcW w:w="992" w:type="pct"/>
            <w:vAlign w:val="center"/>
          </w:tcPr>
          <w:p>
            <w:pPr>
              <w:jc w:val="right"/>
            </w:pPr>
            <w:r>
              <w:rPr>
                <w:rFonts w:hint="eastAsia"/>
              </w:rPr>
              <w:t xml:space="preserve"> 51.37 </w:t>
            </w:r>
          </w:p>
        </w:tc>
        <w:tc>
          <w:tcPr>
            <w:tcW w:w="826" w:type="pct"/>
            <w:vAlign w:val="center"/>
          </w:tcPr>
          <w:p>
            <w:pPr>
              <w:ind w:right="73"/>
              <w:jc w:val="center"/>
            </w:pPr>
            <w:r>
              <w:rPr>
                <w:rFonts w:hint="eastAsia"/>
              </w:rPr>
              <w:t>合并范围内关联方往来</w:t>
            </w:r>
          </w:p>
        </w:tc>
        <w:tc>
          <w:tcPr>
            <w:tcW w:w="684" w:type="pct"/>
            <w:vAlign w:val="center"/>
          </w:tcPr>
          <w:p>
            <w:pPr>
              <w:ind w:right="73"/>
              <w:jc w:val="center"/>
            </w:pPr>
            <w:r>
              <w:rPr>
                <w:rFonts w:hint="eastAsia"/>
              </w:rPr>
              <w:t>1年以内</w:t>
            </w:r>
          </w:p>
        </w:tc>
        <w:tc>
          <w:tcPr>
            <w:tcW w:w="943"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pPr>
              <w:ind w:right="105"/>
            </w:pPr>
            <w:r>
              <w:t>单位</w:t>
            </w:r>
            <w:r>
              <w:rPr>
                <w:rFonts w:hint="eastAsia"/>
              </w:rPr>
              <w:t>2</w:t>
            </w:r>
          </w:p>
        </w:tc>
        <w:tc>
          <w:tcPr>
            <w:tcW w:w="690" w:type="pct"/>
            <w:vAlign w:val="center"/>
          </w:tcPr>
          <w:p>
            <w:pPr>
              <w:ind w:right="73"/>
              <w:jc w:val="right"/>
            </w:pPr>
            <w:r>
              <w:rPr>
                <w:rFonts w:hint="eastAsia"/>
              </w:rPr>
              <w:t xml:space="preserve"> 71,629,733.57 </w:t>
            </w:r>
          </w:p>
        </w:tc>
        <w:tc>
          <w:tcPr>
            <w:tcW w:w="992" w:type="pct"/>
            <w:vAlign w:val="center"/>
          </w:tcPr>
          <w:p>
            <w:pPr>
              <w:jc w:val="right"/>
            </w:pPr>
            <w:r>
              <w:rPr>
                <w:rFonts w:hint="eastAsia"/>
              </w:rPr>
              <w:t xml:space="preserve"> 15.41 </w:t>
            </w:r>
          </w:p>
        </w:tc>
        <w:tc>
          <w:tcPr>
            <w:tcW w:w="826" w:type="pct"/>
            <w:vAlign w:val="center"/>
          </w:tcPr>
          <w:p>
            <w:pPr>
              <w:ind w:right="73"/>
              <w:jc w:val="center"/>
            </w:pPr>
            <w:r>
              <w:rPr>
                <w:rFonts w:hint="eastAsia"/>
              </w:rPr>
              <w:t>合并范围内关联方往来</w:t>
            </w:r>
          </w:p>
        </w:tc>
        <w:tc>
          <w:tcPr>
            <w:tcW w:w="684" w:type="pct"/>
            <w:vAlign w:val="center"/>
          </w:tcPr>
          <w:p>
            <w:pPr>
              <w:ind w:right="73"/>
              <w:jc w:val="center"/>
            </w:pPr>
            <w:r>
              <w:rPr>
                <w:rFonts w:hint="eastAsia"/>
              </w:rPr>
              <w:t>1年以内</w:t>
            </w:r>
          </w:p>
        </w:tc>
        <w:tc>
          <w:tcPr>
            <w:tcW w:w="943"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pPr>
              <w:ind w:right="105"/>
            </w:pPr>
            <w:r>
              <w:t>单位</w:t>
            </w:r>
            <w:r>
              <w:rPr>
                <w:rFonts w:hint="eastAsia"/>
              </w:rPr>
              <w:t>3</w:t>
            </w:r>
          </w:p>
        </w:tc>
        <w:tc>
          <w:tcPr>
            <w:tcW w:w="690" w:type="pct"/>
            <w:vAlign w:val="center"/>
          </w:tcPr>
          <w:p>
            <w:pPr>
              <w:ind w:right="73"/>
              <w:jc w:val="right"/>
            </w:pPr>
            <w:r>
              <w:rPr>
                <w:rFonts w:hint="eastAsia"/>
              </w:rPr>
              <w:t xml:space="preserve"> 64,214,848.68 </w:t>
            </w:r>
          </w:p>
        </w:tc>
        <w:tc>
          <w:tcPr>
            <w:tcW w:w="992" w:type="pct"/>
            <w:vAlign w:val="center"/>
          </w:tcPr>
          <w:p>
            <w:pPr>
              <w:jc w:val="right"/>
            </w:pPr>
            <w:r>
              <w:rPr>
                <w:rFonts w:hint="eastAsia"/>
              </w:rPr>
              <w:t xml:space="preserve"> 13.82 </w:t>
            </w:r>
          </w:p>
        </w:tc>
        <w:tc>
          <w:tcPr>
            <w:tcW w:w="826" w:type="pct"/>
            <w:vAlign w:val="center"/>
          </w:tcPr>
          <w:p>
            <w:pPr>
              <w:ind w:right="73"/>
              <w:jc w:val="center"/>
            </w:pPr>
            <w:r>
              <w:rPr>
                <w:rFonts w:hint="eastAsia"/>
              </w:rPr>
              <w:t>合并范围内关联方往来</w:t>
            </w:r>
          </w:p>
        </w:tc>
        <w:tc>
          <w:tcPr>
            <w:tcW w:w="684" w:type="pct"/>
            <w:vAlign w:val="center"/>
          </w:tcPr>
          <w:p>
            <w:pPr>
              <w:ind w:right="73"/>
              <w:jc w:val="center"/>
            </w:pPr>
            <w:r>
              <w:rPr>
                <w:rFonts w:hint="eastAsia"/>
              </w:rPr>
              <w:t>1年以内</w:t>
            </w:r>
          </w:p>
        </w:tc>
        <w:tc>
          <w:tcPr>
            <w:tcW w:w="943"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pPr>
              <w:ind w:right="105"/>
            </w:pPr>
            <w:r>
              <w:t>单位</w:t>
            </w:r>
            <w:r>
              <w:rPr>
                <w:rFonts w:hint="eastAsia"/>
              </w:rPr>
              <w:t>4</w:t>
            </w:r>
          </w:p>
        </w:tc>
        <w:tc>
          <w:tcPr>
            <w:tcW w:w="690" w:type="pct"/>
            <w:vAlign w:val="center"/>
          </w:tcPr>
          <w:p>
            <w:pPr>
              <w:ind w:right="73"/>
              <w:jc w:val="right"/>
            </w:pPr>
            <w:r>
              <w:rPr>
                <w:rFonts w:hint="eastAsia"/>
              </w:rPr>
              <w:t xml:space="preserve"> 57,229,916.41 </w:t>
            </w:r>
          </w:p>
        </w:tc>
        <w:tc>
          <w:tcPr>
            <w:tcW w:w="992" w:type="pct"/>
            <w:vAlign w:val="center"/>
          </w:tcPr>
          <w:p>
            <w:pPr>
              <w:jc w:val="right"/>
            </w:pPr>
            <w:r>
              <w:rPr>
                <w:rFonts w:hint="eastAsia"/>
              </w:rPr>
              <w:t xml:space="preserve"> 12.31 </w:t>
            </w:r>
          </w:p>
        </w:tc>
        <w:tc>
          <w:tcPr>
            <w:tcW w:w="826" w:type="pct"/>
            <w:vAlign w:val="center"/>
          </w:tcPr>
          <w:p>
            <w:pPr>
              <w:ind w:right="73"/>
              <w:jc w:val="center"/>
            </w:pPr>
            <w:r>
              <w:rPr>
                <w:rFonts w:hint="eastAsia"/>
              </w:rPr>
              <w:t>合并范围内关联方往来</w:t>
            </w:r>
          </w:p>
        </w:tc>
        <w:tc>
          <w:tcPr>
            <w:tcW w:w="684" w:type="pct"/>
            <w:vAlign w:val="center"/>
          </w:tcPr>
          <w:p>
            <w:pPr>
              <w:ind w:right="73"/>
              <w:jc w:val="center"/>
            </w:pPr>
            <w:r>
              <w:rPr>
                <w:rFonts w:hint="eastAsia"/>
              </w:rPr>
              <w:t>1年以内</w:t>
            </w:r>
          </w:p>
        </w:tc>
        <w:tc>
          <w:tcPr>
            <w:tcW w:w="943"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pPr>
              <w:ind w:right="105"/>
            </w:pPr>
            <w:r>
              <w:t>单位</w:t>
            </w:r>
            <w:r>
              <w:rPr>
                <w:rFonts w:hint="eastAsia"/>
              </w:rPr>
              <w:t>5</w:t>
            </w:r>
          </w:p>
        </w:tc>
        <w:tc>
          <w:tcPr>
            <w:tcW w:w="690" w:type="pct"/>
            <w:vAlign w:val="center"/>
          </w:tcPr>
          <w:p>
            <w:pPr>
              <w:ind w:right="73"/>
              <w:jc w:val="right"/>
            </w:pPr>
            <w:r>
              <w:rPr>
                <w:rFonts w:hint="eastAsia"/>
              </w:rPr>
              <w:t xml:space="preserve"> 10,000,000.00 </w:t>
            </w:r>
          </w:p>
        </w:tc>
        <w:tc>
          <w:tcPr>
            <w:tcW w:w="992" w:type="pct"/>
            <w:vAlign w:val="center"/>
          </w:tcPr>
          <w:p>
            <w:pPr>
              <w:jc w:val="right"/>
            </w:pPr>
            <w:r>
              <w:rPr>
                <w:rFonts w:hint="eastAsia"/>
              </w:rPr>
              <w:t xml:space="preserve"> 2.15 </w:t>
            </w:r>
          </w:p>
        </w:tc>
        <w:tc>
          <w:tcPr>
            <w:tcW w:w="826" w:type="pct"/>
            <w:vAlign w:val="center"/>
          </w:tcPr>
          <w:p>
            <w:pPr>
              <w:ind w:right="73"/>
              <w:jc w:val="center"/>
            </w:pPr>
            <w:r>
              <w:rPr>
                <w:rFonts w:hint="eastAsia"/>
              </w:rPr>
              <w:t>押金及保证金</w:t>
            </w:r>
          </w:p>
        </w:tc>
        <w:tc>
          <w:tcPr>
            <w:tcW w:w="684" w:type="pct"/>
            <w:vAlign w:val="center"/>
          </w:tcPr>
          <w:p>
            <w:pPr>
              <w:ind w:right="73"/>
              <w:jc w:val="center"/>
            </w:pPr>
            <w:r>
              <w:rPr>
                <w:rFonts w:hint="eastAsia"/>
              </w:rPr>
              <w:t>1年以内</w:t>
            </w:r>
          </w:p>
        </w:tc>
        <w:tc>
          <w:tcPr>
            <w:tcW w:w="943" w:type="pct"/>
            <w:vAlign w:val="center"/>
          </w:tcPr>
          <w:p>
            <w:pPr>
              <w:jc w:val="right"/>
            </w:pPr>
            <w:r>
              <w:rPr>
                <w:rFonts w:hint="eastAsia"/>
              </w:rPr>
              <w:t>500,000.00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865" w:type="pct"/>
          </w:tcPr>
          <w:p>
            <w:pPr>
              <w:ind w:right="105"/>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90" w:type="pct"/>
            <w:vAlign w:val="center"/>
          </w:tcPr>
          <w:p>
            <w:pPr>
              <w:ind w:right="73"/>
              <w:jc w:val="right"/>
            </w:pPr>
            <w:r>
              <w:t xml:space="preserve"> 441,858,679.28 </w:t>
            </w:r>
          </w:p>
        </w:tc>
        <w:tc>
          <w:tcPr>
            <w:tcW w:w="992" w:type="pct"/>
            <w:vAlign w:val="center"/>
          </w:tcPr>
          <w:p>
            <w:pPr>
              <w:jc w:val="right"/>
            </w:pPr>
            <w:r>
              <w:t xml:space="preserve"> 95.06 </w:t>
            </w:r>
          </w:p>
        </w:tc>
        <w:tc>
          <w:tcPr>
            <w:tcW w:w="826" w:type="pct"/>
          </w:tcPr>
          <w:p>
            <w:pPr>
              <w:ind w:right="73"/>
              <w:jc w:val="center"/>
              <w:rPr>
                <w:color w:val="000000" w:themeColor="text1"/>
                <w14:textFill>
                  <w14:solidFill>
                    <w14:schemeClr w14:val="tx1"/>
                  </w14:solidFill>
                </w14:textFill>
              </w:rPr>
            </w:pPr>
            <w:r>
              <w:t xml:space="preserve"> /</w:t>
            </w:r>
          </w:p>
        </w:tc>
        <w:tc>
          <w:tcPr>
            <w:tcW w:w="684" w:type="pct"/>
          </w:tcPr>
          <w:p>
            <w:pPr>
              <w:ind w:right="73"/>
              <w:jc w:val="center"/>
              <w:rPr>
                <w:color w:val="000000" w:themeColor="text1"/>
                <w14:textFill>
                  <w14:solidFill>
                    <w14:schemeClr w14:val="tx1"/>
                  </w14:solidFill>
                </w14:textFill>
              </w:rPr>
            </w:pPr>
            <w:r>
              <w:t xml:space="preserve"> /</w:t>
            </w:r>
          </w:p>
        </w:tc>
        <w:tc>
          <w:tcPr>
            <w:tcW w:w="943" w:type="pct"/>
            <w:vAlign w:val="center"/>
          </w:tcPr>
          <w:p>
            <w:pPr>
              <w:jc w:val="right"/>
            </w:pPr>
            <w:r>
              <w:t xml:space="preserve"> 500,000.00 </w:t>
            </w:r>
          </w:p>
        </w:tc>
      </w:tr>
    </w:tbl>
    <w:p>
      <w:pPr>
        <w:pStyle w:val="6"/>
        <w:numPr>
          <w:ilvl w:val="0"/>
          <w:numId w:val="103"/>
        </w:numPr>
      </w:pPr>
      <w:bookmarkStart w:id="530" w:name="_Hlk168057150"/>
      <w:bookmarkStart w:id="531" w:name="_Hlk153798113"/>
      <w:r>
        <w:rPr>
          <w:rFonts w:hint="eastAsia"/>
        </w:rPr>
        <w:t>因资金集中管理而列报于其他应收款</w:t>
      </w:r>
    </w:p>
    <w:sdt>
      <w:sdtPr>
        <w:rPr>
          <w:color w:val="000000" w:themeColor="text1"/>
          <w14:textFill>
            <w14:solidFill>
              <w14:schemeClr w14:val="tx1"/>
            </w14:solidFill>
          </w14:textFill>
        </w:rPr>
        <w:alias w:val="是否适用：母公司因资金集中管理而列报于其他应收款[双击切换]"/>
        <w:tag w:val="_GBC_e0997ad9657c40258adda569dcfcbb5a"/>
        <w:id w:val="-510446687"/>
        <w:placeholder>
          <w:docPart w:val="GBC22222222222222222222222222222"/>
        </w:placeholder>
      </w:sdtPr>
      <w:sdtEndPr>
        <w:rPr>
          <w:color w:val="000000" w:themeColor="text1"/>
          <w14:textFill>
            <w14:solidFill>
              <w14:schemeClr w14:val="tx1"/>
            </w14:solidFill>
          </w14:textFill>
        </w:rPr>
      </w:sdtEndPr>
      <w:sdtContent>
        <w:p>
          <w:pPr>
            <w:snapToGrid w:val="0"/>
            <w:spacing w:line="24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30"/>
    <w:bookmarkEnd w:id="531"/>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r>
        <w:rPr>
          <w:color w:val="000000" w:themeColor="text1"/>
          <w14:textFill>
            <w14:solidFill>
              <w14:schemeClr w14:val="tx1"/>
            </w14:solidFill>
          </w14:textFill>
        </w:rPr>
        <w:t>说明：</w:t>
      </w:r>
    </w:p>
    <w:sdt>
      <w:sdtPr>
        <w:rPr>
          <w:color w:val="000000" w:themeColor="text1"/>
          <w14:textFill>
            <w14:solidFill>
              <w14:schemeClr w14:val="tx1"/>
            </w14:solidFill>
          </w14:textFill>
        </w:rPr>
        <w:alias w:val="是否适用：母公司其他应收款的其他说明[双击切换]"/>
        <w:tag w:val="_GBC_2e0f632cbc7d4916b89bf8824f4b71f0"/>
        <w:id w:val="-14153731"/>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101"/>
        </w:num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长期股权投资</w:t>
      </w:r>
    </w:p>
    <w:sdt>
      <w:sdtPr>
        <w:rPr>
          <w:color w:val="000000" w:themeColor="text1"/>
          <w14:textFill>
            <w14:solidFill>
              <w14:schemeClr w14:val="tx1"/>
            </w14:solidFill>
          </w14:textFill>
        </w:rPr>
        <w:alias w:val="是否适用：母公司长期股权投资[双击切换]"/>
        <w:tag w:val="_GBC_61071b9a58624e83bfc4232808751b95"/>
        <w:id w:val="-1379241617"/>
        <w:lock w:val="contentLocked"/>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财务附注：长期股权投资"/>
          <w:tag w:val="_GBC_ee2c3454a2494dfca9c0a07bba82ed3d"/>
          <w:id w:val="3077707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财务附注：长期股权投资"/>
          <w:tag w:val="_GBC_4b4d1a2b986f475e8058a041d2f5a6f9"/>
          <w:id w:val="-436202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1" w:type="dxa"/>
          <w:bottom w:w="0" w:type="dxa"/>
          <w:right w:w="31" w:type="dxa"/>
        </w:tblCellMar>
      </w:tblPr>
      <w:tblGrid>
        <w:gridCol w:w="3565"/>
        <w:gridCol w:w="1750"/>
        <w:gridCol w:w="1711"/>
        <w:gridCol w:w="1711"/>
        <w:gridCol w:w="1753"/>
        <w:gridCol w:w="1731"/>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sdt>
          <w:sdtPr>
            <w:tag w:val="_PLD_69c4a2f49545484e8b3a149f64c9d21f"/>
            <w:id w:val="-313566263"/>
          </w:sdtPr>
          <w:sdtContent>
            <w:tc>
              <w:tcPr>
                <w:tcW w:w="1279" w:type="pct"/>
                <w:vMerge w:val="restar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f7d0566caa554c4c823029a05c5319eb"/>
            <w:id w:val="-1986377232"/>
          </w:sdtPr>
          <w:sdtContent>
            <w:tc>
              <w:tcPr>
                <w:tcW w:w="1856"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w:t>
                </w:r>
              </w:p>
            </w:tc>
          </w:sdtContent>
        </w:sdt>
        <w:sdt>
          <w:sdtPr>
            <w:tag w:val="_PLD_9d2cfae2492a49c2b441d1371a5e4673"/>
            <w:id w:val="-884789436"/>
          </w:sdtPr>
          <w:sdtContent>
            <w:tc>
              <w:tcPr>
                <w:tcW w:w="1865" w:type="pct"/>
                <w:gridSpan w:val="3"/>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vMerge w:val="continue"/>
            <w:vAlign w:val="center"/>
          </w:tcPr>
          <w:p>
            <w:pPr>
              <w:jc w:val="center"/>
              <w:rPr>
                <w:color w:val="000000" w:themeColor="text1"/>
                <w14:textFill>
                  <w14:solidFill>
                    <w14:schemeClr w14:val="tx1"/>
                  </w14:solidFill>
                </w14:textFill>
              </w:rPr>
            </w:pPr>
          </w:p>
        </w:tc>
        <w:sdt>
          <w:sdtPr>
            <w:tag w:val="_PLD_9f664b17996c45f08a57544a9ec7e340"/>
            <w:id w:val="-2067398387"/>
          </w:sdtPr>
          <w:sdtContent>
            <w:tc>
              <w:tcPr>
                <w:tcW w:w="62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5c150a7367994fc29e7f8b50d7ff2eab"/>
            <w:id w:val="-1602256807"/>
          </w:sdtPr>
          <w:sdtContent>
            <w:tc>
              <w:tcPr>
                <w:tcW w:w="61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w:t>
                </w:r>
              </w:p>
            </w:tc>
          </w:sdtContent>
        </w:sdt>
        <w:sdt>
          <w:sdtPr>
            <w:tag w:val="_PLD_3db48da0eacd49568929884577dae51b"/>
            <w:id w:val="913357536"/>
          </w:sdtPr>
          <w:sdtContent>
            <w:tc>
              <w:tcPr>
                <w:tcW w:w="61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sdt>
          <w:sdtPr>
            <w:tag w:val="_PLD_00d8a1d3b6754b52929b2c46a2e716c9"/>
            <w:id w:val="2141146916"/>
          </w:sdtPr>
          <w:sdtContent>
            <w:tc>
              <w:tcPr>
                <w:tcW w:w="62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账面余额</w:t>
                </w:r>
              </w:p>
            </w:tc>
          </w:sdtContent>
        </w:sdt>
        <w:sdt>
          <w:sdtPr>
            <w:tag w:val="_PLD_0f2c77fc41ea456bab34653dee178805"/>
            <w:id w:val="1690873074"/>
          </w:sdtPr>
          <w:sdtContent>
            <w:tc>
              <w:tcPr>
                <w:tcW w:w="621"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w:t>
                </w:r>
              </w:p>
            </w:tc>
          </w:sdtContent>
        </w:sdt>
        <w:sdt>
          <w:sdtPr>
            <w:tag w:val="_PLD_9ae07ed9769c419fa280d4c5ad3f03d7"/>
            <w:id w:val="777686250"/>
          </w:sdtPr>
          <w:sdtContent>
            <w:tc>
              <w:tcPr>
                <w:tcW w:w="615"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账面价值</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对子公司投资</w:t>
            </w:r>
          </w:p>
        </w:tc>
        <w:tc>
          <w:tcPr>
            <w:tcW w:w="628" w:type="pct"/>
          </w:tcPr>
          <w:p>
            <w:pPr>
              <w:jc w:val="right"/>
            </w:pPr>
            <w:r>
              <w:t xml:space="preserve"> 879,779,390.93 </w:t>
            </w:r>
          </w:p>
        </w:tc>
        <w:tc>
          <w:tcPr>
            <w:tcW w:w="614" w:type="pct"/>
          </w:tcPr>
          <w:p>
            <w:pPr>
              <w:jc w:val="right"/>
            </w:pPr>
          </w:p>
        </w:tc>
        <w:tc>
          <w:tcPr>
            <w:tcW w:w="614" w:type="pct"/>
          </w:tcPr>
          <w:p>
            <w:pPr>
              <w:jc w:val="right"/>
            </w:pPr>
            <w:r>
              <w:t xml:space="preserve"> 879,779,390.93 </w:t>
            </w:r>
          </w:p>
        </w:tc>
        <w:tc>
          <w:tcPr>
            <w:tcW w:w="629" w:type="pct"/>
          </w:tcPr>
          <w:p>
            <w:pPr>
              <w:jc w:val="right"/>
            </w:pPr>
            <w:r>
              <w:t xml:space="preserve"> 837,978,675.90 </w:t>
            </w:r>
          </w:p>
        </w:tc>
        <w:tc>
          <w:tcPr>
            <w:tcW w:w="621" w:type="pct"/>
          </w:tcPr>
          <w:p>
            <w:pPr>
              <w:jc w:val="right"/>
            </w:pPr>
          </w:p>
        </w:tc>
        <w:tc>
          <w:tcPr>
            <w:tcW w:w="615" w:type="pct"/>
          </w:tcPr>
          <w:p>
            <w:pPr>
              <w:jc w:val="right"/>
            </w:pPr>
            <w:r>
              <w:t xml:space="preserve"> 837,978,675.90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对联营、合营企业投资</w:t>
            </w:r>
          </w:p>
        </w:tc>
        <w:tc>
          <w:tcPr>
            <w:tcW w:w="628" w:type="pct"/>
          </w:tcPr>
          <w:p>
            <w:pPr>
              <w:jc w:val="right"/>
            </w:pPr>
            <w:r>
              <w:t xml:space="preserve"> 12,935,524.67 </w:t>
            </w:r>
          </w:p>
        </w:tc>
        <w:tc>
          <w:tcPr>
            <w:tcW w:w="614" w:type="pct"/>
          </w:tcPr>
          <w:p>
            <w:pPr>
              <w:jc w:val="right"/>
            </w:pPr>
          </w:p>
        </w:tc>
        <w:tc>
          <w:tcPr>
            <w:tcW w:w="614" w:type="pct"/>
          </w:tcPr>
          <w:p>
            <w:pPr>
              <w:jc w:val="right"/>
            </w:pPr>
            <w:r>
              <w:t xml:space="preserve"> 12,935,524.67 </w:t>
            </w:r>
          </w:p>
        </w:tc>
        <w:tc>
          <w:tcPr>
            <w:tcW w:w="629" w:type="pct"/>
          </w:tcPr>
          <w:p>
            <w:pPr>
              <w:jc w:val="right"/>
            </w:pPr>
            <w:r>
              <w:t xml:space="preserve"> 16,104,348.61 </w:t>
            </w:r>
          </w:p>
        </w:tc>
        <w:tc>
          <w:tcPr>
            <w:tcW w:w="621" w:type="pct"/>
          </w:tcPr>
          <w:p>
            <w:pPr>
              <w:jc w:val="right"/>
            </w:pPr>
          </w:p>
        </w:tc>
        <w:tc>
          <w:tcPr>
            <w:tcW w:w="615" w:type="pct"/>
          </w:tcPr>
          <w:p>
            <w:pPr>
              <w:jc w:val="right"/>
            </w:pPr>
            <w:r>
              <w:t xml:space="preserve"> 16,104,348.61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1" w:type="dxa"/>
            <w:bottom w:w="0" w:type="dxa"/>
            <w:right w:w="31" w:type="dxa"/>
          </w:tblCellMar>
        </w:tblPrEx>
        <w:trPr>
          <w:cantSplit/>
        </w:trPr>
        <w:tc>
          <w:tcPr>
            <w:tcW w:w="1279"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628" w:type="pct"/>
          </w:tcPr>
          <w:p>
            <w:pPr>
              <w:jc w:val="right"/>
            </w:pPr>
            <w:r>
              <w:t xml:space="preserve"> 892,714,915.60 </w:t>
            </w:r>
          </w:p>
        </w:tc>
        <w:tc>
          <w:tcPr>
            <w:tcW w:w="614" w:type="pct"/>
          </w:tcPr>
          <w:p>
            <w:pPr>
              <w:jc w:val="right"/>
            </w:pPr>
          </w:p>
        </w:tc>
        <w:tc>
          <w:tcPr>
            <w:tcW w:w="614" w:type="pct"/>
          </w:tcPr>
          <w:p>
            <w:pPr>
              <w:jc w:val="right"/>
            </w:pPr>
            <w:r>
              <w:t xml:space="preserve"> 892,714,915.60 </w:t>
            </w:r>
          </w:p>
        </w:tc>
        <w:tc>
          <w:tcPr>
            <w:tcW w:w="629" w:type="pct"/>
          </w:tcPr>
          <w:p>
            <w:pPr>
              <w:jc w:val="right"/>
            </w:pPr>
            <w:r>
              <w:t xml:space="preserve"> 854,083,024.51 </w:t>
            </w:r>
          </w:p>
        </w:tc>
        <w:tc>
          <w:tcPr>
            <w:tcW w:w="621" w:type="pct"/>
          </w:tcPr>
          <w:p>
            <w:pPr>
              <w:jc w:val="right"/>
            </w:pPr>
          </w:p>
        </w:tc>
        <w:tc>
          <w:tcPr>
            <w:tcW w:w="615" w:type="pct"/>
          </w:tcPr>
          <w:p>
            <w:pPr>
              <w:jc w:val="right"/>
            </w:pPr>
            <w:r>
              <w:t xml:space="preserve"> 854,083,024.51 </w:t>
            </w:r>
          </w:p>
        </w:tc>
      </w:tr>
    </w:tbl>
    <w:p>
      <w:pPr>
        <w:pStyle w:val="5"/>
        <w:numPr>
          <w:ilvl w:val="0"/>
          <w:numId w:val="104"/>
        </w:numPr>
        <w:rPr>
          <w:rFonts w:hint="eastAsia" w:ascii="宋体" w:hAnsi="宋体"/>
          <w:color w:val="000000" w:themeColor="text1"/>
          <w14:textFill>
            <w14:solidFill>
              <w14:schemeClr w14:val="tx1"/>
            </w14:solidFill>
          </w14:textFill>
        </w:rPr>
      </w:pPr>
      <w:bookmarkStart w:id="532" w:name="_Hlk199854867"/>
      <w:r>
        <w:rPr>
          <w:rFonts w:hint="eastAsia" w:ascii="宋体" w:hAnsi="宋体"/>
          <w:color w:val="000000" w:themeColor="text1"/>
          <w14:textFill>
            <w14:solidFill>
              <w14:schemeClr w14:val="tx1"/>
            </w14:solidFill>
          </w14:textFill>
        </w:rPr>
        <w:t>对子公司投资</w:t>
      </w:r>
    </w:p>
    <w:sdt>
      <w:sdtPr>
        <w:rPr>
          <w:color w:val="000000" w:themeColor="text1"/>
          <w14:textFill>
            <w14:solidFill>
              <w14:schemeClr w14:val="tx1"/>
            </w14:solidFill>
          </w14:textFill>
        </w:rPr>
        <w:alias w:val="是否适用：母公司对子公司投资[双击切换]"/>
        <w:tag w:val="_GBC_c52cee49247d42a9a79deabbd4c8635c"/>
        <w:id w:val="1584176815"/>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财务附注：对子公司投资"/>
          <w:tag w:val="_GBC_84c410d0b81f42e3adfddc3699487310"/>
          <w:id w:val="31468853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财务附注：对子公司投资"/>
          <w:tag w:val="_GBC_97fad72310ba4b849377b0e1cebf7303"/>
          <w:id w:val="-51584866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2"/>
        <w:gridCol w:w="1544"/>
        <w:gridCol w:w="1547"/>
        <w:gridCol w:w="1547"/>
        <w:gridCol w:w="1539"/>
        <w:gridCol w:w="1502"/>
        <w:gridCol w:w="1567"/>
        <w:gridCol w:w="1581"/>
        <w:gridCol w:w="1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sdt>
          <w:sdtPr>
            <w:tag w:val="_PLD_5e30a804ceaa4024b238d79c66b2f2dd"/>
            <w:id w:val="-314801773"/>
          </w:sdtPr>
          <w:sdtContent>
            <w:tc>
              <w:tcPr>
                <w:tcW w:w="608" w:type="pct"/>
                <w:vMerge w:val="restart"/>
                <w:tcBorders>
                  <w:top w:val="single" w:color="auto" w:sz="4" w:space="0"/>
                  <w:left w:val="single" w:color="auto" w:sz="4" w:space="0"/>
                  <w:right w:val="single" w:color="auto" w:sz="4" w:space="0"/>
                </w:tcBorders>
                <w:vAlign w:val="center"/>
              </w:tcPr>
              <w:p>
                <w:pPr>
                  <w:jc w:val="center"/>
                </w:pPr>
                <w:r>
                  <w:rPr>
                    <w:rFonts w:hint="eastAsia"/>
                  </w:rPr>
                  <w:t>被投资单位</w:t>
                </w:r>
              </w:p>
            </w:tc>
          </w:sdtContent>
        </w:sdt>
        <w:sdt>
          <w:sdtPr>
            <w:tag w:val="_PLD_414e7de75190451298fb101077dd4f51"/>
            <w:id w:val="1334492998"/>
          </w:sdtPr>
          <w:sdtContent>
            <w:tc>
              <w:tcPr>
                <w:tcW w:w="548" w:type="pct"/>
                <w:vMerge w:val="restart"/>
                <w:tcBorders>
                  <w:top w:val="single" w:color="auto" w:sz="4" w:space="0"/>
                  <w:left w:val="single" w:color="auto" w:sz="4" w:space="0"/>
                  <w:right w:val="single" w:color="auto" w:sz="4" w:space="0"/>
                </w:tcBorders>
                <w:vAlign w:val="center"/>
              </w:tcPr>
              <w:p>
                <w:pPr>
                  <w:jc w:val="center"/>
                </w:pPr>
                <w:r>
                  <w:rPr>
                    <w:rFonts w:hint="eastAsia"/>
                  </w:rPr>
                  <w:t>期初余额（账面价值）</w:t>
                </w:r>
              </w:p>
            </w:tc>
          </w:sdtContent>
        </w:sdt>
        <w:sdt>
          <w:sdtPr>
            <w:tag w:val="_PLD_13c296ca5c774a46b83afc3a9c08fdab"/>
            <w:id w:val="1398560739"/>
          </w:sdtPr>
          <w:sdtContent>
            <w:tc>
              <w:tcPr>
                <w:tcW w:w="549" w:type="pct"/>
                <w:vMerge w:val="restart"/>
                <w:tcBorders>
                  <w:top w:val="single" w:color="auto" w:sz="4" w:space="0"/>
                  <w:left w:val="single" w:color="auto" w:sz="4" w:space="0"/>
                  <w:right w:val="single" w:color="auto" w:sz="4" w:space="0"/>
                </w:tcBorders>
                <w:vAlign w:val="center"/>
              </w:tcPr>
              <w:p>
                <w:pPr>
                  <w:jc w:val="center"/>
                </w:pPr>
                <w:r>
                  <w:rPr>
                    <w:rFonts w:hint="eastAsia"/>
                  </w:rPr>
                  <w:t>减值准备期初余额</w:t>
                </w:r>
              </w:p>
            </w:tc>
          </w:sdtContent>
        </w:sdt>
        <w:sdt>
          <w:sdtPr>
            <w:tag w:val="_PLD_38d284e511fe4000a53245d837ffe0fb"/>
            <w:id w:val="128439302"/>
          </w:sdtPr>
          <w:sdtContent>
            <w:tc>
              <w:tcPr>
                <w:tcW w:w="2184"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本期增减变动</w:t>
                </w:r>
              </w:p>
            </w:tc>
          </w:sdtContent>
        </w:sdt>
        <w:sdt>
          <w:sdtPr>
            <w:tag w:val="_PLD_f92255f6ae8b4ccdb039b28bf9204156"/>
            <w:id w:val="1161034168"/>
          </w:sdtPr>
          <w:sdtContent>
            <w:tc>
              <w:tcPr>
                <w:tcW w:w="561" w:type="pct"/>
                <w:vMerge w:val="restart"/>
                <w:tcBorders>
                  <w:top w:val="single" w:color="auto" w:sz="4" w:space="0"/>
                  <w:left w:val="single" w:color="auto" w:sz="4" w:space="0"/>
                  <w:right w:val="single" w:color="auto" w:sz="4" w:space="0"/>
                </w:tcBorders>
                <w:vAlign w:val="center"/>
              </w:tcPr>
              <w:p>
                <w:pPr>
                  <w:jc w:val="center"/>
                </w:pPr>
                <w:r>
                  <w:rPr>
                    <w:rFonts w:hint="eastAsia"/>
                  </w:rPr>
                  <w:t>期末余额（账面价值）</w:t>
                </w:r>
              </w:p>
            </w:tc>
          </w:sdtContent>
        </w:sdt>
        <w:sdt>
          <w:sdtPr>
            <w:tag w:val="_PLD_2f11e6808a6f4c8b9936f3229bb0c312"/>
            <w:id w:val="2139690246"/>
          </w:sdtPr>
          <w:sdtContent>
            <w:tc>
              <w:tcPr>
                <w:tcW w:w="550" w:type="pct"/>
                <w:vMerge w:val="restart"/>
                <w:tcBorders>
                  <w:top w:val="single" w:color="auto" w:sz="4" w:space="0"/>
                  <w:left w:val="single" w:color="auto" w:sz="4" w:space="0"/>
                  <w:right w:val="single" w:color="auto" w:sz="4" w:space="0"/>
                </w:tcBorders>
                <w:vAlign w:val="center"/>
              </w:tcPr>
              <w:p>
                <w:pPr>
                  <w:jc w:val="center"/>
                </w:pPr>
                <w:r>
                  <w:rPr>
                    <w:rFonts w:hint="eastAsia"/>
                  </w:rPr>
                  <w:t>减值准备期末余额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08" w:type="pct"/>
            <w:vMerge w:val="continue"/>
            <w:tcBorders>
              <w:left w:val="single" w:color="auto" w:sz="4" w:space="0"/>
              <w:bottom w:val="single" w:color="auto" w:sz="4" w:space="0"/>
              <w:right w:val="single" w:color="auto" w:sz="4" w:space="0"/>
            </w:tcBorders>
            <w:vAlign w:val="center"/>
          </w:tcPr>
          <w:p>
            <w:pPr>
              <w:jc w:val="center"/>
            </w:pPr>
          </w:p>
        </w:tc>
        <w:tc>
          <w:tcPr>
            <w:tcW w:w="548" w:type="pct"/>
            <w:vMerge w:val="continue"/>
            <w:tcBorders>
              <w:left w:val="single" w:color="auto" w:sz="4" w:space="0"/>
              <w:bottom w:val="single" w:color="auto" w:sz="4" w:space="0"/>
              <w:right w:val="single" w:color="auto" w:sz="4" w:space="0"/>
            </w:tcBorders>
            <w:vAlign w:val="center"/>
          </w:tcPr>
          <w:p>
            <w:pPr>
              <w:jc w:val="center"/>
            </w:pPr>
          </w:p>
        </w:tc>
        <w:tc>
          <w:tcPr>
            <w:tcW w:w="549" w:type="pct"/>
            <w:vMerge w:val="continue"/>
            <w:tcBorders>
              <w:left w:val="single" w:color="auto" w:sz="4" w:space="0"/>
              <w:bottom w:val="single" w:color="auto" w:sz="4" w:space="0"/>
              <w:right w:val="single" w:color="auto" w:sz="4" w:space="0"/>
            </w:tcBorders>
            <w:vAlign w:val="center"/>
          </w:tcPr>
          <w:p>
            <w:pPr>
              <w:jc w:val="center"/>
            </w:pPr>
          </w:p>
        </w:tc>
        <w:sdt>
          <w:sdtPr>
            <w:tag w:val="_PLD_f5b021383bb548b49923eb6da9f9508b"/>
            <w:id w:val="-673652692"/>
          </w:sdtPr>
          <w:sdtContent>
            <w:tc>
              <w:tcPr>
                <w:tcW w:w="54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追加投资</w:t>
                </w:r>
              </w:p>
            </w:tc>
          </w:sdtContent>
        </w:sdt>
        <w:sdt>
          <w:sdtPr>
            <w:tag w:val="_PLD_b8d09cf97c8b48a3aaf395198d3c74de"/>
            <w:id w:val="1751932409"/>
          </w:sdtPr>
          <w:sdtContent>
            <w:tc>
              <w:tcPr>
                <w:tcW w:w="546" w:type="pct"/>
                <w:tcBorders>
                  <w:left w:val="single" w:color="auto" w:sz="4" w:space="0"/>
                  <w:bottom w:val="single" w:color="auto" w:sz="4" w:space="0"/>
                  <w:right w:val="single" w:color="auto" w:sz="4" w:space="0"/>
                </w:tcBorders>
                <w:vAlign w:val="center"/>
              </w:tcPr>
              <w:p>
                <w:pPr>
                  <w:jc w:val="center"/>
                </w:pPr>
                <w:r>
                  <w:rPr>
                    <w:rFonts w:hint="eastAsia"/>
                  </w:rPr>
                  <w:t>减少投资</w:t>
                </w:r>
              </w:p>
            </w:tc>
          </w:sdtContent>
        </w:sdt>
        <w:sdt>
          <w:sdtPr>
            <w:tag w:val="_PLD_65083c46ec1c4666ad2656e7657e9fd1"/>
            <w:id w:val="1672057317"/>
          </w:sdtPr>
          <w:sdtContent>
            <w:tc>
              <w:tcPr>
                <w:tcW w:w="533" w:type="pct"/>
                <w:tcBorders>
                  <w:left w:val="single" w:color="auto" w:sz="4" w:space="0"/>
                  <w:bottom w:val="single" w:color="auto" w:sz="4" w:space="0"/>
                  <w:right w:val="single" w:color="auto" w:sz="4" w:space="0"/>
                </w:tcBorders>
                <w:vAlign w:val="center"/>
              </w:tcPr>
              <w:p>
                <w:pPr>
                  <w:jc w:val="center"/>
                </w:pPr>
                <w:r>
                  <w:rPr>
                    <w:rFonts w:hint="eastAsia"/>
                  </w:rPr>
                  <w:t>计提减值准备</w:t>
                </w:r>
              </w:p>
            </w:tc>
          </w:sdtContent>
        </w:sdt>
        <w:sdt>
          <w:sdtPr>
            <w:tag w:val="_PLD_2fd0b6df5fee4d3a8b432fa87f15d3c6"/>
            <w:id w:val="1663120288"/>
          </w:sdtPr>
          <w:sdtContent>
            <w:tc>
              <w:tcPr>
                <w:tcW w:w="556" w:type="pct"/>
                <w:tcBorders>
                  <w:left w:val="single" w:color="auto" w:sz="4" w:space="0"/>
                  <w:bottom w:val="single" w:color="auto" w:sz="4" w:space="0"/>
                  <w:right w:val="single" w:color="auto" w:sz="4" w:space="0"/>
                </w:tcBorders>
                <w:vAlign w:val="center"/>
              </w:tcPr>
              <w:p>
                <w:pPr>
                  <w:jc w:val="center"/>
                </w:pPr>
                <w:r>
                  <w:rPr>
                    <w:rFonts w:hint="eastAsia"/>
                  </w:rPr>
                  <w:t>其他</w:t>
                </w:r>
              </w:p>
            </w:tc>
          </w:sdtContent>
        </w:sdt>
        <w:tc>
          <w:tcPr>
            <w:tcW w:w="561" w:type="pct"/>
            <w:vMerge w:val="continue"/>
            <w:tcBorders>
              <w:left w:val="single" w:color="auto" w:sz="4" w:space="0"/>
              <w:bottom w:val="single" w:color="auto" w:sz="4" w:space="0"/>
              <w:right w:val="single" w:color="auto" w:sz="4" w:space="0"/>
            </w:tcBorders>
            <w:vAlign w:val="center"/>
          </w:tcPr>
          <w:p>
            <w:pPr>
              <w:jc w:val="center"/>
            </w:pPr>
          </w:p>
        </w:tc>
        <w:tc>
          <w:tcPr>
            <w:tcW w:w="550" w:type="pct"/>
            <w:vMerge w:val="continue"/>
            <w:tcBorders>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pct"/>
            <w:tcBorders>
              <w:top w:val="single" w:color="auto" w:sz="4" w:space="0"/>
              <w:left w:val="single" w:color="auto" w:sz="4" w:space="0"/>
              <w:bottom w:val="single" w:color="auto" w:sz="4" w:space="0"/>
              <w:right w:val="single" w:color="auto" w:sz="4" w:space="0"/>
            </w:tcBorders>
          </w:tcPr>
          <w:p>
            <w:pPr>
              <w:pStyle w:val="48"/>
            </w:pPr>
            <w:r>
              <w:rPr>
                <w:rFonts w:hint="eastAsia"/>
              </w:rPr>
              <w:t>云南变压器电气股份有限公司</w:t>
            </w:r>
          </w:p>
        </w:tc>
        <w:tc>
          <w:tcPr>
            <w:tcW w:w="548" w:type="pct"/>
            <w:tcBorders>
              <w:top w:val="single" w:color="auto" w:sz="4" w:space="0"/>
              <w:left w:val="single" w:color="auto" w:sz="4" w:space="0"/>
              <w:bottom w:val="single" w:color="auto" w:sz="4" w:space="0"/>
              <w:right w:val="single" w:color="auto" w:sz="4" w:space="0"/>
            </w:tcBorders>
            <w:vAlign w:val="center"/>
          </w:tcPr>
          <w:p>
            <w:pPr>
              <w:jc w:val="right"/>
            </w:pPr>
            <w:r>
              <w:t xml:space="preserve">680,229,969.00 </w:t>
            </w: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6" w:type="pct"/>
            <w:tcBorders>
              <w:top w:val="single" w:color="auto" w:sz="4" w:space="0"/>
              <w:left w:val="single" w:color="auto" w:sz="4" w:space="0"/>
              <w:bottom w:val="single" w:color="auto" w:sz="4" w:space="0"/>
              <w:right w:val="single" w:color="auto" w:sz="4" w:space="0"/>
            </w:tcBorders>
            <w:vAlign w:val="center"/>
          </w:tcPr>
          <w:p>
            <w:pPr>
              <w:jc w:val="right"/>
            </w:pPr>
          </w:p>
        </w:tc>
        <w:tc>
          <w:tcPr>
            <w:tcW w:w="533" w:type="pct"/>
            <w:tcBorders>
              <w:top w:val="single" w:color="auto" w:sz="4" w:space="0"/>
              <w:left w:val="single" w:color="auto" w:sz="4" w:space="0"/>
              <w:bottom w:val="single" w:color="auto" w:sz="4" w:space="0"/>
              <w:right w:val="single" w:color="auto" w:sz="4" w:space="0"/>
            </w:tcBorders>
            <w:vAlign w:val="center"/>
          </w:tcPr>
          <w:p>
            <w:pPr>
              <w:jc w:val="right"/>
            </w:pPr>
          </w:p>
        </w:tc>
        <w:tc>
          <w:tcPr>
            <w:tcW w:w="556" w:type="pct"/>
            <w:tcBorders>
              <w:top w:val="single" w:color="auto" w:sz="4" w:space="0"/>
              <w:left w:val="single" w:color="auto" w:sz="4" w:space="0"/>
              <w:bottom w:val="single" w:color="auto" w:sz="4" w:space="0"/>
              <w:right w:val="single" w:color="auto" w:sz="4" w:space="0"/>
            </w:tcBorders>
            <w:vAlign w:val="center"/>
          </w:tcPr>
          <w:p>
            <w:pPr>
              <w:jc w:val="right"/>
            </w:pPr>
          </w:p>
        </w:tc>
        <w:tc>
          <w:tcPr>
            <w:tcW w:w="561" w:type="pct"/>
            <w:tcBorders>
              <w:top w:val="single" w:color="auto" w:sz="4" w:space="0"/>
              <w:left w:val="single" w:color="auto" w:sz="4" w:space="0"/>
              <w:bottom w:val="single" w:color="auto" w:sz="4" w:space="0"/>
              <w:right w:val="single" w:color="auto" w:sz="4" w:space="0"/>
            </w:tcBorders>
            <w:vAlign w:val="center"/>
          </w:tcPr>
          <w:p>
            <w:pPr>
              <w:jc w:val="right"/>
            </w:pPr>
            <w:r>
              <w:t xml:space="preserve">680,229,969.00 </w:t>
            </w:r>
          </w:p>
        </w:tc>
        <w:tc>
          <w:tcPr>
            <w:tcW w:w="55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pct"/>
            <w:tcBorders>
              <w:top w:val="single" w:color="auto" w:sz="4" w:space="0"/>
              <w:left w:val="single" w:color="auto" w:sz="4" w:space="0"/>
              <w:bottom w:val="single" w:color="auto" w:sz="4" w:space="0"/>
              <w:right w:val="single" w:color="auto" w:sz="4" w:space="0"/>
            </w:tcBorders>
          </w:tcPr>
          <w:p>
            <w:pPr>
              <w:pStyle w:val="48"/>
            </w:pPr>
            <w:r>
              <w:rPr>
                <w:rFonts w:hint="eastAsia"/>
              </w:rPr>
              <w:t>重庆惠泽电器有限公司</w:t>
            </w:r>
          </w:p>
        </w:tc>
        <w:tc>
          <w:tcPr>
            <w:tcW w:w="548" w:type="pct"/>
            <w:tcBorders>
              <w:top w:val="single" w:color="auto" w:sz="4" w:space="0"/>
              <w:left w:val="single" w:color="auto" w:sz="4" w:space="0"/>
              <w:bottom w:val="single" w:color="auto" w:sz="4" w:space="0"/>
              <w:right w:val="single" w:color="auto" w:sz="4" w:space="0"/>
            </w:tcBorders>
            <w:vAlign w:val="center"/>
          </w:tcPr>
          <w:p>
            <w:pPr>
              <w:jc w:val="right"/>
            </w:pPr>
            <w:r>
              <w:t xml:space="preserve"> 40,181,504.66 </w:t>
            </w: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6" w:type="pct"/>
            <w:tcBorders>
              <w:top w:val="single" w:color="auto" w:sz="4" w:space="0"/>
              <w:left w:val="single" w:color="auto" w:sz="4" w:space="0"/>
              <w:bottom w:val="single" w:color="auto" w:sz="4" w:space="0"/>
              <w:right w:val="single" w:color="auto" w:sz="4" w:space="0"/>
            </w:tcBorders>
            <w:vAlign w:val="center"/>
          </w:tcPr>
          <w:p>
            <w:pPr>
              <w:jc w:val="right"/>
            </w:pPr>
          </w:p>
        </w:tc>
        <w:tc>
          <w:tcPr>
            <w:tcW w:w="533" w:type="pct"/>
            <w:tcBorders>
              <w:top w:val="single" w:color="auto" w:sz="4" w:space="0"/>
              <w:left w:val="single" w:color="auto" w:sz="4" w:space="0"/>
              <w:bottom w:val="single" w:color="auto" w:sz="4" w:space="0"/>
              <w:right w:val="single" w:color="auto" w:sz="4" w:space="0"/>
            </w:tcBorders>
            <w:vAlign w:val="center"/>
          </w:tcPr>
          <w:p>
            <w:pPr>
              <w:jc w:val="right"/>
            </w:pPr>
          </w:p>
        </w:tc>
        <w:tc>
          <w:tcPr>
            <w:tcW w:w="556" w:type="pct"/>
            <w:tcBorders>
              <w:top w:val="single" w:color="auto" w:sz="4" w:space="0"/>
              <w:left w:val="single" w:color="auto" w:sz="4" w:space="0"/>
              <w:bottom w:val="single" w:color="auto" w:sz="4" w:space="0"/>
              <w:right w:val="single" w:color="auto" w:sz="4" w:space="0"/>
            </w:tcBorders>
            <w:vAlign w:val="center"/>
          </w:tcPr>
          <w:p>
            <w:pPr>
              <w:jc w:val="right"/>
            </w:pPr>
          </w:p>
        </w:tc>
        <w:tc>
          <w:tcPr>
            <w:tcW w:w="561" w:type="pct"/>
            <w:tcBorders>
              <w:top w:val="single" w:color="auto" w:sz="4" w:space="0"/>
              <w:left w:val="single" w:color="auto" w:sz="4" w:space="0"/>
              <w:bottom w:val="single" w:color="auto" w:sz="4" w:space="0"/>
              <w:right w:val="single" w:color="auto" w:sz="4" w:space="0"/>
            </w:tcBorders>
            <w:vAlign w:val="center"/>
          </w:tcPr>
          <w:p>
            <w:pPr>
              <w:jc w:val="right"/>
            </w:pPr>
            <w:r>
              <w:t xml:space="preserve"> 40,181,504.66 </w:t>
            </w:r>
          </w:p>
        </w:tc>
        <w:tc>
          <w:tcPr>
            <w:tcW w:w="55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pct"/>
            <w:tcBorders>
              <w:top w:val="single" w:color="auto" w:sz="4" w:space="0"/>
              <w:left w:val="single" w:color="auto" w:sz="4" w:space="0"/>
              <w:bottom w:val="single" w:color="auto" w:sz="4" w:space="0"/>
              <w:right w:val="single" w:color="auto" w:sz="4" w:space="0"/>
            </w:tcBorders>
          </w:tcPr>
          <w:p>
            <w:pPr>
              <w:pStyle w:val="48"/>
            </w:pPr>
            <w:r>
              <w:rPr>
                <w:rFonts w:hint="eastAsia"/>
              </w:rPr>
              <w:t>黔南望江变压器有限公司</w:t>
            </w:r>
          </w:p>
        </w:tc>
        <w:tc>
          <w:tcPr>
            <w:tcW w:w="548" w:type="pct"/>
            <w:tcBorders>
              <w:top w:val="single" w:color="auto" w:sz="4" w:space="0"/>
              <w:left w:val="single" w:color="auto" w:sz="4" w:space="0"/>
              <w:bottom w:val="single" w:color="auto" w:sz="4" w:space="0"/>
              <w:right w:val="single" w:color="auto" w:sz="4" w:space="0"/>
            </w:tcBorders>
            <w:vAlign w:val="center"/>
          </w:tcPr>
          <w:p>
            <w:pPr>
              <w:jc w:val="right"/>
            </w:pPr>
            <w:r>
              <w:t xml:space="preserve"> 60,427,202.24 </w:t>
            </w: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6" w:type="pct"/>
            <w:tcBorders>
              <w:top w:val="single" w:color="auto" w:sz="4" w:space="0"/>
              <w:left w:val="single" w:color="auto" w:sz="4" w:space="0"/>
              <w:bottom w:val="single" w:color="auto" w:sz="4" w:space="0"/>
              <w:right w:val="single" w:color="auto" w:sz="4" w:space="0"/>
            </w:tcBorders>
            <w:vAlign w:val="center"/>
          </w:tcPr>
          <w:p>
            <w:pPr>
              <w:jc w:val="right"/>
            </w:pPr>
          </w:p>
        </w:tc>
        <w:tc>
          <w:tcPr>
            <w:tcW w:w="533" w:type="pct"/>
            <w:tcBorders>
              <w:top w:val="single" w:color="auto" w:sz="4" w:space="0"/>
              <w:left w:val="single" w:color="auto" w:sz="4" w:space="0"/>
              <w:bottom w:val="single" w:color="auto" w:sz="4" w:space="0"/>
              <w:right w:val="single" w:color="auto" w:sz="4" w:space="0"/>
            </w:tcBorders>
            <w:vAlign w:val="center"/>
          </w:tcPr>
          <w:p>
            <w:pPr>
              <w:jc w:val="right"/>
            </w:pPr>
          </w:p>
        </w:tc>
        <w:tc>
          <w:tcPr>
            <w:tcW w:w="556" w:type="pct"/>
            <w:tcBorders>
              <w:top w:val="single" w:color="auto" w:sz="4" w:space="0"/>
              <w:left w:val="single" w:color="auto" w:sz="4" w:space="0"/>
              <w:bottom w:val="single" w:color="auto" w:sz="4" w:space="0"/>
              <w:right w:val="single" w:color="auto" w:sz="4" w:space="0"/>
            </w:tcBorders>
            <w:vAlign w:val="center"/>
          </w:tcPr>
          <w:p>
            <w:pPr>
              <w:jc w:val="right"/>
            </w:pPr>
          </w:p>
        </w:tc>
        <w:tc>
          <w:tcPr>
            <w:tcW w:w="561" w:type="pct"/>
            <w:tcBorders>
              <w:top w:val="single" w:color="auto" w:sz="4" w:space="0"/>
              <w:left w:val="single" w:color="auto" w:sz="4" w:space="0"/>
              <w:bottom w:val="single" w:color="auto" w:sz="4" w:space="0"/>
              <w:right w:val="single" w:color="auto" w:sz="4" w:space="0"/>
            </w:tcBorders>
            <w:vAlign w:val="center"/>
          </w:tcPr>
          <w:p>
            <w:pPr>
              <w:jc w:val="right"/>
            </w:pPr>
            <w:r>
              <w:t xml:space="preserve"> 60,427,202.24 </w:t>
            </w:r>
          </w:p>
        </w:tc>
        <w:tc>
          <w:tcPr>
            <w:tcW w:w="55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pct"/>
            <w:tcBorders>
              <w:top w:val="single" w:color="auto" w:sz="4" w:space="0"/>
              <w:left w:val="single" w:color="auto" w:sz="4" w:space="0"/>
              <w:bottom w:val="single" w:color="auto" w:sz="4" w:space="0"/>
              <w:right w:val="single" w:color="auto" w:sz="4" w:space="0"/>
            </w:tcBorders>
          </w:tcPr>
          <w:p>
            <w:pPr>
              <w:pStyle w:val="48"/>
            </w:pPr>
            <w:r>
              <w:rPr>
                <w:rFonts w:hint="eastAsia"/>
              </w:rPr>
              <w:t>上海渝申望变新能源科技有限公司</w:t>
            </w:r>
          </w:p>
        </w:tc>
        <w:tc>
          <w:tcPr>
            <w:tcW w:w="548" w:type="pct"/>
            <w:tcBorders>
              <w:top w:val="single" w:color="auto" w:sz="4" w:space="0"/>
              <w:left w:val="single" w:color="auto" w:sz="4" w:space="0"/>
              <w:bottom w:val="single" w:color="auto" w:sz="4" w:space="0"/>
              <w:right w:val="single" w:color="auto" w:sz="4" w:space="0"/>
            </w:tcBorders>
            <w:vAlign w:val="center"/>
          </w:tcPr>
          <w:p>
            <w:pPr>
              <w:jc w:val="right"/>
            </w:pPr>
            <w:r>
              <w:t xml:space="preserve"> 2,040,000.00 </w:t>
            </w: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6" w:type="pct"/>
            <w:tcBorders>
              <w:top w:val="single" w:color="auto" w:sz="4" w:space="0"/>
              <w:left w:val="single" w:color="auto" w:sz="4" w:space="0"/>
              <w:bottom w:val="single" w:color="auto" w:sz="4" w:space="0"/>
              <w:right w:val="single" w:color="auto" w:sz="4" w:space="0"/>
            </w:tcBorders>
            <w:vAlign w:val="center"/>
          </w:tcPr>
          <w:p>
            <w:pPr>
              <w:jc w:val="right"/>
            </w:pPr>
          </w:p>
        </w:tc>
        <w:tc>
          <w:tcPr>
            <w:tcW w:w="533" w:type="pct"/>
            <w:tcBorders>
              <w:top w:val="single" w:color="auto" w:sz="4" w:space="0"/>
              <w:left w:val="single" w:color="auto" w:sz="4" w:space="0"/>
              <w:bottom w:val="single" w:color="auto" w:sz="4" w:space="0"/>
              <w:right w:val="single" w:color="auto" w:sz="4" w:space="0"/>
            </w:tcBorders>
            <w:vAlign w:val="center"/>
          </w:tcPr>
          <w:p>
            <w:pPr>
              <w:jc w:val="right"/>
            </w:pPr>
          </w:p>
        </w:tc>
        <w:tc>
          <w:tcPr>
            <w:tcW w:w="556" w:type="pct"/>
            <w:tcBorders>
              <w:top w:val="single" w:color="auto" w:sz="4" w:space="0"/>
              <w:left w:val="single" w:color="auto" w:sz="4" w:space="0"/>
              <w:bottom w:val="single" w:color="auto" w:sz="4" w:space="0"/>
              <w:right w:val="single" w:color="auto" w:sz="4" w:space="0"/>
            </w:tcBorders>
            <w:vAlign w:val="center"/>
          </w:tcPr>
          <w:p>
            <w:pPr>
              <w:jc w:val="right"/>
            </w:pPr>
          </w:p>
        </w:tc>
        <w:tc>
          <w:tcPr>
            <w:tcW w:w="561" w:type="pct"/>
            <w:tcBorders>
              <w:top w:val="single" w:color="auto" w:sz="4" w:space="0"/>
              <w:left w:val="single" w:color="auto" w:sz="4" w:space="0"/>
              <w:bottom w:val="single" w:color="auto" w:sz="4" w:space="0"/>
              <w:right w:val="single" w:color="auto" w:sz="4" w:space="0"/>
            </w:tcBorders>
            <w:vAlign w:val="center"/>
          </w:tcPr>
          <w:p>
            <w:pPr>
              <w:jc w:val="right"/>
            </w:pPr>
            <w:r>
              <w:t xml:space="preserve"> 2,040,000.00 </w:t>
            </w:r>
          </w:p>
        </w:tc>
        <w:tc>
          <w:tcPr>
            <w:tcW w:w="55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pct"/>
            <w:tcBorders>
              <w:top w:val="single" w:color="auto" w:sz="4" w:space="0"/>
              <w:left w:val="single" w:color="auto" w:sz="4" w:space="0"/>
              <w:bottom w:val="single" w:color="auto" w:sz="4" w:space="0"/>
              <w:right w:val="single" w:color="auto" w:sz="4" w:space="0"/>
            </w:tcBorders>
          </w:tcPr>
          <w:p>
            <w:pPr>
              <w:pStyle w:val="48"/>
            </w:pPr>
            <w:r>
              <w:rPr>
                <w:rFonts w:hint="eastAsia"/>
              </w:rPr>
              <w:t>沈阳望泽电气有限公司</w:t>
            </w:r>
          </w:p>
        </w:tc>
        <w:tc>
          <w:tcPr>
            <w:tcW w:w="548" w:type="pct"/>
            <w:tcBorders>
              <w:top w:val="single" w:color="auto" w:sz="4" w:space="0"/>
              <w:left w:val="single" w:color="auto" w:sz="4" w:space="0"/>
              <w:bottom w:val="single" w:color="auto" w:sz="4" w:space="0"/>
              <w:right w:val="single" w:color="auto" w:sz="4" w:space="0"/>
            </w:tcBorders>
            <w:vAlign w:val="center"/>
          </w:tcPr>
          <w:p>
            <w:pPr>
              <w:jc w:val="right"/>
            </w:pPr>
            <w:r>
              <w:t xml:space="preserve"> 5,100,000.00 </w:t>
            </w: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6" w:type="pct"/>
            <w:tcBorders>
              <w:top w:val="single" w:color="auto" w:sz="4" w:space="0"/>
              <w:left w:val="single" w:color="auto" w:sz="4" w:space="0"/>
              <w:bottom w:val="single" w:color="auto" w:sz="4" w:space="0"/>
              <w:right w:val="single" w:color="auto" w:sz="4" w:space="0"/>
            </w:tcBorders>
            <w:vAlign w:val="center"/>
          </w:tcPr>
          <w:p>
            <w:pPr>
              <w:jc w:val="right"/>
            </w:pPr>
          </w:p>
        </w:tc>
        <w:tc>
          <w:tcPr>
            <w:tcW w:w="533" w:type="pct"/>
            <w:tcBorders>
              <w:top w:val="single" w:color="auto" w:sz="4" w:space="0"/>
              <w:left w:val="single" w:color="auto" w:sz="4" w:space="0"/>
              <w:bottom w:val="single" w:color="auto" w:sz="4" w:space="0"/>
              <w:right w:val="single" w:color="auto" w:sz="4" w:space="0"/>
            </w:tcBorders>
            <w:vAlign w:val="center"/>
          </w:tcPr>
          <w:p>
            <w:pPr>
              <w:jc w:val="right"/>
            </w:pPr>
          </w:p>
        </w:tc>
        <w:tc>
          <w:tcPr>
            <w:tcW w:w="556" w:type="pct"/>
            <w:tcBorders>
              <w:top w:val="single" w:color="auto" w:sz="4" w:space="0"/>
              <w:left w:val="single" w:color="auto" w:sz="4" w:space="0"/>
              <w:bottom w:val="single" w:color="auto" w:sz="4" w:space="0"/>
              <w:right w:val="single" w:color="auto" w:sz="4" w:space="0"/>
            </w:tcBorders>
            <w:vAlign w:val="center"/>
          </w:tcPr>
          <w:p>
            <w:pPr>
              <w:jc w:val="right"/>
            </w:pPr>
          </w:p>
        </w:tc>
        <w:tc>
          <w:tcPr>
            <w:tcW w:w="561" w:type="pct"/>
            <w:tcBorders>
              <w:top w:val="single" w:color="auto" w:sz="4" w:space="0"/>
              <w:left w:val="single" w:color="auto" w:sz="4" w:space="0"/>
              <w:bottom w:val="single" w:color="auto" w:sz="4" w:space="0"/>
              <w:right w:val="single" w:color="auto" w:sz="4" w:space="0"/>
            </w:tcBorders>
            <w:vAlign w:val="center"/>
          </w:tcPr>
          <w:p>
            <w:pPr>
              <w:jc w:val="right"/>
            </w:pPr>
            <w:r>
              <w:t xml:space="preserve"> 5,100,000.00 </w:t>
            </w:r>
          </w:p>
        </w:tc>
        <w:tc>
          <w:tcPr>
            <w:tcW w:w="55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pct"/>
            <w:tcBorders>
              <w:top w:val="single" w:color="auto" w:sz="4" w:space="0"/>
              <w:left w:val="single" w:color="auto" w:sz="4" w:space="0"/>
              <w:bottom w:val="single" w:color="auto" w:sz="4" w:space="0"/>
              <w:right w:val="single" w:color="auto" w:sz="4" w:space="0"/>
            </w:tcBorders>
          </w:tcPr>
          <w:p>
            <w:pPr>
              <w:pStyle w:val="48"/>
            </w:pPr>
            <w:r>
              <w:rPr>
                <w:rFonts w:hint="eastAsia"/>
              </w:rPr>
              <w:t>望来充（重庆）科技有限责任公司</w:t>
            </w:r>
          </w:p>
        </w:tc>
        <w:tc>
          <w:tcPr>
            <w:tcW w:w="548" w:type="pct"/>
            <w:tcBorders>
              <w:top w:val="single" w:color="auto" w:sz="4" w:space="0"/>
              <w:left w:val="single" w:color="auto" w:sz="4" w:space="0"/>
              <w:bottom w:val="single" w:color="auto" w:sz="4" w:space="0"/>
              <w:right w:val="single" w:color="auto" w:sz="4" w:space="0"/>
            </w:tcBorders>
            <w:vAlign w:val="center"/>
          </w:tcPr>
          <w:p>
            <w:pPr>
              <w:jc w:val="right"/>
            </w:pPr>
            <w:r>
              <w:t xml:space="preserve"> 50,000,000.00 </w:t>
            </w: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6" w:type="pct"/>
            <w:tcBorders>
              <w:top w:val="single" w:color="auto" w:sz="4" w:space="0"/>
              <w:left w:val="single" w:color="auto" w:sz="4" w:space="0"/>
              <w:bottom w:val="single" w:color="auto" w:sz="4" w:space="0"/>
              <w:right w:val="single" w:color="auto" w:sz="4" w:space="0"/>
            </w:tcBorders>
            <w:vAlign w:val="center"/>
          </w:tcPr>
          <w:p>
            <w:pPr>
              <w:jc w:val="right"/>
            </w:pPr>
          </w:p>
        </w:tc>
        <w:tc>
          <w:tcPr>
            <w:tcW w:w="533" w:type="pct"/>
            <w:tcBorders>
              <w:top w:val="single" w:color="auto" w:sz="4" w:space="0"/>
              <w:left w:val="single" w:color="auto" w:sz="4" w:space="0"/>
              <w:bottom w:val="single" w:color="auto" w:sz="4" w:space="0"/>
              <w:right w:val="single" w:color="auto" w:sz="4" w:space="0"/>
            </w:tcBorders>
            <w:vAlign w:val="center"/>
          </w:tcPr>
          <w:p>
            <w:pPr>
              <w:jc w:val="right"/>
            </w:pPr>
          </w:p>
        </w:tc>
        <w:tc>
          <w:tcPr>
            <w:tcW w:w="556" w:type="pct"/>
            <w:tcBorders>
              <w:top w:val="single" w:color="auto" w:sz="4" w:space="0"/>
              <w:left w:val="single" w:color="auto" w:sz="4" w:space="0"/>
              <w:bottom w:val="single" w:color="auto" w:sz="4" w:space="0"/>
              <w:right w:val="single" w:color="auto" w:sz="4" w:space="0"/>
            </w:tcBorders>
            <w:vAlign w:val="center"/>
          </w:tcPr>
          <w:p>
            <w:pPr>
              <w:jc w:val="right"/>
            </w:pPr>
          </w:p>
        </w:tc>
        <w:tc>
          <w:tcPr>
            <w:tcW w:w="561" w:type="pct"/>
            <w:tcBorders>
              <w:top w:val="single" w:color="auto" w:sz="4" w:space="0"/>
              <w:left w:val="single" w:color="auto" w:sz="4" w:space="0"/>
              <w:bottom w:val="single" w:color="auto" w:sz="4" w:space="0"/>
              <w:right w:val="single" w:color="auto" w:sz="4" w:space="0"/>
            </w:tcBorders>
            <w:vAlign w:val="center"/>
          </w:tcPr>
          <w:p>
            <w:pPr>
              <w:jc w:val="right"/>
            </w:pPr>
            <w:r>
              <w:t xml:space="preserve"> 50,000,000.00 </w:t>
            </w:r>
          </w:p>
        </w:tc>
        <w:tc>
          <w:tcPr>
            <w:tcW w:w="55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pct"/>
            <w:tcBorders>
              <w:top w:val="single" w:color="auto" w:sz="4" w:space="0"/>
              <w:left w:val="single" w:color="auto" w:sz="4" w:space="0"/>
              <w:bottom w:val="single" w:color="auto" w:sz="4" w:space="0"/>
              <w:right w:val="single" w:color="auto" w:sz="4" w:space="0"/>
            </w:tcBorders>
          </w:tcPr>
          <w:p>
            <w:pPr>
              <w:pStyle w:val="48"/>
            </w:pPr>
            <w:r>
              <w:rPr>
                <w:rFonts w:hint="eastAsia"/>
              </w:rPr>
              <w:t>重庆望来电智能装备科技有限公司</w:t>
            </w:r>
          </w:p>
        </w:tc>
        <w:tc>
          <w:tcPr>
            <w:tcW w:w="548" w:type="pct"/>
            <w:tcBorders>
              <w:top w:val="single" w:color="auto" w:sz="4" w:space="0"/>
              <w:left w:val="single" w:color="auto" w:sz="4" w:space="0"/>
              <w:bottom w:val="single" w:color="auto" w:sz="4" w:space="0"/>
              <w:right w:val="single" w:color="auto" w:sz="4" w:space="0"/>
            </w:tcBorders>
            <w:vAlign w:val="center"/>
          </w:tcPr>
          <w:p>
            <w:pPr>
              <w:jc w:val="right"/>
            </w:pP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r>
              <w:t xml:space="preserve">40,000,000.00 </w:t>
            </w:r>
          </w:p>
        </w:tc>
        <w:tc>
          <w:tcPr>
            <w:tcW w:w="546" w:type="pct"/>
            <w:tcBorders>
              <w:top w:val="single" w:color="auto" w:sz="4" w:space="0"/>
              <w:left w:val="single" w:color="auto" w:sz="4" w:space="0"/>
              <w:bottom w:val="single" w:color="auto" w:sz="4" w:space="0"/>
              <w:right w:val="single" w:color="auto" w:sz="4" w:space="0"/>
            </w:tcBorders>
            <w:vAlign w:val="center"/>
          </w:tcPr>
          <w:p>
            <w:pPr>
              <w:jc w:val="right"/>
            </w:pPr>
          </w:p>
        </w:tc>
        <w:tc>
          <w:tcPr>
            <w:tcW w:w="533" w:type="pct"/>
            <w:tcBorders>
              <w:top w:val="single" w:color="auto" w:sz="4" w:space="0"/>
              <w:left w:val="single" w:color="auto" w:sz="4" w:space="0"/>
              <w:bottom w:val="single" w:color="auto" w:sz="4" w:space="0"/>
              <w:right w:val="single" w:color="auto" w:sz="4" w:space="0"/>
            </w:tcBorders>
            <w:vAlign w:val="center"/>
          </w:tcPr>
          <w:p>
            <w:pPr>
              <w:jc w:val="right"/>
            </w:pPr>
          </w:p>
        </w:tc>
        <w:tc>
          <w:tcPr>
            <w:tcW w:w="556" w:type="pct"/>
            <w:tcBorders>
              <w:top w:val="single" w:color="auto" w:sz="4" w:space="0"/>
              <w:left w:val="single" w:color="auto" w:sz="4" w:space="0"/>
              <w:bottom w:val="single" w:color="auto" w:sz="4" w:space="0"/>
              <w:right w:val="single" w:color="auto" w:sz="4" w:space="0"/>
            </w:tcBorders>
            <w:vAlign w:val="center"/>
          </w:tcPr>
          <w:p>
            <w:pPr>
              <w:jc w:val="right"/>
            </w:pPr>
          </w:p>
        </w:tc>
        <w:tc>
          <w:tcPr>
            <w:tcW w:w="561" w:type="pct"/>
            <w:tcBorders>
              <w:top w:val="single" w:color="auto" w:sz="4" w:space="0"/>
              <w:left w:val="single" w:color="auto" w:sz="4" w:space="0"/>
              <w:bottom w:val="single" w:color="auto" w:sz="4" w:space="0"/>
              <w:right w:val="single" w:color="auto" w:sz="4" w:space="0"/>
            </w:tcBorders>
            <w:vAlign w:val="center"/>
          </w:tcPr>
          <w:p>
            <w:pPr>
              <w:jc w:val="right"/>
            </w:pPr>
            <w:r>
              <w:t xml:space="preserve"> 40,000,000.00 </w:t>
            </w:r>
          </w:p>
        </w:tc>
        <w:tc>
          <w:tcPr>
            <w:tcW w:w="55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pct"/>
            <w:tcBorders>
              <w:top w:val="single" w:color="auto" w:sz="4" w:space="0"/>
              <w:left w:val="single" w:color="auto" w:sz="4" w:space="0"/>
              <w:bottom w:val="single" w:color="auto" w:sz="4" w:space="0"/>
              <w:right w:val="single" w:color="auto" w:sz="4" w:space="0"/>
            </w:tcBorders>
          </w:tcPr>
          <w:p>
            <w:pPr>
              <w:pStyle w:val="48"/>
            </w:pPr>
            <w:r>
              <w:rPr>
                <w:rFonts w:hint="eastAsia"/>
              </w:rPr>
              <w:t>深圳南海电气科技有限公司</w:t>
            </w:r>
          </w:p>
        </w:tc>
        <w:tc>
          <w:tcPr>
            <w:tcW w:w="548" w:type="pct"/>
            <w:tcBorders>
              <w:top w:val="single" w:color="auto" w:sz="4" w:space="0"/>
              <w:left w:val="single" w:color="auto" w:sz="4" w:space="0"/>
              <w:bottom w:val="single" w:color="auto" w:sz="4" w:space="0"/>
              <w:right w:val="single" w:color="auto" w:sz="4" w:space="0"/>
            </w:tcBorders>
            <w:vAlign w:val="center"/>
          </w:tcPr>
          <w:p>
            <w:pPr>
              <w:jc w:val="right"/>
            </w:pP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6" w:type="pct"/>
            <w:tcBorders>
              <w:top w:val="single" w:color="auto" w:sz="4" w:space="0"/>
              <w:left w:val="single" w:color="auto" w:sz="4" w:space="0"/>
              <w:bottom w:val="single" w:color="auto" w:sz="4" w:space="0"/>
              <w:right w:val="single" w:color="auto" w:sz="4" w:space="0"/>
            </w:tcBorders>
            <w:vAlign w:val="center"/>
          </w:tcPr>
          <w:p>
            <w:pPr>
              <w:jc w:val="right"/>
            </w:pPr>
          </w:p>
        </w:tc>
        <w:tc>
          <w:tcPr>
            <w:tcW w:w="533" w:type="pct"/>
            <w:tcBorders>
              <w:top w:val="single" w:color="auto" w:sz="4" w:space="0"/>
              <w:left w:val="single" w:color="auto" w:sz="4" w:space="0"/>
              <w:bottom w:val="single" w:color="auto" w:sz="4" w:space="0"/>
              <w:right w:val="single" w:color="auto" w:sz="4" w:space="0"/>
            </w:tcBorders>
            <w:vAlign w:val="center"/>
          </w:tcPr>
          <w:p>
            <w:pPr>
              <w:jc w:val="right"/>
            </w:pPr>
          </w:p>
        </w:tc>
        <w:tc>
          <w:tcPr>
            <w:tcW w:w="556" w:type="pct"/>
            <w:tcBorders>
              <w:top w:val="single" w:color="auto" w:sz="4" w:space="0"/>
              <w:left w:val="single" w:color="auto" w:sz="4" w:space="0"/>
              <w:bottom w:val="single" w:color="auto" w:sz="4" w:space="0"/>
              <w:right w:val="single" w:color="auto" w:sz="4" w:space="0"/>
            </w:tcBorders>
            <w:vAlign w:val="center"/>
          </w:tcPr>
          <w:p>
            <w:pPr>
              <w:jc w:val="right"/>
            </w:pPr>
            <w:r>
              <w:t xml:space="preserve"> 1,800,715.03 </w:t>
            </w:r>
          </w:p>
        </w:tc>
        <w:tc>
          <w:tcPr>
            <w:tcW w:w="561" w:type="pct"/>
            <w:tcBorders>
              <w:top w:val="single" w:color="auto" w:sz="4" w:space="0"/>
              <w:left w:val="single" w:color="auto" w:sz="4" w:space="0"/>
              <w:bottom w:val="single" w:color="auto" w:sz="4" w:space="0"/>
              <w:right w:val="single" w:color="auto" w:sz="4" w:space="0"/>
            </w:tcBorders>
            <w:vAlign w:val="center"/>
          </w:tcPr>
          <w:p>
            <w:pPr>
              <w:jc w:val="right"/>
            </w:pPr>
            <w:r>
              <w:t xml:space="preserve"> 1,800,715.03 </w:t>
            </w:r>
          </w:p>
        </w:tc>
        <w:tc>
          <w:tcPr>
            <w:tcW w:w="550" w:type="pct"/>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8"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合计</w:t>
            </w:r>
          </w:p>
        </w:tc>
        <w:tc>
          <w:tcPr>
            <w:tcW w:w="548" w:type="pct"/>
            <w:tcBorders>
              <w:top w:val="single" w:color="auto" w:sz="4" w:space="0"/>
              <w:left w:val="single" w:color="auto" w:sz="4" w:space="0"/>
              <w:bottom w:val="single" w:color="auto" w:sz="4" w:space="0"/>
              <w:right w:val="single" w:color="auto" w:sz="4" w:space="0"/>
            </w:tcBorders>
            <w:vAlign w:val="center"/>
          </w:tcPr>
          <w:p>
            <w:pPr>
              <w:jc w:val="right"/>
            </w:pPr>
            <w:r>
              <w:t xml:space="preserve">837,978,675.90 </w:t>
            </w: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p>
        </w:tc>
        <w:tc>
          <w:tcPr>
            <w:tcW w:w="549" w:type="pct"/>
            <w:tcBorders>
              <w:top w:val="single" w:color="auto" w:sz="4" w:space="0"/>
              <w:left w:val="single" w:color="auto" w:sz="4" w:space="0"/>
              <w:bottom w:val="single" w:color="auto" w:sz="4" w:space="0"/>
              <w:right w:val="single" w:color="auto" w:sz="4" w:space="0"/>
            </w:tcBorders>
            <w:vAlign w:val="center"/>
          </w:tcPr>
          <w:p>
            <w:pPr>
              <w:jc w:val="right"/>
            </w:pPr>
            <w:r>
              <w:t xml:space="preserve">40,000,000.00 </w:t>
            </w:r>
          </w:p>
        </w:tc>
        <w:tc>
          <w:tcPr>
            <w:tcW w:w="546" w:type="pct"/>
            <w:tcBorders>
              <w:top w:val="single" w:color="auto" w:sz="4" w:space="0"/>
              <w:left w:val="single" w:color="auto" w:sz="4" w:space="0"/>
              <w:bottom w:val="single" w:color="auto" w:sz="4" w:space="0"/>
              <w:right w:val="single" w:color="auto" w:sz="4" w:space="0"/>
            </w:tcBorders>
            <w:vAlign w:val="center"/>
          </w:tcPr>
          <w:p>
            <w:pPr>
              <w:jc w:val="right"/>
            </w:pPr>
            <w:r>
              <w:t xml:space="preserve"> -   </w:t>
            </w:r>
          </w:p>
        </w:tc>
        <w:tc>
          <w:tcPr>
            <w:tcW w:w="533" w:type="pct"/>
            <w:tcBorders>
              <w:top w:val="single" w:color="auto" w:sz="4" w:space="0"/>
              <w:left w:val="single" w:color="auto" w:sz="4" w:space="0"/>
              <w:bottom w:val="single" w:color="auto" w:sz="4" w:space="0"/>
              <w:right w:val="single" w:color="auto" w:sz="4" w:space="0"/>
            </w:tcBorders>
            <w:vAlign w:val="center"/>
          </w:tcPr>
          <w:p>
            <w:pPr>
              <w:jc w:val="right"/>
            </w:pPr>
          </w:p>
        </w:tc>
        <w:tc>
          <w:tcPr>
            <w:tcW w:w="556" w:type="pct"/>
            <w:tcBorders>
              <w:top w:val="single" w:color="auto" w:sz="4" w:space="0"/>
              <w:left w:val="single" w:color="auto" w:sz="4" w:space="0"/>
              <w:bottom w:val="single" w:color="auto" w:sz="4" w:space="0"/>
              <w:right w:val="single" w:color="auto" w:sz="4" w:space="0"/>
            </w:tcBorders>
            <w:vAlign w:val="center"/>
          </w:tcPr>
          <w:p>
            <w:pPr>
              <w:jc w:val="right"/>
            </w:pPr>
            <w:r>
              <w:t xml:space="preserve"> 1,800,715.03 </w:t>
            </w:r>
          </w:p>
        </w:tc>
        <w:tc>
          <w:tcPr>
            <w:tcW w:w="561" w:type="pct"/>
            <w:tcBorders>
              <w:top w:val="single" w:color="auto" w:sz="4" w:space="0"/>
              <w:left w:val="single" w:color="auto" w:sz="4" w:space="0"/>
              <w:bottom w:val="single" w:color="auto" w:sz="4" w:space="0"/>
              <w:right w:val="single" w:color="auto" w:sz="4" w:space="0"/>
            </w:tcBorders>
            <w:vAlign w:val="center"/>
          </w:tcPr>
          <w:p>
            <w:pPr>
              <w:jc w:val="right"/>
            </w:pPr>
            <w:r>
              <w:t>879,779,390.93</w:t>
            </w:r>
          </w:p>
        </w:tc>
        <w:tc>
          <w:tcPr>
            <w:tcW w:w="550" w:type="pct"/>
            <w:tcBorders>
              <w:top w:val="single" w:color="auto" w:sz="4" w:space="0"/>
              <w:left w:val="single" w:color="auto" w:sz="4" w:space="0"/>
              <w:bottom w:val="single" w:color="auto" w:sz="4" w:space="0"/>
              <w:right w:val="single" w:color="auto" w:sz="4" w:space="0"/>
            </w:tcBorders>
          </w:tcPr>
          <w:p>
            <w:pPr>
              <w:jc w:val="right"/>
            </w:pPr>
          </w:p>
        </w:tc>
      </w:tr>
      <w:bookmarkEnd w:id="532"/>
    </w:tbl>
    <w:p>
      <w:pPr>
        <w:pStyle w:val="5"/>
        <w:numPr>
          <w:ilvl w:val="0"/>
          <w:numId w:val="104"/>
        </w:numPr>
        <w:rPr>
          <w:rFonts w:hint="eastAsia" w:ascii="宋体" w:hAnsi="宋体"/>
          <w:color w:val="000000" w:themeColor="text1"/>
          <w14:textFill>
            <w14:solidFill>
              <w14:schemeClr w14:val="tx1"/>
            </w14:solidFill>
          </w14:textFill>
        </w:rPr>
      </w:pPr>
      <w:bookmarkStart w:id="533" w:name="_Hlk106375342"/>
      <w:bookmarkStart w:id="534" w:name="_Hlk199855034"/>
      <w:r>
        <w:rPr>
          <w:rFonts w:hint="eastAsia" w:ascii="宋体" w:hAnsi="宋体"/>
          <w:color w:val="000000" w:themeColor="text1"/>
          <w14:textFill>
            <w14:solidFill>
              <w14:schemeClr w14:val="tx1"/>
            </w14:solidFill>
          </w14:textFill>
        </w:rPr>
        <w:t>对联营、合营企业投资</w:t>
      </w:r>
    </w:p>
    <w:sdt>
      <w:sdtPr>
        <w:rPr>
          <w:color w:val="000000" w:themeColor="text1"/>
          <w14:textFill>
            <w14:solidFill>
              <w14:schemeClr w14:val="tx1"/>
            </w14:solidFill>
          </w14:textFill>
        </w:rPr>
        <w:alias w:val="是否适用：母公司对联营、合营企业投资[双击切换]"/>
        <w:tag w:val="_GBC_0837f60a15fc4684b64085618adca8d2"/>
        <w:id w:val="-66239126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母公司财务附注：对联营、合营企业投资"/>
          <w:tag w:val="_GBC_d8af48cd34c54e749df777d4e6a5e2ed"/>
          <w:id w:val="-1728453436"/>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母公司财务附注：对联营、合营企业投资"/>
          <w:tag w:val="_GBC_5b4bb22c6cca42989bcd538938127ee2"/>
          <w:id w:val="-1667157795"/>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bookmarkEnd w:id="533"/>
    <w:bookmarkEnd w:id="534"/>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4"/>
        <w:gridCol w:w="1424"/>
        <w:gridCol w:w="865"/>
        <w:gridCol w:w="614"/>
        <w:gridCol w:w="614"/>
        <w:gridCol w:w="1729"/>
        <w:gridCol w:w="865"/>
        <w:gridCol w:w="740"/>
        <w:gridCol w:w="1053"/>
        <w:gridCol w:w="740"/>
        <w:gridCol w:w="1498"/>
        <w:gridCol w:w="1528"/>
        <w:gridCol w:w="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abfaca7df388426499f44c3fb444b469"/>
            <w:id w:val="-490489938"/>
          </w:sdtPr>
          <w:sdtContent>
            <w:tc>
              <w:tcPr>
                <w:tcW w:w="1554" w:type="dxa"/>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投资</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p>
            </w:tc>
          </w:sdtContent>
        </w:sdt>
        <w:sdt>
          <w:sdtPr>
            <w:tag w:val="_PLD_05798c5c44604c97a951491f90362ede"/>
            <w:id w:val="-14627620"/>
          </w:sdtPr>
          <w:sdtContent>
            <w:tc>
              <w:tcPr>
                <w:tcW w:w="1424" w:type="dxa"/>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期初</w:t>
                </w:r>
              </w:p>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余额（账面价值）</w:t>
                </w:r>
              </w:p>
            </w:tc>
          </w:sdtContent>
        </w:sdt>
        <w:tc>
          <w:tcPr>
            <w:tcW w:w="0" w:type="auto"/>
            <w:vMerge w:val="restart"/>
            <w:tcBorders>
              <w:top w:val="single" w:color="auto" w:sz="4" w:space="0"/>
              <w:left w:val="single" w:color="auto" w:sz="4" w:space="0"/>
              <w:right w:val="single" w:color="auto" w:sz="4" w:space="0"/>
            </w:tcBorders>
            <w:vAlign w:val="center"/>
          </w:tcPr>
          <w:sdt>
            <w:sdtPr>
              <w:tag w:val="_PLD_679614cb179b47cb8eca53d826d545ce"/>
              <w:id w:val="1778990565"/>
            </w:sdtPr>
            <w:sdtContent>
              <w:p>
                <w:pPr>
                  <w:tabs>
                    <w:tab w:val="left" w:pos="370"/>
                  </w:tabs>
                  <w:jc w:val="center"/>
                </w:pPr>
                <w:r>
                  <w:rPr>
                    <w:rFonts w:hint="eastAsia"/>
                  </w:rPr>
                  <w:t>减值准备期初余额</w:t>
                </w:r>
              </w:p>
            </w:sdtContent>
          </w:sdt>
        </w:tc>
        <w:sdt>
          <w:sdtPr>
            <w:tag w:val="_PLD_0a2bbaaacf944dc499773ce9e49a7a44"/>
            <w:id w:val="-892651234"/>
          </w:sdtPr>
          <w:sdtContent>
            <w:tc>
              <w:tcPr>
                <w:tcW w:w="7674" w:type="dxa"/>
                <w:gridSpan w:val="8"/>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本期增减变动</w:t>
                </w:r>
              </w:p>
            </w:tc>
          </w:sdtContent>
        </w:sdt>
        <w:sdt>
          <w:sdtPr>
            <w:tag w:val="_PLD_08d96ebd050e43e4a66f158230dee5ce"/>
            <w:id w:val="-1759278298"/>
          </w:sdtPr>
          <w:sdtContent>
            <w:tc>
              <w:tcPr>
                <w:tcW w:w="1528" w:type="dxa"/>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期末余额（账面价值）</w:t>
                </w:r>
              </w:p>
            </w:tc>
          </w:sdtContent>
        </w:sdt>
        <w:sdt>
          <w:sdtPr>
            <w:tag w:val="_PLD_7926cd06c0474fbd9ec1c3b927ae616d"/>
            <w:id w:val="-2130614808"/>
          </w:sdtPr>
          <w:sdtContent>
            <w:tc>
              <w:tcPr>
                <w:tcW w:w="0" w:type="auto"/>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减值准备期末余额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554" w:type="dxa"/>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c>
          <w:tcPr>
            <w:tcW w:w="1424" w:type="dxa"/>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c>
          <w:tcPr>
            <w:tcW w:w="0" w:type="auto"/>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sdt>
          <w:sdtPr>
            <w:tag w:val="_PLD_c2a32165f0334d7c8fde829ff4c17575"/>
            <w:id w:val="-549852683"/>
          </w:sdtPr>
          <w:sdtContent>
            <w:tc>
              <w:tcPr>
                <w:tcW w:w="0" w:type="auto"/>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追加投资</w:t>
                </w:r>
              </w:p>
            </w:tc>
          </w:sdtContent>
        </w:sdt>
        <w:sdt>
          <w:sdtPr>
            <w:tag w:val="_PLD_71fe608b4d73467797eee694efbf7ebb"/>
            <w:id w:val="-668947990"/>
          </w:sdtPr>
          <w:sdtContent>
            <w:tc>
              <w:tcPr>
                <w:tcW w:w="0" w:type="auto"/>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减少投资</w:t>
                </w:r>
              </w:p>
            </w:tc>
          </w:sdtContent>
        </w:sdt>
        <w:sdt>
          <w:sdtPr>
            <w:tag w:val="_PLD_f05a50a0bc284599af7a40502cd10a40"/>
            <w:id w:val="-382796493"/>
          </w:sdtPr>
          <w:sdtContent>
            <w:tc>
              <w:tcPr>
                <w:tcW w:w="0" w:type="auto"/>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权益法下确认的投资损益</w:t>
                </w:r>
              </w:p>
            </w:tc>
          </w:sdtContent>
        </w:sdt>
        <w:sdt>
          <w:sdtPr>
            <w:tag w:val="_PLD_02248a0958484589b824cff096f8d135"/>
            <w:id w:val="-206490318"/>
          </w:sdtPr>
          <w:sdtContent>
            <w:tc>
              <w:tcPr>
                <w:tcW w:w="0" w:type="auto"/>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其他综合收益调整</w:t>
                </w:r>
              </w:p>
            </w:tc>
          </w:sdtContent>
        </w:sdt>
        <w:sdt>
          <w:sdtPr>
            <w:tag w:val="_PLD_7fb58b4af07a4b58a9b3d08dc004f3ee"/>
            <w:id w:val="38560307"/>
          </w:sdtPr>
          <w:sdtContent>
            <w:tc>
              <w:tcPr>
                <w:tcW w:w="0" w:type="auto"/>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其他权益变动</w:t>
                </w:r>
              </w:p>
            </w:tc>
          </w:sdtContent>
        </w:sdt>
        <w:sdt>
          <w:sdtPr>
            <w:tag w:val="_PLD_222556d83dca4844b27c9b0b28e96430"/>
            <w:id w:val="-1917701125"/>
          </w:sdtPr>
          <w:sdtContent>
            <w:tc>
              <w:tcPr>
                <w:tcW w:w="0" w:type="auto"/>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宣告发放现金股利或利润</w:t>
                </w:r>
              </w:p>
            </w:tc>
          </w:sdtContent>
        </w:sdt>
        <w:sdt>
          <w:sdtPr>
            <w:tag w:val="_PLD_3ccc36abfffc49a99807a98ffb9d12d5"/>
            <w:id w:val="-2127604715"/>
          </w:sdtPr>
          <w:sdtContent>
            <w:tc>
              <w:tcPr>
                <w:tcW w:w="0" w:type="auto"/>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计提减值准备</w:t>
                </w:r>
              </w:p>
            </w:tc>
          </w:sdtContent>
        </w:sdt>
        <w:sdt>
          <w:sdtPr>
            <w:tag w:val="_PLD_a907ceb1e793491d9fd8ecad7300602c"/>
            <w:id w:val="-162322021"/>
          </w:sdtPr>
          <w:sdtContent>
            <w:tc>
              <w:tcPr>
                <w:tcW w:w="1498"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其他</w:t>
                </w:r>
              </w:p>
            </w:tc>
          </w:sdtContent>
        </w:sdt>
        <w:tc>
          <w:tcPr>
            <w:tcW w:w="1528" w:type="dxa"/>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c>
          <w:tcPr>
            <w:tcW w:w="0" w:type="auto"/>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61dc54109424419aa8f35cf797c2d59e"/>
            <w:id w:val="-2129463475"/>
          </w:sdtPr>
          <w:sdtContent>
            <w:tc>
              <w:tcPr>
                <w:tcW w:w="0" w:type="auto"/>
                <w:gridSpan w:val="13"/>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一、合营企业</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小计</w:t>
            </w:r>
          </w:p>
        </w:tc>
        <w:tc>
          <w:tcPr>
            <w:tcW w:w="1424" w:type="dxa"/>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1498" w:type="dxa"/>
            <w:tcBorders>
              <w:top w:val="single" w:color="auto" w:sz="4" w:space="0"/>
              <w:left w:val="single" w:color="auto" w:sz="4" w:space="0"/>
              <w:bottom w:val="single" w:color="auto" w:sz="4" w:space="0"/>
              <w:right w:val="single" w:color="auto" w:sz="4" w:space="0"/>
            </w:tcBorders>
          </w:tcPr>
          <w:p>
            <w:pPr>
              <w:jc w:val="right"/>
            </w:pPr>
          </w:p>
        </w:tc>
        <w:tc>
          <w:tcPr>
            <w:tcW w:w="1528" w:type="dxa"/>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90cc1e0799634510b44e4e55b4185a5a"/>
            <w:id w:val="-1237935321"/>
          </w:sdtPr>
          <w:sdtContent>
            <w:tc>
              <w:tcPr>
                <w:tcW w:w="0" w:type="auto"/>
                <w:gridSpan w:val="13"/>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二、联营企业</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Borders>
              <w:top w:val="single" w:color="auto" w:sz="4" w:space="0"/>
              <w:left w:val="single" w:color="auto" w:sz="4" w:space="0"/>
              <w:bottom w:val="single" w:color="auto" w:sz="4" w:space="0"/>
              <w:right w:val="single" w:color="auto" w:sz="4" w:space="0"/>
            </w:tcBorders>
          </w:tcPr>
          <w:p>
            <w:pPr>
              <w:jc w:val="both"/>
            </w:pPr>
            <w:r>
              <w:rPr>
                <w:rFonts w:hint="eastAsia"/>
              </w:rPr>
              <w:t>重庆能投长寿经开区售电有限公司</w:t>
            </w:r>
          </w:p>
        </w:tc>
        <w:tc>
          <w:tcPr>
            <w:tcW w:w="1424" w:type="dxa"/>
            <w:tcBorders>
              <w:top w:val="single" w:color="auto" w:sz="4" w:space="0"/>
              <w:left w:val="single" w:color="auto" w:sz="4" w:space="0"/>
              <w:bottom w:val="single" w:color="auto" w:sz="4" w:space="0"/>
              <w:right w:val="single" w:color="auto" w:sz="4" w:space="0"/>
            </w:tcBorders>
            <w:vAlign w:val="center"/>
          </w:tcPr>
          <w:p>
            <w:pPr>
              <w:jc w:val="right"/>
            </w:pPr>
            <w:r>
              <w:t xml:space="preserve">13,904,640.02 </w:t>
            </w: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-969,115.35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1498" w:type="dxa"/>
            <w:tcBorders>
              <w:top w:val="single" w:color="auto" w:sz="4" w:space="0"/>
              <w:left w:val="single" w:color="auto" w:sz="4" w:space="0"/>
              <w:bottom w:val="single" w:color="auto" w:sz="4" w:space="0"/>
              <w:right w:val="single" w:color="auto" w:sz="4" w:space="0"/>
            </w:tcBorders>
            <w:vAlign w:val="center"/>
          </w:tcPr>
          <w:p>
            <w:pPr>
              <w:jc w:val="right"/>
            </w:pPr>
          </w:p>
        </w:tc>
        <w:tc>
          <w:tcPr>
            <w:tcW w:w="1528" w:type="dxa"/>
            <w:tcBorders>
              <w:top w:val="single" w:color="auto" w:sz="4" w:space="0"/>
              <w:left w:val="single" w:color="auto" w:sz="4" w:space="0"/>
              <w:bottom w:val="single" w:color="auto" w:sz="4" w:space="0"/>
              <w:right w:val="single" w:color="auto" w:sz="4" w:space="0"/>
            </w:tcBorders>
            <w:vAlign w:val="center"/>
          </w:tcPr>
          <w:p>
            <w:pPr>
              <w:jc w:val="right"/>
            </w:pPr>
            <w:r>
              <w:t xml:space="preserve">12,935,524.67 </w:t>
            </w:r>
          </w:p>
        </w:tc>
        <w:tc>
          <w:tcPr>
            <w:tcW w:w="0" w:type="auto"/>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Borders>
              <w:top w:val="single" w:color="auto" w:sz="4" w:space="0"/>
              <w:left w:val="single" w:color="auto" w:sz="4" w:space="0"/>
              <w:bottom w:val="single" w:color="auto" w:sz="4" w:space="0"/>
              <w:right w:val="single" w:color="auto" w:sz="4" w:space="0"/>
            </w:tcBorders>
          </w:tcPr>
          <w:p>
            <w:pPr>
              <w:jc w:val="both"/>
            </w:pPr>
            <w:r>
              <w:rPr>
                <w:rFonts w:hint="eastAsia"/>
              </w:rPr>
              <w:t>深圳南海电气科技有限公司</w:t>
            </w:r>
          </w:p>
        </w:tc>
        <w:tc>
          <w:tcPr>
            <w:tcW w:w="1424" w:type="dxa"/>
            <w:tcBorders>
              <w:top w:val="single" w:color="auto" w:sz="4" w:space="0"/>
              <w:left w:val="single" w:color="auto" w:sz="4" w:space="0"/>
              <w:bottom w:val="single" w:color="auto" w:sz="4" w:space="0"/>
              <w:right w:val="single" w:color="auto" w:sz="4" w:space="0"/>
            </w:tcBorders>
            <w:vAlign w:val="center"/>
          </w:tcPr>
          <w:p>
            <w:pPr>
              <w:jc w:val="right"/>
            </w:pPr>
            <w:r>
              <w:t xml:space="preserve"> 2,199,708.59 </w:t>
            </w: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-398,993.56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1498" w:type="dxa"/>
            <w:tcBorders>
              <w:top w:val="single" w:color="auto" w:sz="4" w:space="0"/>
              <w:left w:val="single" w:color="auto" w:sz="4" w:space="0"/>
              <w:bottom w:val="single" w:color="auto" w:sz="4" w:space="0"/>
              <w:right w:val="single" w:color="auto" w:sz="4" w:space="0"/>
            </w:tcBorders>
            <w:vAlign w:val="center"/>
          </w:tcPr>
          <w:p>
            <w:pPr>
              <w:jc w:val="right"/>
            </w:pPr>
            <w:r>
              <w:t xml:space="preserve">-1,800,715.03 </w:t>
            </w:r>
          </w:p>
        </w:tc>
        <w:tc>
          <w:tcPr>
            <w:tcW w:w="1528" w:type="dxa"/>
            <w:tcBorders>
              <w:top w:val="single" w:color="auto" w:sz="4" w:space="0"/>
              <w:left w:val="single" w:color="auto" w:sz="4" w:space="0"/>
              <w:bottom w:val="single" w:color="auto" w:sz="4" w:space="0"/>
              <w:right w:val="single" w:color="auto" w:sz="4" w:space="0"/>
            </w:tcBorders>
            <w:vAlign w:val="center"/>
          </w:tcPr>
          <w:p>
            <w:pPr>
              <w:jc w:val="right"/>
            </w:pPr>
            <w:r>
              <w:t xml:space="preserve">   </w:t>
            </w:r>
          </w:p>
        </w:tc>
        <w:tc>
          <w:tcPr>
            <w:tcW w:w="0" w:type="auto"/>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Borders>
              <w:top w:val="single" w:color="auto" w:sz="4" w:space="0"/>
              <w:left w:val="single" w:color="auto" w:sz="4" w:space="0"/>
              <w:bottom w:val="single" w:color="auto" w:sz="4" w:space="0"/>
              <w:right w:val="single" w:color="auto" w:sz="4" w:space="0"/>
            </w:tcBorders>
          </w:tcPr>
          <w:p>
            <w:pPr>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小计</w:t>
            </w:r>
          </w:p>
        </w:tc>
        <w:tc>
          <w:tcPr>
            <w:tcW w:w="1424" w:type="dxa"/>
            <w:tcBorders>
              <w:top w:val="single" w:color="auto" w:sz="4" w:space="0"/>
              <w:left w:val="single" w:color="auto" w:sz="4" w:space="0"/>
              <w:bottom w:val="single" w:color="auto" w:sz="4" w:space="0"/>
              <w:right w:val="single" w:color="auto" w:sz="4" w:space="0"/>
            </w:tcBorders>
            <w:vAlign w:val="center"/>
          </w:tcPr>
          <w:p>
            <w:pPr>
              <w:jc w:val="right"/>
            </w:pPr>
            <w:r>
              <w:t xml:space="preserve">16,104,348.61 </w:t>
            </w: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-1,368,108.91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1498" w:type="dxa"/>
            <w:tcBorders>
              <w:top w:val="single" w:color="auto" w:sz="4" w:space="0"/>
              <w:left w:val="single" w:color="auto" w:sz="4" w:space="0"/>
              <w:bottom w:val="single" w:color="auto" w:sz="4" w:space="0"/>
              <w:right w:val="single" w:color="auto" w:sz="4" w:space="0"/>
            </w:tcBorders>
            <w:vAlign w:val="center"/>
          </w:tcPr>
          <w:p>
            <w:pPr>
              <w:jc w:val="right"/>
            </w:pPr>
            <w:r>
              <w:t xml:space="preserve">-1,800,715.03 </w:t>
            </w:r>
          </w:p>
        </w:tc>
        <w:tc>
          <w:tcPr>
            <w:tcW w:w="1528" w:type="dxa"/>
            <w:tcBorders>
              <w:top w:val="single" w:color="auto" w:sz="4" w:space="0"/>
              <w:left w:val="single" w:color="auto" w:sz="4" w:space="0"/>
              <w:bottom w:val="single" w:color="auto" w:sz="4" w:space="0"/>
              <w:right w:val="single" w:color="auto" w:sz="4" w:space="0"/>
            </w:tcBorders>
            <w:vAlign w:val="center"/>
          </w:tcPr>
          <w:p>
            <w:pPr>
              <w:jc w:val="right"/>
            </w:pPr>
            <w:r>
              <w:t xml:space="preserve">12,935,524.67 </w:t>
            </w:r>
          </w:p>
        </w:tc>
        <w:tc>
          <w:tcPr>
            <w:tcW w:w="0" w:type="auto"/>
            <w:tcBorders>
              <w:top w:val="single" w:color="auto" w:sz="4" w:space="0"/>
              <w:left w:val="single" w:color="auto" w:sz="4" w:space="0"/>
              <w:bottom w:val="single" w:color="auto" w:sz="4" w:space="0"/>
              <w:right w:val="single" w:color="auto" w:sz="4" w:space="0"/>
            </w:tcBorders>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24" w:type="dxa"/>
            <w:tcBorders>
              <w:top w:val="single" w:color="auto" w:sz="4" w:space="0"/>
              <w:left w:val="single" w:color="auto" w:sz="4" w:space="0"/>
              <w:bottom w:val="single" w:color="auto" w:sz="4" w:space="0"/>
              <w:right w:val="single" w:color="auto" w:sz="4" w:space="0"/>
            </w:tcBorders>
            <w:vAlign w:val="center"/>
          </w:tcPr>
          <w:p>
            <w:pPr>
              <w:jc w:val="right"/>
            </w:pPr>
            <w:r>
              <w:t xml:space="preserve">16,104,348.61 </w:t>
            </w: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r>
              <w:t xml:space="preserve"> -1,368,108.91 </w:t>
            </w: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0" w:type="auto"/>
            <w:tcBorders>
              <w:top w:val="single" w:color="auto" w:sz="4" w:space="0"/>
              <w:left w:val="single" w:color="auto" w:sz="4" w:space="0"/>
              <w:bottom w:val="single" w:color="auto" w:sz="4" w:space="0"/>
              <w:right w:val="single" w:color="auto" w:sz="4" w:space="0"/>
            </w:tcBorders>
            <w:vAlign w:val="center"/>
          </w:tcPr>
          <w:p>
            <w:pPr>
              <w:jc w:val="right"/>
            </w:pPr>
          </w:p>
        </w:tc>
        <w:tc>
          <w:tcPr>
            <w:tcW w:w="1498" w:type="dxa"/>
            <w:tcBorders>
              <w:top w:val="single" w:color="auto" w:sz="4" w:space="0"/>
              <w:left w:val="single" w:color="auto" w:sz="4" w:space="0"/>
              <w:bottom w:val="single" w:color="auto" w:sz="4" w:space="0"/>
              <w:right w:val="single" w:color="auto" w:sz="4" w:space="0"/>
            </w:tcBorders>
            <w:vAlign w:val="center"/>
          </w:tcPr>
          <w:p>
            <w:pPr>
              <w:jc w:val="right"/>
            </w:pPr>
            <w:r>
              <w:t xml:space="preserve">-1,800,715.03 </w:t>
            </w:r>
          </w:p>
        </w:tc>
        <w:tc>
          <w:tcPr>
            <w:tcW w:w="1528" w:type="dxa"/>
            <w:tcBorders>
              <w:top w:val="single" w:color="auto" w:sz="4" w:space="0"/>
              <w:left w:val="single" w:color="auto" w:sz="4" w:space="0"/>
              <w:bottom w:val="single" w:color="auto" w:sz="4" w:space="0"/>
              <w:right w:val="single" w:color="auto" w:sz="4" w:space="0"/>
            </w:tcBorders>
            <w:vAlign w:val="center"/>
          </w:tcPr>
          <w:p>
            <w:pPr>
              <w:jc w:val="right"/>
            </w:pPr>
            <w:r>
              <w:t xml:space="preserve">12,935,524.67 </w:t>
            </w:r>
          </w:p>
        </w:tc>
        <w:tc>
          <w:tcPr>
            <w:tcW w:w="0" w:type="auto"/>
            <w:tcBorders>
              <w:top w:val="single" w:color="auto" w:sz="4" w:space="0"/>
              <w:left w:val="single" w:color="auto" w:sz="4" w:space="0"/>
              <w:bottom w:val="single" w:color="auto" w:sz="4" w:space="0"/>
              <w:right w:val="single" w:color="auto" w:sz="4" w:space="0"/>
            </w:tcBorders>
          </w:tcPr>
          <w:p>
            <w:pPr>
              <w:jc w:val="right"/>
            </w:pPr>
          </w:p>
        </w:tc>
      </w:tr>
    </w:tbl>
    <w:p>
      <w:pPr>
        <w:pStyle w:val="5"/>
        <w:spacing w:line="360" w:lineRule="exact"/>
        <w:rPr>
          <w:rFonts w:ascii="Times New Roman" w:hAnsi="Times New Roman" w:cs="宋体"/>
          <w:b w:val="0"/>
          <w:bCs/>
          <w:color w:val="000000" w:themeColor="text1"/>
          <w:kern w:val="0"/>
          <w:szCs w:val="21"/>
          <w14:textFill>
            <w14:solidFill>
              <w14:schemeClr w14:val="tx1"/>
            </w14:solidFill>
          </w14:textFill>
        </w:rPr>
      </w:pPr>
      <w:bookmarkStart w:id="535" w:name="_Hlk155165896"/>
      <w:bookmarkStart w:id="536" w:name="_Hlk168057377"/>
      <w:r>
        <w:rPr>
          <w:rFonts w:ascii="Times New Roman" w:hAnsi="Times New Roman" w:cs="宋体"/>
          <w:b w:val="0"/>
          <w:bCs/>
          <w:color w:val="000000" w:themeColor="text1"/>
          <w:kern w:val="0"/>
          <w:szCs w:val="21"/>
          <w14:textFill>
            <w14:solidFill>
              <w14:schemeClr w14:val="tx1"/>
            </w14:solidFill>
          </w14:textFill>
        </w:rPr>
        <w:t>说明：其他变动详见“第八节.九、合并范围的变更”。</w:t>
      </w:r>
    </w:p>
    <w:p>
      <w:pPr>
        <w:pStyle w:val="5"/>
        <w:numPr>
          <w:ilvl w:val="0"/>
          <w:numId w:val="104"/>
        </w:numPr>
        <w:spacing w:line="360" w:lineRule="exac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长期股权投资的减值测试情况</w:t>
      </w:r>
    </w:p>
    <w:sdt>
      <w:sdtPr>
        <w:rPr>
          <w:color w:val="000000" w:themeColor="text1"/>
          <w14:textFill>
            <w14:solidFill>
              <w14:schemeClr w14:val="tx1"/>
            </w14:solidFill>
          </w14:textFill>
        </w:rPr>
        <w:alias w:val="是否适用：减值测试情况[双击切换]"/>
        <w:tag w:val="_GBC_c0857dc1a8eb4f79b18a90f9b4b26d58"/>
        <w:id w:val="2046937147"/>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35"/>
    <w:bookmarkEnd w:id="536"/>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母公司长期股权投资其他说明[双击切换]"/>
        <w:tag w:val="_GBC_8b70582854684459adc77f46cbf4aac7"/>
        <w:id w:val="-351649542"/>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p>
    <w:p>
      <w:pPr>
        <w:rPr>
          <w:color w:val="000000" w:themeColor="text1"/>
          <w14:textFill>
            <w14:solidFill>
              <w14:schemeClr w14:val="tx1"/>
            </w14:solidFill>
          </w14:textFill>
        </w:rPr>
        <w:sectPr>
          <w:pgSz w:w="16838" w:h="11906" w:orient="landscape"/>
          <w:pgMar w:top="1797" w:right="1525" w:bottom="1276" w:left="1440" w:header="856" w:footer="992" w:gutter="0"/>
          <w:cols w:space="425" w:num="1"/>
          <w:docGrid w:linePitch="312" w:charSpace="0"/>
        </w:sectPr>
      </w:pPr>
    </w:p>
    <w:p>
      <w:pPr>
        <w:pStyle w:val="4"/>
        <w:numPr>
          <w:ilvl w:val="0"/>
          <w:numId w:val="101"/>
        </w:numPr>
        <w:spacing w:line="360" w:lineRule="exac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营业收入和营业成本</w:t>
      </w:r>
    </w:p>
    <w:p>
      <w:pPr>
        <w:pStyle w:val="5"/>
        <w:numPr>
          <w:ilvl w:val="0"/>
          <w:numId w:val="105"/>
        </w:numPr>
        <w:spacing w:line="360" w:lineRule="exact"/>
        <w:rPr>
          <w:rFonts w:hint="eastAsia" w:ascii="宋体" w:hAnsi="宋体"/>
          <w:color w:val="000000" w:themeColor="text1"/>
          <w14:textFill>
            <w14:solidFill>
              <w14:schemeClr w14:val="tx1"/>
            </w14:solidFill>
          </w14:textFill>
        </w:rPr>
      </w:pPr>
      <w:bookmarkStart w:id="537" w:name="_Hlk10548568"/>
      <w:r>
        <w:rPr>
          <w:rFonts w:hint="eastAsia" w:ascii="宋体" w:hAnsi="宋体"/>
          <w:color w:val="000000" w:themeColor="text1"/>
          <w14:textFill>
            <w14:solidFill>
              <w14:schemeClr w14:val="tx1"/>
            </w14:solidFill>
          </w14:textFill>
        </w:rPr>
        <w:t>营业收入和营业成本情况</w:t>
      </w:r>
    </w:p>
    <w:sdt>
      <w:sdtPr>
        <w:rPr>
          <w:color w:val="000000" w:themeColor="text1"/>
          <w14:textFill>
            <w14:solidFill>
              <w14:schemeClr w14:val="tx1"/>
            </w14:solidFill>
          </w14:textFill>
        </w:rPr>
        <w:alias w:val="是否适用：母公司营业收入和营业成本[双击切换]"/>
        <w:tag w:val="_GBC_f62d83b1068f4bfaae3a590b0ac9f4d7"/>
        <w:id w:val="1936247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1"/>
        <w:ind w:firstLine="0" w:firstLineChars="0"/>
        <w:jc w:val="right"/>
        <w:rPr>
          <w:rFonts w:hint="eastAsia" w:ascii="宋体" w:hAnsi="宋体"/>
          <w:color w:val="000000" w:themeColor="text1"/>
          <w:kern w:val="0"/>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bCs w:val="0"/>
            <w:color w:val="000000" w:themeColor="text1"/>
            <w:szCs w:val="21"/>
            <w14:textFill>
              <w14:solidFill>
                <w14:schemeClr w14:val="tx1"/>
              </w14:solidFill>
            </w14:textFill>
          </w:rPr>
          <w:alias w:val="单位：母公司财务附注：营业收入"/>
          <w:tag w:val="_GBC_40a730bb869a41578a25e9cb66f4e28e"/>
          <w:id w:val="-988936914"/>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bCs w:val="0"/>
            <w:color w:val="000000" w:themeColor="text1"/>
            <w:szCs w:val="21"/>
            <w14:textFill>
              <w14:solidFill>
                <w14:schemeClr w14:val="tx1"/>
              </w14:solidFill>
            </w14:textFill>
          </w:rPr>
        </w:sdtEndPr>
        <w:sdtContent>
          <w:r>
            <w:rPr>
              <w:rFonts w:hint="eastAsia" w:ascii="宋体" w:hAnsi="宋体"/>
              <w:bCs w:val="0"/>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bCs w:val="0"/>
            <w:color w:val="000000" w:themeColor="text1"/>
            <w:szCs w:val="21"/>
            <w14:textFill>
              <w14:solidFill>
                <w14:schemeClr w14:val="tx1"/>
              </w14:solidFill>
            </w14:textFill>
          </w:rPr>
          <w:alias w:val="币种：母公司财务附注：营业收入"/>
          <w:tag w:val="_GBC_1b6056b90b2c445a9b1bcdc97aa104ec"/>
          <w:id w:val="-222749691"/>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bCs w:val="0"/>
            <w:color w:val="000000" w:themeColor="text1"/>
            <w:szCs w:val="21"/>
            <w14:textFill>
              <w14:solidFill>
                <w14:schemeClr w14:val="tx1"/>
              </w14:solidFill>
            </w14:textFill>
          </w:rPr>
        </w:sdtEndPr>
        <w:sdtContent>
          <w:r>
            <w:rPr>
              <w:rFonts w:hint="eastAsia" w:ascii="宋体" w:hAnsi="宋体"/>
              <w:bCs w:val="0"/>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5"/>
        <w:gridCol w:w="1686"/>
        <w:gridCol w:w="1686"/>
        <w:gridCol w:w="1686"/>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3dc9ae0da47e49d097992a176784945a"/>
            <w:id w:val="690428634"/>
          </w:sdtPr>
          <w:sdtContent>
            <w:tc>
              <w:tcPr>
                <w:tcW w:w="1463"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b47efcaea8ca428781485b2625b4c252"/>
            <w:id w:val="1977646730"/>
          </w:sdtPr>
          <w:sdtContent>
            <w:tc>
              <w:tcPr>
                <w:tcW w:w="1626"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44320683f4394adcaf1711775bb320ef"/>
            <w:id w:val="-935130873"/>
          </w:sdtPr>
          <w:sdtContent>
            <w:tc>
              <w:tcPr>
                <w:tcW w:w="1911"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3" w:type="pct"/>
            <w:vMerge w:val="continue"/>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sdt>
          <w:sdtPr>
            <w:tag w:val="_PLD_efb75dfbe3924c3a9f286eefd26b357f"/>
            <w:id w:val="-1354098896"/>
          </w:sdtPr>
          <w:sdtContent>
            <w:tc>
              <w:tcPr>
                <w:tcW w:w="81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收入</w:t>
                </w:r>
              </w:p>
            </w:tc>
          </w:sdtContent>
        </w:sdt>
        <w:sdt>
          <w:sdtPr>
            <w:tag w:val="_PLD_9ecc7b9050c24dcebd801ee01e950a91"/>
            <w:id w:val="-956720304"/>
          </w:sdtPr>
          <w:sdtContent>
            <w:tc>
              <w:tcPr>
                <w:tcW w:w="81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成本</w:t>
                </w:r>
              </w:p>
            </w:tc>
          </w:sdtContent>
        </w:sdt>
        <w:sdt>
          <w:sdtPr>
            <w:tag w:val="_PLD_b2940b2f59f24f969eea718c85f99dda"/>
            <w:id w:val="-1160386979"/>
          </w:sdtPr>
          <w:sdtContent>
            <w:tc>
              <w:tcPr>
                <w:tcW w:w="955"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收入</w:t>
                </w:r>
              </w:p>
            </w:tc>
          </w:sdtContent>
        </w:sdt>
        <w:sdt>
          <w:sdtPr>
            <w:tag w:val="_PLD_971c170c70c24975ba7524e53623bf00"/>
            <w:id w:val="-361666407"/>
          </w:sdtPr>
          <w:sdtContent>
            <w:tc>
              <w:tcPr>
                <w:tcW w:w="955"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成本</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3"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主营业务</w:t>
            </w:r>
          </w:p>
        </w:tc>
        <w:tc>
          <w:tcPr>
            <w:tcW w:w="813" w:type="pct"/>
            <w:tcBorders>
              <w:top w:val="single" w:color="auto" w:sz="4" w:space="0"/>
              <w:left w:val="single" w:color="auto" w:sz="4" w:space="0"/>
              <w:bottom w:val="single" w:color="auto" w:sz="4" w:space="0"/>
              <w:right w:val="single" w:color="auto" w:sz="4" w:space="0"/>
            </w:tcBorders>
          </w:tcPr>
          <w:p>
            <w:pPr>
              <w:jc w:val="right"/>
            </w:pPr>
            <w:r>
              <w:t xml:space="preserve">1,244,889,439.05 </w:t>
            </w:r>
          </w:p>
        </w:tc>
        <w:tc>
          <w:tcPr>
            <w:tcW w:w="813" w:type="pct"/>
            <w:tcBorders>
              <w:top w:val="single" w:color="auto" w:sz="4" w:space="0"/>
              <w:left w:val="single" w:color="auto" w:sz="4" w:space="0"/>
              <w:bottom w:val="single" w:color="auto" w:sz="4" w:space="0"/>
              <w:right w:val="single" w:color="auto" w:sz="4" w:space="0"/>
            </w:tcBorders>
          </w:tcPr>
          <w:p>
            <w:pPr>
              <w:jc w:val="right"/>
            </w:pPr>
            <w:r>
              <w:t xml:space="preserve">1,183,129,703.37 </w:t>
            </w:r>
          </w:p>
        </w:tc>
        <w:tc>
          <w:tcPr>
            <w:tcW w:w="955" w:type="pct"/>
            <w:tcBorders>
              <w:top w:val="single" w:color="auto" w:sz="4" w:space="0"/>
              <w:left w:val="single" w:color="auto" w:sz="4" w:space="0"/>
              <w:bottom w:val="single" w:color="auto" w:sz="4" w:space="0"/>
              <w:right w:val="single" w:color="auto" w:sz="4" w:space="0"/>
            </w:tcBorders>
          </w:tcPr>
          <w:p>
            <w:pPr>
              <w:jc w:val="right"/>
            </w:pPr>
            <w:r>
              <w:t xml:space="preserve">1,310,073,450.81 </w:t>
            </w:r>
          </w:p>
        </w:tc>
        <w:tc>
          <w:tcPr>
            <w:tcW w:w="955" w:type="pct"/>
            <w:tcBorders>
              <w:top w:val="single" w:color="auto" w:sz="4" w:space="0"/>
              <w:left w:val="single" w:color="auto" w:sz="4" w:space="0"/>
              <w:bottom w:val="single" w:color="auto" w:sz="4" w:space="0"/>
              <w:right w:val="single" w:color="auto" w:sz="4" w:space="0"/>
            </w:tcBorders>
          </w:tcPr>
          <w:p>
            <w:pPr>
              <w:jc w:val="right"/>
            </w:pPr>
            <w:r>
              <w:t xml:space="preserve">1,144,532,962.31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3"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其他业务</w:t>
            </w:r>
          </w:p>
        </w:tc>
        <w:tc>
          <w:tcPr>
            <w:tcW w:w="813" w:type="pct"/>
            <w:tcBorders>
              <w:top w:val="single" w:color="auto" w:sz="4" w:space="0"/>
              <w:left w:val="single" w:color="auto" w:sz="4" w:space="0"/>
              <w:bottom w:val="single" w:color="auto" w:sz="4" w:space="0"/>
              <w:right w:val="single" w:color="auto" w:sz="4" w:space="0"/>
            </w:tcBorders>
          </w:tcPr>
          <w:p>
            <w:pPr>
              <w:jc w:val="right"/>
            </w:pPr>
            <w:r>
              <w:t xml:space="preserve"> 62,264,332.32 </w:t>
            </w:r>
          </w:p>
        </w:tc>
        <w:tc>
          <w:tcPr>
            <w:tcW w:w="813" w:type="pct"/>
            <w:tcBorders>
              <w:top w:val="single" w:color="auto" w:sz="4" w:space="0"/>
              <w:left w:val="single" w:color="auto" w:sz="4" w:space="0"/>
              <w:bottom w:val="single" w:color="auto" w:sz="4" w:space="0"/>
              <w:right w:val="single" w:color="auto" w:sz="4" w:space="0"/>
            </w:tcBorders>
          </w:tcPr>
          <w:p>
            <w:pPr>
              <w:jc w:val="right"/>
            </w:pPr>
            <w:r>
              <w:t xml:space="preserve"> 61,775,848.01 </w:t>
            </w:r>
          </w:p>
        </w:tc>
        <w:tc>
          <w:tcPr>
            <w:tcW w:w="955" w:type="pct"/>
            <w:tcBorders>
              <w:top w:val="single" w:color="auto" w:sz="4" w:space="0"/>
              <w:left w:val="single" w:color="auto" w:sz="4" w:space="0"/>
              <w:bottom w:val="single" w:color="auto" w:sz="4" w:space="0"/>
              <w:right w:val="single" w:color="auto" w:sz="4" w:space="0"/>
            </w:tcBorders>
          </w:tcPr>
          <w:p>
            <w:pPr>
              <w:jc w:val="right"/>
            </w:pPr>
            <w:r>
              <w:t xml:space="preserve"> 42,374,731.73 </w:t>
            </w:r>
          </w:p>
        </w:tc>
        <w:tc>
          <w:tcPr>
            <w:tcW w:w="955" w:type="pct"/>
            <w:tcBorders>
              <w:top w:val="single" w:color="auto" w:sz="4" w:space="0"/>
              <w:left w:val="single" w:color="auto" w:sz="4" w:space="0"/>
              <w:bottom w:val="single" w:color="auto" w:sz="4" w:space="0"/>
              <w:right w:val="single" w:color="auto" w:sz="4" w:space="0"/>
            </w:tcBorders>
          </w:tcPr>
          <w:p>
            <w:pPr>
              <w:jc w:val="right"/>
            </w:pPr>
            <w:r>
              <w:t xml:space="preserve"> 41,891,800.15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3"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813" w:type="pct"/>
            <w:tcBorders>
              <w:top w:val="single" w:color="auto" w:sz="4" w:space="0"/>
              <w:left w:val="single" w:color="auto" w:sz="4" w:space="0"/>
              <w:bottom w:val="single" w:color="auto" w:sz="4" w:space="0"/>
              <w:right w:val="single" w:color="auto" w:sz="4" w:space="0"/>
            </w:tcBorders>
          </w:tcPr>
          <w:p>
            <w:pPr>
              <w:jc w:val="right"/>
            </w:pPr>
            <w:r>
              <w:t xml:space="preserve">1,307,153,771.37 </w:t>
            </w:r>
          </w:p>
        </w:tc>
        <w:tc>
          <w:tcPr>
            <w:tcW w:w="813" w:type="pct"/>
            <w:tcBorders>
              <w:top w:val="single" w:color="auto" w:sz="4" w:space="0"/>
              <w:left w:val="single" w:color="auto" w:sz="4" w:space="0"/>
              <w:bottom w:val="single" w:color="auto" w:sz="4" w:space="0"/>
              <w:right w:val="single" w:color="auto" w:sz="4" w:space="0"/>
            </w:tcBorders>
          </w:tcPr>
          <w:p>
            <w:pPr>
              <w:jc w:val="right"/>
            </w:pPr>
            <w:r>
              <w:t xml:space="preserve">1,244,905,551.38 </w:t>
            </w:r>
          </w:p>
        </w:tc>
        <w:tc>
          <w:tcPr>
            <w:tcW w:w="955" w:type="pct"/>
            <w:tcBorders>
              <w:top w:val="single" w:color="auto" w:sz="4" w:space="0"/>
              <w:left w:val="single" w:color="auto" w:sz="4" w:space="0"/>
              <w:bottom w:val="single" w:color="auto" w:sz="4" w:space="0"/>
              <w:right w:val="single" w:color="auto" w:sz="4" w:space="0"/>
            </w:tcBorders>
          </w:tcPr>
          <w:p>
            <w:pPr>
              <w:jc w:val="right"/>
            </w:pPr>
            <w:r>
              <w:t xml:space="preserve">1,352,448,182.54 </w:t>
            </w:r>
          </w:p>
        </w:tc>
        <w:tc>
          <w:tcPr>
            <w:tcW w:w="955" w:type="pct"/>
            <w:tcBorders>
              <w:top w:val="single" w:color="auto" w:sz="4" w:space="0"/>
              <w:left w:val="single" w:color="auto" w:sz="4" w:space="0"/>
              <w:bottom w:val="single" w:color="auto" w:sz="4" w:space="0"/>
              <w:right w:val="single" w:color="auto" w:sz="4" w:space="0"/>
            </w:tcBorders>
          </w:tcPr>
          <w:p>
            <w:pPr>
              <w:jc w:val="right"/>
            </w:pPr>
            <w:r>
              <w:t xml:space="preserve">1,186,424,762.46 </w:t>
            </w:r>
          </w:p>
        </w:tc>
      </w:tr>
      <w:bookmarkEnd w:id="537"/>
    </w:tbl>
    <w:sdt>
      <w:sdtPr>
        <w:rPr>
          <w:rFonts w:hint="eastAsia" w:ascii="宋体" w:hAnsi="宋体" w:cs="宋体"/>
          <w:b w:val="0"/>
          <w:bCs/>
          <w:color w:val="000000" w:themeColor="text1"/>
          <w:kern w:val="0"/>
          <w:szCs w:val="24"/>
          <w14:textFill>
            <w14:solidFill>
              <w14:schemeClr w14:val="tx1"/>
            </w14:solidFill>
          </w14:textFill>
        </w:rPr>
        <w:alias w:val="模块:合同产生的收入的情况"/>
        <w:tag w:val="_SEC_55b67c614f984b14baf467a8376baa6d"/>
        <w:id w:val="1028057444"/>
        <w:placeholder>
          <w:docPart w:val="GBC22222222222222222222222222222"/>
        </w:placeholder>
      </w:sdtPr>
      <w:sdtEndPr>
        <w:rPr>
          <w:rFonts w:hint="default" w:ascii="Times New Roman" w:hAnsi="Times New Roman" w:cs="宋体"/>
          <w:b w:val="0"/>
          <w:bCs/>
          <w:color w:val="000000" w:themeColor="text1"/>
          <w:kern w:val="0"/>
          <w:szCs w:val="21"/>
          <w14:textFill>
            <w14:solidFill>
              <w14:schemeClr w14:val="tx1"/>
            </w14:solidFill>
          </w14:textFill>
        </w:rPr>
      </w:sdtEndPr>
      <w:sdtContent>
        <w:p>
          <w:pPr>
            <w:pStyle w:val="5"/>
            <w:numPr>
              <w:ilvl w:val="0"/>
              <w:numId w:val="105"/>
            </w:numPr>
            <w:rPr>
              <w:rFonts w:hint="eastAsia" w:ascii="宋体" w:hAnsi="宋体"/>
              <w:color w:val="000000" w:themeColor="text1"/>
              <w14:textFill>
                <w14:solidFill>
                  <w14:schemeClr w14:val="tx1"/>
                </w14:solidFill>
              </w14:textFill>
            </w:rPr>
          </w:pPr>
          <w:bookmarkStart w:id="538" w:name="_Hlk153798384"/>
          <w:bookmarkStart w:id="539" w:name="_Hlk533798810"/>
          <w:bookmarkStart w:id="540" w:name="_Hlk168057792"/>
          <w:r>
            <w:rPr>
              <w:rFonts w:hint="eastAsia" w:ascii="宋体" w:hAnsi="宋体"/>
              <w:color w:val="000000" w:themeColor="text1"/>
              <w14:textFill>
                <w14:solidFill>
                  <w14:schemeClr w14:val="tx1"/>
                </w14:solidFill>
              </w14:textFill>
            </w:rPr>
            <w:t xml:space="preserve">营业收入、营业成本的分解信息 </w:t>
          </w:r>
        </w:p>
        <w:sdt>
          <w:sdtPr>
            <w:rPr>
              <w:rFonts w:ascii="宋体" w:hAnsi="宋体"/>
              <w:color w:val="000000" w:themeColor="text1"/>
              <w:szCs w:val="21"/>
              <w14:textFill>
                <w14:solidFill>
                  <w14:schemeClr w14:val="tx1"/>
                </w14:solidFill>
              </w14:textFill>
            </w:rPr>
            <w:alias w:val="是否适用：母公司营业收入、营业成本的分解信息 [双击切换]"/>
            <w:tag w:val="_GBC_f916612422c346448db58faef20dc792"/>
            <w:id w:val="322858052"/>
            <w:placeholder>
              <w:docPart w:val="GBC22222222222222222222222222222"/>
            </w:placeholder>
          </w:sdtPr>
          <w:sdtEndPr>
            <w:rPr>
              <w:rFonts w:ascii="宋体" w:hAnsi="宋体"/>
              <w:color w:val="000000" w:themeColor="text1"/>
              <w:szCs w:val="21"/>
              <w14:textFill>
                <w14:solidFill>
                  <w14:schemeClr w14:val="tx1"/>
                </w14:solidFill>
              </w14:textFill>
            </w:rPr>
          </w:sdtEndPr>
          <w:sdtContent>
            <w:p>
              <w:pPr>
                <w:pStyle w:val="31"/>
                <w:ind w:firstLine="0" w:firstLineChars="0"/>
                <w:jc w:val="left"/>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fldChar w:fldCharType="begin"/>
              </w:r>
              <w:r>
                <w:rPr>
                  <w:rFonts w:ascii="宋体" w:hAnsi="宋体"/>
                  <w:color w:val="000000" w:themeColor="text1"/>
                  <w:szCs w:val="21"/>
                  <w14:textFill>
                    <w14:solidFill>
                      <w14:schemeClr w14:val="tx1"/>
                    </w14:solidFill>
                  </w14:textFill>
                </w:rPr>
                <w:instrText xml:space="preserve"> MACROBUTTON  SnrToggleCheckbox √适用 </w:instrText>
              </w:r>
              <w:r>
                <w:rPr>
                  <w:rFonts w:ascii="宋体" w:hAnsi="宋体"/>
                  <w:color w:val="000000" w:themeColor="text1"/>
                  <w:szCs w:val="21"/>
                  <w14:textFill>
                    <w14:solidFill>
                      <w14:schemeClr w14:val="tx1"/>
                    </w14:solidFill>
                  </w14:textFill>
                </w:rPr>
                <w:fldChar w:fldCharType="end"/>
              </w:r>
              <w:r>
                <w:rPr>
                  <w:rFonts w:ascii="宋体" w:hAnsi="宋体"/>
                  <w:color w:val="000000" w:themeColor="text1"/>
                  <w:szCs w:val="21"/>
                  <w14:textFill>
                    <w14:solidFill>
                      <w14:schemeClr w14:val="tx1"/>
                    </w14:solidFill>
                  </w14:textFill>
                </w:rPr>
                <w:fldChar w:fldCharType="begin"/>
              </w:r>
              <w:r>
                <w:rPr>
                  <w:rFonts w:ascii="宋体" w:hAnsi="宋体"/>
                  <w:color w:val="000000" w:themeColor="text1"/>
                  <w:szCs w:val="21"/>
                  <w14:textFill>
                    <w14:solidFill>
                      <w14:schemeClr w14:val="tx1"/>
                    </w14:solidFill>
                  </w14:textFill>
                </w:rPr>
                <w:instrText xml:space="preserve"> MACROBUTTON  SnrToggleCheckbox □不适用 </w:instrText>
              </w:r>
              <w:r>
                <w:rPr>
                  <w:rFonts w:ascii="宋体" w:hAnsi="宋体"/>
                  <w:color w:val="000000" w:themeColor="text1"/>
                  <w:szCs w:val="21"/>
                  <w14:textFill>
                    <w14:solidFill>
                      <w14:schemeClr w14:val="tx1"/>
                    </w14:solidFill>
                  </w14:textFill>
                </w:rPr>
                <w:fldChar w:fldCharType="end"/>
              </w:r>
            </w:p>
          </w:sdtContent>
        </w:sdt>
        <w:p>
          <w:pPr>
            <w:pStyle w:val="31"/>
            <w:ind w:firstLine="0" w:firstLineChars="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sdt>
            <w:sdtPr>
              <w:rPr>
                <w:rFonts w:hint="eastAsia" w:ascii="宋体" w:hAnsi="宋体"/>
                <w:color w:val="000000" w:themeColor="text1"/>
                <w:szCs w:val="21"/>
                <w14:textFill>
                  <w14:solidFill>
                    <w14:schemeClr w14:val="tx1"/>
                  </w14:solidFill>
                </w14:textFill>
              </w:rPr>
              <w:alias w:val="单位：母公司营业收入、营业成本的分解信息 "/>
              <w:tag w:val="_GBC_e6b85420b31744ebb82faab81c66888a"/>
              <w:id w:val="-1008599405"/>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元</w:t>
              </w:r>
            </w:sdtContent>
          </w:sdt>
          <w:r>
            <w:rPr>
              <w:rFonts w:hint="eastAsia" w:ascii="宋体" w:hAnsi="宋体"/>
              <w:color w:val="000000" w:themeColor="text1"/>
              <w:szCs w:val="21"/>
              <w14:textFill>
                <w14:solidFill>
                  <w14:schemeClr w14:val="tx1"/>
                </w14:solidFill>
              </w14:textFill>
            </w:rPr>
            <w:t xml:space="preserve">  币种：</w:t>
          </w:r>
          <w:sdt>
            <w:sdtPr>
              <w:rPr>
                <w:rFonts w:hint="eastAsia" w:ascii="宋体" w:hAnsi="宋体"/>
                <w:color w:val="000000" w:themeColor="text1"/>
                <w:szCs w:val="21"/>
                <w14:textFill>
                  <w14:solidFill>
                    <w14:schemeClr w14:val="tx1"/>
                  </w14:solidFill>
                </w14:textFill>
              </w:rPr>
              <w:alias w:val="币种：母公司营业收入、营业成本的分解信息 "/>
              <w:tag w:val="_GBC_a21eea1b0c6c42afa80a1b7e1f7aaf81"/>
              <w:id w:val="-1364137070"/>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ascii="宋体" w:hAnsi="宋体"/>
                <w:color w:val="000000" w:themeColor="text1"/>
                <w:szCs w:val="21"/>
                <w14:textFill>
                  <w14:solidFill>
                    <w14:schemeClr w14:val="tx1"/>
                  </w14:solidFill>
                </w14:textFill>
              </w:rPr>
            </w:sdtEndPr>
            <w:sdtContent>
              <w:r>
                <w:rPr>
                  <w:rFonts w:hint="eastAsia" w:ascii="宋体" w:hAnsi="宋体"/>
                  <w:color w:val="000000" w:themeColor="text1"/>
                  <w:szCs w:val="2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28"/>
            <w:gridCol w:w="2420"/>
            <w:gridCol w:w="3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088c04bc97c148b8985e04f4a2797f92"/>
                <w:id w:val="-1714797130"/>
              </w:sdtPr>
              <w:sdtContent>
                <w:tc>
                  <w:tcPr>
                    <w:tcW w:w="2005"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合同分类</w:t>
                    </w:r>
                  </w:p>
                </w:tc>
              </w:sdtContent>
            </w:sdt>
            <w:sdt>
              <w:sdtPr>
                <w:tag w:val="_PLD_1657446828694cd2a20836751aea1c9f"/>
                <w:id w:val="-1508060959"/>
              </w:sdtPr>
              <w:sdtContent>
                <w:tc>
                  <w:tcPr>
                    <w:tcW w:w="2995"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vMerge w:val="continue"/>
                <w:tcBorders>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p>
            </w:tc>
            <w:sdt>
              <w:sdtPr>
                <w:tag w:val="_PLD_bda6864537c1473787995e2ab3492e49"/>
                <w:id w:val="-1387952564"/>
              </w:sdtPr>
              <w:sdtContent>
                <w:tc>
                  <w:tcPr>
                    <w:tcW w:w="1337"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营业收入</w:t>
                    </w:r>
                  </w:p>
                </w:tc>
              </w:sdtContent>
            </w:sdt>
            <w:sdt>
              <w:sdtPr>
                <w:tag w:val="_PLD_ccd631421f91491e9a03bf7a01d32791"/>
                <w:id w:val="-2129764514"/>
              </w:sdtPr>
              <w:sdtContent>
                <w:tc>
                  <w:tcPr>
                    <w:tcW w:w="1658"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营业成本</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商品类型</w:t>
                </w:r>
              </w:p>
            </w:tc>
            <w:tc>
              <w:tcPr>
                <w:tcW w:w="13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c>
              <w:tcPr>
                <w:tcW w:w="1658"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ind w:firstLine="420" w:firstLineChars="200"/>
                </w:pPr>
                <w:r>
                  <w:rPr>
                    <w:rFonts w:hint="eastAsia"/>
                  </w:rPr>
                  <w:t>输配电及控制设备</w:t>
                </w:r>
              </w:p>
            </w:tc>
            <w:tc>
              <w:tcPr>
                <w:tcW w:w="1337" w:type="pct"/>
                <w:tcBorders>
                  <w:top w:val="single" w:color="auto" w:sz="4" w:space="0"/>
                  <w:left w:val="single" w:color="auto" w:sz="4" w:space="0"/>
                  <w:bottom w:val="single" w:color="auto" w:sz="4" w:space="0"/>
                  <w:right w:val="single" w:color="auto" w:sz="4" w:space="0"/>
                </w:tcBorders>
              </w:tcPr>
              <w:p>
                <w:pPr>
                  <w:jc w:val="right"/>
                </w:pPr>
                <w:r>
                  <w:t xml:space="preserve"> 614,912,987.47 </w:t>
                </w:r>
              </w:p>
            </w:tc>
            <w:tc>
              <w:tcPr>
                <w:tcW w:w="1658" w:type="pct"/>
                <w:tcBorders>
                  <w:top w:val="single" w:color="auto" w:sz="4" w:space="0"/>
                  <w:left w:val="single" w:color="auto" w:sz="4" w:space="0"/>
                  <w:bottom w:val="single" w:color="auto" w:sz="4" w:space="0"/>
                  <w:right w:val="single" w:color="auto" w:sz="4" w:space="0"/>
                </w:tcBorders>
              </w:tcPr>
              <w:p>
                <w:pPr>
                  <w:jc w:val="right"/>
                </w:pPr>
                <w:r>
                  <w:t xml:space="preserve"> 553,357,224.47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ind w:firstLine="420" w:firstLineChars="200"/>
                  <w:rPr>
                    <w:color w:val="000000" w:themeColor="text1"/>
                    <w14:textFill>
                      <w14:solidFill>
                        <w14:schemeClr w14:val="tx1"/>
                      </w14:solidFill>
                    </w14:textFill>
                  </w:rPr>
                </w:pPr>
                <w:r>
                  <w:rPr>
                    <w:rFonts w:hint="eastAsia"/>
                  </w:rPr>
                  <w:t>取向硅钢</w:t>
                </w:r>
              </w:p>
            </w:tc>
            <w:tc>
              <w:tcPr>
                <w:tcW w:w="13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t xml:space="preserve"> 629,976,451.58 </w:t>
                </w:r>
              </w:p>
            </w:tc>
            <w:tc>
              <w:tcPr>
                <w:tcW w:w="1658"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t xml:space="preserve"> 629,772,478.90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ind w:firstLine="420" w:firstLineChars="200"/>
                </w:pPr>
                <w:r>
                  <w:rPr>
                    <w:rFonts w:hint="eastAsia"/>
                  </w:rPr>
                  <w:t>其他业务</w:t>
                </w:r>
              </w:p>
            </w:tc>
            <w:tc>
              <w:tcPr>
                <w:tcW w:w="1337" w:type="pct"/>
                <w:tcBorders>
                  <w:top w:val="single" w:color="auto" w:sz="4" w:space="0"/>
                  <w:left w:val="single" w:color="auto" w:sz="4" w:space="0"/>
                  <w:bottom w:val="single" w:color="auto" w:sz="4" w:space="0"/>
                  <w:right w:val="single" w:color="auto" w:sz="4" w:space="0"/>
                </w:tcBorders>
              </w:tcPr>
              <w:p>
                <w:pPr>
                  <w:jc w:val="right"/>
                </w:pPr>
                <w:r>
                  <w:t xml:space="preserve"> 62,264,332.32 </w:t>
                </w:r>
              </w:p>
            </w:tc>
            <w:tc>
              <w:tcPr>
                <w:tcW w:w="1658" w:type="pct"/>
                <w:tcBorders>
                  <w:top w:val="single" w:color="auto" w:sz="4" w:space="0"/>
                  <w:left w:val="single" w:color="auto" w:sz="4" w:space="0"/>
                  <w:bottom w:val="single" w:color="auto" w:sz="4" w:space="0"/>
                  <w:right w:val="single" w:color="auto" w:sz="4" w:space="0"/>
                </w:tcBorders>
              </w:tcPr>
              <w:p>
                <w:pPr>
                  <w:jc w:val="right"/>
                </w:pPr>
                <w:r>
                  <w:t xml:space="preserve"> 61,775,848.01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按商品转让的时间分类</w:t>
                </w:r>
              </w:p>
            </w:tc>
            <w:tc>
              <w:tcPr>
                <w:tcW w:w="13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p>
            </w:tc>
            <w:tc>
              <w:tcPr>
                <w:tcW w:w="1658"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ind w:firstLine="420" w:firstLineChars="200"/>
                </w:pPr>
                <w:r>
                  <w:rPr>
                    <w:rFonts w:hint="eastAsia"/>
                  </w:rPr>
                  <w:t>在某一时点确认收入</w:t>
                </w:r>
              </w:p>
            </w:tc>
            <w:tc>
              <w:tcPr>
                <w:tcW w:w="1337" w:type="pct"/>
                <w:tcBorders>
                  <w:top w:val="single" w:color="auto" w:sz="4" w:space="0"/>
                  <w:left w:val="single" w:color="auto" w:sz="4" w:space="0"/>
                  <w:bottom w:val="single" w:color="auto" w:sz="4" w:space="0"/>
                  <w:right w:val="single" w:color="auto" w:sz="4" w:space="0"/>
                </w:tcBorders>
              </w:tcPr>
              <w:p>
                <w:pPr>
                  <w:jc w:val="right"/>
                </w:pPr>
                <w:r>
                  <w:t xml:space="preserve"> 1,307,153,771.37 </w:t>
                </w:r>
              </w:p>
            </w:tc>
            <w:tc>
              <w:tcPr>
                <w:tcW w:w="1658" w:type="pct"/>
                <w:tcBorders>
                  <w:top w:val="single" w:color="auto" w:sz="4" w:space="0"/>
                  <w:left w:val="single" w:color="auto" w:sz="4" w:space="0"/>
                  <w:bottom w:val="single" w:color="auto" w:sz="4" w:space="0"/>
                  <w:right w:val="single" w:color="auto" w:sz="4" w:space="0"/>
                </w:tcBorders>
              </w:tcPr>
              <w:p>
                <w:pPr>
                  <w:jc w:val="right"/>
                </w:pPr>
                <w:r>
                  <w:t xml:space="preserve"> 1,244,905,551.38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ind w:firstLine="420" w:firstLineChars="200"/>
                  <w:rPr>
                    <w:color w:val="000000" w:themeColor="text1"/>
                    <w14:textFill>
                      <w14:solidFill>
                        <w14:schemeClr w14:val="tx1"/>
                      </w14:solidFill>
                    </w14:textFill>
                  </w:rPr>
                </w:pPr>
                <w:r>
                  <w:rPr>
                    <w:rFonts w:hint="eastAsia"/>
                  </w:rPr>
                  <w:t>在某一时段内确认收入</w:t>
                </w:r>
              </w:p>
            </w:tc>
            <w:tc>
              <w:tcPr>
                <w:tcW w:w="13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p>
            </w:tc>
            <w:tc>
              <w:tcPr>
                <w:tcW w:w="1658"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5" w:type="pct"/>
                <w:tcBorders>
                  <w:top w:val="single" w:color="auto" w:sz="4" w:space="0"/>
                  <w:left w:val="single" w:color="auto" w:sz="4" w:space="0"/>
                  <w:bottom w:val="single" w:color="auto" w:sz="4" w:space="0"/>
                  <w:right w:val="single" w:color="auto" w:sz="4" w:space="0"/>
                </w:tcBorders>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337"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t xml:space="preserve"> 1,307,153,771.37 </w:t>
                </w:r>
              </w:p>
            </w:tc>
            <w:tc>
              <w:tcPr>
                <w:tcW w:w="1658" w:type="pct"/>
                <w:tcBorders>
                  <w:top w:val="single" w:color="auto" w:sz="4" w:space="0"/>
                  <w:left w:val="single" w:color="auto" w:sz="4" w:space="0"/>
                  <w:bottom w:val="single" w:color="auto" w:sz="4" w:space="0"/>
                  <w:right w:val="single" w:color="auto" w:sz="4" w:space="0"/>
                </w:tcBorders>
              </w:tcPr>
              <w:p>
                <w:pPr>
                  <w:jc w:val="right"/>
                  <w:rPr>
                    <w:color w:val="000000" w:themeColor="text1"/>
                    <w14:textFill>
                      <w14:solidFill>
                        <w14:schemeClr w14:val="tx1"/>
                      </w14:solidFill>
                    </w14:textFill>
                  </w:rPr>
                </w:pPr>
                <w:r>
                  <w:t xml:space="preserve"> 1,244,905,551.38 </w:t>
                </w:r>
              </w:p>
            </w:tc>
          </w:tr>
        </w:tbl>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母公司营业收入、营业成本的分解信息说明 [双击切换]"/>
            <w:tag w:val="_GBC_adf50e989b9642a6a5b483866ecd2065"/>
            <w:id w:val="-456335377"/>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sdtContent>
    </w:sdt>
    <w:bookmarkEnd w:id="538"/>
    <w:p>
      <w:pPr>
        <w:pStyle w:val="5"/>
        <w:numPr>
          <w:ilvl w:val="0"/>
          <w:numId w:val="105"/>
        </w:numPr>
        <w:spacing w:line="360" w:lineRule="exact"/>
        <w:rPr>
          <w:rFonts w:hint="eastAsia" w:ascii="宋体" w:hAnsi="宋体"/>
          <w:color w:val="000000" w:themeColor="text1"/>
          <w14:textFill>
            <w14:solidFill>
              <w14:schemeClr w14:val="tx1"/>
            </w14:solidFill>
          </w14:textFill>
        </w:rPr>
      </w:pPr>
      <w:bookmarkStart w:id="541" w:name="_Hlk155961563"/>
      <w:r>
        <w:rPr>
          <w:rFonts w:hint="eastAsia" w:ascii="宋体" w:hAnsi="宋体"/>
          <w:color w:val="000000" w:themeColor="text1"/>
          <w14:textFill>
            <w14:solidFill>
              <w14:schemeClr w14:val="tx1"/>
            </w14:solidFill>
          </w14:textFill>
        </w:rPr>
        <w:t>履约义务的说明</w:t>
      </w:r>
    </w:p>
    <w:sdt>
      <w:sdtPr>
        <w:rPr>
          <w:color w:val="000000" w:themeColor="text1"/>
          <w14:textFill>
            <w14:solidFill>
              <w14:schemeClr w14:val="tx1"/>
            </w14:solidFill>
          </w14:textFill>
        </w:rPr>
        <w:alias w:val="是否适用：履约义务的说明[双击切换]"/>
        <w:tag w:val="_GBC_7eb65f1aefb848c3be4d6abd4048aef7"/>
        <w:id w:val="245618347"/>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39"/>
    <w:bookmarkEnd w:id="541"/>
    <w:p>
      <w:pPr>
        <w:pStyle w:val="5"/>
        <w:numPr>
          <w:ilvl w:val="0"/>
          <w:numId w:val="105"/>
        </w:numPr>
        <w:spacing w:line="360" w:lineRule="exact"/>
        <w:rPr>
          <w:rFonts w:hint="eastAsia" w:ascii="宋体" w:hAnsi="宋体"/>
          <w:color w:val="000000" w:themeColor="text1"/>
          <w14:textFill>
            <w14:solidFill>
              <w14:schemeClr w14:val="tx1"/>
            </w14:solidFill>
          </w14:textFill>
        </w:rPr>
      </w:pPr>
      <w:bookmarkStart w:id="542" w:name="_Hlk533798958"/>
      <w:r>
        <w:rPr>
          <w:rFonts w:hint="eastAsia" w:ascii="宋体" w:hAnsi="宋体"/>
          <w:color w:val="000000" w:themeColor="text1"/>
          <w14:textFill>
            <w14:solidFill>
              <w14:schemeClr w14:val="tx1"/>
            </w14:solidFill>
          </w14:textFill>
        </w:rPr>
        <w:t>分摊至剩余履约义务的说明</w:t>
      </w:r>
    </w:p>
    <w:sdt>
      <w:sdtPr>
        <w:rPr>
          <w:color w:val="000000" w:themeColor="text1"/>
          <w14:textFill>
            <w14:solidFill>
              <w14:schemeClr w14:val="tx1"/>
            </w14:solidFill>
          </w14:textFill>
        </w:rPr>
        <w:alias w:val="是否适用：母公司分摊至剩余履约义务的说明[双击切换]"/>
        <w:tag w:val="_GBC_3aac73ec336d4015bdb4b42a7b0d24ea"/>
        <w:id w:val="-737020610"/>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42"/>
    <w:p>
      <w:pPr>
        <w:pStyle w:val="5"/>
        <w:numPr>
          <w:ilvl w:val="0"/>
          <w:numId w:val="105"/>
        </w:numPr>
        <w:spacing w:line="360" w:lineRule="exact"/>
        <w:rPr>
          <w:rFonts w:hint="eastAsia" w:ascii="宋体" w:hAnsi="宋体"/>
          <w:color w:val="000000" w:themeColor="text1"/>
          <w14:textFill>
            <w14:solidFill>
              <w14:schemeClr w14:val="tx1"/>
            </w14:solidFill>
          </w14:textFill>
        </w:rPr>
      </w:pPr>
      <w:bookmarkStart w:id="543" w:name="_Hlk153798573"/>
      <w:r>
        <w:rPr>
          <w:rFonts w:hint="eastAsia" w:ascii="宋体" w:hAnsi="宋体"/>
          <w:color w:val="000000" w:themeColor="text1"/>
          <w14:textFill>
            <w14:solidFill>
              <w14:schemeClr w14:val="tx1"/>
            </w14:solidFill>
          </w14:textFill>
        </w:rPr>
        <w:t>重大合同变更或重大交易价格调整</w:t>
      </w:r>
    </w:p>
    <w:sdt>
      <w:sdtPr>
        <w:rPr>
          <w:color w:val="000000" w:themeColor="text1"/>
          <w14:textFill>
            <w14:solidFill>
              <w14:schemeClr w14:val="tx1"/>
            </w14:solidFill>
          </w14:textFill>
        </w:rPr>
        <w:alias w:val="是否适用：母公司重大合同变更或重大交易价格调整[双击切换]"/>
        <w:tag w:val="_GBC_37b150e92b5a4605be19135cd46e097e"/>
        <w:id w:val="-1028557326"/>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43"/>
    <w:p>
      <w:pPr>
        <w:spacing w:before="60" w:after="60" w:line="360" w:lineRule="exact"/>
        <w:rPr>
          <w:color w:val="000000" w:themeColor="text1"/>
          <w14:textFill>
            <w14:solidFill>
              <w14:schemeClr w14:val="tx1"/>
            </w14:solidFill>
          </w14:textFill>
        </w:rPr>
      </w:pPr>
      <w:bookmarkStart w:id="544" w:name="_Hlk533798751"/>
      <w:r>
        <w:rPr>
          <w:rFonts w:hint="eastAsia"/>
          <w:color w:val="000000" w:themeColor="text1"/>
          <w14:textFill>
            <w14:solidFill>
              <w14:schemeClr w14:val="tx1"/>
            </w14:solidFill>
          </w14:textFill>
        </w:rPr>
        <w:t>其他说明：</w:t>
      </w:r>
    </w:p>
    <w:p>
      <w:pPr>
        <w:spacing w:line="360" w:lineRule="exact"/>
        <w:rPr>
          <w:color w:val="000000" w:themeColor="text1"/>
          <w14:textFill>
            <w14:solidFill>
              <w14:schemeClr w14:val="tx1"/>
            </w14:solidFill>
          </w14:textFill>
        </w:rPr>
      </w:pPr>
      <w:sdt>
        <w:sdtPr>
          <w:rPr>
            <w:color w:val="000000" w:themeColor="text1"/>
            <w14:textFill>
              <w14:solidFill>
                <w14:schemeClr w14:val="tx1"/>
              </w14:solidFill>
            </w14:textFill>
          </w:rPr>
          <w:alias w:val="主营业务说明"/>
          <w:tag w:val="_GBC_1758332f6c7d4ddf94e12be06682add9"/>
          <w:id w:val="375968412"/>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无</w:t>
          </w:r>
        </w:sdtContent>
      </w:sdt>
    </w:p>
    <w:bookmarkEnd w:id="540"/>
    <w:bookmarkEnd w:id="544"/>
    <w:p>
      <w:pPr>
        <w:pStyle w:val="4"/>
        <w:numPr>
          <w:ilvl w:val="0"/>
          <w:numId w:val="101"/>
        </w:numPr>
        <w:spacing w:line="360" w:lineRule="exact"/>
        <w:rPr>
          <w:rFonts w:hint="eastAsia" w:ascii="宋体" w:hAnsi="宋体"/>
          <w:color w:val="000000" w:themeColor="text1"/>
          <w:szCs w:val="21"/>
          <w14:textFill>
            <w14:solidFill>
              <w14:schemeClr w14:val="tx1"/>
            </w14:solidFill>
          </w14:textFill>
        </w:rPr>
      </w:pPr>
      <w:bookmarkStart w:id="545" w:name="OLE_LINK6"/>
      <w:bookmarkStart w:id="546" w:name="_Hlk10548739"/>
      <w:r>
        <w:rPr>
          <w:rFonts w:hint="eastAsia" w:ascii="宋体" w:hAnsi="宋体"/>
          <w:color w:val="000000" w:themeColor="text1"/>
          <w:szCs w:val="21"/>
          <w14:textFill>
            <w14:solidFill>
              <w14:schemeClr w14:val="tx1"/>
            </w14:solidFill>
          </w14:textFill>
        </w:rPr>
        <w:t>投资收益</w:t>
      </w:r>
      <w:bookmarkEnd w:id="545"/>
    </w:p>
    <w:sdt>
      <w:sdtPr>
        <w:rPr>
          <w:color w:val="000000" w:themeColor="text1"/>
          <w14:textFill>
            <w14:solidFill>
              <w14:schemeClr w14:val="tx1"/>
            </w14:solidFill>
          </w14:textFill>
        </w:rPr>
        <w:alias w:val="是否适用：母公司投资收益[双击切换]"/>
        <w:tag w:val="_GBC_bdba48f0322747499f6908fbbf78a16f"/>
        <w:id w:val="379600562"/>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color w:val="000000" w:themeColor="text1"/>
          <w14:textFill>
            <w14:solidFill>
              <w14:schemeClr w14:val="tx1"/>
            </w14:solidFill>
          </w14:textFill>
        </w:rPr>
        <w:t>单位</w:t>
      </w:r>
      <w:r>
        <w:rPr>
          <w:rFonts w:hint="eastAsia"/>
          <w:color w:val="000000" w:themeColor="text1"/>
          <w14:textFill>
            <w14:solidFill>
              <w14:schemeClr w14:val="tx1"/>
            </w14:solidFill>
          </w14:textFill>
        </w:rPr>
        <w:t>：</w:t>
      </w:r>
      <w:sdt>
        <w:sdtPr>
          <w:rPr>
            <w:rFonts w:hint="eastAsia"/>
            <w:color w:val="000000" w:themeColor="text1"/>
            <w14:textFill>
              <w14:solidFill>
                <w14:schemeClr w14:val="tx1"/>
              </w14:solidFill>
            </w14:textFill>
          </w:rPr>
          <w:alias w:val="单位：财务附注：会计报表中的投资收益项目增加"/>
          <w:tag w:val="_GBC_613aeed04bd941b2899e7b84fac67e3a"/>
          <w:id w:val="-2110418269"/>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元</w:t>
          </w:r>
        </w:sdtContent>
      </w:sdt>
      <w:r>
        <w:rPr>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财务附注：会计报表中的投资收益项目增加"/>
          <w:tag w:val="_GBC_8976301949824df2a90aa6f83aad84f0"/>
          <w:id w:val="-839544753"/>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2"/>
        <w:gridCol w:w="2693"/>
        <w:gridCol w:w="2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tag w:val="_PLD_1263506df19847a5a86c9b873a7b7673"/>
            <w:id w:val="1981729274"/>
          </w:sdtPr>
          <w:sdtContent>
            <w:tc>
              <w:tcPr>
                <w:tcW w:w="2018" w:type="pct"/>
                <w:vAlign w:val="center"/>
              </w:tcPr>
              <w:p>
                <w:pPr>
                  <w:ind w:left="420" w:hanging="42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项目</w:t>
                </w:r>
              </w:p>
            </w:tc>
          </w:sdtContent>
        </w:sdt>
        <w:sdt>
          <w:sdtPr>
            <w:tag w:val="_PLD_6da456fe7d784e789fe8204c2cc499b3"/>
            <w:id w:val="-778019794"/>
          </w:sdtPr>
          <w:sdtContent>
            <w:tc>
              <w:tcPr>
                <w:tcW w:w="148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本期发生额</w:t>
                </w:r>
              </w:p>
            </w:tc>
          </w:sdtContent>
        </w:sdt>
        <w:sdt>
          <w:sdtPr>
            <w:tag w:val="_PLD_d81207d79e9643e0a08aec2616f96432"/>
            <w:id w:val="-1411923035"/>
          </w:sdtPr>
          <w:sdtContent>
            <w:tc>
              <w:tcPr>
                <w:tcW w:w="1494"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上期发生额</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权益法核算的长期股权投资收益</w:t>
            </w:r>
          </w:p>
        </w:tc>
        <w:tc>
          <w:tcPr>
            <w:tcW w:w="1488" w:type="pct"/>
          </w:tcPr>
          <w:p>
            <w:pPr>
              <w:jc w:val="right"/>
            </w:pPr>
            <w:r>
              <w:t xml:space="preserve"> -1,368,108.91 </w:t>
            </w:r>
          </w:p>
        </w:tc>
        <w:tc>
          <w:tcPr>
            <w:tcW w:w="1494" w:type="pct"/>
            <w:vAlign w:val="center"/>
          </w:tcPr>
          <w:p>
            <w:pPr>
              <w:jc w:val="right"/>
            </w:pPr>
            <w:r>
              <w:t xml:space="preserve"> -1,373,937.85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处置交易性金融资产取得的投资收益</w:t>
            </w:r>
          </w:p>
        </w:tc>
        <w:tc>
          <w:tcPr>
            <w:tcW w:w="1488" w:type="pct"/>
          </w:tcPr>
          <w:p>
            <w:pPr>
              <w:jc w:val="right"/>
            </w:pPr>
          </w:p>
        </w:tc>
        <w:tc>
          <w:tcPr>
            <w:tcW w:w="1494" w:type="pct"/>
            <w:vAlign w:val="center"/>
          </w:tcPr>
          <w:p>
            <w:pPr>
              <w:jc w:val="right"/>
            </w:pPr>
            <w:r>
              <w:t>70,897.54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Borders>
              <w:bottom w:val="single" w:color="auto" w:sz="4" w:space="0"/>
            </w:tcBorders>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债务重组收益</w:t>
            </w:r>
          </w:p>
        </w:tc>
        <w:tc>
          <w:tcPr>
            <w:tcW w:w="1488" w:type="pct"/>
            <w:tcBorders>
              <w:bottom w:val="single" w:color="auto" w:sz="4" w:space="0"/>
            </w:tcBorders>
          </w:tcPr>
          <w:p>
            <w:pPr>
              <w:jc w:val="right"/>
            </w:pPr>
            <w:r>
              <w:t xml:space="preserve"> -796.99 </w:t>
            </w:r>
          </w:p>
        </w:tc>
        <w:tc>
          <w:tcPr>
            <w:tcW w:w="1494" w:type="pct"/>
            <w:tcBorders>
              <w:bottom w:val="single" w:color="auto" w:sz="4" w:space="0"/>
            </w:tcBorders>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tcPr>
          <w:p>
            <w:pPr>
              <w:pStyle w:val="48"/>
            </w:pPr>
            <w:r>
              <w:t>贴现未到期票据终止确认贴现息</w:t>
            </w:r>
          </w:p>
        </w:tc>
        <w:tc>
          <w:tcPr>
            <w:tcW w:w="1488" w:type="pct"/>
          </w:tcPr>
          <w:p>
            <w:pPr>
              <w:jc w:val="right"/>
            </w:pPr>
            <w:r>
              <w:t xml:space="preserve"> -254,349.86 </w:t>
            </w:r>
          </w:p>
        </w:tc>
        <w:tc>
          <w:tcPr>
            <w:tcW w:w="1494" w:type="pct"/>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8" w:type="pct"/>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合计</w:t>
            </w:r>
          </w:p>
        </w:tc>
        <w:tc>
          <w:tcPr>
            <w:tcW w:w="1488" w:type="pct"/>
          </w:tcPr>
          <w:p>
            <w:pPr>
              <w:jc w:val="right"/>
            </w:pPr>
            <w:r>
              <w:t xml:space="preserve"> -1,623,255.76 </w:t>
            </w:r>
          </w:p>
        </w:tc>
        <w:tc>
          <w:tcPr>
            <w:tcW w:w="1494" w:type="pct"/>
          </w:tcPr>
          <w:p>
            <w:pPr>
              <w:jc w:val="right"/>
            </w:pPr>
            <w:r>
              <w:t>-1,303,040.31</w:t>
            </w:r>
          </w:p>
        </w:tc>
      </w:tr>
      <w:bookmarkEnd w:id="546"/>
    </w:tbl>
    <w:p>
      <w:pPr>
        <w:spacing w:line="360" w:lineRule="exact"/>
        <w:rPr>
          <w:color w:val="000000" w:themeColor="text1"/>
          <w14:textFill>
            <w14:solidFill>
              <w14:schemeClr w14:val="tx1"/>
            </w14:solidFill>
          </w14:textFill>
        </w:rPr>
      </w:pPr>
      <w:bookmarkStart w:id="547" w:name="_Hlk10720480"/>
      <w:r>
        <w:rPr>
          <w:rFonts w:hint="eastAsia"/>
          <w:color w:val="000000" w:themeColor="text1"/>
          <w14:textFill>
            <w14:solidFill>
              <w14:schemeClr w14:val="tx1"/>
            </w14:solidFill>
          </w14:textFill>
        </w:rPr>
        <w:t>其他说明：</w:t>
      </w:r>
      <w:bookmarkEnd w:id="547"/>
    </w:p>
    <w:sdt>
      <w:sdtPr>
        <w:rPr>
          <w:color w:val="000000" w:themeColor="text1"/>
          <w14:textFill>
            <w14:solidFill>
              <w14:schemeClr w14:val="tx1"/>
            </w14:solidFill>
          </w14:textFill>
        </w:rPr>
        <w:alias w:val="投资收益说明"/>
        <w:tag w:val="_GBC_e91b47a8afc84e119383bf071cb9a50d"/>
        <w:id w:val="-108128161"/>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sdtContent>
    </w:sdt>
    <w:p>
      <w:pPr>
        <w:pStyle w:val="4"/>
        <w:numPr>
          <w:ilvl w:val="0"/>
          <w:numId w:val="101"/>
        </w:numPr>
        <w:spacing w:line="360" w:lineRule="exac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w:t>
      </w:r>
    </w:p>
    <w:sdt>
      <w:sdtPr>
        <w:rPr>
          <w:color w:val="000000" w:themeColor="text1"/>
          <w14:textFill>
            <w14:solidFill>
              <w14:schemeClr w14:val="tx1"/>
            </w14:solidFill>
          </w14:textFill>
        </w:rPr>
        <w:alias w:val="是否适用：母公司会计报表附注的其他说明事项[双击切换]"/>
        <w:tag w:val="_GBC_198503cdf8c8448ea7bb4de3243a4de8"/>
        <w:id w:val="994771199"/>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3"/>
        <w:numPr>
          <w:ilvl w:val="0"/>
          <w:numId w:val="31"/>
        </w:numPr>
        <w:spacing w:line="360" w:lineRule="exact"/>
        <w:ind w:left="420" w:hanging="42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补充资料</w:t>
      </w:r>
    </w:p>
    <w:p>
      <w:pPr>
        <w:pStyle w:val="4"/>
        <w:numPr>
          <w:ilvl w:val="0"/>
          <w:numId w:val="106"/>
        </w:numPr>
        <w:spacing w:line="360" w:lineRule="exact"/>
        <w:rPr>
          <w:rFonts w:hint="eastAsia" w:ascii="宋体" w:hAnsi="宋体"/>
          <w:color w:val="000000" w:themeColor="text1"/>
          <w:szCs w:val="21"/>
          <w14:textFill>
            <w14:solidFill>
              <w14:schemeClr w14:val="tx1"/>
            </w14:solidFill>
          </w14:textFill>
        </w:rPr>
      </w:pPr>
      <w:bookmarkStart w:id="548" w:name="_Hlk152579827"/>
      <w:bookmarkStart w:id="549" w:name="_Hlk535584690"/>
      <w:bookmarkStart w:id="550" w:name="_Hlk168057952"/>
      <w:r>
        <w:rPr>
          <w:rFonts w:hint="eastAsia" w:ascii="宋体" w:hAnsi="宋体"/>
          <w:color w:val="000000" w:themeColor="text1"/>
          <w:szCs w:val="21"/>
          <w14:textFill>
            <w14:solidFill>
              <w14:schemeClr w14:val="tx1"/>
            </w14:solidFill>
          </w14:textFill>
        </w:rPr>
        <w:t>当期非经常性损益明细表</w:t>
      </w:r>
    </w:p>
    <w:sdt>
      <w:sdtPr>
        <w:rPr>
          <w:color w:val="000000" w:themeColor="text1"/>
          <w14:textFill>
            <w14:solidFill>
              <w14:schemeClr w14:val="tx1"/>
            </w14:solidFill>
          </w14:textFill>
        </w:rPr>
        <w:alias w:val="是否适用：当期非经常性损益明细表[双击切换]"/>
        <w:tag w:val="_GBC_28c90d0fec4248b7be00ea74910120f8"/>
        <w:id w:val="-1925647298"/>
        <w:placeholder>
          <w:docPart w:val="GBC22222222222222222222222222222"/>
        </w:placeholder>
      </w:sdtPr>
      <w:sdtEndPr>
        <w:rPr>
          <w:color w:val="000000" w:themeColor="text1"/>
          <w14:textFill>
            <w14:solidFill>
              <w14:schemeClr w14:val="tx1"/>
            </w14:solidFill>
          </w14:textFill>
        </w:rPr>
      </w:sdtEndPr>
      <w:sdtContent>
        <w:p>
          <w:pPr>
            <w:spacing w:line="360" w:lineRule="exac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jc w:val="right"/>
        <w:rPr>
          <w:color w:val="000000" w:themeColor="text1"/>
          <w14:textFill>
            <w14:solidFill>
              <w14:schemeClr w14:val="tx1"/>
            </w14:solidFill>
          </w14:textFill>
        </w:rPr>
      </w:pPr>
      <w:r>
        <w:rPr>
          <w:rFonts w:hint="eastAsia"/>
          <w:color w:val="000000" w:themeColor="text1"/>
          <w14:textFill>
            <w14:solidFill>
              <w14:schemeClr w14:val="tx1"/>
            </w14:solidFill>
          </w14:textFill>
        </w:rPr>
        <w:t>单位：</w:t>
      </w:r>
      <w:sdt>
        <w:sdtPr>
          <w:rPr>
            <w:rFonts w:hint="eastAsia"/>
            <w:color w:val="000000" w:themeColor="text1"/>
            <w14:textFill>
              <w14:solidFill>
                <w14:schemeClr w14:val="tx1"/>
              </w14:solidFill>
            </w14:textFill>
          </w:rPr>
          <w:alias w:val="单位：扣除非经常性损益项目和金额"/>
          <w:tag w:val="_GBC_acdddcaac70249d2a73e5ac878d6874b"/>
          <w:id w:val="1643540745"/>
          <w:placeholder>
            <w:docPart w:val="GBC22222222222222222222222222222"/>
          </w:placeholder>
          <w15:dataBinding w:prefixMappings="xmlns:clcid-ci-ar='clcid-ci-ar'" w:xpath="/*/clcid-ci-ar:DanWeiKouChuFeiJingChangXingSunYiXiangMuHeJinE[not(@periodRef)]" w:storeItemID="{89EBAB94-44A0-46A2-B712-30D997D04A6D}"/>
          <w:comboBox>
            <w:listItem w:displayText="元" w:value="1"/>
            <w:listItem w:displayText="千元" w:value="1000"/>
            <w:listItem w:displayText="万元" w:value="10000"/>
            <w:listItem w:displayText="百万元" w:value="1000000"/>
            <w:listItem w:displayText="亿元" w:value="100000000"/>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万元</w:t>
          </w:r>
        </w:sdtContent>
      </w:sdt>
      <w:r>
        <w:rPr>
          <w:rFonts w:hint="eastAsia"/>
          <w:color w:val="000000" w:themeColor="text1"/>
          <w14:textFill>
            <w14:solidFill>
              <w14:schemeClr w14:val="tx1"/>
            </w14:solidFill>
          </w14:textFill>
        </w:rPr>
        <w:t xml:space="preserve"> 币种：</w:t>
      </w:r>
      <w:sdt>
        <w:sdtPr>
          <w:rPr>
            <w:rFonts w:hint="eastAsia"/>
            <w:color w:val="000000" w:themeColor="text1"/>
            <w14:textFill>
              <w14:solidFill>
                <w14:schemeClr w14:val="tx1"/>
              </w14:solidFill>
            </w14:textFill>
          </w:rPr>
          <w:alias w:val="币种：扣除非经常性损益项目和金额"/>
          <w:tag w:val="_GBC_84f107bd64a74a689cd74b834aaa0b17"/>
          <w:id w:val="-1071660672"/>
          <w:placeholder>
            <w:docPart w:val="GBC22222222222222222222222222222"/>
          </w:placeholder>
          <w15:dataBinding w:prefixMappings="xmlns:clcid-ci-ar='clcid-ci-ar'" w:xpath="/*/clcid-ci-ar:BiZhongKouChuFeiJingChangXingSunYiXiangMuHeJinE[not(@periodRef)]" w:storeItemID="{89EBAB94-44A0-46A2-B712-30D997D04A6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eastAsia"/>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人民币</w:t>
          </w:r>
        </w:sdtContent>
      </w:sdt>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1"/>
        <w:gridCol w:w="2190"/>
        <w:gridCol w:w="2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sdt>
          <w:sdtPr>
            <w:tag w:val="_PLD_eb975916b80e49408e340b80d53082be"/>
            <w:id w:val="-1187049728"/>
          </w:sdtPr>
          <w:sdtContent>
            <w:tc>
              <w:tcPr>
                <w:tcW w:w="2476" w:type="pct"/>
                <w:vAlign w:val="center"/>
              </w:tcPr>
              <w:p>
                <w:pPr>
                  <w:pStyle w:val="31"/>
                  <w:ind w:firstLine="0" w:firstLineChars="0"/>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项目</w:t>
                </w:r>
              </w:p>
            </w:tc>
          </w:sdtContent>
        </w:sdt>
        <w:sdt>
          <w:sdtPr>
            <w:tag w:val="_PLD_871069ab0242459987d2cd8153c439e3"/>
            <w:id w:val="-893278151"/>
          </w:sdtPr>
          <w:sdtContent>
            <w:tc>
              <w:tcPr>
                <w:tcW w:w="1210" w:type="pct"/>
                <w:vAlign w:val="center"/>
              </w:tcPr>
              <w:p>
                <w:pPr>
                  <w:pStyle w:val="31"/>
                  <w:ind w:firstLine="0" w:firstLineChars="0"/>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金额</w:t>
                </w:r>
              </w:p>
            </w:tc>
          </w:sdtContent>
        </w:sdt>
        <w:sdt>
          <w:sdtPr>
            <w:tag w:val="_PLD_2b6844f78d7043ca94a5b478c9729ca8"/>
            <w:id w:val="-21104646"/>
          </w:sdtPr>
          <w:sdtContent>
            <w:tc>
              <w:tcPr>
                <w:tcW w:w="1314" w:type="pct"/>
                <w:vAlign w:val="center"/>
              </w:tcPr>
              <w:p>
                <w:pPr>
                  <w:pStyle w:val="31"/>
                  <w:ind w:firstLine="0" w:firstLineChars="0"/>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说明</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非流动</w:t>
            </w:r>
            <w:r>
              <w:rPr>
                <w:rFonts w:hint="eastAsia"/>
                <w:color w:val="000000" w:themeColor="text1"/>
                <w:szCs w:val="21"/>
                <w14:textFill>
                  <w14:solidFill>
                    <w14:schemeClr w14:val="tx1"/>
                  </w14:solidFill>
                </w14:textFill>
              </w:rPr>
              <w:t>性</w:t>
            </w:r>
            <w:r>
              <w:rPr>
                <w:color w:val="000000" w:themeColor="text1"/>
                <w:szCs w:val="21"/>
                <w14:textFill>
                  <w14:solidFill>
                    <w14:schemeClr w14:val="tx1"/>
                  </w14:solidFill>
                </w14:textFill>
              </w:rPr>
              <w:t>资产处置损益</w:t>
            </w:r>
            <w:r>
              <w:rPr>
                <w:rFonts w:hint="eastAsia"/>
                <w:color w:val="000000" w:themeColor="text1"/>
                <w:szCs w:val="21"/>
                <w14:textFill>
                  <w14:solidFill>
                    <w14:schemeClr w14:val="tx1"/>
                  </w14:solidFill>
                </w14:textFill>
              </w:rPr>
              <w:t>，包括已计提资产减值准备的冲销部分</w:t>
            </w:r>
          </w:p>
        </w:tc>
        <w:tc>
          <w:tcPr>
            <w:tcW w:w="1210" w:type="pct"/>
            <w:vAlign w:val="center"/>
          </w:tcPr>
          <w:p>
            <w:pPr>
              <w:widowControl w:val="0"/>
              <w:jc w:val="right"/>
              <w:rPr>
                <w:color w:val="000000" w:themeColor="text1"/>
                <w14:textFill>
                  <w14:solidFill>
                    <w14:schemeClr w14:val="tx1"/>
                  </w14:solidFill>
                </w14:textFill>
              </w:rPr>
            </w:pPr>
            <w:r>
              <w:t xml:space="preserve"> 25.23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计入当期损益的政府补助</w:t>
            </w:r>
            <w:r>
              <w:rPr>
                <w:rFonts w:hint="eastAsia"/>
                <w:color w:val="000000" w:themeColor="text1"/>
                <w:szCs w:val="21"/>
                <w14:textFill>
                  <w14:solidFill>
                    <w14:schemeClr w14:val="tx1"/>
                  </w14:solidFill>
                </w14:textFill>
              </w:rPr>
              <w:t>，但与公司正常经营业务密切相关、符合国家政策规定、按照确定的标准享有、对公司损益产生持续影响的政府补助除外</w:t>
            </w:r>
          </w:p>
        </w:tc>
        <w:tc>
          <w:tcPr>
            <w:tcW w:w="1210" w:type="pct"/>
            <w:vAlign w:val="center"/>
          </w:tcPr>
          <w:p>
            <w:pPr>
              <w:widowControl w:val="0"/>
              <w:jc w:val="right"/>
              <w:rPr>
                <w:color w:val="000000" w:themeColor="text1"/>
                <w14:textFill>
                  <w14:solidFill>
                    <w14:schemeClr w14:val="tx1"/>
                  </w14:solidFill>
                </w14:textFill>
              </w:rPr>
            </w:pPr>
            <w:r>
              <w:t xml:space="preserve"> 1,872.12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除同公司正常经营业务相关的有效套期保值业务外，</w:t>
            </w:r>
            <w:r>
              <w:rPr>
                <w:color w:val="000000" w:themeColor="text1"/>
                <w14:textFill>
                  <w14:solidFill>
                    <w14:schemeClr w14:val="tx1"/>
                  </w14:solidFill>
                </w14:textFill>
              </w:rPr>
              <w:t>非金融企业持有金融资产和金融负债产生的公允价值变动损益以及处置金融资产和金融负债产生的损益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计入当期损益的对非金融企业收取的资金占用费</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委托他人投资或管理资产的损益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对外委托贷款取得的损益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因不可抗力因</w:t>
            </w:r>
            <w:r>
              <w:rPr>
                <w:rFonts w:hint="eastAsia"/>
                <w:color w:val="000000" w:themeColor="text1"/>
                <w:szCs w:val="21"/>
                <w14:textFill>
                  <w14:solidFill>
                    <w14:schemeClr w14:val="tx1"/>
                  </w14:solidFill>
                </w14:textFill>
              </w:rPr>
              <w:t>素，如遭受自然灾害而产生的各项资产损失</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单独进行减值测试的应收款项减值准备转回</w:t>
            </w:r>
          </w:p>
        </w:tc>
        <w:tc>
          <w:tcPr>
            <w:tcW w:w="1210" w:type="pct"/>
            <w:vAlign w:val="center"/>
          </w:tcPr>
          <w:p>
            <w:pPr>
              <w:widowControl w:val="0"/>
              <w:jc w:val="right"/>
              <w:rPr>
                <w:color w:val="000000" w:themeColor="text1"/>
                <w14:textFill>
                  <w14:solidFill>
                    <w14:schemeClr w14:val="tx1"/>
                  </w14:solidFill>
                </w14:textFill>
              </w:rPr>
            </w:pPr>
            <w:r>
              <w:t xml:space="preserve"> 180.82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企业取得子公司、联营企业及合营企业的投资成本小于取得投资时应享有被投资单位可辨认净资产公允价值产生的收益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同一控制下企业合并产生的子公司期初至合并日的当期净损益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非货币性资产交换损益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债务重组损益</w:t>
            </w:r>
          </w:p>
        </w:tc>
        <w:tc>
          <w:tcPr>
            <w:tcW w:w="1210" w:type="pct"/>
            <w:vAlign w:val="center"/>
          </w:tcPr>
          <w:p>
            <w:pPr>
              <w:widowControl w:val="0"/>
              <w:jc w:val="right"/>
              <w:rPr>
                <w:color w:val="000000" w:themeColor="text1"/>
                <w14:textFill>
                  <w14:solidFill>
                    <w14:schemeClr w14:val="tx1"/>
                  </w14:solidFill>
                </w14:textFill>
              </w:rPr>
            </w:pPr>
            <w:r>
              <w:t xml:space="preserve"> -0.08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企业</w:t>
            </w:r>
            <w:r>
              <w:rPr>
                <w:rFonts w:hint="eastAsia"/>
                <w:color w:val="000000" w:themeColor="text1"/>
                <w:szCs w:val="21"/>
                <w14:textFill>
                  <w14:solidFill>
                    <w14:schemeClr w14:val="tx1"/>
                  </w14:solidFill>
                </w14:textFill>
              </w:rPr>
              <w:t>因相关经营活动不再持续而发生的一次性费用，如安置职工的支出等</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因税收、会计等法律、法规</w:t>
            </w:r>
            <w:r>
              <w:rPr>
                <w:rFonts w:hint="eastAsia"/>
                <w:color w:val="000000" w:themeColor="text1"/>
                <w:szCs w:val="21"/>
                <w14:textFill>
                  <w14:solidFill>
                    <w14:schemeClr w14:val="tx1"/>
                  </w14:solidFill>
                </w14:textFill>
              </w:rPr>
              <w:t>的调整对当期损益产生的一次性影响</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因取消、修改股权激励计划一次性确认的股份支付费用</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pStyle w:val="48"/>
              <w:widowControl w:val="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t>对于现金结算的股份支付，在可行权日之后，应付职工薪酬的公允价值变动产生的损益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pStyle w:val="48"/>
              <w:widowControl w:val="0"/>
              <w:jc w:val="both"/>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采用公允价值模式进行后续计量的投资性房地产公允价值变动产生的损益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交易价格显失公允的交易产生的收益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与公司正常经营业务无关的或有事项产生的损益</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受托经营取得的托管费收入</w:t>
            </w:r>
          </w:p>
        </w:tc>
        <w:tc>
          <w:tcPr>
            <w:tcW w:w="1210" w:type="pct"/>
            <w:vAlign w:val="center"/>
          </w:tcPr>
          <w:p>
            <w:pPr>
              <w:widowControl w:val="0"/>
              <w:jc w:val="right"/>
              <w:rPr>
                <w:color w:val="000000" w:themeColor="text1"/>
                <w14:textFill>
                  <w14:solidFill>
                    <w14:schemeClr w14:val="tx1"/>
                  </w14:solidFill>
                </w14:textFill>
              </w:rPr>
            </w:pP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除上述各项之外的其他营业外收入和支出</w:t>
            </w:r>
          </w:p>
        </w:tc>
        <w:tc>
          <w:tcPr>
            <w:tcW w:w="1210" w:type="pct"/>
            <w:vAlign w:val="center"/>
          </w:tcPr>
          <w:p>
            <w:pPr>
              <w:widowControl w:val="0"/>
              <w:jc w:val="right"/>
              <w:rPr>
                <w:color w:val="000000" w:themeColor="text1"/>
                <w14:textFill>
                  <w14:solidFill>
                    <w14:schemeClr w14:val="tx1"/>
                  </w14:solidFill>
                </w14:textFill>
              </w:rPr>
            </w:pPr>
            <w:r>
              <w:t xml:space="preserve"> -118.36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76" w:type="pct"/>
          </w:tcPr>
          <w:p>
            <w:pPr>
              <w:pStyle w:val="31"/>
              <w:ind w:firstLine="0"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其他符合非经常性损益定义的损益项目</w:t>
            </w:r>
          </w:p>
        </w:tc>
        <w:tc>
          <w:tcPr>
            <w:tcW w:w="1210" w:type="pct"/>
            <w:vAlign w:val="center"/>
          </w:tcPr>
          <w:p>
            <w:pPr>
              <w:widowControl w:val="0"/>
              <w:jc w:val="right"/>
              <w:rPr>
                <w:color w:val="000000" w:themeColor="text1"/>
                <w14:textFill>
                  <w14:solidFill>
                    <w14:schemeClr w14:val="tx1"/>
                  </w14:solidFill>
                </w14:textFill>
              </w:rPr>
            </w:pPr>
            <w:r>
              <w:t xml:space="preserve">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ind w:firstLine="0" w:firstLineChars="0"/>
              <w:jc w:val="left"/>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减：</w:t>
            </w:r>
            <w:r>
              <w:rPr>
                <w:color w:val="000000" w:themeColor="text1"/>
                <w:szCs w:val="21"/>
                <w14:textFill>
                  <w14:solidFill>
                    <w14:schemeClr w14:val="tx1"/>
                  </w14:solidFill>
                </w14:textFill>
              </w:rPr>
              <w:t>所得税影响额</w:t>
            </w:r>
          </w:p>
        </w:tc>
        <w:tc>
          <w:tcPr>
            <w:tcW w:w="1210" w:type="pct"/>
            <w:vAlign w:val="center"/>
          </w:tcPr>
          <w:p>
            <w:pPr>
              <w:widowControl w:val="0"/>
              <w:jc w:val="right"/>
              <w:rPr>
                <w:color w:val="000000" w:themeColor="text1"/>
                <w14:textFill>
                  <w14:solidFill>
                    <w14:schemeClr w14:val="tx1"/>
                  </w14:solidFill>
                </w14:textFill>
              </w:rPr>
            </w:pPr>
            <w:r>
              <w:t xml:space="preserve"> 293.86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tcPr>
          <w:p>
            <w:pPr>
              <w:pStyle w:val="31"/>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少数股东权益影响额</w:t>
            </w:r>
            <w:r>
              <w:rPr>
                <w:rFonts w:hint="eastAsia"/>
                <w:color w:val="000000" w:themeColor="text1"/>
                <w:szCs w:val="21"/>
                <w14:textFill>
                  <w14:solidFill>
                    <w14:schemeClr w14:val="tx1"/>
                  </w14:solidFill>
                </w14:textFill>
              </w:rPr>
              <w:t>（税后）</w:t>
            </w:r>
          </w:p>
        </w:tc>
        <w:tc>
          <w:tcPr>
            <w:tcW w:w="1210" w:type="pct"/>
            <w:vAlign w:val="center"/>
          </w:tcPr>
          <w:p>
            <w:pPr>
              <w:widowControl w:val="0"/>
              <w:jc w:val="right"/>
              <w:rPr>
                <w:color w:val="000000" w:themeColor="text1"/>
                <w14:textFill>
                  <w14:solidFill>
                    <w14:schemeClr w14:val="tx1"/>
                  </w14:solidFill>
                </w14:textFill>
              </w:rPr>
            </w:pPr>
            <w:r>
              <w:t xml:space="preserve"> 0.35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6" w:type="pct"/>
            <w:vAlign w:val="center"/>
          </w:tcPr>
          <w:p>
            <w:pPr>
              <w:pStyle w:val="31"/>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合计</w:t>
            </w:r>
          </w:p>
        </w:tc>
        <w:tc>
          <w:tcPr>
            <w:tcW w:w="1210" w:type="pct"/>
            <w:vAlign w:val="center"/>
          </w:tcPr>
          <w:p>
            <w:pPr>
              <w:widowControl w:val="0"/>
              <w:jc w:val="right"/>
              <w:rPr>
                <w:color w:val="000000" w:themeColor="text1"/>
                <w14:textFill>
                  <w14:solidFill>
                    <w14:schemeClr w14:val="tx1"/>
                  </w14:solidFill>
                </w14:textFill>
              </w:rPr>
            </w:pPr>
            <w:r>
              <w:t xml:space="preserve"> 1,665.52 </w:t>
            </w:r>
          </w:p>
        </w:tc>
        <w:tc>
          <w:tcPr>
            <w:tcW w:w="1314" w:type="pct"/>
            <w:vAlign w:val="center"/>
          </w:tcPr>
          <w:p>
            <w:pPr>
              <w:widowControl w:val="0"/>
              <w:jc w:val="both"/>
              <w:rPr>
                <w:color w:val="000000" w:themeColor="text1"/>
                <w14:textFill>
                  <w14:solidFill>
                    <w14:schemeClr w14:val="tx1"/>
                  </w14:solidFill>
                </w14:textFill>
              </w:rPr>
            </w:pPr>
            <w:r>
              <w:rPr>
                <w:rFonts w:hint="eastAsia"/>
                <w:color w:val="000000" w:themeColor="text1"/>
                <w14:textFill>
                  <w14:solidFill>
                    <w14:schemeClr w14:val="tx1"/>
                  </w14:solidFill>
                </w14:textFill>
              </w:rPr>
              <w:t>　</w:t>
            </w:r>
          </w:p>
        </w:tc>
      </w:tr>
      <w:bookmarkEnd w:id="548"/>
      <w:bookmarkEnd w:id="549"/>
      <w:bookmarkEnd w:id="550"/>
    </w:tbl>
    <w:p>
      <w:pPr>
        <w:spacing w:line="360" w:lineRule="atLeast"/>
        <w:rPr>
          <w:color w:val="000000" w:themeColor="text1"/>
          <w14:textFill>
            <w14:solidFill>
              <w14:schemeClr w14:val="tx1"/>
            </w14:solidFill>
          </w14:textFill>
        </w:rPr>
      </w:pPr>
      <w:r>
        <w:rPr>
          <w:rFonts w:hint="eastAsia"/>
          <w:color w:val="000000" w:themeColor="text1"/>
          <w14:textFill>
            <w14:solidFill>
              <w14:schemeClr w14:val="tx1"/>
            </w14:solidFill>
          </w14:textFill>
        </w:rPr>
        <w:t>对公司</w:t>
      </w:r>
      <w:bookmarkStart w:id="551" w:name="_Hlk169079435"/>
      <w:r>
        <w:rPr>
          <w:rFonts w:hint="eastAsia"/>
          <w:color w:val="000000" w:themeColor="text1"/>
          <w14:textFill>
            <w14:solidFill>
              <w14:schemeClr w14:val="tx1"/>
            </w14:solidFill>
          </w14:textFill>
        </w:rPr>
        <w:t>将《公开发行证券的公司信息披露解释性公告第</w:t>
      </w:r>
      <w:r>
        <w:rPr>
          <w:color w:val="000000" w:themeColor="text1"/>
          <w14:textFill>
            <w14:solidFill>
              <w14:schemeClr w14:val="tx1"/>
            </w14:solidFill>
          </w14:textFill>
        </w:rPr>
        <w:t>1号——非经常性损益》未列举的项目认定为非经常性损益项目且金额重大的，以及将《公开发行证券的公司信息披露解释性公告第1号——非经常性损益》中列举的非经常性损益项目界定为经常性损益的项目，应说明原因。</w:t>
      </w:r>
      <w:bookmarkEnd w:id="551"/>
    </w:p>
    <w:sdt>
      <w:sdtPr>
        <w:rPr>
          <w:color w:val="000000" w:themeColor="text1"/>
          <w14:textFill>
            <w14:solidFill>
              <w14:schemeClr w14:val="tx1"/>
            </w14:solidFill>
          </w14:textFill>
        </w:rPr>
        <w:alias w:val="是否适用：将非经常性损益项目界定为经常性损益项目[双击切换]"/>
        <w:tag w:val="_GBC_5f8a059d4da1440d8ef10197ecd89cd6"/>
        <w:id w:val="-1888559736"/>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spacing w:line="360" w:lineRule="atLeast"/>
        <w:rPr>
          <w:color w:val="000000" w:themeColor="text1"/>
          <w14:textFill>
            <w14:solidFill>
              <w14:schemeClr w14:val="tx1"/>
            </w14:solidFill>
          </w14:textFill>
        </w:rPr>
      </w:pPr>
      <w:bookmarkStart w:id="552" w:name="_Hlk168058078"/>
      <w:r>
        <w:rPr>
          <w:rFonts w:hint="eastAsia"/>
          <w:color w:val="000000" w:themeColor="text1"/>
          <w14:textFill>
            <w14:solidFill>
              <w14:schemeClr w14:val="tx1"/>
            </w14:solidFill>
          </w14:textFill>
        </w:rPr>
        <w:t>其他说明</w:t>
      </w:r>
    </w:p>
    <w:sdt>
      <w:sdtPr>
        <w:rPr>
          <w:color w:val="000000" w:themeColor="text1"/>
          <w14:textFill>
            <w14:solidFill>
              <w14:schemeClr w14:val="tx1"/>
            </w14:solidFill>
          </w14:textFill>
        </w:rPr>
        <w:alias w:val="是否适用：非经常性损益的其他说明[双击切换]"/>
        <w:tag w:val="_GBC_98984b33dead4179aa5566c8753f4b5e"/>
        <w:id w:val="95301628"/>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bookmarkEnd w:id="552"/>
    <w:p>
      <w:pPr>
        <w:pStyle w:val="4"/>
        <w:numPr>
          <w:ilvl w:val="0"/>
          <w:numId w:val="106"/>
        </w:numPr>
        <w:spacing w:line="360" w:lineRule="atLeas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净资产收益率及每股收益</w:t>
      </w:r>
    </w:p>
    <w:sdt>
      <w:sdtPr>
        <w:rPr>
          <w:color w:val="000000" w:themeColor="text1"/>
          <w14:textFill>
            <w14:solidFill>
              <w14:schemeClr w14:val="tx1"/>
            </w14:solidFill>
          </w14:textFill>
        </w:rPr>
        <w:alias w:val="是否适用：净资产收益率及每股收益[双击切换]"/>
        <w:tag w:val="_GBC_75866ebc8d184cdd988e79330ad3b083"/>
        <w:id w:val="810985460"/>
        <w:placeholder>
          <w:docPart w:val="GBC22222222222222222222222222222"/>
        </w:placeholder>
      </w:sdtPr>
      <w:sdtEndPr>
        <w:rPr>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tbl>
      <w:tblPr>
        <w:tblStyle w:val="44"/>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912"/>
        <w:gridCol w:w="1841"/>
        <w:gridCol w:w="2147"/>
        <w:gridCol w:w="214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sdt>
          <w:sdtPr>
            <w:tag w:val="_PLD_680a8ba0e71a45459c0939cd6c78c07f"/>
            <w:id w:val="-1366667859"/>
          </w:sdtPr>
          <w:sdtContent>
            <w:tc>
              <w:tcPr>
                <w:tcW w:w="1609" w:type="pct"/>
                <w:vMerge w:val="restar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报告期利润</w:t>
                </w:r>
              </w:p>
            </w:tc>
          </w:sdtContent>
        </w:sdt>
        <w:sdt>
          <w:sdtPr>
            <w:tag w:val="_PLD_608d0086e1154f8ca6d3c34247132ef0"/>
            <w:id w:val="803670859"/>
          </w:sdtPr>
          <w:sdtContent>
            <w:tc>
              <w:tcPr>
                <w:tcW w:w="1017" w:type="pct"/>
                <w:vMerge w:val="restart"/>
                <w:tcBorders>
                  <w:top w:val="single" w:color="auto" w:sz="4" w:space="0"/>
                  <w:left w:val="single" w:color="auto" w:sz="4" w:space="0"/>
                  <w:right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加权平均净资产收益率（%）</w:t>
                </w:r>
              </w:p>
            </w:tc>
          </w:sdtContent>
        </w:sdt>
        <w:sdt>
          <w:sdtPr>
            <w:tag w:val="_PLD_8b4a0bf973be4a19862ac5168193db93"/>
            <w:id w:val="-1919855048"/>
          </w:sdtPr>
          <w:sdtContent>
            <w:tc>
              <w:tcPr>
                <w:tcW w:w="2373" w:type="pct"/>
                <w:gridSpan w:val="2"/>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每股收益</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09" w:type="pct"/>
            <w:vMerge w:val="continue"/>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tc>
          <w:tcPr>
            <w:tcW w:w="1017" w:type="pct"/>
            <w:vMerge w:val="continue"/>
            <w:tcBorders>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p>
        </w:tc>
        <w:sdt>
          <w:sdtPr>
            <w:tag w:val="_PLD_45472770a81744249d77e54c2efc412a"/>
            <w:id w:val="-347719650"/>
          </w:sdtPr>
          <w:sdtContent>
            <w:tc>
              <w:tcPr>
                <w:tcW w:w="1186"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基本每股收益</w:t>
                </w:r>
              </w:p>
            </w:tc>
          </w:sdtContent>
        </w:sdt>
        <w:sdt>
          <w:sdtPr>
            <w:tag w:val="_PLD_c4e5be0bbc134fa28e28895e1a12e02c"/>
            <w:id w:val="692644869"/>
          </w:sdtPr>
          <w:sdtContent>
            <w:tc>
              <w:tcPr>
                <w:tcW w:w="1187" w:type="pct"/>
                <w:tcBorders>
                  <w:top w:val="single" w:color="auto" w:sz="4" w:space="0"/>
                  <w:left w:val="single" w:color="auto" w:sz="4" w:space="0"/>
                  <w:bottom w:val="single" w:color="auto" w:sz="4" w:space="0"/>
                  <w:right w:val="single" w:color="auto" w:sz="4" w:space="0"/>
                </w:tcBorders>
                <w:vAlign w:val="center"/>
              </w:tcPr>
              <w:p>
                <w:pPr>
                  <w:jc w:val="center"/>
                  <w:rPr>
                    <w:color w:val="000000" w:themeColor="text1"/>
                    <w14:textFill>
                      <w14:solidFill>
                        <w14:schemeClr w14:val="tx1"/>
                      </w14:solidFill>
                    </w14:textFill>
                  </w:rPr>
                </w:pPr>
                <w:r>
                  <w:rPr>
                    <w:color w:val="000000" w:themeColor="text1"/>
                    <w14:textFill>
                      <w14:solidFill>
                        <w14:schemeClr w14:val="tx1"/>
                      </w14:solidFill>
                    </w14:textFill>
                  </w:rPr>
                  <w:t>稀释每股收益</w:t>
                </w:r>
              </w:p>
            </w:tc>
          </w:sdtContent>
        </w:sdt>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09"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color w:val="000000" w:themeColor="text1"/>
                <w14:textFill>
                  <w14:solidFill>
                    <w14:schemeClr w14:val="tx1"/>
                  </w14:solidFill>
                </w14:textFill>
              </w:rPr>
              <w:t>归属于公司普通股股东的净利润</w:t>
            </w:r>
          </w:p>
        </w:tc>
        <w:tc>
          <w:tcPr>
            <w:tcW w:w="1017" w:type="pct"/>
            <w:tcBorders>
              <w:top w:val="single" w:color="auto" w:sz="4" w:space="0"/>
              <w:left w:val="single" w:color="auto" w:sz="4" w:space="0"/>
              <w:bottom w:val="single" w:color="auto" w:sz="4" w:space="0"/>
              <w:right w:val="single" w:color="auto" w:sz="4" w:space="0"/>
            </w:tcBorders>
            <w:vAlign w:val="center"/>
          </w:tcPr>
          <w:p>
            <w:pPr>
              <w:jc w:val="right"/>
            </w:pPr>
            <w:r>
              <w:t xml:space="preserve"> 0.76 </w:t>
            </w:r>
          </w:p>
        </w:tc>
        <w:tc>
          <w:tcPr>
            <w:tcW w:w="1186" w:type="pct"/>
            <w:tcBorders>
              <w:top w:val="single" w:color="auto" w:sz="4" w:space="0"/>
              <w:left w:val="single" w:color="auto" w:sz="4" w:space="0"/>
              <w:bottom w:val="single" w:color="auto" w:sz="4" w:space="0"/>
              <w:right w:val="single" w:color="auto" w:sz="4" w:space="0"/>
            </w:tcBorders>
            <w:vAlign w:val="center"/>
          </w:tcPr>
          <w:p>
            <w:pPr>
              <w:jc w:val="right"/>
            </w:pPr>
            <w:r>
              <w:t xml:space="preserve"> 0.06 </w:t>
            </w:r>
          </w:p>
        </w:tc>
        <w:tc>
          <w:tcPr>
            <w:tcW w:w="1187" w:type="pct"/>
            <w:tcBorders>
              <w:top w:val="single" w:color="auto" w:sz="4" w:space="0"/>
              <w:left w:val="single" w:color="auto" w:sz="4" w:space="0"/>
              <w:bottom w:val="single" w:color="auto" w:sz="4" w:space="0"/>
              <w:right w:val="single" w:color="auto" w:sz="4" w:space="0"/>
            </w:tcBorders>
            <w:vAlign w:val="center"/>
          </w:tcPr>
          <w:p>
            <w:pPr>
              <w:jc w:val="right"/>
            </w:pPr>
            <w:r>
              <w:t xml:space="preserve"> 0.06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09" w:type="pct"/>
            <w:tcBorders>
              <w:top w:val="single" w:color="auto" w:sz="4" w:space="0"/>
              <w:left w:val="single" w:color="auto" w:sz="4" w:space="0"/>
              <w:bottom w:val="single" w:color="auto" w:sz="4" w:space="0"/>
              <w:right w:val="single" w:color="auto" w:sz="4" w:space="0"/>
            </w:tcBorders>
          </w:tcPr>
          <w:p>
            <w:pPr>
              <w:rPr>
                <w:color w:val="000000" w:themeColor="text1"/>
                <w14:textFill>
                  <w14:solidFill>
                    <w14:schemeClr w14:val="tx1"/>
                  </w14:solidFill>
                </w14:textFill>
              </w:rPr>
            </w:pPr>
            <w:r>
              <w:rPr>
                <w:color w:val="000000" w:themeColor="text1"/>
                <w14:textFill>
                  <w14:solidFill>
                    <w14:schemeClr w14:val="tx1"/>
                  </w14:solidFill>
                </w14:textFill>
              </w:rPr>
              <w:t>扣除非经常性损益后归属于公司普通股股东的净利润</w:t>
            </w:r>
          </w:p>
        </w:tc>
        <w:tc>
          <w:tcPr>
            <w:tcW w:w="1017" w:type="pct"/>
            <w:tcBorders>
              <w:top w:val="single" w:color="auto" w:sz="4" w:space="0"/>
              <w:left w:val="single" w:color="auto" w:sz="4" w:space="0"/>
              <w:bottom w:val="single" w:color="auto" w:sz="4" w:space="0"/>
              <w:right w:val="single" w:color="auto" w:sz="4" w:space="0"/>
            </w:tcBorders>
            <w:vAlign w:val="center"/>
          </w:tcPr>
          <w:p>
            <w:pPr>
              <w:jc w:val="right"/>
            </w:pPr>
            <w:r>
              <w:t xml:space="preserve"> 0.10 </w:t>
            </w:r>
          </w:p>
        </w:tc>
        <w:tc>
          <w:tcPr>
            <w:tcW w:w="1186" w:type="pct"/>
            <w:tcBorders>
              <w:top w:val="single" w:color="auto" w:sz="4" w:space="0"/>
              <w:left w:val="single" w:color="auto" w:sz="4" w:space="0"/>
              <w:bottom w:val="single" w:color="auto" w:sz="4" w:space="0"/>
              <w:right w:val="single" w:color="auto" w:sz="4" w:space="0"/>
            </w:tcBorders>
            <w:vAlign w:val="center"/>
          </w:tcPr>
          <w:p>
            <w:pPr>
              <w:jc w:val="right"/>
            </w:pPr>
            <w:r>
              <w:t xml:space="preserve"> 0.01 </w:t>
            </w:r>
          </w:p>
        </w:tc>
        <w:tc>
          <w:tcPr>
            <w:tcW w:w="1187" w:type="pct"/>
            <w:tcBorders>
              <w:top w:val="single" w:color="auto" w:sz="4" w:space="0"/>
              <w:left w:val="single" w:color="auto" w:sz="4" w:space="0"/>
              <w:bottom w:val="single" w:color="auto" w:sz="4" w:space="0"/>
              <w:right w:val="single" w:color="auto" w:sz="4" w:space="0"/>
            </w:tcBorders>
            <w:vAlign w:val="center"/>
          </w:tcPr>
          <w:p>
            <w:pPr>
              <w:jc w:val="right"/>
            </w:pPr>
            <w:r>
              <w:t xml:space="preserve"> 0.01 </w:t>
            </w:r>
          </w:p>
        </w:tc>
      </w:tr>
    </w:tbl>
    <w:p>
      <w:pPr>
        <w:pStyle w:val="4"/>
        <w:numPr>
          <w:ilvl w:val="0"/>
          <w:numId w:val="106"/>
        </w:num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境内外会计准则下会计数据差异</w:t>
      </w:r>
    </w:p>
    <w:sdt>
      <w:sdtPr>
        <w:rPr>
          <w:color w:val="000000" w:themeColor="text1"/>
          <w14:textFill>
            <w14:solidFill>
              <w14:schemeClr w14:val="tx1"/>
            </w14:solidFill>
          </w14:textFill>
        </w:rPr>
        <w:alias w:val="是否适用：境内外会计准则下会计数据差异[双击切换]"/>
        <w:tag w:val="_GBC_3482333eff2948139884cfdd1debc958"/>
        <w:id w:val="-206173967"/>
        <w:placeholder>
          <w:docPart w:val="GBC22222222222222222222222222222"/>
        </w:placeholder>
      </w:sdtPr>
      <w:sdtEndPr>
        <w:rPr>
          <w:color w:val="000000" w:themeColor="text1"/>
          <w14:textFill>
            <w14:solidFill>
              <w14:schemeClr w14:val="tx1"/>
            </w14:solidFill>
          </w14:textFill>
        </w:rPr>
      </w:sdtEndPr>
      <w:sdtContent>
        <w:p>
          <w:pPr>
            <w:rPr>
              <w:rFonts w:cstheme="minorBidi"/>
              <w:color w:val="000000" w:themeColor="text1"/>
              <w:kern w:val="2"/>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pStyle w:val="4"/>
        <w:numPr>
          <w:ilvl w:val="0"/>
          <w:numId w:val="106"/>
        </w:num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w:t>
      </w:r>
    </w:p>
    <w:sdt>
      <w:sdtPr>
        <w:rPr>
          <w:color w:val="000000" w:themeColor="text1"/>
          <w14:textFill>
            <w14:solidFill>
              <w14:schemeClr w14:val="tx1"/>
            </w14:solidFill>
          </w14:textFill>
        </w:rPr>
        <w:alias w:val="是否适用：补充资料其他说明事项[双击切换]"/>
        <w:tag w:val="_GBC_8954f89f8426424c966f1b658de53fe5"/>
        <w:id w:val="1419293622"/>
        <w:placeholder>
          <w:docPart w:val="GBC22222222222222222222222222222"/>
        </w:placeholder>
      </w:sdtPr>
      <w:sdtEndPr>
        <w:rPr>
          <w:color w:val="000000" w:themeColor="text1"/>
          <w14:textFill>
            <w14:solidFill>
              <w14:schemeClr w14:val="tx1"/>
            </w14:solidFill>
          </w14:textFill>
        </w:rPr>
      </w:sdtEndPr>
      <w:sdtContent>
        <w:p>
          <w:pPr>
            <w:rPr>
              <w:color w:val="000000" w:themeColor="text1"/>
              <w14:textFill>
                <w14:solidFill>
                  <w14:schemeClr w14:val="tx1"/>
                </w14:solidFill>
              </w14:textFill>
            </w:rPr>
          </w:pP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color w:val="000000" w:themeColor="text1"/>
              <w14:textFill>
                <w14:solidFill>
                  <w14:schemeClr w14:val="tx1"/>
                </w14:solidFill>
              </w14:textFill>
            </w:rPr>
            <w:fldChar w:fldCharType="end"/>
          </w:r>
          <w:r>
            <w:rPr>
              <w:rFonts w:ascii="宋体" w:hAnsi="宋体"/>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color w:val="000000" w:themeColor="text1"/>
              <w14:textFill>
                <w14:solidFill>
                  <w14:schemeClr w14:val="tx1"/>
                </w14:solidFill>
              </w14:textFill>
            </w:rPr>
            <w:fldChar w:fldCharType="end"/>
          </w:r>
        </w:p>
      </w:sdtContent>
    </w:sdt>
    <w:p>
      <w:pPr>
        <w:rPr>
          <w:color w:val="000000" w:themeColor="text1"/>
          <w14:textFill>
            <w14:solidFill>
              <w14:schemeClr w14:val="tx1"/>
            </w14:solidFill>
          </w14:textFill>
        </w:rPr>
      </w:pPr>
    </w:p>
    <w:p>
      <w:pPr>
        <w:spacing w:line="360" w:lineRule="exact"/>
        <w:ind w:right="5"/>
        <w:rPr>
          <w:b/>
          <w:bCs w:val="0"/>
          <w:color w:val="000000" w:themeColor="text1"/>
          <w:sz w:val="24"/>
          <w14:textFill>
            <w14:solidFill>
              <w14:schemeClr w14:val="tx1"/>
            </w14:solidFill>
          </w14:textFill>
        </w:rPr>
      </w:pPr>
      <w:bookmarkStart w:id="553" w:name="_Hlk76135020"/>
    </w:p>
    <w:p>
      <w:pPr>
        <w:wordWrap w:val="0"/>
        <w:spacing w:line="360" w:lineRule="exact"/>
        <w:jc w:val="right"/>
        <w:rPr>
          <w:color w:val="000000" w:themeColor="text1"/>
          <w:u w:val="single"/>
          <w14:textFill>
            <w14:solidFill>
              <w14:schemeClr w14:val="tx1"/>
            </w14:solidFill>
          </w14:textFill>
        </w:rPr>
      </w:pPr>
      <w:r>
        <w:rPr>
          <w:rFonts w:hint="eastAsia"/>
          <w:color w:val="000000" w:themeColor="text1"/>
          <w14:textFill>
            <w14:solidFill>
              <w14:schemeClr w14:val="tx1"/>
            </w14:solidFill>
          </w14:textFill>
        </w:rPr>
        <w:t>法定代表人</w:t>
      </w:r>
      <w:r>
        <w:rPr>
          <w:color w:val="000000" w:themeColor="text1"/>
          <w14:textFill>
            <w14:solidFill>
              <w14:schemeClr w14:val="tx1"/>
            </w14:solidFill>
          </w14:textFill>
        </w:rPr>
        <w:t>：</w:t>
      </w:r>
      <w:sdt>
        <w:sdtPr>
          <w:rPr>
            <w:color w:val="000000" w:themeColor="text1"/>
            <w14:textFill>
              <w14:solidFill>
                <w14:schemeClr w14:val="tx1"/>
              </w14:solidFill>
            </w14:textFill>
          </w:rPr>
          <w:alias w:val="报告发布人"/>
          <w:tag w:val="_GBC_f07cbb7287a94e798691f7fcb5112f49"/>
          <w:id w:val="-1463801805"/>
          <w:placeholder>
            <w:docPart w:val="GBC22222222222222222222222222222"/>
          </w:placeholder>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杨泽民</w:t>
          </w:r>
        </w:sdtContent>
      </w:sdt>
      <w:r>
        <w:rPr>
          <w:rFonts w:hint="eastAsia"/>
          <w:color w:val="000000" w:themeColor="text1"/>
          <w14:textFill>
            <w14:solidFill>
              <w14:schemeClr w14:val="tx1"/>
            </w14:solidFill>
          </w14:textFill>
        </w:rPr>
        <w:t xml:space="preserve"> </w:t>
      </w:r>
    </w:p>
    <w:p>
      <w:pPr>
        <w:spacing w:line="360" w:lineRule="exact"/>
        <w:jc w:val="right"/>
        <w:rPr>
          <w:color w:val="000000" w:themeColor="text1"/>
          <w14:textFill>
            <w14:solidFill>
              <w14:schemeClr w14:val="tx1"/>
            </w14:solidFill>
          </w14:textFill>
        </w:rPr>
      </w:pPr>
      <w:r>
        <w:rPr>
          <w:color w:val="000000" w:themeColor="text1"/>
          <w14:textFill>
            <w14:solidFill>
              <w14:schemeClr w14:val="tx1"/>
            </w14:solidFill>
          </w14:textFill>
        </w:rPr>
        <w:t>董事会批准报送日期：</w:t>
      </w:r>
      <w:sdt>
        <w:sdtPr>
          <w:rPr>
            <w:color w:val="000000" w:themeColor="text1"/>
            <w14:textFill>
              <w14:solidFill>
                <w14:schemeClr w14:val="tx1"/>
              </w14:solidFill>
            </w14:textFill>
          </w:rPr>
          <w:alias w:val="报告董事会批准报送日期"/>
          <w:tag w:val="_GBC_56d5d40e768a439aa604555fa2089c42"/>
          <w:id w:val="1801104518"/>
          <w:placeholder>
            <w:docPart w:val="GBC22222222222222222222222222222"/>
          </w:placeholder>
          <w:date w:fullDate="2026-08-25T00:00:00Z">
            <w:dateFormat w:val="yyyy'年'M'月'd'日'"/>
            <w:lid w:val="zh-CN"/>
            <w:storeMappedDataAs w:val="datetime"/>
            <w:calendar w:val="gregorian"/>
          </w:date>
        </w:sdtPr>
        <w:sdtEndPr>
          <w:rPr>
            <w:color w:val="000000" w:themeColor="text1"/>
            <w14:textFill>
              <w14:solidFill>
                <w14:schemeClr w14:val="tx1"/>
              </w14:solidFill>
            </w14:textFill>
          </w:rPr>
        </w:sdtEndPr>
        <w:sdtContent>
          <w:r>
            <w:rPr>
              <w:rFonts w:hint="eastAsia"/>
              <w:color w:val="000000" w:themeColor="text1"/>
              <w14:textFill>
                <w14:solidFill>
                  <w14:schemeClr w14:val="tx1"/>
                </w14:solidFill>
              </w14:textFill>
            </w:rPr>
            <w:t>2026年8月25日</w:t>
          </w:r>
        </w:sdtContent>
      </w:sdt>
      <w:r>
        <w:rPr>
          <w:rFonts w:hint="eastAsia"/>
          <w:color w:val="000000" w:themeColor="text1"/>
          <w14:textFill>
            <w14:solidFill>
              <w14:schemeClr w14:val="tx1"/>
            </w14:solidFill>
          </w14:textFill>
        </w:rPr>
        <w:t xml:space="preserve"> </w:t>
      </w:r>
    </w:p>
    <w:bookmarkEnd w:id="553"/>
    <w:p>
      <w:pPr>
        <w:rPr>
          <w:color w:val="000000" w:themeColor="text1"/>
          <w14:textFill>
            <w14:solidFill>
              <w14:schemeClr w14:val="tx1"/>
            </w14:solidFill>
          </w14:textFill>
        </w:rPr>
      </w:pPr>
    </w:p>
    <w:p>
      <w:pPr>
        <w:spacing w:line="360" w:lineRule="exact"/>
        <w:ind w:right="5"/>
        <w:rPr>
          <w:color w:val="000000" w:themeColor="text1"/>
          <w:u w:val="single"/>
          <w14:textFill>
            <w14:solidFill>
              <w14:schemeClr w14:val="tx1"/>
            </w14:solidFill>
          </w14:textFill>
        </w:rPr>
      </w:pPr>
    </w:p>
    <w:p>
      <w:pPr>
        <w:spacing w:line="360" w:lineRule="atLeast"/>
        <w:ind w:right="5"/>
        <w:rPr>
          <w:b/>
          <w:color w:val="000000" w:themeColor="text1"/>
          <w:sz w:val="24"/>
          <w14:textFill>
            <w14:solidFill>
              <w14:schemeClr w14:val="tx1"/>
            </w14:solidFill>
          </w14:textFill>
        </w:rPr>
      </w:pPr>
      <w:r>
        <w:rPr>
          <w:b/>
          <w:color w:val="000000" w:themeColor="text1"/>
          <w:sz w:val="24"/>
          <w14:textFill>
            <w14:solidFill>
              <w14:schemeClr w14:val="tx1"/>
            </w14:solidFill>
          </w14:textFill>
        </w:rPr>
        <w:t>修订信息</w:t>
      </w:r>
    </w:p>
    <w:sdt>
      <w:sdtPr>
        <w:rPr>
          <w:b/>
          <w:bCs w:val="0"/>
          <w:color w:val="000000" w:themeColor="text1"/>
          <w14:textFill>
            <w14:solidFill>
              <w14:schemeClr w14:val="tx1"/>
            </w14:solidFill>
          </w14:textFill>
        </w:rPr>
        <w:alias w:val="是否适用：修订信息表[双击切换]"/>
        <w:tag w:val="_GBC_77b96fad3b8a43478db82cf4cb9686be"/>
        <w:id w:val="-74673299"/>
        <w:placeholder>
          <w:docPart w:val="GBC22222222222222222222222222222"/>
        </w:placeholder>
      </w:sdtPr>
      <w:sdtEndPr>
        <w:rPr>
          <w:b w:val="0"/>
          <w:bCs w:val="0"/>
          <w:color w:val="000000" w:themeColor="text1"/>
          <w14:textFill>
            <w14:solidFill>
              <w14:schemeClr w14:val="tx1"/>
            </w14:solidFill>
          </w14:textFill>
        </w:rPr>
      </w:sdtEndPr>
      <w:sdtContent>
        <w:p>
          <w:pPr>
            <w:spacing w:line="360" w:lineRule="atLeast"/>
            <w:rPr>
              <w:color w:val="000000" w:themeColor="text1"/>
              <w14:textFill>
                <w14:solidFill>
                  <w14:schemeClr w14:val="tx1"/>
                </w14:solidFill>
              </w14:textFill>
            </w:rPr>
          </w:pP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□适用 </w:instrText>
          </w:r>
          <w:r>
            <w:rPr>
              <w:rFonts w:ascii="宋体" w:hAnsi="宋体"/>
              <w:bCs w:val="0"/>
              <w:color w:val="000000" w:themeColor="text1"/>
              <w14:textFill>
                <w14:solidFill>
                  <w14:schemeClr w14:val="tx1"/>
                </w14:solidFill>
              </w14:textFill>
            </w:rPr>
            <w:fldChar w:fldCharType="end"/>
          </w:r>
          <w:r>
            <w:rPr>
              <w:rFonts w:ascii="宋体" w:hAnsi="宋体"/>
              <w:bCs w:val="0"/>
              <w:color w:val="000000" w:themeColor="text1"/>
              <w14:textFill>
                <w14:solidFill>
                  <w14:schemeClr w14:val="tx1"/>
                </w14:solidFill>
              </w14:textFill>
            </w:rPr>
            <w:fldChar w:fldCharType="begin"/>
          </w:r>
          <w:r>
            <w:rPr>
              <w:rFonts w:hint="eastAsia" w:ascii="宋体" w:hAnsi="宋体"/>
              <w:color w:val="000000" w:themeColor="text1"/>
              <w14:textFill>
                <w14:solidFill>
                  <w14:schemeClr w14:val="tx1"/>
                </w14:solidFill>
              </w14:textFill>
            </w:rPr>
            <w:instrText xml:space="preserve"> MACROBUTTON  SnrToggleCheckbox √不适用 </w:instrText>
          </w:r>
          <w:r>
            <w:rPr>
              <w:rFonts w:ascii="宋体" w:hAnsi="宋体"/>
              <w:bCs w:val="0"/>
              <w:color w:val="000000" w:themeColor="text1"/>
              <w14:textFill>
                <w14:solidFill>
                  <w14:schemeClr w14:val="tx1"/>
                </w14:solidFill>
              </w14:textFill>
            </w:rPr>
            <w:fldChar w:fldCharType="end"/>
          </w:r>
        </w:p>
      </w:sdtContent>
    </w:sdt>
    <w:sectPr>
      <w:pgSz w:w="11906" w:h="16838"/>
      <w:pgMar w:top="1525" w:right="1276" w:bottom="1440" w:left="1797" w:header="856"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Noto Sans CJK JP Regular">
    <w:altName w:val="黑体"/>
    <w:panose1 w:val="00000000000000000000"/>
    <w:charset w:val="86"/>
    <w:family w:val="swiss"/>
    <w:pitch w:val="default"/>
    <w:sig w:usb0="00000000" w:usb1="00000000" w:usb2="00000016" w:usb3="00000000" w:csb0="002E0107" w:csb1="00000000"/>
  </w:font>
  <w:font w:name="Arial Unicode MS">
    <w:altName w:val="宋体"/>
    <w:panose1 w:val="020B0604020202020204"/>
    <w:charset w:val="86"/>
    <w:family w:val="swiss"/>
    <w:pitch w:val="default"/>
    <w:sig w:usb0="00000000" w:usb1="00000000" w:usb2="0000003F" w:usb3="00000000" w:csb0="003F01FF" w:csb1="00000000"/>
  </w:font>
  <w:font w:name="Helvetica-Narrow">
    <w:altName w:val="Arial Narrow"/>
    <w:panose1 w:val="00000000000000000000"/>
    <w:charset w:val="00"/>
    <w:family w:val="swiss"/>
    <w:pitch w:val="default"/>
    <w:sig w:usb0="00000000" w:usb1="00000000" w:usb2="00000000" w:usb3="00000000" w:csb0="00000001" w:csb1="00000000"/>
  </w:font>
  <w:font w:name="Arial Narrow">
    <w:panose1 w:val="020B0606020202030204"/>
    <w:charset w:val="00"/>
    <w:family w:val="auto"/>
    <w:pitch w:val="default"/>
    <w:sig w:usb0="00000287" w:usb1="00000800" w:usb2="00000000" w:usb3="00000000" w:csb0="2000009F" w:csb1="DFD70000"/>
  </w:font>
  <w:font w:name="FZLTSK--GBK1-0">
    <w:altName w:val="Times New Roman"/>
    <w:panose1 w:val="00000000000000000000"/>
    <w:charset w:val="00"/>
    <w:family w:val="roman"/>
    <w:pitch w:val="default"/>
    <w:sig w:usb0="00000000" w:usb1="00000000" w:usb2="00000000" w:usb3="00000000" w:csb0="00000000" w:csb1="00000000"/>
  </w:font>
  <w:font w:name="宋体-方正超大字符集">
    <w:altName w:val="宋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7408834"/>
    </w:sdtPr>
    <w:sdtContent>
      <w:sdt>
        <w:sdtPr>
          <w:id w:val="98381352"/>
        </w:sdtPr>
        <w:sdtContent>
          <w:p>
            <w:pPr>
              <w:pStyle w:val="15"/>
              <w:jc w:val="center"/>
            </w:pPr>
            <w:r>
              <w:rPr>
                <w:b/>
                <w:bCs w:val="0"/>
                <w:sz w:val="24"/>
                <w:szCs w:val="24"/>
              </w:rPr>
              <w:fldChar w:fldCharType="begin"/>
            </w:r>
            <w:r>
              <w:rPr>
                <w:b/>
              </w:rPr>
              <w:instrText xml:space="preserve">PAGE</w:instrText>
            </w:r>
            <w:r>
              <w:rPr>
                <w:b/>
                <w:bCs w:val="0"/>
                <w:sz w:val="24"/>
                <w:szCs w:val="24"/>
              </w:rPr>
              <w:fldChar w:fldCharType="separate"/>
            </w:r>
            <w:r>
              <w:rPr>
                <w:b/>
              </w:rPr>
              <w:t>170</w:t>
            </w:r>
            <w:r>
              <w:rPr>
                <w:b/>
                <w:bCs w:val="0"/>
                <w:sz w:val="24"/>
                <w:szCs w:val="24"/>
              </w:rPr>
              <w:fldChar w:fldCharType="end"/>
            </w:r>
            <w:r>
              <w:rPr>
                <w:lang w:val="zh-CN"/>
              </w:rPr>
              <w:t xml:space="preserve"> / </w:t>
            </w:r>
            <w:r>
              <w:rPr>
                <w:b/>
                <w:bCs w:val="0"/>
                <w:sz w:val="24"/>
                <w:szCs w:val="24"/>
              </w:rPr>
              <w:fldChar w:fldCharType="begin"/>
            </w:r>
            <w:r>
              <w:rPr>
                <w:b/>
              </w:rPr>
              <w:instrText xml:space="preserve">NUMPAGES</w:instrText>
            </w:r>
            <w:r>
              <w:rPr>
                <w:b/>
                <w:bCs w:val="0"/>
                <w:sz w:val="24"/>
                <w:szCs w:val="24"/>
              </w:rPr>
              <w:fldChar w:fldCharType="separate"/>
            </w:r>
            <w:r>
              <w:rPr>
                <w:b/>
              </w:rPr>
              <w:t>190</w:t>
            </w:r>
            <w:r>
              <w:rPr>
                <w:b/>
                <w:bCs w:val="0"/>
                <w:sz w:val="24"/>
                <w:szCs w:val="24"/>
              </w:rPr>
              <w:fldChar w:fldCharType="end"/>
            </w:r>
          </w:p>
        </w:sdtContent>
      </w:sdt>
    </w:sdtContent>
  </w:sdt>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left" w:pos="8364"/>
        <w:tab w:val="left" w:pos="8505"/>
        <w:tab w:val="clear" w:pos="8306"/>
      </w:tabs>
      <w:ind w:right="21" w:rightChars="10"/>
      <w:rPr>
        <w:rFonts w:hint="eastAsia" w:ascii="宋体" w:hAnsi="宋体"/>
      </w:rPr>
    </w:pPr>
    <w:sdt>
      <w:sdtPr>
        <w:rPr>
          <w:rFonts w:hint="eastAsia" w:ascii="宋体" w:hAnsi="宋体"/>
        </w:rPr>
        <w:alias w:val="公司法定中文名称"/>
        <w:tag w:val="_GBC_782d803d917f4432be22f5ded01fbc6d"/>
        <w:id w:val="842976418"/>
        <w15:dataBinding w:prefixMappings="xmlns:clcid-cgi='clcid-cgi'" w:xpath="/*/clcid-cgi:GongSiFaDingZhongWenMingCheng[not(@periodRef)]" w:storeItemID="{89EBAB94-44A0-46A2-B712-30D997D04A6D}"/>
        <w:text/>
      </w:sdtPr>
      <w:sdtEndPr>
        <w:rPr>
          <w:rFonts w:hint="eastAsia" w:ascii="宋体" w:hAnsi="宋体"/>
        </w:rPr>
      </w:sdtEndPr>
      <w:sdtContent>
        <w:r>
          <w:rPr>
            <w:rFonts w:hint="eastAsia" w:ascii="宋体" w:hAnsi="宋体"/>
          </w:rPr>
          <w:t>重庆望变电气（集团）股份有限公司</w:t>
        </w:r>
      </w:sdtContent>
    </w:sdt>
    <w:r>
      <w:rPr>
        <w:rFonts w:hint="eastAsia" w:ascii="宋体" w:hAnsi="宋体"/>
      </w:rPr>
      <w:t>202</w:t>
    </w:r>
    <w:r>
      <w:rPr>
        <w:rFonts w:ascii="宋体" w:hAnsi="宋体"/>
      </w:rPr>
      <w:t>6</w:t>
    </w:r>
    <w:r>
      <w:rPr>
        <w:rFonts w:hint="eastAsia" w:ascii="宋体" w:hAnsi="宋体"/>
      </w:rPr>
      <w:t>年半年度报告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62FE8"/>
    <w:multiLevelType w:val="multilevel"/>
    <w:tmpl w:val="02B62FE8"/>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46A0E3F"/>
    <w:multiLevelType w:val="multilevel"/>
    <w:tmpl w:val="046A0E3F"/>
    <w:lvl w:ilvl="0" w:tentative="0">
      <w:start w:val="1"/>
      <w:numFmt w:val="decimal"/>
      <w:suff w:val="space"/>
      <w:lvlText w:val="(%1)"/>
      <w:lvlJc w:val="left"/>
      <w:pPr>
        <w:ind w:left="420" w:hanging="420"/>
      </w:pPr>
      <w:rPr>
        <w:rFonts w:hint="eastAsia" w:ascii="宋体" w:hAnsi="宋体" w:eastAsia="宋体"/>
        <w:b/>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5844492"/>
    <w:multiLevelType w:val="multilevel"/>
    <w:tmpl w:val="0584449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60E7150"/>
    <w:multiLevelType w:val="multilevel"/>
    <w:tmpl w:val="060E7150"/>
    <w:lvl w:ilvl="0" w:tentative="0">
      <w:start w:val="1"/>
      <w:numFmt w:val="decimal"/>
      <w:lvlText w:val="(%1)"/>
      <w:lvlJc w:val="left"/>
      <w:pPr>
        <w:ind w:left="425" w:hanging="425"/>
      </w:pPr>
      <w:rPr>
        <w:rFonts w:hint="eastAsia" w:eastAsia="宋体" w:asciiTheme="majorEastAsia" w:hAnsiTheme="maj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6AF21B9"/>
    <w:multiLevelType w:val="multilevel"/>
    <w:tmpl w:val="06AF21B9"/>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82521D3"/>
    <w:multiLevelType w:val="multilevel"/>
    <w:tmpl w:val="082521D3"/>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6">
    <w:nsid w:val="09BE73C8"/>
    <w:multiLevelType w:val="multilevel"/>
    <w:tmpl w:val="09BE73C8"/>
    <w:lvl w:ilvl="0" w:tentative="0">
      <w:start w:val="1"/>
      <w:numFmt w:val="decimal"/>
      <w:lvlText w:val="(%1)"/>
      <w:lvlJc w:val="left"/>
      <w:pPr>
        <w:ind w:left="420" w:hanging="420"/>
      </w:pPr>
      <w:rPr>
        <w:rFonts w:hint="eastAsia" w:eastAsia="宋体" w:asciiTheme="majorEastAsia" w:hAnsiTheme="major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A121027"/>
    <w:multiLevelType w:val="multilevel"/>
    <w:tmpl w:val="0A121027"/>
    <w:lvl w:ilvl="0" w:tentative="0">
      <w:start w:val="1"/>
      <w:numFmt w:val="decimal"/>
      <w:lvlText w:val="%1、"/>
      <w:lvlJc w:val="left"/>
      <w:pPr>
        <w:ind w:left="425" w:hanging="425"/>
      </w:pPr>
      <w:rPr>
        <w:rFonts w:hint="eastAsia" w:eastAsia="宋体" w:asciiTheme="majorEastAsia" w:hAnsiTheme="majorEastAsia"/>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
    <w:nsid w:val="0A5A61C0"/>
    <w:multiLevelType w:val="multilevel"/>
    <w:tmpl w:val="0A5A61C0"/>
    <w:lvl w:ilvl="0" w:tentative="0">
      <w:start w:val="1"/>
      <w:numFmt w:val="chineseCountingThousand"/>
      <w:lvlText w:val="(%1)"/>
      <w:lvlJc w:val="left"/>
      <w:pPr>
        <w:ind w:left="420" w:hanging="420"/>
      </w:pPr>
      <w:rPr>
        <w:rFonts w:hint="default" w:ascii="宋体" w:hAnsi="宋体" w:eastAsia="宋体"/>
      </w:rPr>
    </w:lvl>
    <w:lvl w:ilvl="1" w:tentative="0">
      <w:start w:val="1"/>
      <w:numFmt w:val="chineseCountingThousand"/>
      <w:lvlText w:val="(%2)"/>
      <w:lvlJc w:val="left"/>
      <w:pPr>
        <w:ind w:left="840" w:hanging="420"/>
      </w:pPr>
    </w:lvl>
    <w:lvl w:ilvl="2" w:tentative="0">
      <w:start w:val="1"/>
      <w:numFmt w:val="decimal"/>
      <w:lvlText w:val="%3、"/>
      <w:lvlJc w:val="left"/>
      <w:pPr>
        <w:ind w:left="1200"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B07393C"/>
    <w:multiLevelType w:val="multilevel"/>
    <w:tmpl w:val="0B07393C"/>
    <w:lvl w:ilvl="0" w:tentative="0">
      <w:start w:val="1"/>
      <w:numFmt w:val="decimal"/>
      <w:suff w:val="space"/>
      <w:lvlText w:val="(%1)"/>
      <w:lvlJc w:val="left"/>
      <w:pPr>
        <w:ind w:left="425" w:hanging="425"/>
      </w:pPr>
      <w:rPr>
        <w:rFonts w:hint="eastAsia" w:ascii="宋体" w:hAnsi="宋体" w:eastAsia="宋体"/>
        <w:b/>
        <w:color w:val="auto"/>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0B2831A5"/>
    <w:multiLevelType w:val="multilevel"/>
    <w:tmpl w:val="0B2831A5"/>
    <w:lvl w:ilvl="0" w:tentative="0">
      <w:start w:val="1"/>
      <w:numFmt w:val="decimal"/>
      <w:suff w:val="space"/>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
    <w:nsid w:val="0BD10AEE"/>
    <w:multiLevelType w:val="multilevel"/>
    <w:tmpl w:val="0BD10AEE"/>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851" w:hanging="851"/>
      </w:pPr>
      <w:rPr>
        <w:rFonts w:hint="eastAsia" w:eastAsia="宋体" w:asciiTheme="minorEastAsia" w:hAnsiTheme="min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2">
    <w:nsid w:val="0C6C33C2"/>
    <w:multiLevelType w:val="multilevel"/>
    <w:tmpl w:val="0C6C33C2"/>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D7E4B32"/>
    <w:multiLevelType w:val="multilevel"/>
    <w:tmpl w:val="0D7E4B32"/>
    <w:lvl w:ilvl="0" w:tentative="0">
      <w:start w:val="1"/>
      <w:numFmt w:val="decimal"/>
      <w:lvlText w:val="(%1)"/>
      <w:lvlJc w:val="left"/>
      <w:pPr>
        <w:ind w:left="425" w:hanging="425"/>
      </w:pPr>
      <w:rPr>
        <w:rFonts w:hint="eastAsia" w:eastAsia="宋体" w:asciiTheme="minorEastAsia" w:hAnsiTheme="minor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4">
    <w:nsid w:val="0F44477D"/>
    <w:multiLevelType w:val="multilevel"/>
    <w:tmpl w:val="0F44477D"/>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5">
    <w:nsid w:val="0FCD5A38"/>
    <w:multiLevelType w:val="multilevel"/>
    <w:tmpl w:val="0FCD5A38"/>
    <w:lvl w:ilvl="0" w:tentative="0">
      <w:start w:val="1"/>
      <w:numFmt w:val="decimal"/>
      <w:suff w:val="space"/>
      <w:lvlText w:val="(%1)"/>
      <w:lvlJc w:val="left"/>
      <w:pPr>
        <w:ind w:left="440" w:hanging="440"/>
      </w:pPr>
      <w:rPr>
        <w:rFonts w:hint="eastAsia" w:eastAsia="宋体" w:asciiTheme="minorEastAsia" w:hAnsiTheme="minorEastAsia"/>
        <w:b/>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0FF6148F"/>
    <w:multiLevelType w:val="multilevel"/>
    <w:tmpl w:val="0FF6148F"/>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7">
    <w:nsid w:val="10FC3AE8"/>
    <w:multiLevelType w:val="multilevel"/>
    <w:tmpl w:val="10FC3AE8"/>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113F5DEE"/>
    <w:multiLevelType w:val="multilevel"/>
    <w:tmpl w:val="113F5DEE"/>
    <w:lvl w:ilvl="0" w:tentative="0">
      <w:start w:val="1"/>
      <w:numFmt w:val="decimal"/>
      <w:suff w:val="space"/>
      <w:lvlText w:val="(%1)"/>
      <w:lvlJc w:val="left"/>
      <w:pPr>
        <w:ind w:left="425" w:hanging="425"/>
      </w:pPr>
      <w:rPr>
        <w:rFonts w:hint="eastAsia" w:eastAsia="宋体" w:asciiTheme="majorEastAsia" w:hAnsiTheme="majorEastAsia"/>
      </w:rPr>
    </w:lvl>
    <w:lvl w:ilvl="1" w:tentative="0">
      <w:start w:val="1"/>
      <w:numFmt w:val="decimal"/>
      <w:lvlText w:val="%1.%2."/>
      <w:lvlJc w:val="left"/>
      <w:pPr>
        <w:ind w:left="567" w:hanging="567"/>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9">
    <w:nsid w:val="12F20F02"/>
    <w:multiLevelType w:val="multilevel"/>
    <w:tmpl w:val="12F20F02"/>
    <w:lvl w:ilvl="0" w:tentative="0">
      <w:start w:val="1"/>
      <w:numFmt w:val="decimal"/>
      <w:lvlText w:val="(%1)"/>
      <w:lvlJc w:val="left"/>
      <w:pPr>
        <w:ind w:left="425" w:hanging="425"/>
      </w:pPr>
      <w:rPr>
        <w:rFonts w:hint="eastAsia" w:eastAsia="宋体" w:asciiTheme="minorEastAsia" w:hAnsiTheme="min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13BE1697"/>
    <w:multiLevelType w:val="multilevel"/>
    <w:tmpl w:val="13BE1697"/>
    <w:lvl w:ilvl="0" w:tentative="0">
      <w:start w:val="1"/>
      <w:numFmt w:val="decimal"/>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6253C97"/>
    <w:multiLevelType w:val="multilevel"/>
    <w:tmpl w:val="16253C97"/>
    <w:lvl w:ilvl="0" w:tentative="0">
      <w:start w:val="1"/>
      <w:numFmt w:val="decimal"/>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2">
    <w:nsid w:val="17721F90"/>
    <w:multiLevelType w:val="multilevel"/>
    <w:tmpl w:val="17721F90"/>
    <w:lvl w:ilvl="0" w:tentative="0">
      <w:start w:val="1"/>
      <w:numFmt w:val="decimal"/>
      <w:suff w:val="space"/>
      <w:lvlText w:val="(%1)"/>
      <w:lvlJc w:val="left"/>
      <w:pPr>
        <w:ind w:left="360" w:hanging="36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18012329"/>
    <w:multiLevelType w:val="multilevel"/>
    <w:tmpl w:val="18012329"/>
    <w:lvl w:ilvl="0" w:tentative="0">
      <w:start w:val="1"/>
      <w:numFmt w:val="decimal"/>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4">
    <w:nsid w:val="1AAB4C25"/>
    <w:multiLevelType w:val="multilevel"/>
    <w:tmpl w:val="1AAB4C25"/>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5">
    <w:nsid w:val="1B4D7C89"/>
    <w:multiLevelType w:val="multilevel"/>
    <w:tmpl w:val="1B4D7C89"/>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inorEastAsia" w:hAnsiTheme="min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6">
    <w:nsid w:val="1C506E4A"/>
    <w:multiLevelType w:val="multilevel"/>
    <w:tmpl w:val="1C506E4A"/>
    <w:lvl w:ilvl="0" w:tentative="0">
      <w:start w:val="1"/>
      <w:numFmt w:val="decimal"/>
      <w:lvlText w:val="%1、"/>
      <w:lvlJc w:val="left"/>
      <w:pPr>
        <w:ind w:left="420" w:hanging="420"/>
      </w:pPr>
      <w:rPr>
        <w:rFonts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1D753782"/>
    <w:multiLevelType w:val="multilevel"/>
    <w:tmpl w:val="1D753782"/>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4112" w:hanging="851"/>
      </w:pPr>
      <w:rPr>
        <w:rFonts w:hint="eastAsia" w:eastAsia="宋体" w:asciiTheme="minorEastAsia" w:hAnsiTheme="min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8">
    <w:nsid w:val="1E2F2888"/>
    <w:multiLevelType w:val="multilevel"/>
    <w:tmpl w:val="1E2F2888"/>
    <w:lvl w:ilvl="0" w:tentative="0">
      <w:start w:val="1"/>
      <w:numFmt w:val="decimal"/>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1F077BA9"/>
    <w:multiLevelType w:val="multilevel"/>
    <w:tmpl w:val="1F077BA9"/>
    <w:lvl w:ilvl="0" w:tentative="0">
      <w:start w:val="1"/>
      <w:numFmt w:val="decimal"/>
      <w:lvlText w:val="%1、"/>
      <w:lvlJc w:val="left"/>
      <w:pPr>
        <w:ind w:left="425" w:hanging="425"/>
      </w:pPr>
      <w:rPr>
        <w:rFonts w:hint="eastAsia" w:ascii="宋体" w:hAnsi="宋体" w:eastAsia="宋体"/>
        <w:color w:val="auto"/>
        <w:sz w:val="21"/>
        <w:szCs w:val="21"/>
        <w:u w:val="none"/>
      </w:rPr>
    </w:lvl>
    <w:lvl w:ilvl="1" w:tentative="0">
      <w:start w:val="1"/>
      <w:numFmt w:val="chineseCountingThousand"/>
      <w:lvlText w:val="%2、"/>
      <w:lvlJc w:val="left"/>
      <w:pPr>
        <w:ind w:left="567" w:hanging="567"/>
      </w:pPr>
      <w:rPr>
        <w:rFonts w:hint="eastAsia"/>
        <w:color w:val="auto"/>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0">
    <w:nsid w:val="1F344E7F"/>
    <w:multiLevelType w:val="multilevel"/>
    <w:tmpl w:val="1F344E7F"/>
    <w:lvl w:ilvl="0" w:tentative="0">
      <w:start w:val="1"/>
      <w:numFmt w:val="chineseCountingThousand"/>
      <w:suff w:val="nothing"/>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1">
    <w:nsid w:val="200D43D9"/>
    <w:multiLevelType w:val="multilevel"/>
    <w:tmpl w:val="200D43D9"/>
    <w:lvl w:ilvl="0" w:tentative="0">
      <w:start w:val="1"/>
      <w:numFmt w:val="decimal"/>
      <w:lvlText w:val="(%1)"/>
      <w:lvlJc w:val="left"/>
      <w:pPr>
        <w:ind w:left="420" w:hanging="420"/>
      </w:pPr>
      <w:rPr>
        <w:rFonts w:hint="default"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290D1F24"/>
    <w:multiLevelType w:val="multilevel"/>
    <w:tmpl w:val="290D1F24"/>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3">
    <w:nsid w:val="2C420AA3"/>
    <w:multiLevelType w:val="multilevel"/>
    <w:tmpl w:val="2C420AA3"/>
    <w:lvl w:ilvl="0" w:tentative="0">
      <w:start w:val="1"/>
      <w:numFmt w:val="decimal"/>
      <w:suff w:val="space"/>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4">
    <w:nsid w:val="2D1654B3"/>
    <w:multiLevelType w:val="multilevel"/>
    <w:tmpl w:val="2D1654B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2D1E14CF"/>
    <w:multiLevelType w:val="multilevel"/>
    <w:tmpl w:val="2D1E14CF"/>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36">
    <w:nsid w:val="2E496552"/>
    <w:multiLevelType w:val="multilevel"/>
    <w:tmpl w:val="2E496552"/>
    <w:lvl w:ilvl="0" w:tentative="0">
      <w:start w:val="1"/>
      <w:numFmt w:val="decimal"/>
      <w:lvlText w:val="(%1)"/>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7">
    <w:nsid w:val="2F9B10B5"/>
    <w:multiLevelType w:val="multilevel"/>
    <w:tmpl w:val="2F9B10B5"/>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8">
    <w:nsid w:val="3050185A"/>
    <w:multiLevelType w:val="multilevel"/>
    <w:tmpl w:val="3050185A"/>
    <w:lvl w:ilvl="0" w:tentative="0">
      <w:start w:val="1"/>
      <w:numFmt w:val="chineseCountingThousand"/>
      <w:suff w:val="space"/>
      <w:lvlText w:val="%1、"/>
      <w:lvlJc w:val="left"/>
      <w:pPr>
        <w:ind w:left="704" w:hanging="420"/>
      </w:pPr>
      <w:rPr>
        <w:rFonts w:hint="default"/>
        <w:b/>
        <w:i w:val="0"/>
        <w:color w:val="auto"/>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30F735A5"/>
    <w:multiLevelType w:val="multilevel"/>
    <w:tmpl w:val="30F735A5"/>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0">
    <w:nsid w:val="319D0755"/>
    <w:multiLevelType w:val="multilevel"/>
    <w:tmpl w:val="319D0755"/>
    <w:lvl w:ilvl="0" w:tentative="0">
      <w:start w:val="1"/>
      <w:numFmt w:val="decimal"/>
      <w:lvlText w:val="%1、"/>
      <w:lvlJc w:val="left"/>
      <w:pPr>
        <w:ind w:left="420" w:hanging="420"/>
      </w:pPr>
      <w:rPr>
        <w:rFonts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1">
    <w:nsid w:val="31CB7CDD"/>
    <w:multiLevelType w:val="multilevel"/>
    <w:tmpl w:val="31CB7CDD"/>
    <w:lvl w:ilvl="0" w:tentative="0">
      <w:start w:val="1"/>
      <w:numFmt w:val="decimal"/>
      <w:lvlText w:val="(%1)"/>
      <w:lvlJc w:val="left"/>
      <w:pPr>
        <w:ind w:left="425" w:hanging="425"/>
      </w:pPr>
      <w:rPr>
        <w:rFonts w:hint="eastAsia" w:eastAsia="宋体" w:asciiTheme="majorEastAsia" w:hAnsiTheme="maj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2">
    <w:nsid w:val="341B1AA3"/>
    <w:multiLevelType w:val="multilevel"/>
    <w:tmpl w:val="341B1AA3"/>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3">
    <w:nsid w:val="36604FD2"/>
    <w:multiLevelType w:val="multilevel"/>
    <w:tmpl w:val="36604FD2"/>
    <w:lvl w:ilvl="0" w:tentative="0">
      <w:start w:val="1"/>
      <w:numFmt w:val="decimal"/>
      <w:lvlText w:val="(%1)"/>
      <w:lvlJc w:val="left"/>
      <w:pPr>
        <w:ind w:left="0" w:firstLine="0"/>
      </w:pPr>
      <w:rPr>
        <w:rFonts w:hint="eastAsia" w:eastAsia="宋体" w:asciiTheme="majorEastAsia" w:hAnsiTheme="majorEastAsia"/>
      </w:rPr>
    </w:lvl>
    <w:lvl w:ilvl="1" w:tentative="0">
      <w:start w:val="1"/>
      <w:numFmt w:val="lowerLetter"/>
      <w:lvlText w:val="%2)"/>
      <w:lvlJc w:val="left"/>
      <w:pPr>
        <w:ind w:left="985" w:hanging="440"/>
      </w:pPr>
    </w:lvl>
    <w:lvl w:ilvl="2" w:tentative="0">
      <w:start w:val="1"/>
      <w:numFmt w:val="lowerRoman"/>
      <w:lvlText w:val="%3."/>
      <w:lvlJc w:val="right"/>
      <w:pPr>
        <w:ind w:left="1425" w:hanging="440"/>
      </w:pPr>
    </w:lvl>
    <w:lvl w:ilvl="3" w:tentative="0">
      <w:start w:val="1"/>
      <w:numFmt w:val="decimal"/>
      <w:lvlText w:val="%4."/>
      <w:lvlJc w:val="left"/>
      <w:pPr>
        <w:ind w:left="1865" w:hanging="440"/>
      </w:pPr>
    </w:lvl>
    <w:lvl w:ilvl="4" w:tentative="0">
      <w:start w:val="1"/>
      <w:numFmt w:val="lowerLetter"/>
      <w:lvlText w:val="%5)"/>
      <w:lvlJc w:val="left"/>
      <w:pPr>
        <w:ind w:left="2305" w:hanging="440"/>
      </w:pPr>
    </w:lvl>
    <w:lvl w:ilvl="5" w:tentative="0">
      <w:start w:val="1"/>
      <w:numFmt w:val="lowerRoman"/>
      <w:lvlText w:val="%6."/>
      <w:lvlJc w:val="right"/>
      <w:pPr>
        <w:ind w:left="2745" w:hanging="440"/>
      </w:pPr>
    </w:lvl>
    <w:lvl w:ilvl="6" w:tentative="0">
      <w:start w:val="1"/>
      <w:numFmt w:val="decimal"/>
      <w:lvlText w:val="%7."/>
      <w:lvlJc w:val="left"/>
      <w:pPr>
        <w:ind w:left="3185" w:hanging="440"/>
      </w:pPr>
    </w:lvl>
    <w:lvl w:ilvl="7" w:tentative="0">
      <w:start w:val="1"/>
      <w:numFmt w:val="lowerLetter"/>
      <w:lvlText w:val="%8)"/>
      <w:lvlJc w:val="left"/>
      <w:pPr>
        <w:ind w:left="3625" w:hanging="440"/>
      </w:pPr>
    </w:lvl>
    <w:lvl w:ilvl="8" w:tentative="0">
      <w:start w:val="1"/>
      <w:numFmt w:val="lowerRoman"/>
      <w:lvlText w:val="%9."/>
      <w:lvlJc w:val="right"/>
      <w:pPr>
        <w:ind w:left="4065" w:hanging="440"/>
      </w:pPr>
    </w:lvl>
  </w:abstractNum>
  <w:abstractNum w:abstractNumId="44">
    <w:nsid w:val="371D0184"/>
    <w:multiLevelType w:val="multilevel"/>
    <w:tmpl w:val="371D0184"/>
    <w:lvl w:ilvl="0" w:tentative="0">
      <w:start w:val="1"/>
      <w:numFmt w:val="decimal"/>
      <w:lvlText w:val="(%1)"/>
      <w:lvlJc w:val="left"/>
      <w:pPr>
        <w:ind w:left="420" w:hanging="420"/>
      </w:pPr>
      <w:rPr>
        <w:rFonts w:hint="eastAsia" w:eastAsia="宋体" w:asciiTheme="minorEastAsia" w:hAnsiTheme="minorEastAsia"/>
        <w:color w:val="auto"/>
      </w:rPr>
    </w:lvl>
    <w:lvl w:ilvl="1" w:tentative="0">
      <w:start w:val="1"/>
      <w:numFmt w:val="japaneseCounting"/>
      <w:lvlText w:val="%2、"/>
      <w:lvlJc w:val="left"/>
      <w:pPr>
        <w:ind w:left="840" w:hanging="420"/>
      </w:pPr>
      <w:rPr>
        <w:rFonts w:hint="default"/>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5">
    <w:nsid w:val="382B1A56"/>
    <w:multiLevelType w:val="multilevel"/>
    <w:tmpl w:val="382B1A56"/>
    <w:lvl w:ilvl="0" w:tentative="0">
      <w:start w:val="1"/>
      <w:numFmt w:val="decimal"/>
      <w:lvlText w:val="(%1)"/>
      <w:lvlJc w:val="left"/>
      <w:pPr>
        <w:ind w:left="425" w:hanging="425"/>
      </w:pPr>
      <w:rPr>
        <w:rFonts w:hint="eastAsia" w:eastAsia="宋体" w:asciiTheme="minorEastAsia" w:hAnsiTheme="minor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6">
    <w:nsid w:val="38514AF0"/>
    <w:multiLevelType w:val="multilevel"/>
    <w:tmpl w:val="38514AF0"/>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inorEastAsia" w:hAnsiTheme="minorEastAsia"/>
        <w:color w:val="auto"/>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7">
    <w:nsid w:val="389F7C37"/>
    <w:multiLevelType w:val="multilevel"/>
    <w:tmpl w:val="389F7C37"/>
    <w:lvl w:ilvl="0" w:tentative="0">
      <w:start w:val="1"/>
      <w:numFmt w:val="decimal"/>
      <w:lvlText w:val="%1、 "/>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8">
    <w:nsid w:val="38E9008F"/>
    <w:multiLevelType w:val="multilevel"/>
    <w:tmpl w:val="38E9008F"/>
    <w:lvl w:ilvl="0" w:tentative="0">
      <w:start w:val="1"/>
      <w:numFmt w:val="decimal"/>
      <w:lvlText w:val="%1."/>
      <w:lvlJc w:val="left"/>
      <w:pPr>
        <w:ind w:left="425" w:hanging="425"/>
      </w:pPr>
    </w:lvl>
    <w:lvl w:ilvl="1" w:tentative="0">
      <w:start w:val="1"/>
      <w:numFmt w:val="chineseCountingThousand"/>
      <w:lvlText w:val="(%2)"/>
      <w:lvlJc w:val="left"/>
      <w:pPr>
        <w:ind w:left="567" w:hanging="567"/>
      </w:pPr>
      <w:rPr>
        <w:rFonts w:ascii="宋体" w:hAnsi="宋体" w:eastAsia="宋体"/>
      </w:r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49">
    <w:nsid w:val="3A366CB1"/>
    <w:multiLevelType w:val="multilevel"/>
    <w:tmpl w:val="3A366CB1"/>
    <w:lvl w:ilvl="0" w:tentative="0">
      <w:start w:val="1"/>
      <w:numFmt w:val="decimal"/>
      <w:lvlText w:val="(%1)"/>
      <w:lvlJc w:val="left"/>
      <w:pPr>
        <w:ind w:left="425" w:hanging="425"/>
      </w:pPr>
      <w:rPr>
        <w:rFonts w:hint="eastAsia" w:eastAsia="宋体" w:asciiTheme="majorEastAsia" w:hAnsiTheme="majorEastAsia"/>
        <w:color w:val="auto"/>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0">
    <w:nsid w:val="3B3F324F"/>
    <w:multiLevelType w:val="multilevel"/>
    <w:tmpl w:val="3B3F324F"/>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ajorEastAsia" w:hAnsiTheme="maj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1">
    <w:nsid w:val="3BC06DD5"/>
    <w:multiLevelType w:val="multilevel"/>
    <w:tmpl w:val="3BC06DD5"/>
    <w:lvl w:ilvl="0" w:tentative="0">
      <w:start w:val="1"/>
      <w:numFmt w:val="decimal"/>
      <w:lvlText w:val="%1、 "/>
      <w:lvlJc w:val="left"/>
      <w:pPr>
        <w:ind w:left="425" w:hanging="425"/>
      </w:pPr>
      <w:rPr>
        <w:rFonts w:hint="eastAsia" w:ascii="宋体" w:hAnsi="宋体" w:eastAsia="宋体"/>
        <w:b/>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2">
    <w:nsid w:val="3D233A2D"/>
    <w:multiLevelType w:val="multilevel"/>
    <w:tmpl w:val="3D233A2D"/>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3DC3132E"/>
    <w:multiLevelType w:val="multilevel"/>
    <w:tmpl w:val="3DC3132E"/>
    <w:lvl w:ilvl="0" w:tentative="0">
      <w:start w:val="1"/>
      <w:numFmt w:val="decimal"/>
      <w:lvlText w:val="(%1)"/>
      <w:lvlJc w:val="left"/>
      <w:pPr>
        <w:ind w:left="704"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4008254F"/>
    <w:multiLevelType w:val="multilevel"/>
    <w:tmpl w:val="4008254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40857FB2"/>
    <w:multiLevelType w:val="multilevel"/>
    <w:tmpl w:val="40857FB2"/>
    <w:lvl w:ilvl="0" w:tentative="0">
      <w:start w:val="1"/>
      <w:numFmt w:val="decimal"/>
      <w:lvlText w:val="(%1)"/>
      <w:lvlJc w:val="left"/>
      <w:pPr>
        <w:ind w:left="425" w:hanging="425"/>
      </w:pPr>
      <w:rPr>
        <w:rFonts w:hint="eastAsia" w:eastAsia="宋体" w:asciiTheme="majorEastAsia" w:hAnsiTheme="maj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6">
    <w:nsid w:val="40A66285"/>
    <w:multiLevelType w:val="multilevel"/>
    <w:tmpl w:val="40A66285"/>
    <w:lvl w:ilvl="0" w:tentative="0">
      <w:start w:val="1"/>
      <w:numFmt w:val="decimal"/>
      <w:suff w:val="nothing"/>
      <w:lvlText w:val="%1、 "/>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413A1922"/>
    <w:multiLevelType w:val="multilevel"/>
    <w:tmpl w:val="413A1922"/>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58">
    <w:nsid w:val="423700D3"/>
    <w:multiLevelType w:val="multilevel"/>
    <w:tmpl w:val="423700D3"/>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9">
    <w:nsid w:val="42B26107"/>
    <w:multiLevelType w:val="multilevel"/>
    <w:tmpl w:val="42B26107"/>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0">
    <w:nsid w:val="42B565C3"/>
    <w:multiLevelType w:val="multilevel"/>
    <w:tmpl w:val="42B565C3"/>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567" w:hanging="567"/>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61">
    <w:nsid w:val="48371C83"/>
    <w:multiLevelType w:val="multilevel"/>
    <w:tmpl w:val="48371C83"/>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ajorEastAsia" w:hAnsiTheme="maj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62">
    <w:nsid w:val="49C55D5A"/>
    <w:multiLevelType w:val="multilevel"/>
    <w:tmpl w:val="49C55D5A"/>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4ACB18B9"/>
    <w:multiLevelType w:val="multilevel"/>
    <w:tmpl w:val="4ACB18B9"/>
    <w:lvl w:ilvl="0" w:tentative="0">
      <w:start w:val="1"/>
      <w:numFmt w:val="decimal"/>
      <w:lvlText w:val="%1、"/>
      <w:lvlJc w:val="left"/>
      <w:pPr>
        <w:ind w:left="425" w:hanging="425"/>
      </w:pPr>
      <w:rPr>
        <w:rFonts w:hint="eastAsia" w:ascii="宋体" w:hAnsi="宋体" w:eastAsia="宋体"/>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4">
    <w:nsid w:val="4C9120A7"/>
    <w:multiLevelType w:val="multilevel"/>
    <w:tmpl w:val="4C9120A7"/>
    <w:lvl w:ilvl="0" w:tentative="0">
      <w:start w:val="1"/>
      <w:numFmt w:val="decimal"/>
      <w:lvlText w:val="%1、"/>
      <w:lvlJc w:val="left"/>
      <w:pPr>
        <w:ind w:left="420" w:hanging="42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5">
    <w:nsid w:val="4DC673EA"/>
    <w:multiLevelType w:val="multilevel"/>
    <w:tmpl w:val="4DC673EA"/>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6">
    <w:nsid w:val="4F442249"/>
    <w:multiLevelType w:val="multilevel"/>
    <w:tmpl w:val="4F442249"/>
    <w:lvl w:ilvl="0" w:tentative="0">
      <w:start w:val="1"/>
      <w:numFmt w:val="chineseCountingThousand"/>
      <w:lvlText w:val="第%1节"/>
      <w:lvlJc w:val="left"/>
      <w:pPr>
        <w:ind w:left="425" w:hanging="425"/>
      </w:pPr>
      <w:rPr>
        <w:rFonts w:hint="eastAsia"/>
        <w:color w:val="auto"/>
        <w:sz w:val="28"/>
        <w:szCs w:val="28"/>
        <w:u w:val="none"/>
        <w:lang w:val="en-US"/>
      </w:rPr>
    </w:lvl>
    <w:lvl w:ilvl="1" w:tentative="0">
      <w:start w:val="1"/>
      <w:numFmt w:val="chineseCountingThousand"/>
      <w:lvlText w:val="%2、"/>
      <w:lvlJc w:val="left"/>
      <w:pPr>
        <w:ind w:left="567" w:hanging="567"/>
      </w:pPr>
      <w:rPr>
        <w:rFonts w:hint="eastAsia"/>
        <w:color w:val="auto"/>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7">
    <w:nsid w:val="4FCF6E1B"/>
    <w:multiLevelType w:val="multilevel"/>
    <w:tmpl w:val="4FCF6E1B"/>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inorEastAsia" w:hAnsiTheme="min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68">
    <w:nsid w:val="4FFA7877"/>
    <w:multiLevelType w:val="multilevel"/>
    <w:tmpl w:val="4FFA7877"/>
    <w:lvl w:ilvl="0" w:tentative="0">
      <w:start w:val="1"/>
      <w:numFmt w:val="decimal"/>
      <w:suff w:val="space"/>
      <w:lvlText w:val="(%1)"/>
      <w:lvlJc w:val="left"/>
      <w:pPr>
        <w:ind w:left="435" w:hanging="435"/>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9">
    <w:nsid w:val="51C24C64"/>
    <w:multiLevelType w:val="multilevel"/>
    <w:tmpl w:val="51C24C64"/>
    <w:lvl w:ilvl="0" w:tentative="0">
      <w:start w:val="1"/>
      <w:numFmt w:val="decimal"/>
      <w:lvlText w:val="(%1)"/>
      <w:lvlJc w:val="left"/>
      <w:pPr>
        <w:ind w:left="425" w:hanging="425"/>
      </w:pPr>
      <w:rPr>
        <w:rFonts w:hint="eastAsia" w:eastAsia="宋体" w:asciiTheme="majorEastAsia" w:hAnsiTheme="maj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0">
    <w:nsid w:val="52443E17"/>
    <w:multiLevelType w:val="multilevel"/>
    <w:tmpl w:val="52443E17"/>
    <w:lvl w:ilvl="0" w:tentative="0">
      <w:start w:val="1"/>
      <w:numFmt w:val="decimal"/>
      <w:suff w:val="space"/>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1">
    <w:nsid w:val="543E2554"/>
    <w:multiLevelType w:val="multilevel"/>
    <w:tmpl w:val="543E2554"/>
    <w:lvl w:ilvl="0" w:tentative="0">
      <w:start w:val="1"/>
      <w:numFmt w:val="decimal"/>
      <w:suff w:val="nothing"/>
      <w:lvlText w:val="(%1)"/>
      <w:lvlJc w:val="left"/>
      <w:pPr>
        <w:ind w:left="420" w:hanging="42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2">
    <w:nsid w:val="55A72D8E"/>
    <w:multiLevelType w:val="multilevel"/>
    <w:tmpl w:val="55A72D8E"/>
    <w:lvl w:ilvl="0" w:tentative="0">
      <w:start w:val="1"/>
      <w:numFmt w:val="decimal"/>
      <w:suff w:val="space"/>
      <w:lvlText w:val="%1、 "/>
      <w:lvlJc w:val="left"/>
      <w:pPr>
        <w:ind w:left="440" w:hanging="440"/>
      </w:pPr>
      <w:rPr>
        <w:rFonts w:hint="eastAsia" w:ascii="宋体" w:hAnsi="宋体" w:eastAsia="宋体"/>
        <w: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3">
    <w:nsid w:val="578E1DBD"/>
    <w:multiLevelType w:val="multilevel"/>
    <w:tmpl w:val="578E1DBD"/>
    <w:lvl w:ilvl="0" w:tentative="0">
      <w:start w:val="1"/>
      <w:numFmt w:val="decimal"/>
      <w:lvlText w:val="(%1)"/>
      <w:lvlJc w:val="left"/>
      <w:pPr>
        <w:ind w:left="360" w:hanging="360"/>
      </w:pPr>
      <w:rPr>
        <w:rFonts w:hint="eastAsia" w:eastAsia="宋体" w:asciiTheme="majorEastAsia" w:hAnsiTheme="maj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4">
    <w:nsid w:val="57F52205"/>
    <w:multiLevelType w:val="multilevel"/>
    <w:tmpl w:val="57F52205"/>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5">
    <w:nsid w:val="58D07593"/>
    <w:multiLevelType w:val="multilevel"/>
    <w:tmpl w:val="58D07593"/>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suff w:val="space"/>
      <w:lvlText w:val="(%4)"/>
      <w:lvlJc w:val="left"/>
      <w:pPr>
        <w:ind w:left="0" w:firstLine="0"/>
      </w:pPr>
      <w:rPr>
        <w:rFonts w:hint="eastAsia"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76">
    <w:nsid w:val="59D62C4E"/>
    <w:multiLevelType w:val="multilevel"/>
    <w:tmpl w:val="59D62C4E"/>
    <w:lvl w:ilvl="0" w:tentative="0">
      <w:start w:val="1"/>
      <w:numFmt w:val="decimal"/>
      <w:lvlText w:val="(%1)"/>
      <w:lvlJc w:val="left"/>
      <w:pPr>
        <w:ind w:left="425" w:hanging="425"/>
      </w:pPr>
      <w:rPr>
        <w:rFonts w:hint="eastAsia" w:eastAsia="宋体" w:asciiTheme="minorEastAsia" w:hAnsiTheme="min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7">
    <w:nsid w:val="5A7459C2"/>
    <w:multiLevelType w:val="multilevel"/>
    <w:tmpl w:val="5A7459C2"/>
    <w:lvl w:ilvl="0" w:tentative="0">
      <w:start w:val="1"/>
      <w:numFmt w:val="decimal"/>
      <w:lvlText w:val="(%1)"/>
      <w:lvlJc w:val="left"/>
      <w:pPr>
        <w:ind w:left="425" w:hanging="425"/>
      </w:pPr>
      <w:rPr>
        <w:rFonts w:hint="eastAsia" w:eastAsia="宋体" w:asciiTheme="majorEastAsia" w:hAnsiTheme="major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8">
    <w:nsid w:val="5E1A4AC1"/>
    <w:multiLevelType w:val="multilevel"/>
    <w:tmpl w:val="5E1A4AC1"/>
    <w:lvl w:ilvl="0" w:tentative="0">
      <w:start w:val="1"/>
      <w:numFmt w:val="chineseCountingThousand"/>
      <w:suff w:val="space"/>
      <w:lvlText w:val="(%1)"/>
      <w:lvlJc w:val="left"/>
      <w:pPr>
        <w:ind w:left="420" w:hanging="420"/>
      </w:pPr>
      <w:rPr>
        <w:rFonts w:hint="eastAsia"/>
      </w:rPr>
    </w:lvl>
    <w:lvl w:ilvl="1" w:tentative="0">
      <w:start w:val="1"/>
      <w:numFmt w:val="decimal"/>
      <w:lvlText w:val="(%2)"/>
      <w:lvlJc w:val="left"/>
      <w:pPr>
        <w:ind w:left="840" w:hanging="420"/>
      </w:pPr>
      <w:rPr>
        <w:rFonts w:hint="eastAsia" w:ascii="宋体" w:hAnsi="宋体" w:eastAsia="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9">
    <w:nsid w:val="5E6E74EA"/>
    <w:multiLevelType w:val="multilevel"/>
    <w:tmpl w:val="5E6E74EA"/>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ascii="宋体" w:hAnsi="宋体" w:eastAsia="宋体"/>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0">
    <w:nsid w:val="5F54755C"/>
    <w:multiLevelType w:val="multilevel"/>
    <w:tmpl w:val="5F54755C"/>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1">
    <w:nsid w:val="5FB166A0"/>
    <w:multiLevelType w:val="multilevel"/>
    <w:tmpl w:val="5FB166A0"/>
    <w:lvl w:ilvl="0" w:tentative="0">
      <w:start w:val="1"/>
      <w:numFmt w:val="decimal"/>
      <w:lvlText w:val="(%1)."/>
      <w:lvlJc w:val="left"/>
      <w:pPr>
        <w:ind w:left="425" w:hanging="425"/>
      </w:pPr>
      <w:rPr>
        <w:rFonts w:hint="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4)"/>
      <w:lvlJc w:val="left"/>
      <w:pPr>
        <w:ind w:left="4112" w:hanging="851"/>
      </w:pPr>
      <w:rPr>
        <w:rFonts w:hint="eastAsia" w:eastAsia="宋体" w:asciiTheme="minorEastAsia" w:hAnsiTheme="min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2">
    <w:nsid w:val="60AF6AEB"/>
    <w:multiLevelType w:val="multilevel"/>
    <w:tmpl w:val="60AF6AEB"/>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3">
    <w:nsid w:val="6172168D"/>
    <w:multiLevelType w:val="multilevel"/>
    <w:tmpl w:val="6172168D"/>
    <w:lvl w:ilvl="0" w:tentative="0">
      <w:start w:val="1"/>
      <w:numFmt w:val="decimal"/>
      <w:suff w:val="space"/>
      <w:lvlText w:val="%1、 "/>
      <w:lvlJc w:val="left"/>
      <w:pPr>
        <w:ind w:left="425" w:hanging="425"/>
      </w:pPr>
      <w:rPr>
        <w:rFonts w:hint="eastAsia" w:ascii="宋体" w:hAnsi="宋体" w:eastAsia="宋体"/>
        <w:b/>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4">
    <w:nsid w:val="61BB2068"/>
    <w:multiLevelType w:val="multilevel"/>
    <w:tmpl w:val="61BB2068"/>
    <w:lvl w:ilvl="0" w:tentative="0">
      <w:start w:val="1"/>
      <w:numFmt w:val="decimal"/>
      <w:suff w:val="space"/>
      <w:lvlText w:val="(%1)"/>
      <w:lvlJc w:val="left"/>
      <w:pPr>
        <w:ind w:left="425" w:hanging="425"/>
      </w:pPr>
      <w:rPr>
        <w:rFonts w:hint="eastAsia" w:ascii="宋体" w:hAnsi="宋体" w:eastAsia="宋体"/>
        <w:b/>
        <w:color w:val="auto"/>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5">
    <w:nsid w:val="62A340DA"/>
    <w:multiLevelType w:val="multilevel"/>
    <w:tmpl w:val="62A340DA"/>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6">
    <w:nsid w:val="6459764D"/>
    <w:multiLevelType w:val="multilevel"/>
    <w:tmpl w:val="6459764D"/>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7">
    <w:nsid w:val="6604632D"/>
    <w:multiLevelType w:val="multilevel"/>
    <w:tmpl w:val="6604632D"/>
    <w:lvl w:ilvl="0" w:tentative="0">
      <w:start w:val="1"/>
      <w:numFmt w:val="decimal"/>
      <w:lvlText w:val="%1."/>
      <w:lvlJc w:val="left"/>
      <w:pPr>
        <w:ind w:left="425" w:hanging="425"/>
      </w:pPr>
    </w:lvl>
    <w:lvl w:ilvl="1" w:tentative="0">
      <w:start w:val="1"/>
      <w:numFmt w:val="chineseCountingThousand"/>
      <w:lvlText w:val="(%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88">
    <w:nsid w:val="67BA0DA3"/>
    <w:multiLevelType w:val="multilevel"/>
    <w:tmpl w:val="67BA0DA3"/>
    <w:lvl w:ilvl="0" w:tentative="0">
      <w:start w:val="1"/>
      <w:numFmt w:val="decimal"/>
      <w:suff w:val="space"/>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9">
    <w:nsid w:val="68944DB9"/>
    <w:multiLevelType w:val="multilevel"/>
    <w:tmpl w:val="68944DB9"/>
    <w:lvl w:ilvl="0" w:tentative="0">
      <w:start w:val="1"/>
      <w:numFmt w:val="decimal"/>
      <w:lvlText w:val="(%1)"/>
      <w:lvlJc w:val="left"/>
      <w:pPr>
        <w:ind w:left="420" w:hanging="420"/>
      </w:pPr>
      <w:rPr>
        <w:rFonts w:hint="eastAsia" w:ascii="宋体" w:hAnsi="宋体" w:eastAsia="宋体"/>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0">
    <w:nsid w:val="6AA32E81"/>
    <w:multiLevelType w:val="multilevel"/>
    <w:tmpl w:val="6AA32E81"/>
    <w:lvl w:ilvl="0" w:tentative="0">
      <w:start w:val="1"/>
      <w:numFmt w:val="decimal"/>
      <w:lvlText w:val="%1、"/>
      <w:lvlJc w:val="left"/>
      <w:pPr>
        <w:ind w:left="420" w:hanging="420"/>
      </w:pPr>
      <w:rPr>
        <w:rFonts w:hint="eastAsia" w:eastAsia="宋体" w:asciiTheme="majorEastAsia" w:hAnsiTheme="majorEastAsia"/>
        <w:b/>
      </w:rPr>
    </w:lvl>
    <w:lvl w:ilvl="1" w:tentative="0">
      <w:start w:val="1"/>
      <w:numFmt w:val="decimal"/>
      <w:suff w:val="nothing"/>
      <w:lvlText w:val="%2、"/>
      <w:lvlJc w:val="left"/>
      <w:pPr>
        <w:ind w:left="840" w:hanging="420"/>
      </w:pPr>
      <w:rPr>
        <w:rFonts w:hint="eastAsia" w:asciiTheme="minorEastAsia" w:hAnsiTheme="minorEastAsia" w:eastAsiaTheme="minorEastAsia"/>
        <w:b/>
      </w:rPr>
    </w:lvl>
    <w:lvl w:ilvl="2" w:tentative="0">
      <w:start w:val="1"/>
      <w:numFmt w:val="decimal"/>
      <w:lvlText w:val="%3."/>
      <w:lvlJc w:val="left"/>
      <w:pPr>
        <w:ind w:left="1260" w:hanging="420"/>
      </w:pPr>
      <w:rPr>
        <w:rFonts w:hint="eastAsia"/>
      </w:rPr>
    </w:lvl>
    <w:lvl w:ilvl="3" w:tentative="0">
      <w:start w:val="1"/>
      <w:numFmt w:val="decimal"/>
      <w:lvlText w:val="(%4)"/>
      <w:lvlJc w:val="left"/>
      <w:pPr>
        <w:ind w:left="1620" w:hanging="360"/>
      </w:pPr>
      <w:rPr>
        <w:rFonts w:hint="default"/>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1">
    <w:nsid w:val="6B347D65"/>
    <w:multiLevelType w:val="multilevel"/>
    <w:tmpl w:val="6B347D65"/>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2">
    <w:nsid w:val="6B950C4B"/>
    <w:multiLevelType w:val="multilevel"/>
    <w:tmpl w:val="6B950C4B"/>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lvlText w:val="(%4)"/>
      <w:lvlJc w:val="left"/>
      <w:pPr>
        <w:ind w:left="0" w:firstLine="0"/>
      </w:pPr>
      <w:rPr>
        <w:rFonts w:hint="eastAsia"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93">
    <w:nsid w:val="6CA66641"/>
    <w:multiLevelType w:val="multilevel"/>
    <w:tmpl w:val="6CA66641"/>
    <w:lvl w:ilvl="0" w:tentative="0">
      <w:start w:val="1"/>
      <w:numFmt w:val="decimal"/>
      <w:lvlText w:val="(%1)"/>
      <w:lvlJc w:val="left"/>
      <w:pPr>
        <w:ind w:left="425" w:hanging="425"/>
      </w:pPr>
      <w:rPr>
        <w:rFonts w:hint="eastAsia" w:eastAsia="宋体" w:asciiTheme="minorEastAsia" w:hAnsiTheme="minorEastAsia"/>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4">
    <w:nsid w:val="6CAF4877"/>
    <w:multiLevelType w:val="multilevel"/>
    <w:tmpl w:val="6CAF4877"/>
    <w:lvl w:ilvl="0" w:tentative="0">
      <w:start w:val="1"/>
      <w:numFmt w:val="decimal"/>
      <w:lvlText w:val="%1、"/>
      <w:lvlJc w:val="left"/>
      <w:pPr>
        <w:ind w:left="420" w:hanging="420"/>
      </w:pPr>
      <w:rPr>
        <w:rFonts w:hint="eastAsia" w:ascii="宋体" w:hAnsi="宋体" w:eastAsia="宋体"/>
      </w:rPr>
    </w:lvl>
    <w:lvl w:ilvl="1" w:tentative="0">
      <w:start w:val="1"/>
      <w:numFmt w:val="decimal"/>
      <w:lvlText w:val="%2、"/>
      <w:lvlJc w:val="left"/>
      <w:pPr>
        <w:ind w:left="840" w:hanging="420"/>
      </w:pPr>
      <w:rPr>
        <w:rFonts w:hint="eastAsia"/>
      </w:rPr>
    </w:lvl>
    <w:lvl w:ilvl="2" w:tentative="0">
      <w:start w:val="1"/>
      <w:numFmt w:val="decimal"/>
      <w:lvlText w:val="%3、"/>
      <w:lvlJc w:val="lef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5">
    <w:nsid w:val="6D5F2147"/>
    <w:multiLevelType w:val="multilevel"/>
    <w:tmpl w:val="6D5F2147"/>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3、"/>
      <w:lvlJc w:val="left"/>
      <w:pPr>
        <w:ind w:left="0" w:firstLine="0"/>
      </w:pPr>
      <w:rPr>
        <w:rFonts w:hint="eastAsia"/>
      </w:rPr>
    </w:lvl>
    <w:lvl w:ilvl="3" w:tentative="0">
      <w:start w:val="1"/>
      <w:numFmt w:val="decimal"/>
      <w:lvlText w:val="(%4)"/>
      <w:lvlJc w:val="left"/>
      <w:pPr>
        <w:ind w:left="851" w:hanging="851"/>
      </w:pPr>
      <w:rPr>
        <w:rFonts w:hint="eastAsia" w:eastAsia="宋体" w:asciiTheme="majorEastAsia" w:hAnsiTheme="major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6">
    <w:nsid w:val="6E0763B0"/>
    <w:multiLevelType w:val="multilevel"/>
    <w:tmpl w:val="6E0763B0"/>
    <w:lvl w:ilvl="0" w:tentative="0">
      <w:start w:val="1"/>
      <w:numFmt w:val="decimal"/>
      <w:lvlText w:val="(%1)"/>
      <w:lvlJc w:val="left"/>
      <w:pPr>
        <w:ind w:left="425" w:hanging="425"/>
      </w:pPr>
      <w:rPr>
        <w:rFonts w:hint="eastAsia" w:ascii="宋体" w:hAnsi="宋体" w:eastAsia="宋体"/>
      </w:rPr>
    </w:lvl>
    <w:lvl w:ilvl="1" w:tentative="0">
      <w:start w:val="1"/>
      <w:numFmt w:val="chineseCountingThousand"/>
      <w:lvlText w:val="(%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7">
    <w:nsid w:val="712E43F9"/>
    <w:multiLevelType w:val="multilevel"/>
    <w:tmpl w:val="712E43F9"/>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8">
    <w:nsid w:val="72197035"/>
    <w:multiLevelType w:val="multilevel"/>
    <w:tmpl w:val="72197035"/>
    <w:lvl w:ilvl="0" w:tentative="0">
      <w:start w:val="1"/>
      <w:numFmt w:val="decimal"/>
      <w:lvlText w:val="(%1)"/>
      <w:lvlJc w:val="left"/>
      <w:pPr>
        <w:ind w:left="440" w:hanging="440"/>
      </w:pPr>
      <w:rPr>
        <w:rFonts w:hint="eastAsia" w:eastAsia="宋体" w:asciiTheme="minorEastAsia" w:hAnsiTheme="min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9">
    <w:nsid w:val="746D40B4"/>
    <w:multiLevelType w:val="multilevel"/>
    <w:tmpl w:val="746D40B4"/>
    <w:lvl w:ilvl="0" w:tentative="0">
      <w:start w:val="1"/>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chineseCountingThousand"/>
      <w:suff w:val="space"/>
      <w:lvlText w:val="(%3)"/>
      <w:lvlJc w:val="left"/>
      <w:pPr>
        <w:ind w:left="0" w:firstLine="0"/>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00">
    <w:nsid w:val="7A347857"/>
    <w:multiLevelType w:val="multilevel"/>
    <w:tmpl w:val="7A347857"/>
    <w:lvl w:ilvl="0" w:tentative="0">
      <w:start w:val="1"/>
      <w:numFmt w:val="decimal"/>
      <w:lvlText w:val="(%1)"/>
      <w:lvlJc w:val="left"/>
      <w:pPr>
        <w:ind w:left="440" w:hanging="440"/>
      </w:pPr>
      <w:rPr>
        <w:rFonts w:hint="eastAsia" w:eastAsia="宋体" w:asciiTheme="majorEastAsia" w:hAnsi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1">
    <w:nsid w:val="7A3D5392"/>
    <w:multiLevelType w:val="multilevel"/>
    <w:tmpl w:val="7A3D5392"/>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2">
    <w:nsid w:val="7A6D6B7E"/>
    <w:multiLevelType w:val="multilevel"/>
    <w:tmpl w:val="7A6D6B7E"/>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3">
    <w:nsid w:val="7C1B6947"/>
    <w:multiLevelType w:val="multilevel"/>
    <w:tmpl w:val="7C1B6947"/>
    <w:lvl w:ilvl="0" w:tentative="0">
      <w:start w:val="1"/>
      <w:numFmt w:val="chineseCountingThousand"/>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4">
    <w:nsid w:val="7EFE3C23"/>
    <w:multiLevelType w:val="multilevel"/>
    <w:tmpl w:val="7EFE3C23"/>
    <w:lvl w:ilvl="0" w:tentative="0">
      <w:start w:val="1"/>
      <w:numFmt w:val="chineseCountingThousand"/>
      <w:lvlText w:val="(%1)"/>
      <w:lvlJc w:val="left"/>
      <w:pPr>
        <w:ind w:left="0" w:firstLine="0"/>
      </w:pPr>
      <w:rPr>
        <w:rFonts w:hint="default"/>
      </w:rPr>
    </w:lvl>
    <w:lvl w:ilvl="1" w:tentative="0">
      <w:start w:val="1"/>
      <w:numFmt w:val="chineseCountingThousand"/>
      <w:suff w:val="space"/>
      <w:lvlText w:val="(%2)"/>
      <w:lvlJc w:val="left"/>
      <w:pPr>
        <w:ind w:left="0" w:firstLine="0"/>
      </w:pPr>
      <w:rPr>
        <w:rFonts w:hint="eastAsia"/>
      </w:rPr>
    </w:lvl>
    <w:lvl w:ilvl="2" w:tentative="0">
      <w:start w:val="1"/>
      <w:numFmt w:val="chineseCountingThousand"/>
      <w:suff w:val="space"/>
      <w:lvlText w:val="(%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05">
    <w:nsid w:val="7FBE7F0C"/>
    <w:multiLevelType w:val="multilevel"/>
    <w:tmpl w:val="7FBE7F0C"/>
    <w:lvl w:ilvl="0" w:tentative="0">
      <w:start w:val="1"/>
      <w:numFmt w:val="decimal"/>
      <w:lvlText w:val="(%1)."/>
      <w:lvlJc w:val="left"/>
      <w:pPr>
        <w:ind w:left="0" w:firstLine="0"/>
      </w:pPr>
      <w:rPr>
        <w:rFonts w:hint="default"/>
      </w:rPr>
    </w:lvl>
    <w:lvl w:ilvl="1" w:tentative="0">
      <w:start w:val="1"/>
      <w:numFmt w:val="chineseCountingThousand"/>
      <w:lvlText w:val="(%2)"/>
      <w:lvlJc w:val="left"/>
      <w:pPr>
        <w:ind w:left="0" w:firstLine="0"/>
      </w:pPr>
      <w:rPr>
        <w:rFonts w:hint="eastAsia"/>
      </w:rPr>
    </w:lvl>
    <w:lvl w:ilvl="2" w:tentative="0">
      <w:start w:val="1"/>
      <w:numFmt w:val="chineseCountingThousand"/>
      <w:lvlText w:val="(%3)"/>
      <w:lvlJc w:val="left"/>
      <w:pPr>
        <w:ind w:left="0" w:firstLine="0"/>
      </w:pPr>
      <w:rPr>
        <w:rFonts w:hint="eastAsia"/>
      </w:rPr>
    </w:lvl>
    <w:lvl w:ilvl="3" w:tentative="0">
      <w:start w:val="1"/>
      <w:numFmt w:val="decimal"/>
      <w:suff w:val="space"/>
      <w:lvlText w:val="(%4)"/>
      <w:lvlJc w:val="left"/>
      <w:pPr>
        <w:ind w:left="0" w:firstLine="0"/>
      </w:pPr>
      <w:rPr>
        <w:rFonts w:hint="eastAsia" w:ascii="宋体" w:hAnsi="宋体" w:eastAsia="宋体"/>
        <w:b/>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38"/>
  </w:num>
  <w:num w:numId="2">
    <w:abstractNumId w:val="66"/>
  </w:num>
  <w:num w:numId="3">
    <w:abstractNumId w:val="74"/>
  </w:num>
  <w:num w:numId="4">
    <w:abstractNumId w:val="104"/>
  </w:num>
  <w:num w:numId="5">
    <w:abstractNumId w:val="54"/>
  </w:num>
  <w:num w:numId="6">
    <w:abstractNumId w:val="39"/>
  </w:num>
  <w:num w:numId="7">
    <w:abstractNumId w:val="8"/>
  </w:num>
  <w:num w:numId="8">
    <w:abstractNumId w:val="90"/>
  </w:num>
  <w:num w:numId="9">
    <w:abstractNumId w:val="7"/>
  </w:num>
  <w:num w:numId="10">
    <w:abstractNumId w:val="6"/>
  </w:num>
  <w:num w:numId="11">
    <w:abstractNumId w:val="64"/>
  </w:num>
  <w:num w:numId="12">
    <w:abstractNumId w:val="71"/>
  </w:num>
  <w:num w:numId="13">
    <w:abstractNumId w:val="103"/>
  </w:num>
  <w:num w:numId="14">
    <w:abstractNumId w:val="34"/>
  </w:num>
  <w:num w:numId="15">
    <w:abstractNumId w:val="14"/>
  </w:num>
  <w:num w:numId="16">
    <w:abstractNumId w:val="65"/>
  </w:num>
  <w:num w:numId="17">
    <w:abstractNumId w:val="48"/>
  </w:num>
  <w:num w:numId="18">
    <w:abstractNumId w:val="5"/>
  </w:num>
  <w:num w:numId="19">
    <w:abstractNumId w:val="12"/>
  </w:num>
  <w:num w:numId="20">
    <w:abstractNumId w:val="17"/>
  </w:num>
  <w:num w:numId="21">
    <w:abstractNumId w:val="94"/>
  </w:num>
  <w:num w:numId="22">
    <w:abstractNumId w:val="102"/>
  </w:num>
  <w:num w:numId="23">
    <w:abstractNumId w:val="62"/>
  </w:num>
  <w:num w:numId="24">
    <w:abstractNumId w:val="35"/>
  </w:num>
  <w:num w:numId="25">
    <w:abstractNumId w:val="79"/>
  </w:num>
  <w:num w:numId="26">
    <w:abstractNumId w:val="87"/>
  </w:num>
  <w:num w:numId="27">
    <w:abstractNumId w:val="99"/>
  </w:num>
  <w:num w:numId="28">
    <w:abstractNumId w:val="2"/>
  </w:num>
  <w:num w:numId="29">
    <w:abstractNumId w:val="0"/>
  </w:num>
  <w:num w:numId="30">
    <w:abstractNumId w:val="43"/>
  </w:num>
  <w:num w:numId="31">
    <w:abstractNumId w:val="30"/>
  </w:num>
  <w:num w:numId="32">
    <w:abstractNumId w:val="28"/>
  </w:num>
  <w:num w:numId="33">
    <w:abstractNumId w:val="47"/>
  </w:num>
  <w:num w:numId="34">
    <w:abstractNumId w:val="83"/>
  </w:num>
  <w:num w:numId="35">
    <w:abstractNumId w:val="19"/>
  </w:num>
  <w:num w:numId="36">
    <w:abstractNumId w:val="11"/>
  </w:num>
  <w:num w:numId="37">
    <w:abstractNumId w:val="44"/>
  </w:num>
  <w:num w:numId="38">
    <w:abstractNumId w:val="81"/>
  </w:num>
  <w:num w:numId="39">
    <w:abstractNumId w:val="27"/>
  </w:num>
  <w:num w:numId="40">
    <w:abstractNumId w:val="51"/>
  </w:num>
  <w:num w:numId="41">
    <w:abstractNumId w:val="40"/>
  </w:num>
  <w:num w:numId="42">
    <w:abstractNumId w:val="46"/>
  </w:num>
  <w:num w:numId="43">
    <w:abstractNumId w:val="67"/>
  </w:num>
  <w:num w:numId="44">
    <w:abstractNumId w:val="25"/>
  </w:num>
  <w:num w:numId="45">
    <w:abstractNumId w:val="33"/>
  </w:num>
  <w:num w:numId="46">
    <w:abstractNumId w:val="18"/>
  </w:num>
  <w:num w:numId="47">
    <w:abstractNumId w:val="16"/>
  </w:num>
  <w:num w:numId="48">
    <w:abstractNumId w:val="13"/>
  </w:num>
  <w:num w:numId="49">
    <w:abstractNumId w:val="50"/>
  </w:num>
  <w:num w:numId="50">
    <w:abstractNumId w:val="61"/>
  </w:num>
  <w:num w:numId="51">
    <w:abstractNumId w:val="49"/>
  </w:num>
  <w:num w:numId="52">
    <w:abstractNumId w:val="85"/>
  </w:num>
  <w:num w:numId="53">
    <w:abstractNumId w:val="95"/>
  </w:num>
  <w:num w:numId="54">
    <w:abstractNumId w:val="80"/>
  </w:num>
  <w:num w:numId="55">
    <w:abstractNumId w:val="59"/>
  </w:num>
  <w:num w:numId="56">
    <w:abstractNumId w:val="93"/>
  </w:num>
  <w:num w:numId="57">
    <w:abstractNumId w:val="82"/>
  </w:num>
  <w:num w:numId="58">
    <w:abstractNumId w:val="98"/>
  </w:num>
  <w:num w:numId="59">
    <w:abstractNumId w:val="45"/>
  </w:num>
  <w:num w:numId="60">
    <w:abstractNumId w:val="31"/>
  </w:num>
  <w:num w:numId="61">
    <w:abstractNumId w:val="101"/>
  </w:num>
  <w:num w:numId="62">
    <w:abstractNumId w:val="60"/>
  </w:num>
  <w:num w:numId="63">
    <w:abstractNumId w:val="96"/>
  </w:num>
  <w:num w:numId="64">
    <w:abstractNumId w:val="1"/>
  </w:num>
  <w:num w:numId="65">
    <w:abstractNumId w:val="84"/>
  </w:num>
  <w:num w:numId="66">
    <w:abstractNumId w:val="9"/>
  </w:num>
  <w:num w:numId="67">
    <w:abstractNumId w:val="91"/>
  </w:num>
  <w:num w:numId="68">
    <w:abstractNumId w:val="53"/>
  </w:num>
  <w:num w:numId="69">
    <w:abstractNumId w:val="20"/>
  </w:num>
  <w:num w:numId="70">
    <w:abstractNumId w:val="21"/>
  </w:num>
  <w:num w:numId="71">
    <w:abstractNumId w:val="89"/>
  </w:num>
  <w:num w:numId="72">
    <w:abstractNumId w:val="36"/>
  </w:num>
  <w:num w:numId="73">
    <w:abstractNumId w:val="97"/>
  </w:num>
  <w:num w:numId="74">
    <w:abstractNumId w:val="76"/>
  </w:num>
  <w:num w:numId="75">
    <w:abstractNumId w:val="15"/>
  </w:num>
  <w:num w:numId="76">
    <w:abstractNumId w:val="68"/>
  </w:num>
  <w:num w:numId="77">
    <w:abstractNumId w:val="72"/>
  </w:num>
  <w:num w:numId="78">
    <w:abstractNumId w:val="4"/>
  </w:num>
  <w:num w:numId="79">
    <w:abstractNumId w:val="70"/>
  </w:num>
  <w:num w:numId="80">
    <w:abstractNumId w:val="57"/>
  </w:num>
  <w:num w:numId="81">
    <w:abstractNumId w:val="75"/>
  </w:num>
  <w:num w:numId="82">
    <w:abstractNumId w:val="10"/>
  </w:num>
  <w:num w:numId="83">
    <w:abstractNumId w:val="105"/>
  </w:num>
  <w:num w:numId="84">
    <w:abstractNumId w:val="26"/>
  </w:num>
  <w:num w:numId="85">
    <w:abstractNumId w:val="86"/>
  </w:num>
  <w:num w:numId="86">
    <w:abstractNumId w:val="22"/>
  </w:num>
  <w:num w:numId="87">
    <w:abstractNumId w:val="73"/>
  </w:num>
  <w:num w:numId="88">
    <w:abstractNumId w:val="24"/>
  </w:num>
  <w:num w:numId="89">
    <w:abstractNumId w:val="42"/>
  </w:num>
  <w:num w:numId="90">
    <w:abstractNumId w:val="77"/>
  </w:num>
  <w:num w:numId="91">
    <w:abstractNumId w:val="41"/>
  </w:num>
  <w:num w:numId="92">
    <w:abstractNumId w:val="63"/>
  </w:num>
  <w:num w:numId="93">
    <w:abstractNumId w:val="100"/>
  </w:num>
  <w:num w:numId="94">
    <w:abstractNumId w:val="58"/>
  </w:num>
  <w:num w:numId="95">
    <w:abstractNumId w:val="3"/>
  </w:num>
  <w:num w:numId="96">
    <w:abstractNumId w:val="32"/>
  </w:num>
  <w:num w:numId="97">
    <w:abstractNumId w:val="23"/>
  </w:num>
  <w:num w:numId="98">
    <w:abstractNumId w:val="69"/>
  </w:num>
  <w:num w:numId="99">
    <w:abstractNumId w:val="52"/>
  </w:num>
  <w:num w:numId="100">
    <w:abstractNumId w:val="78"/>
  </w:num>
  <w:num w:numId="101">
    <w:abstractNumId w:val="29"/>
  </w:num>
  <w:num w:numId="102">
    <w:abstractNumId w:val="92"/>
  </w:num>
  <w:num w:numId="103">
    <w:abstractNumId w:val="37"/>
  </w:num>
  <w:num w:numId="104">
    <w:abstractNumId w:val="55"/>
  </w:num>
  <w:num w:numId="105">
    <w:abstractNumId w:val="88"/>
  </w:num>
  <w:num w:numId="106">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attachedTemplate r:id="rId1"/>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hangeTableHeadingFormat" w:val="true"/>
    <w:docVar w:name="commondata" w:val="eyJoZGlkIjoiMzcyODMxYTE0ZTc0ZGU3Y2QwODc3MzYzN2Q1YmNiM2EifQ=="/>
    <w:docVar w:name="Disclosure_Version" w:val="true"/>
    <w:docVar w:name="fix_control_content_version" w:val="1.0"/>
    <w:docVar w:name="MergeCount" w:val="1"/>
    <w:docVar w:name="RemovedBindingXPath" w:val="true"/>
    <w:docVar w:name="RemoveRepeatedWord" w:val="true"/>
  </w:docVars>
  <w:rsids>
    <w:rsidRoot w:val="009223AD"/>
    <w:rsid w:val="00000210"/>
    <w:rsid w:val="00000559"/>
    <w:rsid w:val="00002AA9"/>
    <w:rsid w:val="00003B74"/>
    <w:rsid w:val="00004BD5"/>
    <w:rsid w:val="000061E7"/>
    <w:rsid w:val="00006744"/>
    <w:rsid w:val="000079F2"/>
    <w:rsid w:val="000109CB"/>
    <w:rsid w:val="000118F9"/>
    <w:rsid w:val="00011AC6"/>
    <w:rsid w:val="00012C9F"/>
    <w:rsid w:val="000163DB"/>
    <w:rsid w:val="0002012D"/>
    <w:rsid w:val="00020950"/>
    <w:rsid w:val="00020DEE"/>
    <w:rsid w:val="000218E9"/>
    <w:rsid w:val="000244A7"/>
    <w:rsid w:val="0002463A"/>
    <w:rsid w:val="0002704F"/>
    <w:rsid w:val="000317F7"/>
    <w:rsid w:val="0003413F"/>
    <w:rsid w:val="00035A1B"/>
    <w:rsid w:val="00036213"/>
    <w:rsid w:val="00037614"/>
    <w:rsid w:val="000409C0"/>
    <w:rsid w:val="000415BD"/>
    <w:rsid w:val="00041DD8"/>
    <w:rsid w:val="0004212C"/>
    <w:rsid w:val="00042FF4"/>
    <w:rsid w:val="00050569"/>
    <w:rsid w:val="000517FF"/>
    <w:rsid w:val="00051F99"/>
    <w:rsid w:val="00052190"/>
    <w:rsid w:val="0005240A"/>
    <w:rsid w:val="00052705"/>
    <w:rsid w:val="00052DAC"/>
    <w:rsid w:val="00055FAC"/>
    <w:rsid w:val="00056019"/>
    <w:rsid w:val="00056106"/>
    <w:rsid w:val="000576DA"/>
    <w:rsid w:val="00060F76"/>
    <w:rsid w:val="000629C7"/>
    <w:rsid w:val="00063607"/>
    <w:rsid w:val="00065B19"/>
    <w:rsid w:val="00066BFA"/>
    <w:rsid w:val="00066D19"/>
    <w:rsid w:val="00067EA2"/>
    <w:rsid w:val="00070841"/>
    <w:rsid w:val="00071D1D"/>
    <w:rsid w:val="00072943"/>
    <w:rsid w:val="0007357F"/>
    <w:rsid w:val="00074035"/>
    <w:rsid w:val="00075ADD"/>
    <w:rsid w:val="00075B85"/>
    <w:rsid w:val="00076191"/>
    <w:rsid w:val="000762E2"/>
    <w:rsid w:val="00076748"/>
    <w:rsid w:val="0007783C"/>
    <w:rsid w:val="0007783F"/>
    <w:rsid w:val="00080210"/>
    <w:rsid w:val="00080D02"/>
    <w:rsid w:val="00085A73"/>
    <w:rsid w:val="000868D5"/>
    <w:rsid w:val="000871E5"/>
    <w:rsid w:val="00091074"/>
    <w:rsid w:val="0009211C"/>
    <w:rsid w:val="000923AA"/>
    <w:rsid w:val="00093312"/>
    <w:rsid w:val="00094805"/>
    <w:rsid w:val="000963B9"/>
    <w:rsid w:val="00096C5D"/>
    <w:rsid w:val="000A10B9"/>
    <w:rsid w:val="000A772C"/>
    <w:rsid w:val="000B0D43"/>
    <w:rsid w:val="000B2A5E"/>
    <w:rsid w:val="000B2C13"/>
    <w:rsid w:val="000B2D48"/>
    <w:rsid w:val="000B3DF0"/>
    <w:rsid w:val="000B58F9"/>
    <w:rsid w:val="000B6174"/>
    <w:rsid w:val="000B6A98"/>
    <w:rsid w:val="000B6BD6"/>
    <w:rsid w:val="000B7AF6"/>
    <w:rsid w:val="000C083A"/>
    <w:rsid w:val="000C153D"/>
    <w:rsid w:val="000C434F"/>
    <w:rsid w:val="000C6105"/>
    <w:rsid w:val="000C7DE9"/>
    <w:rsid w:val="000C7F31"/>
    <w:rsid w:val="000D0E67"/>
    <w:rsid w:val="000D2B54"/>
    <w:rsid w:val="000D36D3"/>
    <w:rsid w:val="000D3763"/>
    <w:rsid w:val="000D4E19"/>
    <w:rsid w:val="000D5E40"/>
    <w:rsid w:val="000D6DB7"/>
    <w:rsid w:val="000D7705"/>
    <w:rsid w:val="000D7F2B"/>
    <w:rsid w:val="000E1D4B"/>
    <w:rsid w:val="000E4041"/>
    <w:rsid w:val="000E4351"/>
    <w:rsid w:val="000E4F12"/>
    <w:rsid w:val="000E53A7"/>
    <w:rsid w:val="000F0CD6"/>
    <w:rsid w:val="000F5170"/>
    <w:rsid w:val="000F52BB"/>
    <w:rsid w:val="000F5B1A"/>
    <w:rsid w:val="000F70B5"/>
    <w:rsid w:val="000F7F87"/>
    <w:rsid w:val="00101A30"/>
    <w:rsid w:val="00103248"/>
    <w:rsid w:val="001052A5"/>
    <w:rsid w:val="0010590B"/>
    <w:rsid w:val="00110271"/>
    <w:rsid w:val="001104FD"/>
    <w:rsid w:val="00112D41"/>
    <w:rsid w:val="001146F7"/>
    <w:rsid w:val="00114B72"/>
    <w:rsid w:val="001154D4"/>
    <w:rsid w:val="00120CFA"/>
    <w:rsid w:val="00123445"/>
    <w:rsid w:val="00123C8E"/>
    <w:rsid w:val="00123E34"/>
    <w:rsid w:val="00123FB2"/>
    <w:rsid w:val="001248C8"/>
    <w:rsid w:val="001252DE"/>
    <w:rsid w:val="00126B9B"/>
    <w:rsid w:val="00126F35"/>
    <w:rsid w:val="0013103D"/>
    <w:rsid w:val="00131471"/>
    <w:rsid w:val="00131D60"/>
    <w:rsid w:val="00132038"/>
    <w:rsid w:val="00132CAF"/>
    <w:rsid w:val="001346D9"/>
    <w:rsid w:val="00135F76"/>
    <w:rsid w:val="00137074"/>
    <w:rsid w:val="001417A2"/>
    <w:rsid w:val="00142B96"/>
    <w:rsid w:val="00144425"/>
    <w:rsid w:val="00144547"/>
    <w:rsid w:val="0014501E"/>
    <w:rsid w:val="00146192"/>
    <w:rsid w:val="0015069A"/>
    <w:rsid w:val="00151FFA"/>
    <w:rsid w:val="00152624"/>
    <w:rsid w:val="001545F2"/>
    <w:rsid w:val="001558F4"/>
    <w:rsid w:val="001629E2"/>
    <w:rsid w:val="00163C36"/>
    <w:rsid w:val="00165BAA"/>
    <w:rsid w:val="00165C51"/>
    <w:rsid w:val="001672D9"/>
    <w:rsid w:val="001678B8"/>
    <w:rsid w:val="00167D66"/>
    <w:rsid w:val="0017121B"/>
    <w:rsid w:val="00173B3C"/>
    <w:rsid w:val="0017426A"/>
    <w:rsid w:val="00174613"/>
    <w:rsid w:val="001757A7"/>
    <w:rsid w:val="00176794"/>
    <w:rsid w:val="00176E56"/>
    <w:rsid w:val="00177687"/>
    <w:rsid w:val="00181EF6"/>
    <w:rsid w:val="00185A8A"/>
    <w:rsid w:val="001863B6"/>
    <w:rsid w:val="00186495"/>
    <w:rsid w:val="0018674A"/>
    <w:rsid w:val="00187F9E"/>
    <w:rsid w:val="00190669"/>
    <w:rsid w:val="00190B2F"/>
    <w:rsid w:val="00192CE4"/>
    <w:rsid w:val="00193273"/>
    <w:rsid w:val="00194504"/>
    <w:rsid w:val="00194625"/>
    <w:rsid w:val="001957AA"/>
    <w:rsid w:val="00197AB0"/>
    <w:rsid w:val="001A2A81"/>
    <w:rsid w:val="001A3147"/>
    <w:rsid w:val="001A4916"/>
    <w:rsid w:val="001A56AF"/>
    <w:rsid w:val="001B1CC5"/>
    <w:rsid w:val="001B2A84"/>
    <w:rsid w:val="001B2B43"/>
    <w:rsid w:val="001B2BDC"/>
    <w:rsid w:val="001B4A88"/>
    <w:rsid w:val="001B5767"/>
    <w:rsid w:val="001C1B9D"/>
    <w:rsid w:val="001C36C3"/>
    <w:rsid w:val="001C5BAC"/>
    <w:rsid w:val="001C78B4"/>
    <w:rsid w:val="001E07D9"/>
    <w:rsid w:val="001E1B31"/>
    <w:rsid w:val="001E3EA7"/>
    <w:rsid w:val="001E4AC8"/>
    <w:rsid w:val="001E622B"/>
    <w:rsid w:val="001F10B6"/>
    <w:rsid w:val="001F2377"/>
    <w:rsid w:val="001F2AF5"/>
    <w:rsid w:val="001F3145"/>
    <w:rsid w:val="001F6762"/>
    <w:rsid w:val="00200692"/>
    <w:rsid w:val="0020126A"/>
    <w:rsid w:val="002040CB"/>
    <w:rsid w:val="002064A4"/>
    <w:rsid w:val="002069F8"/>
    <w:rsid w:val="00206FE1"/>
    <w:rsid w:val="00210031"/>
    <w:rsid w:val="00210CA5"/>
    <w:rsid w:val="00213154"/>
    <w:rsid w:val="00213BB3"/>
    <w:rsid w:val="00213D29"/>
    <w:rsid w:val="0021483A"/>
    <w:rsid w:val="002157AB"/>
    <w:rsid w:val="00216EB7"/>
    <w:rsid w:val="002211E2"/>
    <w:rsid w:val="00222219"/>
    <w:rsid w:val="00230A6A"/>
    <w:rsid w:val="00231400"/>
    <w:rsid w:val="00231783"/>
    <w:rsid w:val="00231852"/>
    <w:rsid w:val="00231990"/>
    <w:rsid w:val="002338FC"/>
    <w:rsid w:val="00234BCF"/>
    <w:rsid w:val="00234F07"/>
    <w:rsid w:val="002363AD"/>
    <w:rsid w:val="002367FB"/>
    <w:rsid w:val="00243327"/>
    <w:rsid w:val="002433AA"/>
    <w:rsid w:val="00244A38"/>
    <w:rsid w:val="00245C6C"/>
    <w:rsid w:val="00250E95"/>
    <w:rsid w:val="00250FFA"/>
    <w:rsid w:val="00252110"/>
    <w:rsid w:val="00260328"/>
    <w:rsid w:val="0026458A"/>
    <w:rsid w:val="00265A3A"/>
    <w:rsid w:val="00271690"/>
    <w:rsid w:val="00272594"/>
    <w:rsid w:val="00272CC7"/>
    <w:rsid w:val="002739CD"/>
    <w:rsid w:val="00273E71"/>
    <w:rsid w:val="002758EB"/>
    <w:rsid w:val="002774F5"/>
    <w:rsid w:val="002821C3"/>
    <w:rsid w:val="0028720D"/>
    <w:rsid w:val="00294C1B"/>
    <w:rsid w:val="00294C24"/>
    <w:rsid w:val="00295042"/>
    <w:rsid w:val="00296956"/>
    <w:rsid w:val="002A30FC"/>
    <w:rsid w:val="002A51A6"/>
    <w:rsid w:val="002A5C2C"/>
    <w:rsid w:val="002A60B2"/>
    <w:rsid w:val="002A70EB"/>
    <w:rsid w:val="002A7A73"/>
    <w:rsid w:val="002B0314"/>
    <w:rsid w:val="002B0BD1"/>
    <w:rsid w:val="002B113C"/>
    <w:rsid w:val="002B2B95"/>
    <w:rsid w:val="002B2D7D"/>
    <w:rsid w:val="002C1CEB"/>
    <w:rsid w:val="002C2EE7"/>
    <w:rsid w:val="002C35B7"/>
    <w:rsid w:val="002C558F"/>
    <w:rsid w:val="002D16DF"/>
    <w:rsid w:val="002D3069"/>
    <w:rsid w:val="002D3901"/>
    <w:rsid w:val="002D504B"/>
    <w:rsid w:val="002D6A44"/>
    <w:rsid w:val="002E048F"/>
    <w:rsid w:val="002E05D7"/>
    <w:rsid w:val="002E05F4"/>
    <w:rsid w:val="002E1498"/>
    <w:rsid w:val="002E6C3C"/>
    <w:rsid w:val="002E6EB8"/>
    <w:rsid w:val="002E7205"/>
    <w:rsid w:val="002E7E95"/>
    <w:rsid w:val="002F0A73"/>
    <w:rsid w:val="002F311F"/>
    <w:rsid w:val="002F5601"/>
    <w:rsid w:val="002F564F"/>
    <w:rsid w:val="002F5CDD"/>
    <w:rsid w:val="0030026C"/>
    <w:rsid w:val="00300531"/>
    <w:rsid w:val="003009BC"/>
    <w:rsid w:val="0030159A"/>
    <w:rsid w:val="00303236"/>
    <w:rsid w:val="00304A8D"/>
    <w:rsid w:val="00305784"/>
    <w:rsid w:val="00307543"/>
    <w:rsid w:val="0031223B"/>
    <w:rsid w:val="00315D67"/>
    <w:rsid w:val="00317025"/>
    <w:rsid w:val="003206B0"/>
    <w:rsid w:val="00325769"/>
    <w:rsid w:val="00325A69"/>
    <w:rsid w:val="003314BC"/>
    <w:rsid w:val="00331A16"/>
    <w:rsid w:val="00332A50"/>
    <w:rsid w:val="00335B83"/>
    <w:rsid w:val="00336F0E"/>
    <w:rsid w:val="003426AE"/>
    <w:rsid w:val="00346040"/>
    <w:rsid w:val="00350FC3"/>
    <w:rsid w:val="00351532"/>
    <w:rsid w:val="003526A9"/>
    <w:rsid w:val="00352A36"/>
    <w:rsid w:val="0035342E"/>
    <w:rsid w:val="00353F46"/>
    <w:rsid w:val="00355682"/>
    <w:rsid w:val="00355F4B"/>
    <w:rsid w:val="003566AB"/>
    <w:rsid w:val="003567D6"/>
    <w:rsid w:val="00356E64"/>
    <w:rsid w:val="0036007A"/>
    <w:rsid w:val="0036281F"/>
    <w:rsid w:val="003629C9"/>
    <w:rsid w:val="00363608"/>
    <w:rsid w:val="00364690"/>
    <w:rsid w:val="0036684D"/>
    <w:rsid w:val="00367043"/>
    <w:rsid w:val="003727DA"/>
    <w:rsid w:val="00375411"/>
    <w:rsid w:val="00376D31"/>
    <w:rsid w:val="00377646"/>
    <w:rsid w:val="00381C46"/>
    <w:rsid w:val="00382D0D"/>
    <w:rsid w:val="0038302F"/>
    <w:rsid w:val="0038788F"/>
    <w:rsid w:val="00390452"/>
    <w:rsid w:val="003907D5"/>
    <w:rsid w:val="0039158A"/>
    <w:rsid w:val="0039165D"/>
    <w:rsid w:val="00391B96"/>
    <w:rsid w:val="00393AC4"/>
    <w:rsid w:val="00396B3E"/>
    <w:rsid w:val="003A0F8A"/>
    <w:rsid w:val="003A2A7D"/>
    <w:rsid w:val="003A3898"/>
    <w:rsid w:val="003A4308"/>
    <w:rsid w:val="003A4F23"/>
    <w:rsid w:val="003A5A56"/>
    <w:rsid w:val="003A7AC8"/>
    <w:rsid w:val="003B04BC"/>
    <w:rsid w:val="003B2AC2"/>
    <w:rsid w:val="003B360C"/>
    <w:rsid w:val="003B67A8"/>
    <w:rsid w:val="003B6D56"/>
    <w:rsid w:val="003B7565"/>
    <w:rsid w:val="003C056E"/>
    <w:rsid w:val="003C150A"/>
    <w:rsid w:val="003C4365"/>
    <w:rsid w:val="003C4543"/>
    <w:rsid w:val="003C6F7A"/>
    <w:rsid w:val="003C70F6"/>
    <w:rsid w:val="003D224D"/>
    <w:rsid w:val="003D2C94"/>
    <w:rsid w:val="003D6A05"/>
    <w:rsid w:val="003E1594"/>
    <w:rsid w:val="003E3000"/>
    <w:rsid w:val="003E3A76"/>
    <w:rsid w:val="003E3CFF"/>
    <w:rsid w:val="003E4167"/>
    <w:rsid w:val="003E57BB"/>
    <w:rsid w:val="003E5C21"/>
    <w:rsid w:val="003F0672"/>
    <w:rsid w:val="003F0FF8"/>
    <w:rsid w:val="003F226F"/>
    <w:rsid w:val="003F4D24"/>
    <w:rsid w:val="003F597A"/>
    <w:rsid w:val="00401A35"/>
    <w:rsid w:val="00401CC5"/>
    <w:rsid w:val="00402447"/>
    <w:rsid w:val="0040433C"/>
    <w:rsid w:val="00404F63"/>
    <w:rsid w:val="0040710A"/>
    <w:rsid w:val="004117A8"/>
    <w:rsid w:val="004127B4"/>
    <w:rsid w:val="004139CE"/>
    <w:rsid w:val="00413F8D"/>
    <w:rsid w:val="004141A2"/>
    <w:rsid w:val="00415C73"/>
    <w:rsid w:val="00416452"/>
    <w:rsid w:val="00417F73"/>
    <w:rsid w:val="00421FDD"/>
    <w:rsid w:val="00423A2D"/>
    <w:rsid w:val="004243EF"/>
    <w:rsid w:val="004251DF"/>
    <w:rsid w:val="00430AB2"/>
    <w:rsid w:val="00432B82"/>
    <w:rsid w:val="0043376C"/>
    <w:rsid w:val="00433BDB"/>
    <w:rsid w:val="00436260"/>
    <w:rsid w:val="00436EAE"/>
    <w:rsid w:val="004370B3"/>
    <w:rsid w:val="004418DA"/>
    <w:rsid w:val="00443BB1"/>
    <w:rsid w:val="0044408F"/>
    <w:rsid w:val="00451FEF"/>
    <w:rsid w:val="00454568"/>
    <w:rsid w:val="00454FB3"/>
    <w:rsid w:val="004564AB"/>
    <w:rsid w:val="00457D41"/>
    <w:rsid w:val="00460661"/>
    <w:rsid w:val="004617C9"/>
    <w:rsid w:val="00465169"/>
    <w:rsid w:val="0046656D"/>
    <w:rsid w:val="004673FE"/>
    <w:rsid w:val="00470B99"/>
    <w:rsid w:val="0047535D"/>
    <w:rsid w:val="00475855"/>
    <w:rsid w:val="00476BD0"/>
    <w:rsid w:val="0048036D"/>
    <w:rsid w:val="004809A3"/>
    <w:rsid w:val="00481DED"/>
    <w:rsid w:val="004865CC"/>
    <w:rsid w:val="004865CD"/>
    <w:rsid w:val="0048716D"/>
    <w:rsid w:val="00490FD9"/>
    <w:rsid w:val="004922B1"/>
    <w:rsid w:val="00492523"/>
    <w:rsid w:val="00494DFA"/>
    <w:rsid w:val="004974D4"/>
    <w:rsid w:val="004A40E2"/>
    <w:rsid w:val="004A7DD3"/>
    <w:rsid w:val="004B00A0"/>
    <w:rsid w:val="004B02EE"/>
    <w:rsid w:val="004B0EF8"/>
    <w:rsid w:val="004B465F"/>
    <w:rsid w:val="004B5C4C"/>
    <w:rsid w:val="004B70B2"/>
    <w:rsid w:val="004C150C"/>
    <w:rsid w:val="004C1C86"/>
    <w:rsid w:val="004C3D5E"/>
    <w:rsid w:val="004C5FAB"/>
    <w:rsid w:val="004C6514"/>
    <w:rsid w:val="004C707D"/>
    <w:rsid w:val="004D0092"/>
    <w:rsid w:val="004D4FC2"/>
    <w:rsid w:val="004D54EE"/>
    <w:rsid w:val="004D5605"/>
    <w:rsid w:val="004E03F6"/>
    <w:rsid w:val="004E1F4F"/>
    <w:rsid w:val="004E5F57"/>
    <w:rsid w:val="004E6683"/>
    <w:rsid w:val="004E69EE"/>
    <w:rsid w:val="004F0A92"/>
    <w:rsid w:val="004F131A"/>
    <w:rsid w:val="004F46DA"/>
    <w:rsid w:val="004F5046"/>
    <w:rsid w:val="004F5F63"/>
    <w:rsid w:val="005032AF"/>
    <w:rsid w:val="005035FE"/>
    <w:rsid w:val="00505F24"/>
    <w:rsid w:val="00510687"/>
    <w:rsid w:val="00511CC0"/>
    <w:rsid w:val="00512B44"/>
    <w:rsid w:val="005144CB"/>
    <w:rsid w:val="00516820"/>
    <w:rsid w:val="00521296"/>
    <w:rsid w:val="00522ECE"/>
    <w:rsid w:val="00525CEA"/>
    <w:rsid w:val="00527052"/>
    <w:rsid w:val="00530AAA"/>
    <w:rsid w:val="00531F48"/>
    <w:rsid w:val="005322C6"/>
    <w:rsid w:val="00532DF1"/>
    <w:rsid w:val="0053497E"/>
    <w:rsid w:val="005352FC"/>
    <w:rsid w:val="00536A4B"/>
    <w:rsid w:val="00541CC9"/>
    <w:rsid w:val="00542B92"/>
    <w:rsid w:val="00543059"/>
    <w:rsid w:val="00546051"/>
    <w:rsid w:val="00546067"/>
    <w:rsid w:val="00547AEB"/>
    <w:rsid w:val="00550167"/>
    <w:rsid w:val="00554252"/>
    <w:rsid w:val="00554A07"/>
    <w:rsid w:val="005572FD"/>
    <w:rsid w:val="00561B90"/>
    <w:rsid w:val="0056380E"/>
    <w:rsid w:val="00565612"/>
    <w:rsid w:val="00566D0D"/>
    <w:rsid w:val="00566E67"/>
    <w:rsid w:val="00567F3B"/>
    <w:rsid w:val="0057040B"/>
    <w:rsid w:val="005704F0"/>
    <w:rsid w:val="00573458"/>
    <w:rsid w:val="00576240"/>
    <w:rsid w:val="005805E4"/>
    <w:rsid w:val="0058209D"/>
    <w:rsid w:val="00583787"/>
    <w:rsid w:val="0058751D"/>
    <w:rsid w:val="0059020B"/>
    <w:rsid w:val="005906BB"/>
    <w:rsid w:val="0059285B"/>
    <w:rsid w:val="00594D35"/>
    <w:rsid w:val="0059589B"/>
    <w:rsid w:val="005969D8"/>
    <w:rsid w:val="005A1FE1"/>
    <w:rsid w:val="005A27F7"/>
    <w:rsid w:val="005A2958"/>
    <w:rsid w:val="005A2F64"/>
    <w:rsid w:val="005B4C87"/>
    <w:rsid w:val="005B718F"/>
    <w:rsid w:val="005C2875"/>
    <w:rsid w:val="005C3A37"/>
    <w:rsid w:val="005C4B6F"/>
    <w:rsid w:val="005C57FF"/>
    <w:rsid w:val="005C61EF"/>
    <w:rsid w:val="005C61F6"/>
    <w:rsid w:val="005C778A"/>
    <w:rsid w:val="005C7FDE"/>
    <w:rsid w:val="005D0C08"/>
    <w:rsid w:val="005D10AE"/>
    <w:rsid w:val="005D1307"/>
    <w:rsid w:val="005D21F6"/>
    <w:rsid w:val="005D41DF"/>
    <w:rsid w:val="005D4977"/>
    <w:rsid w:val="005D5B58"/>
    <w:rsid w:val="005E0824"/>
    <w:rsid w:val="005E0B10"/>
    <w:rsid w:val="005E0DC1"/>
    <w:rsid w:val="005E10E8"/>
    <w:rsid w:val="005E3B67"/>
    <w:rsid w:val="005E5ED3"/>
    <w:rsid w:val="005E66A6"/>
    <w:rsid w:val="005F2BFD"/>
    <w:rsid w:val="005F5346"/>
    <w:rsid w:val="005F5464"/>
    <w:rsid w:val="005F6659"/>
    <w:rsid w:val="0060044D"/>
    <w:rsid w:val="00601877"/>
    <w:rsid w:val="00602869"/>
    <w:rsid w:val="00603668"/>
    <w:rsid w:val="00603A82"/>
    <w:rsid w:val="00605E0A"/>
    <w:rsid w:val="00611406"/>
    <w:rsid w:val="0061205F"/>
    <w:rsid w:val="00613A8C"/>
    <w:rsid w:val="00616C81"/>
    <w:rsid w:val="0061731C"/>
    <w:rsid w:val="0062323D"/>
    <w:rsid w:val="00630F59"/>
    <w:rsid w:val="00631BFF"/>
    <w:rsid w:val="006352EB"/>
    <w:rsid w:val="006365D5"/>
    <w:rsid w:val="0064071D"/>
    <w:rsid w:val="006454E5"/>
    <w:rsid w:val="00645CE6"/>
    <w:rsid w:val="006501D0"/>
    <w:rsid w:val="00652196"/>
    <w:rsid w:val="0065485C"/>
    <w:rsid w:val="00655B92"/>
    <w:rsid w:val="00657829"/>
    <w:rsid w:val="0066223B"/>
    <w:rsid w:val="0066526B"/>
    <w:rsid w:val="00665C55"/>
    <w:rsid w:val="0066693A"/>
    <w:rsid w:val="006674EE"/>
    <w:rsid w:val="00672EBE"/>
    <w:rsid w:val="006733AA"/>
    <w:rsid w:val="006737AC"/>
    <w:rsid w:val="006747A6"/>
    <w:rsid w:val="00675DEE"/>
    <w:rsid w:val="00677554"/>
    <w:rsid w:val="0068064F"/>
    <w:rsid w:val="00681304"/>
    <w:rsid w:val="00681D18"/>
    <w:rsid w:val="00685F42"/>
    <w:rsid w:val="006862F9"/>
    <w:rsid w:val="00687E25"/>
    <w:rsid w:val="00692C96"/>
    <w:rsid w:val="00693251"/>
    <w:rsid w:val="00693B1C"/>
    <w:rsid w:val="00693E28"/>
    <w:rsid w:val="0069454E"/>
    <w:rsid w:val="00694790"/>
    <w:rsid w:val="00694FC2"/>
    <w:rsid w:val="0069568E"/>
    <w:rsid w:val="00695FB6"/>
    <w:rsid w:val="006A0855"/>
    <w:rsid w:val="006A4F26"/>
    <w:rsid w:val="006B0428"/>
    <w:rsid w:val="006B0873"/>
    <w:rsid w:val="006B0999"/>
    <w:rsid w:val="006B1018"/>
    <w:rsid w:val="006B2ECE"/>
    <w:rsid w:val="006B3721"/>
    <w:rsid w:val="006B5BF3"/>
    <w:rsid w:val="006C036C"/>
    <w:rsid w:val="006C153B"/>
    <w:rsid w:val="006C4CE7"/>
    <w:rsid w:val="006C561B"/>
    <w:rsid w:val="006C6817"/>
    <w:rsid w:val="006C7EC1"/>
    <w:rsid w:val="006D3104"/>
    <w:rsid w:val="006D3814"/>
    <w:rsid w:val="006D489A"/>
    <w:rsid w:val="006D5132"/>
    <w:rsid w:val="006D6C02"/>
    <w:rsid w:val="006E0CAD"/>
    <w:rsid w:val="006E1AC9"/>
    <w:rsid w:val="006E1EFC"/>
    <w:rsid w:val="006E26A0"/>
    <w:rsid w:val="006E283A"/>
    <w:rsid w:val="006E53FA"/>
    <w:rsid w:val="006E579D"/>
    <w:rsid w:val="006E6DFD"/>
    <w:rsid w:val="006E738F"/>
    <w:rsid w:val="006F0A15"/>
    <w:rsid w:val="006F1992"/>
    <w:rsid w:val="006F1CB3"/>
    <w:rsid w:val="006F3CAC"/>
    <w:rsid w:val="006F486F"/>
    <w:rsid w:val="006F5387"/>
    <w:rsid w:val="006F596A"/>
    <w:rsid w:val="006F600A"/>
    <w:rsid w:val="00700F1B"/>
    <w:rsid w:val="00703EBA"/>
    <w:rsid w:val="007100EB"/>
    <w:rsid w:val="0071355D"/>
    <w:rsid w:val="0071375B"/>
    <w:rsid w:val="00715BD2"/>
    <w:rsid w:val="00715EC7"/>
    <w:rsid w:val="0071678A"/>
    <w:rsid w:val="00717208"/>
    <w:rsid w:val="007249F1"/>
    <w:rsid w:val="00724D99"/>
    <w:rsid w:val="00724E6F"/>
    <w:rsid w:val="00725E92"/>
    <w:rsid w:val="00727329"/>
    <w:rsid w:val="007308E6"/>
    <w:rsid w:val="00731A66"/>
    <w:rsid w:val="00734081"/>
    <w:rsid w:val="007366E7"/>
    <w:rsid w:val="00737BF2"/>
    <w:rsid w:val="00741BA6"/>
    <w:rsid w:val="00742123"/>
    <w:rsid w:val="00742708"/>
    <w:rsid w:val="007428FD"/>
    <w:rsid w:val="007451CB"/>
    <w:rsid w:val="00745A21"/>
    <w:rsid w:val="0074615C"/>
    <w:rsid w:val="007502D6"/>
    <w:rsid w:val="007504EA"/>
    <w:rsid w:val="0075296D"/>
    <w:rsid w:val="00752F37"/>
    <w:rsid w:val="007531DF"/>
    <w:rsid w:val="00754082"/>
    <w:rsid w:val="007554F2"/>
    <w:rsid w:val="007562E9"/>
    <w:rsid w:val="00756825"/>
    <w:rsid w:val="00756DE4"/>
    <w:rsid w:val="0076225D"/>
    <w:rsid w:val="00763AD3"/>
    <w:rsid w:val="00763BE5"/>
    <w:rsid w:val="00764894"/>
    <w:rsid w:val="00766020"/>
    <w:rsid w:val="007666A2"/>
    <w:rsid w:val="00770CA3"/>
    <w:rsid w:val="007723D0"/>
    <w:rsid w:val="007726A2"/>
    <w:rsid w:val="00772FE5"/>
    <w:rsid w:val="007750CA"/>
    <w:rsid w:val="00775C71"/>
    <w:rsid w:val="00776FEB"/>
    <w:rsid w:val="007828B5"/>
    <w:rsid w:val="00785D9A"/>
    <w:rsid w:val="00792547"/>
    <w:rsid w:val="007932E3"/>
    <w:rsid w:val="007967FD"/>
    <w:rsid w:val="007A6D78"/>
    <w:rsid w:val="007B7061"/>
    <w:rsid w:val="007C4147"/>
    <w:rsid w:val="007C48D4"/>
    <w:rsid w:val="007C66BA"/>
    <w:rsid w:val="007C6A71"/>
    <w:rsid w:val="007C7E77"/>
    <w:rsid w:val="007D3FDF"/>
    <w:rsid w:val="007D4B13"/>
    <w:rsid w:val="007D5A53"/>
    <w:rsid w:val="007D7F2B"/>
    <w:rsid w:val="007E05AE"/>
    <w:rsid w:val="007E0848"/>
    <w:rsid w:val="007E0FB9"/>
    <w:rsid w:val="007E4291"/>
    <w:rsid w:val="007E7770"/>
    <w:rsid w:val="007F1A1B"/>
    <w:rsid w:val="007F2F15"/>
    <w:rsid w:val="007F63EC"/>
    <w:rsid w:val="007F6FD3"/>
    <w:rsid w:val="00800257"/>
    <w:rsid w:val="008020A5"/>
    <w:rsid w:val="0080259F"/>
    <w:rsid w:val="00802B8B"/>
    <w:rsid w:val="00802E98"/>
    <w:rsid w:val="0080355F"/>
    <w:rsid w:val="00807518"/>
    <w:rsid w:val="008103B7"/>
    <w:rsid w:val="008109B2"/>
    <w:rsid w:val="00812B25"/>
    <w:rsid w:val="0081360A"/>
    <w:rsid w:val="0081459A"/>
    <w:rsid w:val="00814B02"/>
    <w:rsid w:val="00815A2C"/>
    <w:rsid w:val="00816B57"/>
    <w:rsid w:val="00817681"/>
    <w:rsid w:val="00821CAB"/>
    <w:rsid w:val="0082461B"/>
    <w:rsid w:val="00826604"/>
    <w:rsid w:val="00827B35"/>
    <w:rsid w:val="00834231"/>
    <w:rsid w:val="00835252"/>
    <w:rsid w:val="00836559"/>
    <w:rsid w:val="0083714E"/>
    <w:rsid w:val="00841EE7"/>
    <w:rsid w:val="008465CB"/>
    <w:rsid w:val="00850219"/>
    <w:rsid w:val="00851D6E"/>
    <w:rsid w:val="00852508"/>
    <w:rsid w:val="00852DD0"/>
    <w:rsid w:val="008533A4"/>
    <w:rsid w:val="00854882"/>
    <w:rsid w:val="00856B63"/>
    <w:rsid w:val="00857229"/>
    <w:rsid w:val="00861C14"/>
    <w:rsid w:val="0086517C"/>
    <w:rsid w:val="008667CF"/>
    <w:rsid w:val="008711D3"/>
    <w:rsid w:val="00873FDE"/>
    <w:rsid w:val="00875399"/>
    <w:rsid w:val="00875440"/>
    <w:rsid w:val="008823A9"/>
    <w:rsid w:val="00882F53"/>
    <w:rsid w:val="0088333D"/>
    <w:rsid w:val="00883CD1"/>
    <w:rsid w:val="00883D20"/>
    <w:rsid w:val="00885285"/>
    <w:rsid w:val="00885A4D"/>
    <w:rsid w:val="00885EEC"/>
    <w:rsid w:val="00885F01"/>
    <w:rsid w:val="008902DC"/>
    <w:rsid w:val="00890ADD"/>
    <w:rsid w:val="00891595"/>
    <w:rsid w:val="008919DA"/>
    <w:rsid w:val="00894346"/>
    <w:rsid w:val="00894897"/>
    <w:rsid w:val="00894DB4"/>
    <w:rsid w:val="00896EDB"/>
    <w:rsid w:val="00897440"/>
    <w:rsid w:val="00897ACE"/>
    <w:rsid w:val="008A37FC"/>
    <w:rsid w:val="008A411B"/>
    <w:rsid w:val="008A414B"/>
    <w:rsid w:val="008A4DBB"/>
    <w:rsid w:val="008A6C1B"/>
    <w:rsid w:val="008A6F9D"/>
    <w:rsid w:val="008B133C"/>
    <w:rsid w:val="008B502C"/>
    <w:rsid w:val="008B71C6"/>
    <w:rsid w:val="008B75A3"/>
    <w:rsid w:val="008B7AF0"/>
    <w:rsid w:val="008C145D"/>
    <w:rsid w:val="008C2336"/>
    <w:rsid w:val="008C374A"/>
    <w:rsid w:val="008C5418"/>
    <w:rsid w:val="008C5573"/>
    <w:rsid w:val="008D040C"/>
    <w:rsid w:val="008D0B1E"/>
    <w:rsid w:val="008D0BDC"/>
    <w:rsid w:val="008D18E0"/>
    <w:rsid w:val="008D2435"/>
    <w:rsid w:val="008D2608"/>
    <w:rsid w:val="008D2EF7"/>
    <w:rsid w:val="008D3345"/>
    <w:rsid w:val="008D5342"/>
    <w:rsid w:val="008E4C60"/>
    <w:rsid w:val="008E5C4C"/>
    <w:rsid w:val="008E6ED1"/>
    <w:rsid w:val="008E7127"/>
    <w:rsid w:val="008F2B07"/>
    <w:rsid w:val="008F2C60"/>
    <w:rsid w:val="008F7299"/>
    <w:rsid w:val="009003FD"/>
    <w:rsid w:val="00902E47"/>
    <w:rsid w:val="0090333C"/>
    <w:rsid w:val="00904C88"/>
    <w:rsid w:val="00906696"/>
    <w:rsid w:val="00910932"/>
    <w:rsid w:val="009109D0"/>
    <w:rsid w:val="00910DFA"/>
    <w:rsid w:val="0091147D"/>
    <w:rsid w:val="009122BB"/>
    <w:rsid w:val="009146AF"/>
    <w:rsid w:val="00914BF8"/>
    <w:rsid w:val="00915FCE"/>
    <w:rsid w:val="00920B73"/>
    <w:rsid w:val="0092155D"/>
    <w:rsid w:val="00921B73"/>
    <w:rsid w:val="00921CF5"/>
    <w:rsid w:val="009223AD"/>
    <w:rsid w:val="009242AC"/>
    <w:rsid w:val="00924467"/>
    <w:rsid w:val="009262A6"/>
    <w:rsid w:val="00930DDF"/>
    <w:rsid w:val="00932FD8"/>
    <w:rsid w:val="009336C5"/>
    <w:rsid w:val="009358A0"/>
    <w:rsid w:val="00937BE0"/>
    <w:rsid w:val="0094068A"/>
    <w:rsid w:val="00941689"/>
    <w:rsid w:val="009421F0"/>
    <w:rsid w:val="00942603"/>
    <w:rsid w:val="0094313A"/>
    <w:rsid w:val="009433D4"/>
    <w:rsid w:val="009434C7"/>
    <w:rsid w:val="00944778"/>
    <w:rsid w:val="00950635"/>
    <w:rsid w:val="009517CC"/>
    <w:rsid w:val="00951ED9"/>
    <w:rsid w:val="009535BA"/>
    <w:rsid w:val="009557D7"/>
    <w:rsid w:val="00960393"/>
    <w:rsid w:val="00961586"/>
    <w:rsid w:val="0096191F"/>
    <w:rsid w:val="00961BED"/>
    <w:rsid w:val="00963A0C"/>
    <w:rsid w:val="00965CBB"/>
    <w:rsid w:val="00965DD8"/>
    <w:rsid w:val="0097020D"/>
    <w:rsid w:val="00971C47"/>
    <w:rsid w:val="00972FE5"/>
    <w:rsid w:val="00973043"/>
    <w:rsid w:val="009738D4"/>
    <w:rsid w:val="00976033"/>
    <w:rsid w:val="00977609"/>
    <w:rsid w:val="00981AFD"/>
    <w:rsid w:val="00981D63"/>
    <w:rsid w:val="009839A0"/>
    <w:rsid w:val="00985062"/>
    <w:rsid w:val="0098514F"/>
    <w:rsid w:val="00985BE1"/>
    <w:rsid w:val="00985BFF"/>
    <w:rsid w:val="0098617C"/>
    <w:rsid w:val="009864B8"/>
    <w:rsid w:val="009874A0"/>
    <w:rsid w:val="00987B7D"/>
    <w:rsid w:val="00990498"/>
    <w:rsid w:val="009940BF"/>
    <w:rsid w:val="00997962"/>
    <w:rsid w:val="009A1DCC"/>
    <w:rsid w:val="009A2961"/>
    <w:rsid w:val="009A3115"/>
    <w:rsid w:val="009A5C6E"/>
    <w:rsid w:val="009A5F7A"/>
    <w:rsid w:val="009A7053"/>
    <w:rsid w:val="009A7AD8"/>
    <w:rsid w:val="009A7D55"/>
    <w:rsid w:val="009B0512"/>
    <w:rsid w:val="009B0694"/>
    <w:rsid w:val="009B0D59"/>
    <w:rsid w:val="009B2A6A"/>
    <w:rsid w:val="009B32E6"/>
    <w:rsid w:val="009B3B51"/>
    <w:rsid w:val="009B6F5B"/>
    <w:rsid w:val="009C0024"/>
    <w:rsid w:val="009C2DFC"/>
    <w:rsid w:val="009C31F4"/>
    <w:rsid w:val="009C364D"/>
    <w:rsid w:val="009C38E3"/>
    <w:rsid w:val="009C43AE"/>
    <w:rsid w:val="009D505F"/>
    <w:rsid w:val="009E18F7"/>
    <w:rsid w:val="009E281E"/>
    <w:rsid w:val="009E2E7B"/>
    <w:rsid w:val="009E4A9D"/>
    <w:rsid w:val="009E4C47"/>
    <w:rsid w:val="009E5AD4"/>
    <w:rsid w:val="009E662E"/>
    <w:rsid w:val="009E6B37"/>
    <w:rsid w:val="009E6BF0"/>
    <w:rsid w:val="009E7542"/>
    <w:rsid w:val="009E78D3"/>
    <w:rsid w:val="009F02CC"/>
    <w:rsid w:val="009F03E4"/>
    <w:rsid w:val="009F056C"/>
    <w:rsid w:val="009F1D84"/>
    <w:rsid w:val="009F3376"/>
    <w:rsid w:val="009F4978"/>
    <w:rsid w:val="009F498F"/>
    <w:rsid w:val="009F4EF7"/>
    <w:rsid w:val="009F5CA2"/>
    <w:rsid w:val="009F6CEB"/>
    <w:rsid w:val="009F77A9"/>
    <w:rsid w:val="00A01D5F"/>
    <w:rsid w:val="00A05E35"/>
    <w:rsid w:val="00A062F1"/>
    <w:rsid w:val="00A06ED5"/>
    <w:rsid w:val="00A12343"/>
    <w:rsid w:val="00A1354A"/>
    <w:rsid w:val="00A13A13"/>
    <w:rsid w:val="00A14093"/>
    <w:rsid w:val="00A2128E"/>
    <w:rsid w:val="00A218D6"/>
    <w:rsid w:val="00A21F7F"/>
    <w:rsid w:val="00A23002"/>
    <w:rsid w:val="00A251C0"/>
    <w:rsid w:val="00A33BDB"/>
    <w:rsid w:val="00A34550"/>
    <w:rsid w:val="00A347C7"/>
    <w:rsid w:val="00A34B9B"/>
    <w:rsid w:val="00A35533"/>
    <w:rsid w:val="00A35705"/>
    <w:rsid w:val="00A430B5"/>
    <w:rsid w:val="00A455CD"/>
    <w:rsid w:val="00A45D6D"/>
    <w:rsid w:val="00A502E5"/>
    <w:rsid w:val="00A537E2"/>
    <w:rsid w:val="00A54AD2"/>
    <w:rsid w:val="00A57668"/>
    <w:rsid w:val="00A57B55"/>
    <w:rsid w:val="00A6319E"/>
    <w:rsid w:val="00A63CC5"/>
    <w:rsid w:val="00A65C98"/>
    <w:rsid w:val="00A67205"/>
    <w:rsid w:val="00A7106D"/>
    <w:rsid w:val="00A719DC"/>
    <w:rsid w:val="00A72220"/>
    <w:rsid w:val="00A72EFD"/>
    <w:rsid w:val="00A7382C"/>
    <w:rsid w:val="00A73DB1"/>
    <w:rsid w:val="00A7511C"/>
    <w:rsid w:val="00A77D28"/>
    <w:rsid w:val="00A80502"/>
    <w:rsid w:val="00A80967"/>
    <w:rsid w:val="00A80BDB"/>
    <w:rsid w:val="00A80CF2"/>
    <w:rsid w:val="00A81B68"/>
    <w:rsid w:val="00A870A5"/>
    <w:rsid w:val="00A875B6"/>
    <w:rsid w:val="00A877E1"/>
    <w:rsid w:val="00A90B4D"/>
    <w:rsid w:val="00A9295E"/>
    <w:rsid w:val="00A934B7"/>
    <w:rsid w:val="00A95204"/>
    <w:rsid w:val="00A96E7A"/>
    <w:rsid w:val="00A970FA"/>
    <w:rsid w:val="00AA06D3"/>
    <w:rsid w:val="00AA0718"/>
    <w:rsid w:val="00AA1660"/>
    <w:rsid w:val="00AA2622"/>
    <w:rsid w:val="00AA35F5"/>
    <w:rsid w:val="00AA7EDB"/>
    <w:rsid w:val="00AB377C"/>
    <w:rsid w:val="00AB40B5"/>
    <w:rsid w:val="00AB43E0"/>
    <w:rsid w:val="00AB4CBF"/>
    <w:rsid w:val="00AB62B5"/>
    <w:rsid w:val="00AB7A88"/>
    <w:rsid w:val="00AC0BEA"/>
    <w:rsid w:val="00AC1218"/>
    <w:rsid w:val="00AC1768"/>
    <w:rsid w:val="00AC2EDA"/>
    <w:rsid w:val="00AC5FA1"/>
    <w:rsid w:val="00AC6984"/>
    <w:rsid w:val="00AC6D9E"/>
    <w:rsid w:val="00AC73A6"/>
    <w:rsid w:val="00AC7797"/>
    <w:rsid w:val="00AD04AA"/>
    <w:rsid w:val="00AD2915"/>
    <w:rsid w:val="00AD3D1D"/>
    <w:rsid w:val="00AD7790"/>
    <w:rsid w:val="00AE1B38"/>
    <w:rsid w:val="00AE2190"/>
    <w:rsid w:val="00AE22C5"/>
    <w:rsid w:val="00AE3728"/>
    <w:rsid w:val="00AE4FAE"/>
    <w:rsid w:val="00AE5787"/>
    <w:rsid w:val="00AE66CC"/>
    <w:rsid w:val="00AE6F41"/>
    <w:rsid w:val="00AE7E86"/>
    <w:rsid w:val="00AF279C"/>
    <w:rsid w:val="00AF3880"/>
    <w:rsid w:val="00AF3C87"/>
    <w:rsid w:val="00AF3EA4"/>
    <w:rsid w:val="00AF46E2"/>
    <w:rsid w:val="00AF51BA"/>
    <w:rsid w:val="00AF6BB8"/>
    <w:rsid w:val="00AF6F6E"/>
    <w:rsid w:val="00B0070F"/>
    <w:rsid w:val="00B02118"/>
    <w:rsid w:val="00B043F1"/>
    <w:rsid w:val="00B04ACD"/>
    <w:rsid w:val="00B06CAF"/>
    <w:rsid w:val="00B106DC"/>
    <w:rsid w:val="00B126F4"/>
    <w:rsid w:val="00B1315C"/>
    <w:rsid w:val="00B1369C"/>
    <w:rsid w:val="00B13771"/>
    <w:rsid w:val="00B14EB8"/>
    <w:rsid w:val="00B16929"/>
    <w:rsid w:val="00B1694D"/>
    <w:rsid w:val="00B17695"/>
    <w:rsid w:val="00B2093A"/>
    <w:rsid w:val="00B233F5"/>
    <w:rsid w:val="00B23F0B"/>
    <w:rsid w:val="00B24302"/>
    <w:rsid w:val="00B251DF"/>
    <w:rsid w:val="00B25DCF"/>
    <w:rsid w:val="00B26B86"/>
    <w:rsid w:val="00B30151"/>
    <w:rsid w:val="00B30A9A"/>
    <w:rsid w:val="00B32B8B"/>
    <w:rsid w:val="00B340FF"/>
    <w:rsid w:val="00B34DD3"/>
    <w:rsid w:val="00B36FAB"/>
    <w:rsid w:val="00B434DD"/>
    <w:rsid w:val="00B44215"/>
    <w:rsid w:val="00B51A52"/>
    <w:rsid w:val="00B51BC2"/>
    <w:rsid w:val="00B53CFC"/>
    <w:rsid w:val="00B547CB"/>
    <w:rsid w:val="00B578A0"/>
    <w:rsid w:val="00B57FF6"/>
    <w:rsid w:val="00B60607"/>
    <w:rsid w:val="00B60B16"/>
    <w:rsid w:val="00B61A37"/>
    <w:rsid w:val="00B64E50"/>
    <w:rsid w:val="00B66028"/>
    <w:rsid w:val="00B66046"/>
    <w:rsid w:val="00B66773"/>
    <w:rsid w:val="00B700CD"/>
    <w:rsid w:val="00B72892"/>
    <w:rsid w:val="00B7330F"/>
    <w:rsid w:val="00B82795"/>
    <w:rsid w:val="00B829F2"/>
    <w:rsid w:val="00B83328"/>
    <w:rsid w:val="00B92EC9"/>
    <w:rsid w:val="00B93110"/>
    <w:rsid w:val="00B95502"/>
    <w:rsid w:val="00B967C1"/>
    <w:rsid w:val="00B96FC3"/>
    <w:rsid w:val="00B97265"/>
    <w:rsid w:val="00B97B0B"/>
    <w:rsid w:val="00BA2918"/>
    <w:rsid w:val="00BA2A5D"/>
    <w:rsid w:val="00BA648F"/>
    <w:rsid w:val="00BA70C1"/>
    <w:rsid w:val="00BA7C20"/>
    <w:rsid w:val="00BA7D4A"/>
    <w:rsid w:val="00BB03A8"/>
    <w:rsid w:val="00BB3C09"/>
    <w:rsid w:val="00BB4A43"/>
    <w:rsid w:val="00BB7BDA"/>
    <w:rsid w:val="00BC02F4"/>
    <w:rsid w:val="00BC2157"/>
    <w:rsid w:val="00BC4DB5"/>
    <w:rsid w:val="00BC53DA"/>
    <w:rsid w:val="00BC5A5C"/>
    <w:rsid w:val="00BC5B50"/>
    <w:rsid w:val="00BC65D2"/>
    <w:rsid w:val="00BC6DD9"/>
    <w:rsid w:val="00BD0932"/>
    <w:rsid w:val="00BD11F3"/>
    <w:rsid w:val="00BD1236"/>
    <w:rsid w:val="00BD1D32"/>
    <w:rsid w:val="00BD1F4A"/>
    <w:rsid w:val="00BD3088"/>
    <w:rsid w:val="00BD370C"/>
    <w:rsid w:val="00BD3B3E"/>
    <w:rsid w:val="00BD5110"/>
    <w:rsid w:val="00BE07C3"/>
    <w:rsid w:val="00BE0A7B"/>
    <w:rsid w:val="00BE3C61"/>
    <w:rsid w:val="00BE4E21"/>
    <w:rsid w:val="00BE4EF0"/>
    <w:rsid w:val="00BF005C"/>
    <w:rsid w:val="00BF3B7E"/>
    <w:rsid w:val="00BF47E7"/>
    <w:rsid w:val="00C0295D"/>
    <w:rsid w:val="00C059D9"/>
    <w:rsid w:val="00C1219D"/>
    <w:rsid w:val="00C13C60"/>
    <w:rsid w:val="00C16019"/>
    <w:rsid w:val="00C161CD"/>
    <w:rsid w:val="00C16C33"/>
    <w:rsid w:val="00C200A1"/>
    <w:rsid w:val="00C260FA"/>
    <w:rsid w:val="00C27793"/>
    <w:rsid w:val="00C30E41"/>
    <w:rsid w:val="00C321CF"/>
    <w:rsid w:val="00C326CC"/>
    <w:rsid w:val="00C33272"/>
    <w:rsid w:val="00C334FE"/>
    <w:rsid w:val="00C35542"/>
    <w:rsid w:val="00C413B2"/>
    <w:rsid w:val="00C414B5"/>
    <w:rsid w:val="00C427FC"/>
    <w:rsid w:val="00C44331"/>
    <w:rsid w:val="00C4465E"/>
    <w:rsid w:val="00C44A30"/>
    <w:rsid w:val="00C44E89"/>
    <w:rsid w:val="00C464FB"/>
    <w:rsid w:val="00C4720B"/>
    <w:rsid w:val="00C54465"/>
    <w:rsid w:val="00C55CCC"/>
    <w:rsid w:val="00C60E8C"/>
    <w:rsid w:val="00C61C8F"/>
    <w:rsid w:val="00C63308"/>
    <w:rsid w:val="00C63899"/>
    <w:rsid w:val="00C63A04"/>
    <w:rsid w:val="00C65608"/>
    <w:rsid w:val="00C661D8"/>
    <w:rsid w:val="00C73133"/>
    <w:rsid w:val="00C735B2"/>
    <w:rsid w:val="00C73913"/>
    <w:rsid w:val="00C745E5"/>
    <w:rsid w:val="00C74A33"/>
    <w:rsid w:val="00C7509E"/>
    <w:rsid w:val="00C7536F"/>
    <w:rsid w:val="00C77698"/>
    <w:rsid w:val="00C8017B"/>
    <w:rsid w:val="00C81EA4"/>
    <w:rsid w:val="00C821E7"/>
    <w:rsid w:val="00C85BFF"/>
    <w:rsid w:val="00C878AB"/>
    <w:rsid w:val="00C9205F"/>
    <w:rsid w:val="00C926E7"/>
    <w:rsid w:val="00C931FE"/>
    <w:rsid w:val="00C945C6"/>
    <w:rsid w:val="00CA00F0"/>
    <w:rsid w:val="00CA0728"/>
    <w:rsid w:val="00CA09AD"/>
    <w:rsid w:val="00CA479A"/>
    <w:rsid w:val="00CB18FB"/>
    <w:rsid w:val="00CB25FB"/>
    <w:rsid w:val="00CB4A49"/>
    <w:rsid w:val="00CB5AA8"/>
    <w:rsid w:val="00CB74F9"/>
    <w:rsid w:val="00CC01CC"/>
    <w:rsid w:val="00CC4860"/>
    <w:rsid w:val="00CC61C9"/>
    <w:rsid w:val="00CC6368"/>
    <w:rsid w:val="00CC6CA3"/>
    <w:rsid w:val="00CC726D"/>
    <w:rsid w:val="00CD1DA5"/>
    <w:rsid w:val="00CD2046"/>
    <w:rsid w:val="00CD2CD5"/>
    <w:rsid w:val="00CD4441"/>
    <w:rsid w:val="00CD5625"/>
    <w:rsid w:val="00CD7C83"/>
    <w:rsid w:val="00CE0934"/>
    <w:rsid w:val="00CE0AE3"/>
    <w:rsid w:val="00CE22F2"/>
    <w:rsid w:val="00CE3A52"/>
    <w:rsid w:val="00CF0605"/>
    <w:rsid w:val="00CF2767"/>
    <w:rsid w:val="00CF292D"/>
    <w:rsid w:val="00CF4B17"/>
    <w:rsid w:val="00CF5724"/>
    <w:rsid w:val="00CF7744"/>
    <w:rsid w:val="00D00FC4"/>
    <w:rsid w:val="00D0162A"/>
    <w:rsid w:val="00D1439F"/>
    <w:rsid w:val="00D14AB6"/>
    <w:rsid w:val="00D14BD1"/>
    <w:rsid w:val="00D16392"/>
    <w:rsid w:val="00D206B2"/>
    <w:rsid w:val="00D21E20"/>
    <w:rsid w:val="00D24640"/>
    <w:rsid w:val="00D24963"/>
    <w:rsid w:val="00D25819"/>
    <w:rsid w:val="00D263FE"/>
    <w:rsid w:val="00D27AE4"/>
    <w:rsid w:val="00D27D74"/>
    <w:rsid w:val="00D33B7E"/>
    <w:rsid w:val="00D34982"/>
    <w:rsid w:val="00D36198"/>
    <w:rsid w:val="00D409BF"/>
    <w:rsid w:val="00D4236E"/>
    <w:rsid w:val="00D44980"/>
    <w:rsid w:val="00D45950"/>
    <w:rsid w:val="00D46981"/>
    <w:rsid w:val="00D473E2"/>
    <w:rsid w:val="00D50F0E"/>
    <w:rsid w:val="00D51B0C"/>
    <w:rsid w:val="00D52A89"/>
    <w:rsid w:val="00D57591"/>
    <w:rsid w:val="00D621CD"/>
    <w:rsid w:val="00D63234"/>
    <w:rsid w:val="00D6399B"/>
    <w:rsid w:val="00D63C60"/>
    <w:rsid w:val="00D65434"/>
    <w:rsid w:val="00D66963"/>
    <w:rsid w:val="00D66FBF"/>
    <w:rsid w:val="00D670C6"/>
    <w:rsid w:val="00D70311"/>
    <w:rsid w:val="00D70C88"/>
    <w:rsid w:val="00D70D44"/>
    <w:rsid w:val="00D711FD"/>
    <w:rsid w:val="00D75B47"/>
    <w:rsid w:val="00D77109"/>
    <w:rsid w:val="00D84C5E"/>
    <w:rsid w:val="00D86EBD"/>
    <w:rsid w:val="00D938AB"/>
    <w:rsid w:val="00D9445E"/>
    <w:rsid w:val="00D94903"/>
    <w:rsid w:val="00D96B5A"/>
    <w:rsid w:val="00D9793F"/>
    <w:rsid w:val="00DA635A"/>
    <w:rsid w:val="00DB0B75"/>
    <w:rsid w:val="00DB194C"/>
    <w:rsid w:val="00DB2B42"/>
    <w:rsid w:val="00DB36AE"/>
    <w:rsid w:val="00DB3890"/>
    <w:rsid w:val="00DB4561"/>
    <w:rsid w:val="00DB5E83"/>
    <w:rsid w:val="00DB6E28"/>
    <w:rsid w:val="00DC1B1E"/>
    <w:rsid w:val="00DC3606"/>
    <w:rsid w:val="00DC45DA"/>
    <w:rsid w:val="00DD1BD2"/>
    <w:rsid w:val="00DD36C9"/>
    <w:rsid w:val="00DD38AF"/>
    <w:rsid w:val="00DD3AAE"/>
    <w:rsid w:val="00DD4CF2"/>
    <w:rsid w:val="00DE17E3"/>
    <w:rsid w:val="00DE1C1A"/>
    <w:rsid w:val="00DE7EEE"/>
    <w:rsid w:val="00DF1FB6"/>
    <w:rsid w:val="00DF4669"/>
    <w:rsid w:val="00DF6154"/>
    <w:rsid w:val="00E00140"/>
    <w:rsid w:val="00E028E4"/>
    <w:rsid w:val="00E04C40"/>
    <w:rsid w:val="00E054C7"/>
    <w:rsid w:val="00E06505"/>
    <w:rsid w:val="00E12371"/>
    <w:rsid w:val="00E125F7"/>
    <w:rsid w:val="00E1272B"/>
    <w:rsid w:val="00E13285"/>
    <w:rsid w:val="00E169AF"/>
    <w:rsid w:val="00E202D7"/>
    <w:rsid w:val="00E204CB"/>
    <w:rsid w:val="00E21A9E"/>
    <w:rsid w:val="00E22CC1"/>
    <w:rsid w:val="00E23713"/>
    <w:rsid w:val="00E250CB"/>
    <w:rsid w:val="00E2520F"/>
    <w:rsid w:val="00E30C29"/>
    <w:rsid w:val="00E311FD"/>
    <w:rsid w:val="00E31615"/>
    <w:rsid w:val="00E35068"/>
    <w:rsid w:val="00E37AC9"/>
    <w:rsid w:val="00E40981"/>
    <w:rsid w:val="00E418D1"/>
    <w:rsid w:val="00E4317B"/>
    <w:rsid w:val="00E44F26"/>
    <w:rsid w:val="00E479FE"/>
    <w:rsid w:val="00E518BC"/>
    <w:rsid w:val="00E51DD6"/>
    <w:rsid w:val="00E5471E"/>
    <w:rsid w:val="00E57494"/>
    <w:rsid w:val="00E6108C"/>
    <w:rsid w:val="00E61E6F"/>
    <w:rsid w:val="00E6348C"/>
    <w:rsid w:val="00E635D9"/>
    <w:rsid w:val="00E65110"/>
    <w:rsid w:val="00E65FEB"/>
    <w:rsid w:val="00E67294"/>
    <w:rsid w:val="00E70660"/>
    <w:rsid w:val="00E70864"/>
    <w:rsid w:val="00E71C16"/>
    <w:rsid w:val="00E73FAD"/>
    <w:rsid w:val="00E7577E"/>
    <w:rsid w:val="00E75B35"/>
    <w:rsid w:val="00E76B38"/>
    <w:rsid w:val="00E77429"/>
    <w:rsid w:val="00E7752E"/>
    <w:rsid w:val="00E80B3D"/>
    <w:rsid w:val="00E82569"/>
    <w:rsid w:val="00E8454F"/>
    <w:rsid w:val="00E852B5"/>
    <w:rsid w:val="00E9088C"/>
    <w:rsid w:val="00E90C84"/>
    <w:rsid w:val="00E915CD"/>
    <w:rsid w:val="00E96005"/>
    <w:rsid w:val="00E961A9"/>
    <w:rsid w:val="00EA1E30"/>
    <w:rsid w:val="00EA207E"/>
    <w:rsid w:val="00EA4A94"/>
    <w:rsid w:val="00EA4FAF"/>
    <w:rsid w:val="00EA5E58"/>
    <w:rsid w:val="00EA68EC"/>
    <w:rsid w:val="00EB22D7"/>
    <w:rsid w:val="00EB2421"/>
    <w:rsid w:val="00EB3114"/>
    <w:rsid w:val="00EB4691"/>
    <w:rsid w:val="00EB66CA"/>
    <w:rsid w:val="00EC00DF"/>
    <w:rsid w:val="00EC0A04"/>
    <w:rsid w:val="00EC0E13"/>
    <w:rsid w:val="00EC1423"/>
    <w:rsid w:val="00EC1C14"/>
    <w:rsid w:val="00EC70EC"/>
    <w:rsid w:val="00EC71DA"/>
    <w:rsid w:val="00ED4CF6"/>
    <w:rsid w:val="00ED5017"/>
    <w:rsid w:val="00EE03FE"/>
    <w:rsid w:val="00EE15AF"/>
    <w:rsid w:val="00EE3424"/>
    <w:rsid w:val="00EE4E2C"/>
    <w:rsid w:val="00EF2BB1"/>
    <w:rsid w:val="00EF6A63"/>
    <w:rsid w:val="00EF7840"/>
    <w:rsid w:val="00F01DFD"/>
    <w:rsid w:val="00F037CB"/>
    <w:rsid w:val="00F0439D"/>
    <w:rsid w:val="00F05149"/>
    <w:rsid w:val="00F0522C"/>
    <w:rsid w:val="00F057CE"/>
    <w:rsid w:val="00F07915"/>
    <w:rsid w:val="00F111E7"/>
    <w:rsid w:val="00F11AE2"/>
    <w:rsid w:val="00F1250E"/>
    <w:rsid w:val="00F127DE"/>
    <w:rsid w:val="00F13139"/>
    <w:rsid w:val="00F14C7C"/>
    <w:rsid w:val="00F14DD8"/>
    <w:rsid w:val="00F151FC"/>
    <w:rsid w:val="00F16641"/>
    <w:rsid w:val="00F20E4B"/>
    <w:rsid w:val="00F214A7"/>
    <w:rsid w:val="00F23FD5"/>
    <w:rsid w:val="00F263DE"/>
    <w:rsid w:val="00F2705A"/>
    <w:rsid w:val="00F272E5"/>
    <w:rsid w:val="00F304FA"/>
    <w:rsid w:val="00F309FC"/>
    <w:rsid w:val="00F311D8"/>
    <w:rsid w:val="00F31998"/>
    <w:rsid w:val="00F337E6"/>
    <w:rsid w:val="00F341DE"/>
    <w:rsid w:val="00F34DB2"/>
    <w:rsid w:val="00F352B0"/>
    <w:rsid w:val="00F35B45"/>
    <w:rsid w:val="00F35FEF"/>
    <w:rsid w:val="00F36756"/>
    <w:rsid w:val="00F412E2"/>
    <w:rsid w:val="00F413E5"/>
    <w:rsid w:val="00F42F26"/>
    <w:rsid w:val="00F44242"/>
    <w:rsid w:val="00F5492E"/>
    <w:rsid w:val="00F57C13"/>
    <w:rsid w:val="00F600E3"/>
    <w:rsid w:val="00F60801"/>
    <w:rsid w:val="00F62E1E"/>
    <w:rsid w:val="00F64FD9"/>
    <w:rsid w:val="00F711DA"/>
    <w:rsid w:val="00F722B5"/>
    <w:rsid w:val="00F72B46"/>
    <w:rsid w:val="00F74E75"/>
    <w:rsid w:val="00F7504D"/>
    <w:rsid w:val="00F803DF"/>
    <w:rsid w:val="00F80DAF"/>
    <w:rsid w:val="00F82FEB"/>
    <w:rsid w:val="00F85659"/>
    <w:rsid w:val="00F85E05"/>
    <w:rsid w:val="00F86F5D"/>
    <w:rsid w:val="00F90C1B"/>
    <w:rsid w:val="00F91ADC"/>
    <w:rsid w:val="00F91F2F"/>
    <w:rsid w:val="00F923B0"/>
    <w:rsid w:val="00F92BC0"/>
    <w:rsid w:val="00F93954"/>
    <w:rsid w:val="00F954AC"/>
    <w:rsid w:val="00F96993"/>
    <w:rsid w:val="00F970C1"/>
    <w:rsid w:val="00F97DA0"/>
    <w:rsid w:val="00FA0F48"/>
    <w:rsid w:val="00FA2BDE"/>
    <w:rsid w:val="00FA3703"/>
    <w:rsid w:val="00FA4EA8"/>
    <w:rsid w:val="00FA675A"/>
    <w:rsid w:val="00FA6DDC"/>
    <w:rsid w:val="00FB2728"/>
    <w:rsid w:val="00FB5097"/>
    <w:rsid w:val="00FB52AA"/>
    <w:rsid w:val="00FC0E6B"/>
    <w:rsid w:val="00FC10DA"/>
    <w:rsid w:val="00FC2848"/>
    <w:rsid w:val="00FC32EC"/>
    <w:rsid w:val="00FD24E3"/>
    <w:rsid w:val="00FD5027"/>
    <w:rsid w:val="00FD795C"/>
    <w:rsid w:val="00FE15FA"/>
    <w:rsid w:val="00FE5496"/>
    <w:rsid w:val="00FE57E7"/>
    <w:rsid w:val="00FE5CB9"/>
    <w:rsid w:val="00FE5E94"/>
    <w:rsid w:val="00FE5EAB"/>
    <w:rsid w:val="00FE5FBE"/>
    <w:rsid w:val="00FE75B5"/>
    <w:rsid w:val="00FF019A"/>
    <w:rsid w:val="00FF16CA"/>
    <w:rsid w:val="00FF2225"/>
    <w:rsid w:val="00FF2525"/>
    <w:rsid w:val="00FF6592"/>
    <w:rsid w:val="00FF7D46"/>
    <w:rsid w:val="0673274B"/>
    <w:rsid w:val="06B54398"/>
    <w:rsid w:val="07BE4CB8"/>
    <w:rsid w:val="08463B21"/>
    <w:rsid w:val="0B346AE7"/>
    <w:rsid w:val="0D870DF4"/>
    <w:rsid w:val="0E4F431C"/>
    <w:rsid w:val="105517FE"/>
    <w:rsid w:val="124B4848"/>
    <w:rsid w:val="1358530C"/>
    <w:rsid w:val="140137CB"/>
    <w:rsid w:val="148D7FBF"/>
    <w:rsid w:val="1773037A"/>
    <w:rsid w:val="188C2F5B"/>
    <w:rsid w:val="18DD7C02"/>
    <w:rsid w:val="1EBB2ACE"/>
    <w:rsid w:val="1F9223BE"/>
    <w:rsid w:val="21B162EA"/>
    <w:rsid w:val="233C0AA7"/>
    <w:rsid w:val="23DD5922"/>
    <w:rsid w:val="27223D2C"/>
    <w:rsid w:val="28A17F82"/>
    <w:rsid w:val="28F943DE"/>
    <w:rsid w:val="32052E0A"/>
    <w:rsid w:val="33D44600"/>
    <w:rsid w:val="3417492D"/>
    <w:rsid w:val="39E13921"/>
    <w:rsid w:val="3A7601BF"/>
    <w:rsid w:val="3B54682F"/>
    <w:rsid w:val="3C074AF7"/>
    <w:rsid w:val="3CBF644A"/>
    <w:rsid w:val="3E0E5D7D"/>
    <w:rsid w:val="3F2301EA"/>
    <w:rsid w:val="3FE74C3A"/>
    <w:rsid w:val="407F0314"/>
    <w:rsid w:val="40C36D45"/>
    <w:rsid w:val="40C75A87"/>
    <w:rsid w:val="41DA65E6"/>
    <w:rsid w:val="421E0FAB"/>
    <w:rsid w:val="4230334A"/>
    <w:rsid w:val="42C3554B"/>
    <w:rsid w:val="46FA0C13"/>
    <w:rsid w:val="484264EF"/>
    <w:rsid w:val="486C182F"/>
    <w:rsid w:val="49AE48B3"/>
    <w:rsid w:val="4D386161"/>
    <w:rsid w:val="4FF41F26"/>
    <w:rsid w:val="506A3748"/>
    <w:rsid w:val="53B4661F"/>
    <w:rsid w:val="54B35714"/>
    <w:rsid w:val="56F953BD"/>
    <w:rsid w:val="57233025"/>
    <w:rsid w:val="596B7F9F"/>
    <w:rsid w:val="59B338BD"/>
    <w:rsid w:val="5C332B83"/>
    <w:rsid w:val="5E461928"/>
    <w:rsid w:val="5EFE2E50"/>
    <w:rsid w:val="5FC7079D"/>
    <w:rsid w:val="5FCE450D"/>
    <w:rsid w:val="6047261A"/>
    <w:rsid w:val="63937F8C"/>
    <w:rsid w:val="68C83A2C"/>
    <w:rsid w:val="690A678E"/>
    <w:rsid w:val="695F477D"/>
    <w:rsid w:val="6A701C86"/>
    <w:rsid w:val="6C5C4ADF"/>
    <w:rsid w:val="709C38D3"/>
    <w:rsid w:val="72813CF2"/>
    <w:rsid w:val="753B6D8B"/>
    <w:rsid w:val="75BC66C7"/>
    <w:rsid w:val="7AF04812"/>
    <w:rsid w:val="7D177DFD"/>
    <w:rsid w:val="7E41734E"/>
    <w:rsid w:val="7EAC6E2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qFormat="1" w:unhideWhenUsed="0" w:uiPriority="0"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uiPriority="99" w:name="Body Text First Indent"/>
    <w:lsdException w:uiPriority="99" w:name="Body Text First Indent 2"/>
    <w:lsdException w:qFormat="1"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bCs/>
      <w:sz w:val="21"/>
      <w:szCs w:val="21"/>
      <w:lang w:val="en-US" w:eastAsia="zh-CN" w:bidi="ar-SA"/>
    </w:rPr>
  </w:style>
  <w:style w:type="paragraph" w:styleId="2">
    <w:name w:val="heading 1"/>
    <w:basedOn w:val="1"/>
    <w:next w:val="1"/>
    <w:link w:val="24"/>
    <w:qFormat/>
    <w:uiPriority w:val="99"/>
    <w:pPr>
      <w:keepNext/>
      <w:keepLines/>
      <w:widowControl w:val="0"/>
      <w:spacing w:before="60" w:after="60" w:line="360" w:lineRule="auto"/>
      <w:jc w:val="center"/>
      <w:outlineLvl w:val="0"/>
    </w:pPr>
    <w:rPr>
      <w:rFonts w:ascii="Calibri" w:hAnsi="Calibri" w:eastAsia="黑体" w:cs="Times New Roman"/>
      <w:b/>
      <w:bCs w:val="0"/>
      <w:kern w:val="44"/>
      <w:sz w:val="28"/>
      <w:szCs w:val="44"/>
    </w:rPr>
  </w:style>
  <w:style w:type="paragraph" w:styleId="3">
    <w:name w:val="heading 2"/>
    <w:basedOn w:val="1"/>
    <w:next w:val="1"/>
    <w:link w:val="25"/>
    <w:qFormat/>
    <w:uiPriority w:val="0"/>
    <w:pPr>
      <w:keepNext/>
      <w:keepLines/>
      <w:widowControl w:val="0"/>
      <w:spacing w:before="60" w:after="60"/>
      <w:jc w:val="both"/>
      <w:outlineLvl w:val="1"/>
    </w:pPr>
    <w:rPr>
      <w:rFonts w:ascii="Arial" w:hAnsi="Arial" w:cs="Times New Roman"/>
      <w:b/>
      <w:bCs w:val="0"/>
      <w:kern w:val="2"/>
    </w:rPr>
  </w:style>
  <w:style w:type="paragraph" w:styleId="4">
    <w:name w:val="heading 3"/>
    <w:basedOn w:val="1"/>
    <w:next w:val="1"/>
    <w:link w:val="26"/>
    <w:qFormat/>
    <w:uiPriority w:val="9"/>
    <w:pPr>
      <w:keepNext/>
      <w:keepLines/>
      <w:widowControl w:val="0"/>
      <w:spacing w:before="60" w:after="60"/>
      <w:jc w:val="both"/>
      <w:outlineLvl w:val="2"/>
    </w:pPr>
    <w:rPr>
      <w:rFonts w:ascii="Calibri" w:hAnsi="Calibri" w:cs="Times New Roman"/>
      <w:b/>
      <w:bCs w:val="0"/>
      <w:kern w:val="2"/>
      <w:szCs w:val="32"/>
    </w:rPr>
  </w:style>
  <w:style w:type="paragraph" w:styleId="5">
    <w:name w:val="heading 4"/>
    <w:basedOn w:val="1"/>
    <w:next w:val="1"/>
    <w:link w:val="27"/>
    <w:qFormat/>
    <w:uiPriority w:val="9"/>
    <w:pPr>
      <w:keepNext/>
      <w:keepLines/>
      <w:widowControl w:val="0"/>
      <w:spacing w:before="60" w:after="60"/>
      <w:jc w:val="both"/>
      <w:outlineLvl w:val="3"/>
    </w:pPr>
    <w:rPr>
      <w:rFonts w:ascii="Cambria" w:hAnsi="Cambria" w:cs="Times New Roman"/>
      <w:b/>
      <w:bCs w:val="0"/>
      <w:kern w:val="2"/>
      <w:szCs w:val="28"/>
    </w:rPr>
  </w:style>
  <w:style w:type="paragraph" w:styleId="6">
    <w:name w:val="heading 5"/>
    <w:basedOn w:val="1"/>
    <w:next w:val="1"/>
    <w:link w:val="28"/>
    <w:qFormat/>
    <w:uiPriority w:val="9"/>
    <w:pPr>
      <w:keepNext/>
      <w:keepLines/>
      <w:widowControl w:val="0"/>
      <w:spacing w:before="60" w:after="60"/>
      <w:jc w:val="both"/>
      <w:outlineLvl w:val="4"/>
    </w:pPr>
    <w:rPr>
      <w:rFonts w:ascii="Calibri" w:hAnsi="Calibri" w:cs="Times New Roman"/>
      <w:b/>
      <w:bCs w:val="0"/>
      <w:kern w:val="2"/>
      <w:szCs w:val="28"/>
    </w:rPr>
  </w:style>
  <w:style w:type="paragraph" w:styleId="7">
    <w:name w:val="heading 6"/>
    <w:basedOn w:val="1"/>
    <w:next w:val="1"/>
    <w:link w:val="37"/>
    <w:unhideWhenUsed/>
    <w:qFormat/>
    <w:uiPriority w:val="9"/>
    <w:pPr>
      <w:keepNext/>
      <w:keepLines/>
      <w:spacing w:before="60" w:after="60"/>
      <w:outlineLvl w:val="5"/>
    </w:pPr>
    <w:rPr>
      <w:rFonts w:asciiTheme="majorHAnsi" w:hAnsiTheme="majorHAnsi" w:cstheme="majorBidi"/>
      <w:b/>
      <w:bCs w:val="0"/>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8">
    <w:name w:val="Note Heading"/>
    <w:basedOn w:val="1"/>
    <w:next w:val="1"/>
    <w:link w:val="35"/>
    <w:qFormat/>
    <w:uiPriority w:val="99"/>
    <w:pPr>
      <w:widowControl w:val="0"/>
      <w:jc w:val="center"/>
    </w:pPr>
    <w:rPr>
      <w:rFonts w:cs="Times New Roman"/>
      <w:kern w:val="2"/>
    </w:rPr>
  </w:style>
  <w:style w:type="paragraph" w:styleId="9">
    <w:name w:val="Normal Indent"/>
    <w:basedOn w:val="1"/>
    <w:qFormat/>
    <w:uiPriority w:val="0"/>
    <w:pPr>
      <w:widowControl w:val="0"/>
      <w:ind w:firstLine="420" w:firstLineChars="200"/>
      <w:jc w:val="both"/>
    </w:pPr>
    <w:rPr>
      <w:rFonts w:cs="Times New Roman"/>
      <w:kern w:val="2"/>
    </w:rPr>
  </w:style>
  <w:style w:type="paragraph" w:styleId="10">
    <w:name w:val="toa heading"/>
    <w:basedOn w:val="1"/>
    <w:next w:val="1"/>
    <w:semiHidden/>
    <w:qFormat/>
    <w:uiPriority w:val="0"/>
    <w:pPr>
      <w:widowControl w:val="0"/>
      <w:spacing w:before="120"/>
      <w:jc w:val="both"/>
    </w:pPr>
    <w:rPr>
      <w:rFonts w:ascii="Arial" w:hAnsi="Arial" w:cs="Times New Roman"/>
      <w:b/>
      <w:bCs w:val="0"/>
      <w:kern w:val="2"/>
    </w:rPr>
  </w:style>
  <w:style w:type="paragraph" w:styleId="11">
    <w:name w:val="annotation text"/>
    <w:basedOn w:val="1"/>
    <w:link w:val="29"/>
    <w:qFormat/>
    <w:uiPriority w:val="0"/>
    <w:pPr>
      <w:widowControl w:val="0"/>
    </w:pPr>
    <w:rPr>
      <w:rFonts w:cs="Times New Roman"/>
      <w:kern w:val="2"/>
    </w:rPr>
  </w:style>
  <w:style w:type="paragraph" w:styleId="12">
    <w:name w:val="Salutation"/>
    <w:basedOn w:val="1"/>
    <w:next w:val="1"/>
    <w:link w:val="30"/>
    <w:qFormat/>
    <w:uiPriority w:val="99"/>
    <w:pPr>
      <w:widowControl w:val="0"/>
      <w:jc w:val="both"/>
    </w:pPr>
    <w:rPr>
      <w:rFonts w:cs="Times New Roman"/>
      <w:kern w:val="2"/>
    </w:rPr>
  </w:style>
  <w:style w:type="paragraph" w:styleId="13">
    <w:name w:val="Plain Text"/>
    <w:basedOn w:val="1"/>
    <w:link w:val="34"/>
    <w:qFormat/>
    <w:uiPriority w:val="0"/>
    <w:pPr>
      <w:widowControl w:val="0"/>
      <w:jc w:val="both"/>
    </w:pPr>
    <w:rPr>
      <w:rFonts w:hAnsi="Courier New" w:cs="Times New Roman"/>
      <w:kern w:val="2"/>
      <w:szCs w:val="20"/>
    </w:rPr>
  </w:style>
  <w:style w:type="paragraph" w:styleId="14">
    <w:name w:val="Balloon Text"/>
    <w:basedOn w:val="1"/>
    <w:link w:val="158"/>
    <w:unhideWhenUsed/>
    <w:qFormat/>
    <w:uiPriority w:val="99"/>
    <w:rPr>
      <w:sz w:val="18"/>
      <w:szCs w:val="18"/>
    </w:rPr>
  </w:style>
  <w:style w:type="paragraph" w:styleId="15">
    <w:name w:val="footer"/>
    <w:basedOn w:val="1"/>
    <w:link w:val="33"/>
    <w:unhideWhenUsed/>
    <w:qFormat/>
    <w:uiPriority w:val="99"/>
    <w:pPr>
      <w:widowControl w:val="0"/>
      <w:tabs>
        <w:tab w:val="center" w:pos="4153"/>
        <w:tab w:val="right" w:pos="8306"/>
      </w:tabs>
      <w:snapToGrid w:val="0"/>
    </w:pPr>
    <w:rPr>
      <w:rFonts w:ascii="Calibri" w:hAnsi="Calibri" w:cs="Times New Roman"/>
      <w:kern w:val="2"/>
      <w:sz w:val="18"/>
      <w:szCs w:val="18"/>
    </w:rPr>
  </w:style>
  <w:style w:type="paragraph" w:styleId="16">
    <w:name w:val="header"/>
    <w:basedOn w:val="1"/>
    <w:link w:val="32"/>
    <w:unhideWhenUsed/>
    <w:qFormat/>
    <w:uiPriority w:val="99"/>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paragraph" w:styleId="17">
    <w:name w:val="Normal (Web)"/>
    <w:basedOn w:val="1"/>
    <w:qFormat/>
    <w:uiPriority w:val="99"/>
    <w:pPr>
      <w:spacing w:before="100" w:beforeAutospacing="1" w:after="100" w:afterAutospacing="1"/>
    </w:pPr>
    <w:rPr>
      <w:sz w:val="24"/>
    </w:rPr>
  </w:style>
  <w:style w:type="paragraph" w:styleId="18">
    <w:name w:val="annotation subject"/>
    <w:basedOn w:val="11"/>
    <w:next w:val="11"/>
    <w:link w:val="156"/>
    <w:unhideWhenUsed/>
    <w:qFormat/>
    <w:uiPriority w:val="99"/>
    <w:pPr>
      <w:widowControl/>
    </w:pPr>
    <w:rPr>
      <w:rFonts w:cs="宋体"/>
      <w:b/>
      <w:kern w:val="0"/>
    </w:rPr>
  </w:style>
  <w:style w:type="table" w:styleId="20">
    <w:name w:val="Table Grid"/>
    <w:basedOn w:val="1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1"/>
    <w:qFormat/>
    <w:uiPriority w:val="99"/>
    <w:rPr>
      <w:color w:val="0000FF" w:themeColor="hyperlink"/>
      <w:u w:val="single"/>
      <w14:textFill>
        <w14:solidFill>
          <w14:schemeClr w14:val="hlink"/>
        </w14:solidFill>
      </w14:textFill>
    </w:rPr>
  </w:style>
  <w:style w:type="character" w:styleId="23">
    <w:name w:val="annotation reference"/>
    <w:basedOn w:val="21"/>
    <w:qFormat/>
    <w:uiPriority w:val="99"/>
    <w:rPr>
      <w:sz w:val="21"/>
      <w:szCs w:val="21"/>
    </w:rPr>
  </w:style>
  <w:style w:type="character" w:customStyle="1" w:styleId="24">
    <w:name w:val="标题 1 字符"/>
    <w:basedOn w:val="21"/>
    <w:link w:val="2"/>
    <w:qFormat/>
    <w:uiPriority w:val="99"/>
    <w:rPr>
      <w:rFonts w:eastAsia="黑体"/>
      <w:b/>
      <w:kern w:val="44"/>
      <w:sz w:val="28"/>
      <w:szCs w:val="44"/>
    </w:rPr>
  </w:style>
  <w:style w:type="character" w:customStyle="1" w:styleId="25">
    <w:name w:val="标题 2 字符"/>
    <w:basedOn w:val="21"/>
    <w:link w:val="3"/>
    <w:qFormat/>
    <w:uiPriority w:val="0"/>
    <w:rPr>
      <w:rFonts w:ascii="Arial" w:hAnsi="Arial" w:cs="Times New Roman"/>
      <w:b/>
      <w:kern w:val="2"/>
    </w:rPr>
  </w:style>
  <w:style w:type="character" w:customStyle="1" w:styleId="26">
    <w:name w:val="标题 3 字符"/>
    <w:basedOn w:val="21"/>
    <w:link w:val="4"/>
    <w:qFormat/>
    <w:uiPriority w:val="9"/>
    <w:rPr>
      <w:b/>
      <w:kern w:val="2"/>
      <w:sz w:val="21"/>
      <w:szCs w:val="32"/>
    </w:rPr>
  </w:style>
  <w:style w:type="character" w:customStyle="1" w:styleId="27">
    <w:name w:val="标题 4 字符"/>
    <w:basedOn w:val="21"/>
    <w:link w:val="5"/>
    <w:qFormat/>
    <w:uiPriority w:val="9"/>
    <w:rPr>
      <w:rFonts w:ascii="Cambria" w:hAnsi="Cambria"/>
      <w:b/>
      <w:kern w:val="2"/>
      <w:sz w:val="21"/>
      <w:szCs w:val="28"/>
    </w:rPr>
  </w:style>
  <w:style w:type="character" w:customStyle="1" w:styleId="28">
    <w:name w:val="标题 5 字符"/>
    <w:basedOn w:val="21"/>
    <w:link w:val="6"/>
    <w:qFormat/>
    <w:uiPriority w:val="9"/>
    <w:rPr>
      <w:b/>
      <w:kern w:val="2"/>
      <w:sz w:val="21"/>
      <w:szCs w:val="28"/>
    </w:rPr>
  </w:style>
  <w:style w:type="character" w:customStyle="1" w:styleId="29">
    <w:name w:val="批注文字 字符"/>
    <w:basedOn w:val="21"/>
    <w:link w:val="11"/>
    <w:qFormat/>
    <w:uiPriority w:val="0"/>
    <w:rPr>
      <w:rFonts w:ascii="Times New Roman" w:hAnsi="Times New Roman" w:eastAsia="宋体" w:cs="Times New Roman"/>
      <w:szCs w:val="21"/>
    </w:rPr>
  </w:style>
  <w:style w:type="character" w:customStyle="1" w:styleId="30">
    <w:name w:val="称呼 字符"/>
    <w:basedOn w:val="21"/>
    <w:link w:val="12"/>
    <w:qFormat/>
    <w:uiPriority w:val="99"/>
    <w:rPr>
      <w:rFonts w:ascii="Times New Roman" w:hAnsi="Times New Roman" w:eastAsia="宋体" w:cs="Times New Roman"/>
      <w:szCs w:val="21"/>
    </w:rPr>
  </w:style>
  <w:style w:type="paragraph" w:styleId="31">
    <w:name w:val="List Paragraph"/>
    <w:basedOn w:val="1"/>
    <w:qFormat/>
    <w:uiPriority w:val="34"/>
    <w:pPr>
      <w:widowControl w:val="0"/>
      <w:ind w:firstLine="420" w:firstLineChars="200"/>
      <w:jc w:val="both"/>
    </w:pPr>
    <w:rPr>
      <w:rFonts w:ascii="Calibri" w:hAnsi="Calibri" w:cs="Times New Roman"/>
      <w:kern w:val="2"/>
      <w:szCs w:val="22"/>
    </w:rPr>
  </w:style>
  <w:style w:type="character" w:customStyle="1" w:styleId="32">
    <w:name w:val="页眉 字符"/>
    <w:basedOn w:val="21"/>
    <w:link w:val="16"/>
    <w:qFormat/>
    <w:uiPriority w:val="99"/>
    <w:rPr>
      <w:rFonts w:ascii="Calibri" w:hAnsi="Calibri" w:eastAsia="宋体" w:cs="Times New Roman"/>
      <w:sz w:val="18"/>
      <w:szCs w:val="18"/>
    </w:rPr>
  </w:style>
  <w:style w:type="character" w:customStyle="1" w:styleId="33">
    <w:name w:val="页脚 字符"/>
    <w:basedOn w:val="21"/>
    <w:link w:val="15"/>
    <w:qFormat/>
    <w:uiPriority w:val="99"/>
    <w:rPr>
      <w:rFonts w:ascii="Calibri" w:hAnsi="Calibri" w:eastAsia="宋体" w:cs="Times New Roman"/>
      <w:sz w:val="18"/>
      <w:szCs w:val="18"/>
    </w:rPr>
  </w:style>
  <w:style w:type="character" w:customStyle="1" w:styleId="34">
    <w:name w:val="纯文本 字符"/>
    <w:basedOn w:val="21"/>
    <w:link w:val="13"/>
    <w:qFormat/>
    <w:uiPriority w:val="0"/>
    <w:rPr>
      <w:rFonts w:ascii="宋体" w:hAnsi="Courier New" w:eastAsia="宋体" w:cs="Times New Roman"/>
      <w:szCs w:val="20"/>
    </w:rPr>
  </w:style>
  <w:style w:type="character" w:customStyle="1" w:styleId="35">
    <w:name w:val="注释标题 字符"/>
    <w:basedOn w:val="21"/>
    <w:link w:val="8"/>
    <w:qFormat/>
    <w:uiPriority w:val="99"/>
    <w:rPr>
      <w:rFonts w:ascii="Times New Roman" w:hAnsi="Times New Roman" w:eastAsia="宋体" w:cs="Times New Roman"/>
      <w:szCs w:val="21"/>
    </w:rPr>
  </w:style>
  <w:style w:type="paragraph" w:styleId="36">
    <w:name w:val="No Spacing"/>
    <w:qFormat/>
    <w:uiPriority w:val="1"/>
    <w:pPr>
      <w:widowControl w:val="0"/>
      <w:jc w:val="both"/>
    </w:pPr>
    <w:rPr>
      <w:rFonts w:ascii="Times New Roman" w:hAnsi="Times New Roman" w:eastAsia="宋体" w:cs="宋体"/>
      <w:bCs/>
      <w:kern w:val="2"/>
      <w:sz w:val="21"/>
      <w:szCs w:val="22"/>
      <w:lang w:val="en-US" w:eastAsia="zh-CN" w:bidi="ar-SA"/>
    </w:rPr>
  </w:style>
  <w:style w:type="character" w:customStyle="1" w:styleId="37">
    <w:name w:val="标题 6 字符"/>
    <w:basedOn w:val="21"/>
    <w:link w:val="7"/>
    <w:qFormat/>
    <w:uiPriority w:val="9"/>
    <w:rPr>
      <w:rFonts w:asciiTheme="majorHAnsi" w:hAnsiTheme="majorHAnsi" w:cstheme="majorBidi"/>
      <w:b/>
      <w:sz w:val="21"/>
      <w:szCs w:val="24"/>
    </w:rPr>
  </w:style>
  <w:style w:type="paragraph" w:customStyle="1" w:styleId="38">
    <w:name w:val="1"/>
    <w:basedOn w:val="1"/>
    <w:next w:val="31"/>
    <w:link w:val="96"/>
    <w:qFormat/>
    <w:uiPriority w:val="34"/>
    <w:pPr>
      <w:widowControl w:val="0"/>
      <w:ind w:firstLine="420" w:firstLineChars="200"/>
      <w:jc w:val="both"/>
    </w:pPr>
    <w:rPr>
      <w:rFonts w:ascii="Calibri" w:hAnsi="Calibri" w:cs="Times New Roman"/>
      <w:kern w:val="2"/>
      <w:szCs w:val="22"/>
    </w:rPr>
  </w:style>
  <w:style w:type="paragraph" w:customStyle="1" w:styleId="39">
    <w:name w:val="Table Paragraph"/>
    <w:basedOn w:val="1"/>
    <w:qFormat/>
    <w:uiPriority w:val="1"/>
    <w:pPr>
      <w:widowControl w:val="0"/>
      <w:autoSpaceDE w:val="0"/>
      <w:autoSpaceDN w:val="0"/>
      <w:spacing w:after="160" w:line="259" w:lineRule="auto"/>
    </w:pPr>
    <w:rPr>
      <w:rFonts w:ascii="Noto Sans CJK JP Regular" w:hAnsi="Noto Sans CJK JP Regular" w:eastAsia="Noto Sans CJK JP Regular" w:cs="Noto Sans CJK JP Regular"/>
      <w:sz w:val="22"/>
      <w:szCs w:val="22"/>
      <w:lang w:eastAsia="en-US"/>
    </w:rPr>
  </w:style>
  <w:style w:type="paragraph" w:customStyle="1" w:styleId="40">
    <w:name w:val="5"/>
    <w:basedOn w:val="1"/>
    <w:next w:val="31"/>
    <w:qFormat/>
    <w:uiPriority w:val="34"/>
    <w:pPr>
      <w:widowControl w:val="0"/>
      <w:ind w:firstLine="420" w:firstLineChars="200"/>
      <w:jc w:val="both"/>
    </w:pPr>
    <w:rPr>
      <w:rFonts w:ascii="Calibri" w:hAnsi="Calibri" w:cs="Times New Roman"/>
      <w:kern w:val="2"/>
      <w:szCs w:val="22"/>
    </w:rPr>
  </w:style>
  <w:style w:type="table" w:customStyle="1" w:styleId="41">
    <w:name w:val="g5"/>
    <w:semiHidden/>
    <w:unhideWhenUsed/>
    <w:qFormat/>
    <w:uiPriority w:val="99"/>
    <w:tblPr>
      <w:tblCellMar>
        <w:top w:w="0" w:type="dxa"/>
        <w:left w:w="108" w:type="dxa"/>
        <w:bottom w:w="0" w:type="dxa"/>
        <w:right w:w="108" w:type="dxa"/>
      </w:tblCellMar>
    </w:tblPr>
  </w:style>
  <w:style w:type="paragraph" w:customStyle="1" w:styleId="42">
    <w:name w:val="_Style 151"/>
    <w:qFormat/>
    <w:uiPriority w:val="0"/>
    <w:rPr>
      <w:rFonts w:ascii="宋体" w:hAnsi="宋体" w:eastAsia="宋体" w:cs="Times New Roman"/>
      <w:szCs w:val="24"/>
      <w:lang w:val="en-US" w:eastAsia="zh-CN" w:bidi="ar-SA"/>
    </w:rPr>
  </w:style>
  <w:style w:type="table" w:customStyle="1" w:styleId="43">
    <w:name w:val="g4"/>
    <w:semiHidden/>
    <w:unhideWhenUsed/>
    <w:qFormat/>
    <w:uiPriority w:val="99"/>
    <w:rPr>
      <w:bCs/>
    </w:rPr>
    <w:tblPr>
      <w:tblCellMar>
        <w:top w:w="0" w:type="dxa"/>
        <w:left w:w="108" w:type="dxa"/>
        <w:bottom w:w="0" w:type="dxa"/>
        <w:right w:w="108" w:type="dxa"/>
      </w:tblCellMar>
    </w:tblPr>
  </w:style>
  <w:style w:type="table" w:customStyle="1" w:styleId="44">
    <w:name w:val="_Style 52"/>
    <w:semiHidden/>
    <w:unhideWhenUsed/>
    <w:qFormat/>
    <w:uiPriority w:val="99"/>
    <w:tblPr>
      <w:tblCellMar>
        <w:top w:w="0" w:type="dxa"/>
        <w:left w:w="108" w:type="dxa"/>
        <w:bottom w:w="0" w:type="dxa"/>
        <w:right w:w="108" w:type="dxa"/>
      </w:tblCellMar>
    </w:tblPr>
  </w:style>
  <w:style w:type="paragraph" w:customStyle="1" w:styleId="45">
    <w:name w:val="_Style 43"/>
    <w:qFormat/>
    <w:uiPriority w:val="0"/>
    <w:rPr>
      <w:rFonts w:ascii="Times New Roman" w:hAnsi="Times New Roman" w:eastAsia="宋体" w:cs="Times New Roman"/>
      <w:lang w:val="en-US" w:eastAsia="zh-CN" w:bidi="ar-SA"/>
    </w:rPr>
  </w:style>
  <w:style w:type="table" w:customStyle="1" w:styleId="46">
    <w:name w:val="g1"/>
    <w:semiHidden/>
    <w:unhideWhenUsed/>
    <w:qFormat/>
    <w:uiPriority w:val="99"/>
    <w:tblPr>
      <w:tblCellMar>
        <w:top w:w="0" w:type="dxa"/>
        <w:left w:w="108" w:type="dxa"/>
        <w:bottom w:w="0" w:type="dxa"/>
        <w:right w:w="108" w:type="dxa"/>
      </w:tblCellMar>
    </w:tblPr>
  </w:style>
  <w:style w:type="table" w:customStyle="1" w:styleId="47">
    <w:name w:val="g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48">
    <w:name w:val="_Style 431"/>
    <w:qFormat/>
    <w:uiPriority w:val="0"/>
    <w:rPr>
      <w:rFonts w:ascii="Times New Roman" w:hAnsi="Times New Roman" w:eastAsia="宋体" w:cs="宋体"/>
      <w:bCs/>
      <w:sz w:val="21"/>
      <w:szCs w:val="21"/>
      <w:lang w:val="en-US" w:eastAsia="zh-CN" w:bidi="ar-SA"/>
    </w:rPr>
  </w:style>
  <w:style w:type="paragraph" w:customStyle="1" w:styleId="49">
    <w:name w:val="_Style 44"/>
    <w:basedOn w:val="48"/>
    <w:next w:val="2"/>
    <w:qFormat/>
    <w:uiPriority w:val="99"/>
    <w:pPr>
      <w:keepNext/>
      <w:keepLines/>
      <w:widowControl w:val="0"/>
      <w:spacing w:before="60" w:after="60" w:line="360" w:lineRule="auto"/>
      <w:jc w:val="center"/>
      <w:outlineLvl w:val="0"/>
    </w:pPr>
    <w:rPr>
      <w:rFonts w:ascii="Calibri" w:hAnsi="Calibri" w:eastAsia="黑体" w:cs="Times New Roman"/>
      <w:b/>
      <w:bCs w:val="0"/>
      <w:kern w:val="44"/>
      <w:sz w:val="28"/>
      <w:szCs w:val="44"/>
    </w:rPr>
  </w:style>
  <w:style w:type="paragraph" w:customStyle="1" w:styleId="50">
    <w:name w:val="_Style 45"/>
    <w:basedOn w:val="48"/>
    <w:next w:val="2"/>
    <w:qFormat/>
    <w:uiPriority w:val="0"/>
    <w:pPr>
      <w:keepNext/>
      <w:keepLines/>
      <w:widowControl w:val="0"/>
      <w:spacing w:before="60" w:after="60"/>
      <w:jc w:val="both"/>
      <w:outlineLvl w:val="1"/>
    </w:pPr>
    <w:rPr>
      <w:rFonts w:ascii="Arial" w:hAnsi="Arial" w:cs="Times New Roman"/>
      <w:b/>
      <w:bCs w:val="0"/>
      <w:kern w:val="2"/>
    </w:rPr>
  </w:style>
  <w:style w:type="paragraph" w:customStyle="1" w:styleId="51">
    <w:name w:val="_Style 46"/>
    <w:basedOn w:val="48"/>
    <w:next w:val="2"/>
    <w:qFormat/>
    <w:uiPriority w:val="9"/>
    <w:pPr>
      <w:keepNext/>
      <w:keepLines/>
      <w:widowControl w:val="0"/>
      <w:spacing w:before="60" w:after="60"/>
      <w:jc w:val="both"/>
      <w:outlineLvl w:val="2"/>
    </w:pPr>
    <w:rPr>
      <w:rFonts w:ascii="Calibri" w:hAnsi="Calibri" w:cs="Times New Roman"/>
      <w:b/>
      <w:bCs w:val="0"/>
      <w:kern w:val="2"/>
      <w:szCs w:val="32"/>
    </w:rPr>
  </w:style>
  <w:style w:type="paragraph" w:customStyle="1" w:styleId="52">
    <w:name w:val="_Style 47"/>
    <w:basedOn w:val="48"/>
    <w:next w:val="2"/>
    <w:qFormat/>
    <w:uiPriority w:val="9"/>
    <w:pPr>
      <w:keepNext/>
      <w:keepLines/>
      <w:widowControl w:val="0"/>
      <w:spacing w:before="60" w:after="60"/>
      <w:jc w:val="both"/>
      <w:outlineLvl w:val="3"/>
    </w:pPr>
    <w:rPr>
      <w:rFonts w:ascii="Cambria" w:hAnsi="Cambria" w:cs="Times New Roman"/>
      <w:b/>
      <w:bCs w:val="0"/>
      <w:kern w:val="2"/>
      <w:szCs w:val="28"/>
    </w:rPr>
  </w:style>
  <w:style w:type="paragraph" w:customStyle="1" w:styleId="53">
    <w:name w:val="_Style 48"/>
    <w:basedOn w:val="48"/>
    <w:next w:val="2"/>
    <w:qFormat/>
    <w:uiPriority w:val="9"/>
    <w:pPr>
      <w:keepNext/>
      <w:keepLines/>
      <w:widowControl w:val="0"/>
      <w:spacing w:before="60" w:after="60"/>
      <w:jc w:val="both"/>
      <w:outlineLvl w:val="4"/>
    </w:pPr>
    <w:rPr>
      <w:rFonts w:ascii="Calibri" w:hAnsi="Calibri" w:cs="Times New Roman"/>
      <w:b/>
      <w:bCs w:val="0"/>
      <w:kern w:val="2"/>
      <w:szCs w:val="28"/>
    </w:rPr>
  </w:style>
  <w:style w:type="paragraph" w:customStyle="1" w:styleId="54">
    <w:name w:val="_Style 49"/>
    <w:basedOn w:val="48"/>
    <w:next w:val="2"/>
    <w:unhideWhenUsed/>
    <w:qFormat/>
    <w:uiPriority w:val="9"/>
    <w:pPr>
      <w:keepNext/>
      <w:keepLines/>
      <w:spacing w:before="60" w:after="60"/>
      <w:outlineLvl w:val="5"/>
    </w:pPr>
    <w:rPr>
      <w:rFonts w:asciiTheme="majorHAnsi" w:hAnsiTheme="majorHAnsi" w:cstheme="majorBidi"/>
      <w:b/>
      <w:bCs w:val="0"/>
    </w:rPr>
  </w:style>
  <w:style w:type="paragraph" w:customStyle="1" w:styleId="55">
    <w:name w:val="_Style 50"/>
    <w:basedOn w:val="48"/>
    <w:next w:val="2"/>
    <w:unhideWhenUsed/>
    <w:qFormat/>
    <w:uiPriority w:val="9"/>
    <w:pPr>
      <w:keepNext/>
      <w:keepLines/>
      <w:spacing w:before="240" w:after="64" w:line="320" w:lineRule="auto"/>
      <w:outlineLvl w:val="6"/>
    </w:pPr>
    <w:rPr>
      <w:b/>
      <w:bCs w:val="0"/>
      <w:sz w:val="24"/>
    </w:rPr>
  </w:style>
  <w:style w:type="character" w:customStyle="1" w:styleId="56">
    <w:name w:val="_Style 51"/>
    <w:unhideWhenUsed/>
    <w:qFormat/>
    <w:uiPriority w:val="1"/>
  </w:style>
  <w:style w:type="paragraph" w:customStyle="1" w:styleId="57">
    <w:name w:val="_Style 53"/>
    <w:basedOn w:val="48"/>
    <w:next w:val="2"/>
    <w:unhideWhenUsed/>
    <w:qFormat/>
    <w:uiPriority w:val="39"/>
    <w:pPr>
      <w:ind w:left="1260"/>
    </w:pPr>
    <w:rPr>
      <w:rFonts w:asciiTheme="minorHAnsi" w:hAnsiTheme="minorHAnsi" w:cstheme="minorHAnsi"/>
      <w:bCs w:val="0"/>
      <w:sz w:val="18"/>
      <w:szCs w:val="18"/>
    </w:rPr>
  </w:style>
  <w:style w:type="paragraph" w:customStyle="1" w:styleId="58">
    <w:name w:val="_Style 54"/>
    <w:basedOn w:val="48"/>
    <w:next w:val="2"/>
    <w:qFormat/>
    <w:uiPriority w:val="99"/>
    <w:pPr>
      <w:widowControl w:val="0"/>
      <w:jc w:val="center"/>
    </w:pPr>
    <w:rPr>
      <w:rFonts w:cs="Times New Roman"/>
      <w:kern w:val="2"/>
    </w:rPr>
  </w:style>
  <w:style w:type="paragraph" w:customStyle="1" w:styleId="59">
    <w:name w:val="_Style 55"/>
    <w:basedOn w:val="48"/>
    <w:qFormat/>
    <w:uiPriority w:val="0"/>
    <w:pPr>
      <w:widowControl w:val="0"/>
      <w:ind w:firstLine="420" w:firstLineChars="200"/>
      <w:jc w:val="both"/>
    </w:pPr>
    <w:rPr>
      <w:rFonts w:cs="Times New Roman"/>
      <w:kern w:val="2"/>
    </w:rPr>
  </w:style>
  <w:style w:type="paragraph" w:customStyle="1" w:styleId="60">
    <w:name w:val="_Style 56"/>
    <w:basedOn w:val="48"/>
    <w:semiHidden/>
    <w:unhideWhenUsed/>
    <w:qFormat/>
    <w:uiPriority w:val="99"/>
    <w:pPr>
      <w:widowControl w:val="0"/>
      <w:jc w:val="both"/>
    </w:pPr>
    <w:rPr>
      <w:rFonts w:hAnsi="Calibri" w:cs="Times New Roman"/>
      <w:kern w:val="2"/>
      <w:sz w:val="18"/>
      <w:szCs w:val="18"/>
    </w:rPr>
  </w:style>
  <w:style w:type="paragraph" w:customStyle="1" w:styleId="61">
    <w:name w:val="_Style 57"/>
    <w:basedOn w:val="48"/>
    <w:next w:val="2"/>
    <w:semiHidden/>
    <w:qFormat/>
    <w:uiPriority w:val="0"/>
    <w:pPr>
      <w:widowControl w:val="0"/>
      <w:spacing w:before="120"/>
      <w:jc w:val="both"/>
    </w:pPr>
    <w:rPr>
      <w:rFonts w:ascii="Arial" w:hAnsi="Arial" w:cs="Times New Roman"/>
      <w:b/>
      <w:bCs w:val="0"/>
      <w:kern w:val="2"/>
    </w:rPr>
  </w:style>
  <w:style w:type="paragraph" w:customStyle="1" w:styleId="62">
    <w:name w:val="_Style 58"/>
    <w:basedOn w:val="48"/>
    <w:qFormat/>
    <w:uiPriority w:val="0"/>
    <w:pPr>
      <w:widowControl w:val="0"/>
    </w:pPr>
    <w:rPr>
      <w:rFonts w:cs="Times New Roman"/>
      <w:kern w:val="2"/>
    </w:rPr>
  </w:style>
  <w:style w:type="paragraph" w:customStyle="1" w:styleId="63">
    <w:name w:val="_Style 59"/>
    <w:basedOn w:val="48"/>
    <w:next w:val="2"/>
    <w:qFormat/>
    <w:uiPriority w:val="99"/>
    <w:pPr>
      <w:widowControl w:val="0"/>
      <w:jc w:val="both"/>
    </w:pPr>
    <w:rPr>
      <w:rFonts w:cs="Times New Roman"/>
      <w:kern w:val="2"/>
    </w:rPr>
  </w:style>
  <w:style w:type="paragraph" w:customStyle="1" w:styleId="64">
    <w:name w:val="_Style 60"/>
    <w:basedOn w:val="48"/>
    <w:qFormat/>
    <w:uiPriority w:val="0"/>
    <w:pPr>
      <w:widowControl w:val="0"/>
      <w:tabs>
        <w:tab w:val="left" w:pos="1200"/>
      </w:tabs>
      <w:jc w:val="both"/>
    </w:pPr>
    <w:rPr>
      <w:rFonts w:cs="Times New Roman"/>
      <w:kern w:val="2"/>
    </w:rPr>
  </w:style>
  <w:style w:type="paragraph" w:customStyle="1" w:styleId="65">
    <w:name w:val="_Style 61"/>
    <w:basedOn w:val="48"/>
    <w:qFormat/>
    <w:uiPriority w:val="99"/>
    <w:pPr>
      <w:widowControl w:val="0"/>
      <w:spacing w:after="120"/>
      <w:jc w:val="both"/>
    </w:pPr>
    <w:rPr>
      <w:rFonts w:cs="Times New Roman"/>
      <w:kern w:val="2"/>
    </w:rPr>
  </w:style>
  <w:style w:type="paragraph" w:customStyle="1" w:styleId="66">
    <w:name w:val="_Style 62"/>
    <w:basedOn w:val="48"/>
    <w:next w:val="2"/>
    <w:unhideWhenUsed/>
    <w:qFormat/>
    <w:uiPriority w:val="39"/>
    <w:pPr>
      <w:ind w:left="840"/>
    </w:pPr>
    <w:rPr>
      <w:rFonts w:asciiTheme="minorHAnsi" w:hAnsiTheme="minorHAnsi" w:cstheme="minorHAnsi"/>
      <w:bCs w:val="0"/>
      <w:sz w:val="18"/>
      <w:szCs w:val="18"/>
    </w:rPr>
  </w:style>
  <w:style w:type="paragraph" w:customStyle="1" w:styleId="67">
    <w:name w:val="_Style 63"/>
    <w:basedOn w:val="48"/>
    <w:next w:val="2"/>
    <w:unhideWhenUsed/>
    <w:qFormat/>
    <w:uiPriority w:val="39"/>
    <w:pPr>
      <w:ind w:left="420"/>
    </w:pPr>
    <w:rPr>
      <w:rFonts w:asciiTheme="minorHAnsi" w:hAnsiTheme="minorHAnsi" w:cstheme="minorHAnsi"/>
      <w:bCs w:val="0"/>
      <w:i/>
      <w:iCs/>
      <w:sz w:val="20"/>
      <w:szCs w:val="20"/>
    </w:rPr>
  </w:style>
  <w:style w:type="paragraph" w:customStyle="1" w:styleId="68">
    <w:name w:val="_Style 64"/>
    <w:basedOn w:val="48"/>
    <w:qFormat/>
    <w:uiPriority w:val="0"/>
    <w:pPr>
      <w:widowControl w:val="0"/>
      <w:jc w:val="both"/>
    </w:pPr>
    <w:rPr>
      <w:rFonts w:hAnsi="Courier New" w:cs="Times New Roman"/>
      <w:kern w:val="2"/>
      <w:szCs w:val="20"/>
    </w:rPr>
  </w:style>
  <w:style w:type="paragraph" w:customStyle="1" w:styleId="69">
    <w:name w:val="_Style 65"/>
    <w:basedOn w:val="48"/>
    <w:next w:val="2"/>
    <w:unhideWhenUsed/>
    <w:qFormat/>
    <w:uiPriority w:val="39"/>
    <w:pPr>
      <w:ind w:left="1470"/>
    </w:pPr>
    <w:rPr>
      <w:rFonts w:asciiTheme="minorHAnsi" w:hAnsiTheme="minorHAnsi" w:cstheme="minorHAnsi"/>
      <w:bCs w:val="0"/>
      <w:sz w:val="18"/>
      <w:szCs w:val="18"/>
    </w:rPr>
  </w:style>
  <w:style w:type="paragraph" w:customStyle="1" w:styleId="70">
    <w:name w:val="_Style 66"/>
    <w:basedOn w:val="48"/>
    <w:next w:val="2"/>
    <w:qFormat/>
    <w:uiPriority w:val="99"/>
    <w:pPr>
      <w:widowControl w:val="0"/>
      <w:ind w:left="100" w:leftChars="2500"/>
      <w:jc w:val="both"/>
    </w:pPr>
    <w:rPr>
      <w:rFonts w:cs="Times New Roman"/>
      <w:kern w:val="2"/>
    </w:rPr>
  </w:style>
  <w:style w:type="paragraph" w:customStyle="1" w:styleId="71">
    <w:name w:val="_Style 67"/>
    <w:basedOn w:val="48"/>
    <w:semiHidden/>
    <w:unhideWhenUsed/>
    <w:qFormat/>
    <w:uiPriority w:val="99"/>
    <w:pPr>
      <w:snapToGrid w:val="0"/>
    </w:pPr>
  </w:style>
  <w:style w:type="paragraph" w:customStyle="1" w:styleId="72">
    <w:name w:val="_Style 68"/>
    <w:basedOn w:val="48"/>
    <w:unhideWhenUsed/>
    <w:qFormat/>
    <w:uiPriority w:val="99"/>
    <w:pPr>
      <w:widowControl w:val="0"/>
      <w:jc w:val="both"/>
    </w:pPr>
    <w:rPr>
      <w:rFonts w:ascii="Calibri" w:hAnsi="Calibri" w:cs="Times New Roman"/>
      <w:kern w:val="2"/>
      <w:sz w:val="18"/>
      <w:szCs w:val="18"/>
    </w:rPr>
  </w:style>
  <w:style w:type="paragraph" w:customStyle="1" w:styleId="73">
    <w:name w:val="_Style 69"/>
    <w:basedOn w:val="48"/>
    <w:unhideWhenUsed/>
    <w:qFormat/>
    <w:uiPriority w:val="99"/>
    <w:pPr>
      <w:widowControl w:val="0"/>
      <w:tabs>
        <w:tab w:val="center" w:pos="4153"/>
        <w:tab w:val="right" w:pos="8306"/>
      </w:tabs>
      <w:snapToGrid w:val="0"/>
    </w:pPr>
    <w:rPr>
      <w:rFonts w:ascii="Calibri" w:hAnsi="Calibri" w:cs="Times New Roman"/>
      <w:kern w:val="2"/>
      <w:sz w:val="18"/>
      <w:szCs w:val="18"/>
    </w:rPr>
  </w:style>
  <w:style w:type="paragraph" w:customStyle="1" w:styleId="74">
    <w:name w:val="_Style 70"/>
    <w:basedOn w:val="48"/>
    <w:unhideWhenUsed/>
    <w:qFormat/>
    <w:uiPriority w:val="99"/>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paragraph" w:customStyle="1" w:styleId="75">
    <w:name w:val="_Style 71"/>
    <w:basedOn w:val="48"/>
    <w:next w:val="2"/>
    <w:qFormat/>
    <w:uiPriority w:val="39"/>
    <w:pPr>
      <w:spacing w:line="360" w:lineRule="auto"/>
      <w:ind w:left="200" w:hanging="200" w:hangingChars="200"/>
    </w:pPr>
    <w:rPr>
      <w:rFonts w:cstheme="minorHAnsi"/>
      <w:b/>
      <w:caps/>
      <w:szCs w:val="20"/>
    </w:rPr>
  </w:style>
  <w:style w:type="paragraph" w:customStyle="1" w:styleId="76">
    <w:name w:val="_Style 72"/>
    <w:basedOn w:val="48"/>
    <w:next w:val="2"/>
    <w:unhideWhenUsed/>
    <w:qFormat/>
    <w:uiPriority w:val="39"/>
    <w:pPr>
      <w:ind w:left="630"/>
    </w:pPr>
    <w:rPr>
      <w:rFonts w:asciiTheme="minorHAnsi" w:hAnsiTheme="minorHAnsi" w:cstheme="minorHAnsi"/>
      <w:bCs w:val="0"/>
      <w:sz w:val="18"/>
      <w:szCs w:val="18"/>
    </w:rPr>
  </w:style>
  <w:style w:type="paragraph" w:customStyle="1" w:styleId="77">
    <w:name w:val="_Style 73"/>
    <w:basedOn w:val="48"/>
    <w:semiHidden/>
    <w:unhideWhenUsed/>
    <w:qFormat/>
    <w:uiPriority w:val="99"/>
    <w:pPr>
      <w:widowControl w:val="0"/>
      <w:snapToGrid w:val="0"/>
    </w:pPr>
    <w:rPr>
      <w:rFonts w:ascii="Calibri" w:hAnsi="Calibri" w:cs="Times New Roman"/>
      <w:bCs w:val="0"/>
      <w:kern w:val="2"/>
      <w:sz w:val="18"/>
      <w:szCs w:val="18"/>
    </w:rPr>
  </w:style>
  <w:style w:type="paragraph" w:customStyle="1" w:styleId="78">
    <w:name w:val="_Style 74"/>
    <w:basedOn w:val="48"/>
    <w:next w:val="2"/>
    <w:unhideWhenUsed/>
    <w:qFormat/>
    <w:uiPriority w:val="39"/>
    <w:pPr>
      <w:ind w:left="1050"/>
    </w:pPr>
    <w:rPr>
      <w:rFonts w:asciiTheme="minorHAnsi" w:hAnsiTheme="minorHAnsi" w:cstheme="minorHAnsi"/>
      <w:bCs w:val="0"/>
      <w:sz w:val="18"/>
      <w:szCs w:val="18"/>
    </w:rPr>
  </w:style>
  <w:style w:type="paragraph" w:customStyle="1" w:styleId="79">
    <w:name w:val="_Style 75"/>
    <w:basedOn w:val="48"/>
    <w:next w:val="2"/>
    <w:qFormat/>
    <w:uiPriority w:val="39"/>
    <w:pPr>
      <w:ind w:left="210"/>
    </w:pPr>
    <w:rPr>
      <w:rFonts w:asciiTheme="minorHAnsi" w:hAnsiTheme="minorHAnsi" w:cstheme="minorHAnsi"/>
      <w:bCs w:val="0"/>
      <w:smallCaps/>
      <w:sz w:val="20"/>
      <w:szCs w:val="20"/>
    </w:rPr>
  </w:style>
  <w:style w:type="paragraph" w:customStyle="1" w:styleId="80">
    <w:name w:val="_Style 76"/>
    <w:basedOn w:val="48"/>
    <w:next w:val="2"/>
    <w:unhideWhenUsed/>
    <w:qFormat/>
    <w:uiPriority w:val="39"/>
    <w:pPr>
      <w:ind w:left="1680"/>
    </w:pPr>
    <w:rPr>
      <w:rFonts w:asciiTheme="minorHAnsi" w:hAnsiTheme="minorHAnsi" w:cstheme="minorHAnsi"/>
      <w:bCs w:val="0"/>
      <w:sz w:val="18"/>
      <w:szCs w:val="18"/>
    </w:rPr>
  </w:style>
  <w:style w:type="paragraph" w:customStyle="1" w:styleId="81">
    <w:name w:val="_Style 77"/>
    <w:basedOn w:val="48"/>
    <w:qFormat/>
    <w:uiPriority w:val="99"/>
    <w:pPr>
      <w:spacing w:before="100" w:beforeAutospacing="1" w:after="100" w:afterAutospacing="1"/>
    </w:pPr>
    <w:rPr>
      <w:sz w:val="24"/>
    </w:rPr>
  </w:style>
  <w:style w:type="paragraph" w:customStyle="1" w:styleId="82">
    <w:name w:val="_Style 78"/>
    <w:basedOn w:val="48"/>
    <w:next w:val="2"/>
    <w:semiHidden/>
    <w:qFormat/>
    <w:uiPriority w:val="0"/>
    <w:pPr>
      <w:ind w:firstLine="420" w:firstLineChars="200"/>
    </w:pPr>
    <w:rPr>
      <w:rFonts w:cs="Times New Roman"/>
      <w:color w:val="000000"/>
    </w:rPr>
  </w:style>
  <w:style w:type="paragraph" w:customStyle="1" w:styleId="83">
    <w:name w:val="_Style 79"/>
    <w:basedOn w:val="48"/>
    <w:next w:val="2"/>
    <w:qFormat/>
    <w:uiPriority w:val="10"/>
    <w:pPr>
      <w:widowControl w:val="0"/>
      <w:spacing w:before="240" w:after="60"/>
      <w:jc w:val="center"/>
      <w:outlineLvl w:val="0"/>
    </w:pPr>
    <w:rPr>
      <w:rFonts w:asciiTheme="majorHAnsi" w:hAnsiTheme="majorHAnsi" w:cstheme="majorBidi"/>
      <w:b/>
      <w:bCs w:val="0"/>
      <w:kern w:val="2"/>
      <w:sz w:val="32"/>
      <w:szCs w:val="32"/>
    </w:rPr>
  </w:style>
  <w:style w:type="paragraph" w:customStyle="1" w:styleId="84">
    <w:name w:val="_Style 80"/>
    <w:basedOn w:val="62"/>
    <w:next w:val="38"/>
    <w:unhideWhenUsed/>
    <w:qFormat/>
    <w:uiPriority w:val="99"/>
    <w:rPr>
      <w:rFonts w:ascii="Calibri" w:hAnsi="Calibri"/>
      <w:b/>
      <w:bCs w:val="0"/>
      <w:szCs w:val="22"/>
    </w:rPr>
  </w:style>
  <w:style w:type="table" w:customStyle="1" w:styleId="85">
    <w:name w:val="_Style 81"/>
    <w:basedOn w:val="4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6">
    <w:name w:val="_Style 82"/>
    <w:basedOn w:val="56"/>
    <w:semiHidden/>
    <w:unhideWhenUsed/>
    <w:qFormat/>
    <w:uiPriority w:val="99"/>
    <w:rPr>
      <w:vertAlign w:val="superscript"/>
    </w:rPr>
  </w:style>
  <w:style w:type="character" w:customStyle="1" w:styleId="87">
    <w:name w:val="_Style 83"/>
    <w:basedOn w:val="56"/>
    <w:qFormat/>
    <w:uiPriority w:val="99"/>
    <w:rPr>
      <w:rFonts w:cs="Times New Roman"/>
      <w:color w:val="0000FF"/>
      <w:u w:val="single"/>
    </w:rPr>
  </w:style>
  <w:style w:type="character" w:customStyle="1" w:styleId="88">
    <w:name w:val="_Style 84"/>
    <w:basedOn w:val="56"/>
    <w:qFormat/>
    <w:uiPriority w:val="99"/>
    <w:rPr>
      <w:rFonts w:eastAsia="宋体" w:cs="Times New Roman"/>
      <w:kern w:val="2"/>
      <w:sz w:val="21"/>
      <w:szCs w:val="21"/>
      <w:lang w:val="en-US" w:eastAsia="zh-CN" w:bidi="ar-SA"/>
    </w:rPr>
  </w:style>
  <w:style w:type="character" w:customStyle="1" w:styleId="89">
    <w:name w:val="_Style 85"/>
    <w:semiHidden/>
    <w:unhideWhenUsed/>
    <w:qFormat/>
    <w:uiPriority w:val="99"/>
    <w:rPr>
      <w:vertAlign w:val="superscript"/>
    </w:rPr>
  </w:style>
  <w:style w:type="character" w:customStyle="1" w:styleId="90">
    <w:name w:val="_Style 86"/>
    <w:basedOn w:val="56"/>
    <w:qFormat/>
    <w:uiPriority w:val="99"/>
    <w:rPr>
      <w:rFonts w:eastAsia="黑体"/>
      <w:b/>
      <w:kern w:val="44"/>
      <w:sz w:val="28"/>
      <w:szCs w:val="44"/>
    </w:rPr>
  </w:style>
  <w:style w:type="character" w:customStyle="1" w:styleId="91">
    <w:name w:val="_Style 87"/>
    <w:basedOn w:val="56"/>
    <w:qFormat/>
    <w:uiPriority w:val="0"/>
    <w:rPr>
      <w:rFonts w:ascii="Arial" w:hAnsi="Arial" w:cs="Times New Roman"/>
      <w:b/>
      <w:kern w:val="2"/>
    </w:rPr>
  </w:style>
  <w:style w:type="character" w:customStyle="1" w:styleId="92">
    <w:name w:val="_Style 88"/>
    <w:basedOn w:val="56"/>
    <w:qFormat/>
    <w:uiPriority w:val="9"/>
    <w:rPr>
      <w:b/>
      <w:kern w:val="2"/>
      <w:sz w:val="21"/>
      <w:szCs w:val="32"/>
    </w:rPr>
  </w:style>
  <w:style w:type="character" w:customStyle="1" w:styleId="93">
    <w:name w:val="_Style 89"/>
    <w:basedOn w:val="56"/>
    <w:qFormat/>
    <w:uiPriority w:val="9"/>
    <w:rPr>
      <w:rFonts w:ascii="Cambria" w:hAnsi="Cambria"/>
      <w:b/>
      <w:kern w:val="2"/>
      <w:sz w:val="21"/>
      <w:szCs w:val="28"/>
    </w:rPr>
  </w:style>
  <w:style w:type="character" w:customStyle="1" w:styleId="94">
    <w:name w:val="_Style 90"/>
    <w:basedOn w:val="56"/>
    <w:qFormat/>
    <w:uiPriority w:val="9"/>
    <w:rPr>
      <w:b/>
      <w:kern w:val="2"/>
      <w:sz w:val="21"/>
      <w:szCs w:val="28"/>
    </w:rPr>
  </w:style>
  <w:style w:type="paragraph" w:customStyle="1" w:styleId="95">
    <w:name w:val="_Style 91"/>
    <w:basedOn w:val="49"/>
    <w:next w:val="2"/>
    <w:qFormat/>
    <w:uiPriority w:val="39"/>
    <w:pPr>
      <w:widowControl/>
      <w:spacing w:before="480" w:after="0" w:line="276" w:lineRule="auto"/>
      <w:outlineLvl w:val="9"/>
    </w:pPr>
    <w:rPr>
      <w:rFonts w:ascii="Cambria" w:hAnsi="Cambria" w:eastAsia="宋体"/>
      <w:color w:val="365F91"/>
      <w:kern w:val="0"/>
      <w:szCs w:val="28"/>
    </w:rPr>
  </w:style>
  <w:style w:type="character" w:customStyle="1" w:styleId="96">
    <w:name w:val="_Style 92"/>
    <w:basedOn w:val="56"/>
    <w:link w:val="38"/>
    <w:qFormat/>
    <w:uiPriority w:val="0"/>
    <w:rPr>
      <w:rFonts w:ascii="Times New Roman" w:hAnsi="Times New Roman" w:eastAsia="宋体" w:cs="Times New Roman"/>
      <w:szCs w:val="21"/>
    </w:rPr>
  </w:style>
  <w:style w:type="character" w:customStyle="1" w:styleId="97">
    <w:name w:val="_Style 93"/>
    <w:basedOn w:val="56"/>
    <w:qFormat/>
    <w:uiPriority w:val="99"/>
    <w:rPr>
      <w:rFonts w:ascii="Calibri" w:hAnsi="Calibri" w:eastAsia="宋体" w:cs="Times New Roman"/>
      <w:sz w:val="18"/>
      <w:szCs w:val="18"/>
    </w:rPr>
  </w:style>
  <w:style w:type="character" w:customStyle="1" w:styleId="98">
    <w:name w:val="_Style 94"/>
    <w:basedOn w:val="56"/>
    <w:qFormat/>
    <w:uiPriority w:val="99"/>
    <w:rPr>
      <w:rFonts w:ascii="Times New Roman" w:hAnsi="Times New Roman" w:eastAsia="宋体" w:cs="Times New Roman"/>
      <w:szCs w:val="21"/>
    </w:rPr>
  </w:style>
  <w:style w:type="character" w:customStyle="1" w:styleId="99">
    <w:name w:val="_Style 95"/>
    <w:basedOn w:val="56"/>
    <w:qFormat/>
    <w:uiPriority w:val="99"/>
    <w:rPr>
      <w:rFonts w:eastAsia="宋体" w:cs="Times New Roman"/>
      <w:color w:val="FF0000"/>
      <w:kern w:val="2"/>
      <w:sz w:val="24"/>
      <w:szCs w:val="24"/>
      <w:lang w:val="en-US" w:eastAsia="zh-CN" w:bidi="ar-SA"/>
    </w:rPr>
  </w:style>
  <w:style w:type="paragraph" w:customStyle="1" w:styleId="100">
    <w:name w:val="_Style 96"/>
    <w:basedOn w:val="48"/>
    <w:qFormat/>
    <w:uiPriority w:val="99"/>
    <w:pPr>
      <w:spacing w:before="100" w:after="100"/>
      <w:jc w:val="right"/>
    </w:pPr>
    <w:rPr>
      <w:rFonts w:ascii="Arial Unicode MS" w:eastAsia="Arial Unicode MS" w:cs="Times New Roman"/>
      <w:sz w:val="18"/>
      <w:szCs w:val="18"/>
    </w:rPr>
  </w:style>
  <w:style w:type="paragraph" w:customStyle="1" w:styleId="101">
    <w:name w:val="_Style 97"/>
    <w:basedOn w:val="48"/>
    <w:qFormat/>
    <w:uiPriority w:val="34"/>
    <w:pPr>
      <w:widowControl w:val="0"/>
      <w:ind w:firstLine="420" w:firstLineChars="200"/>
      <w:jc w:val="both"/>
    </w:pPr>
    <w:rPr>
      <w:rFonts w:ascii="Calibri" w:hAnsi="Calibri" w:cs="Times New Roman"/>
      <w:kern w:val="2"/>
      <w:szCs w:val="22"/>
    </w:rPr>
  </w:style>
  <w:style w:type="character" w:customStyle="1" w:styleId="102">
    <w:name w:val="_Style 98"/>
    <w:basedOn w:val="96"/>
    <w:qFormat/>
    <w:uiPriority w:val="99"/>
    <w:rPr>
      <w:rFonts w:ascii="Calibri" w:hAnsi="Calibri" w:eastAsia="宋体" w:cs="Times New Roman"/>
      <w:b/>
      <w:szCs w:val="21"/>
    </w:rPr>
  </w:style>
  <w:style w:type="character" w:customStyle="1" w:styleId="103">
    <w:name w:val="_Style 99"/>
    <w:basedOn w:val="56"/>
    <w:qFormat/>
    <w:uiPriority w:val="99"/>
    <w:rPr>
      <w:rFonts w:ascii="Calibri" w:hAnsi="Calibri" w:eastAsia="宋体" w:cs="Times New Roman"/>
      <w:sz w:val="18"/>
      <w:szCs w:val="18"/>
    </w:rPr>
  </w:style>
  <w:style w:type="character" w:customStyle="1" w:styleId="104">
    <w:name w:val="_Style 100"/>
    <w:basedOn w:val="56"/>
    <w:qFormat/>
    <w:uiPriority w:val="99"/>
    <w:rPr>
      <w:rFonts w:ascii="Calibri" w:hAnsi="Calibri" w:eastAsia="宋体" w:cs="Times New Roman"/>
      <w:sz w:val="18"/>
      <w:szCs w:val="18"/>
    </w:rPr>
  </w:style>
  <w:style w:type="character" w:customStyle="1" w:styleId="105">
    <w:name w:val="_Style 101"/>
    <w:basedOn w:val="56"/>
    <w:qFormat/>
    <w:uiPriority w:val="0"/>
    <w:rPr>
      <w:rFonts w:ascii="宋体" w:hAnsi="Courier New" w:eastAsia="宋体" w:cs="Times New Roman"/>
      <w:szCs w:val="20"/>
    </w:rPr>
  </w:style>
  <w:style w:type="character" w:customStyle="1" w:styleId="106">
    <w:name w:val="_Style 102"/>
    <w:basedOn w:val="56"/>
    <w:qFormat/>
    <w:uiPriority w:val="0"/>
    <w:rPr>
      <w:rFonts w:eastAsia="宋体" w:cs="Times New Roman"/>
      <w:kern w:val="2"/>
      <w:sz w:val="24"/>
      <w:szCs w:val="24"/>
      <w:lang w:val="en-US" w:eastAsia="zh-CN" w:bidi="ar-SA"/>
    </w:rPr>
  </w:style>
  <w:style w:type="character" w:customStyle="1" w:styleId="107">
    <w:name w:val="_Style 103"/>
    <w:basedOn w:val="56"/>
    <w:qFormat/>
    <w:uiPriority w:val="99"/>
    <w:rPr>
      <w:rFonts w:ascii="Times New Roman" w:hAnsi="Times New Roman" w:eastAsia="宋体" w:cs="Times New Roman"/>
      <w:szCs w:val="21"/>
    </w:rPr>
  </w:style>
  <w:style w:type="paragraph" w:customStyle="1" w:styleId="108">
    <w:name w:val="_Style 104"/>
    <w:basedOn w:val="48"/>
    <w:qFormat/>
    <w:uiPriority w:val="99"/>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character" w:customStyle="1" w:styleId="109">
    <w:name w:val="_Style 105"/>
    <w:basedOn w:val="56"/>
    <w:qFormat/>
    <w:uiPriority w:val="99"/>
    <w:rPr>
      <w:rFonts w:ascii="Times New Roman" w:hAnsi="Times New Roman" w:eastAsia="宋体" w:cs="Times New Roman"/>
      <w:szCs w:val="21"/>
    </w:rPr>
  </w:style>
  <w:style w:type="character" w:customStyle="1" w:styleId="110">
    <w:name w:val="_Style 106"/>
    <w:basedOn w:val="56"/>
    <w:qFormat/>
    <w:uiPriority w:val="99"/>
    <w:rPr>
      <w:rFonts w:ascii="Times New Roman" w:hAnsi="Times New Roman" w:eastAsia="宋体" w:cs="Times New Roman"/>
      <w:szCs w:val="21"/>
    </w:rPr>
  </w:style>
  <w:style w:type="paragraph" w:customStyle="1" w:styleId="111">
    <w:name w:val="_Style 107"/>
    <w:basedOn w:val="48"/>
    <w:qFormat/>
    <w:uiPriority w:val="0"/>
    <w:pPr>
      <w:keepNext/>
      <w:keepLines/>
      <w:widowControl w:val="0"/>
      <w:spacing w:before="60" w:after="60"/>
      <w:ind w:hanging="420" w:hangingChars="200"/>
      <w:jc w:val="both"/>
      <w:outlineLvl w:val="4"/>
    </w:pPr>
    <w:rPr>
      <w:rFonts w:cs="Times New Roman"/>
      <w:b/>
      <w:bCs w:val="0"/>
      <w:kern w:val="2"/>
    </w:rPr>
  </w:style>
  <w:style w:type="paragraph" w:customStyle="1" w:styleId="112">
    <w:name w:val="_Style 108"/>
    <w:hidden/>
    <w:semiHidden/>
    <w:qFormat/>
    <w:uiPriority w:val="99"/>
    <w:rPr>
      <w:rFonts w:ascii="Times New Roman" w:hAnsi="Times New Roman" w:eastAsia="宋体" w:cs="宋体"/>
      <w:bCs/>
      <w:kern w:val="2"/>
      <w:sz w:val="21"/>
      <w:szCs w:val="22"/>
      <w:lang w:val="en-US" w:eastAsia="zh-CN" w:bidi="ar-SA"/>
    </w:rPr>
  </w:style>
  <w:style w:type="character" w:customStyle="1" w:styleId="113">
    <w:name w:val="_Style 109"/>
    <w:basedOn w:val="56"/>
    <w:qFormat/>
    <w:uiPriority w:val="0"/>
    <w:rPr>
      <w:kern w:val="2"/>
      <w:sz w:val="21"/>
      <w:szCs w:val="24"/>
    </w:rPr>
  </w:style>
  <w:style w:type="paragraph" w:customStyle="1" w:styleId="114">
    <w:name w:val="_Style 110"/>
    <w:basedOn w:val="48"/>
    <w:qFormat/>
    <w:uiPriority w:val="0"/>
    <w:pPr>
      <w:widowControl w:val="0"/>
      <w:spacing w:before="100" w:after="100"/>
      <w:jc w:val="both"/>
    </w:pPr>
    <w:rPr>
      <w:rFonts w:ascii="Calibri" w:hAnsi="Calibri" w:cs="Times New Roman"/>
      <w:kern w:val="2"/>
    </w:rPr>
  </w:style>
  <w:style w:type="character" w:customStyle="1" w:styleId="115">
    <w:name w:val="_Style 111"/>
    <w:basedOn w:val="56"/>
    <w:semiHidden/>
    <w:qFormat/>
    <w:uiPriority w:val="99"/>
    <w:rPr>
      <w:rFonts w:ascii="宋体"/>
      <w:kern w:val="2"/>
      <w:sz w:val="18"/>
      <w:szCs w:val="18"/>
    </w:rPr>
  </w:style>
  <w:style w:type="character" w:customStyle="1" w:styleId="116">
    <w:name w:val="_Style 112"/>
    <w:basedOn w:val="56"/>
    <w:qFormat/>
    <w:uiPriority w:val="99"/>
    <w:rPr>
      <w:color w:val="auto"/>
    </w:rPr>
  </w:style>
  <w:style w:type="character" w:customStyle="1" w:styleId="117">
    <w:name w:val="_Style 113"/>
    <w:basedOn w:val="56"/>
    <w:qFormat/>
    <w:uiPriority w:val="10"/>
    <w:rPr>
      <w:rFonts w:asciiTheme="majorHAnsi" w:hAnsiTheme="majorHAnsi" w:cstheme="majorBidi"/>
      <w:b/>
      <w:kern w:val="2"/>
      <w:sz w:val="32"/>
      <w:szCs w:val="32"/>
    </w:rPr>
  </w:style>
  <w:style w:type="paragraph" w:customStyle="1" w:styleId="118">
    <w:name w:val="_Style 114"/>
    <w:qFormat/>
    <w:uiPriority w:val="1"/>
    <w:pPr>
      <w:widowControl w:val="0"/>
      <w:jc w:val="both"/>
    </w:pPr>
    <w:rPr>
      <w:rFonts w:ascii="Times New Roman" w:hAnsi="Times New Roman" w:eastAsia="宋体" w:cs="宋体"/>
      <w:bCs/>
      <w:kern w:val="2"/>
      <w:sz w:val="21"/>
      <w:szCs w:val="22"/>
      <w:lang w:val="en-US" w:eastAsia="zh-CN" w:bidi="ar-SA"/>
    </w:rPr>
  </w:style>
  <w:style w:type="character" w:customStyle="1" w:styleId="119">
    <w:name w:val="_Style 115"/>
    <w:basedOn w:val="56"/>
    <w:qFormat/>
    <w:uiPriority w:val="9"/>
    <w:rPr>
      <w:rFonts w:asciiTheme="majorHAnsi" w:hAnsiTheme="majorHAnsi" w:cstheme="majorBidi"/>
      <w:b/>
      <w:sz w:val="21"/>
      <w:szCs w:val="24"/>
    </w:rPr>
  </w:style>
  <w:style w:type="character" w:customStyle="1" w:styleId="120">
    <w:name w:val="_Style 116"/>
    <w:basedOn w:val="56"/>
    <w:semiHidden/>
    <w:qFormat/>
    <w:uiPriority w:val="99"/>
    <w:rPr>
      <w:rFonts w:ascii="宋体" w:hAnsi="宋体" w:cs="宋体"/>
      <w:sz w:val="21"/>
      <w:szCs w:val="24"/>
    </w:rPr>
  </w:style>
  <w:style w:type="character" w:customStyle="1" w:styleId="121">
    <w:name w:val="_Style 117"/>
    <w:basedOn w:val="96"/>
    <w:semiHidden/>
    <w:qFormat/>
    <w:uiPriority w:val="99"/>
    <w:rPr>
      <w:rFonts w:ascii="Times New Roman" w:hAnsi="Times New Roman" w:eastAsia="宋体" w:cs="Times New Roman"/>
      <w:b/>
      <w:szCs w:val="21"/>
    </w:rPr>
  </w:style>
  <w:style w:type="paragraph" w:customStyle="1" w:styleId="122">
    <w:name w:val="_Style 118"/>
    <w:basedOn w:val="48"/>
    <w:next w:val="2"/>
    <w:qFormat/>
    <w:uiPriority w:val="0"/>
    <w:pPr>
      <w:keepNext/>
      <w:keepLines/>
      <w:widowControl w:val="0"/>
      <w:spacing w:before="100" w:beforeAutospacing="1" w:after="100" w:afterAutospacing="1" w:line="415" w:lineRule="auto"/>
      <w:jc w:val="both"/>
    </w:pPr>
    <w:rPr>
      <w:rFonts w:cs="Times New Roman"/>
      <w:b/>
      <w:kern w:val="2"/>
    </w:rPr>
  </w:style>
  <w:style w:type="character" w:customStyle="1" w:styleId="123">
    <w:name w:val="_Style 119"/>
    <w:basedOn w:val="56"/>
    <w:qFormat/>
    <w:uiPriority w:val="0"/>
    <w:rPr>
      <w:rFonts w:ascii="Times New Roman" w:hAnsi="Times New Roman"/>
      <w:b/>
      <w:kern w:val="2"/>
      <w:sz w:val="21"/>
      <w:szCs w:val="24"/>
    </w:rPr>
  </w:style>
  <w:style w:type="character" w:customStyle="1" w:styleId="124">
    <w:name w:val="_Style 120"/>
    <w:basedOn w:val="96"/>
    <w:semiHidden/>
    <w:qFormat/>
    <w:uiPriority w:val="99"/>
    <w:rPr>
      <w:rFonts w:ascii="Times New Roman" w:hAnsi="Times New Roman" w:eastAsia="宋体" w:cs="Times New Roman"/>
      <w:b/>
      <w:szCs w:val="21"/>
    </w:rPr>
  </w:style>
  <w:style w:type="character" w:customStyle="1" w:styleId="125">
    <w:name w:val="_Style 121"/>
    <w:basedOn w:val="56"/>
    <w:qFormat/>
    <w:uiPriority w:val="9"/>
    <w:rPr>
      <w:rFonts w:ascii="宋体" w:hAnsi="宋体" w:cs="宋体"/>
      <w:b/>
      <w:sz w:val="24"/>
      <w:szCs w:val="24"/>
    </w:rPr>
  </w:style>
  <w:style w:type="character" w:customStyle="1" w:styleId="126">
    <w:name w:val="_Style 122"/>
    <w:basedOn w:val="56"/>
    <w:qFormat/>
    <w:uiPriority w:val="0"/>
  </w:style>
  <w:style w:type="character" w:customStyle="1" w:styleId="127">
    <w:name w:val="_Style 123"/>
    <w:qFormat/>
    <w:uiPriority w:val="9"/>
    <w:rPr>
      <w:rFonts w:ascii="Cambria" w:hAnsi="Cambria"/>
      <w:b/>
      <w:kern w:val="2"/>
      <w:sz w:val="21"/>
      <w:szCs w:val="28"/>
    </w:rPr>
  </w:style>
  <w:style w:type="paragraph" w:customStyle="1" w:styleId="128">
    <w:name w:val="_Style 124"/>
    <w:basedOn w:val="48"/>
    <w:qFormat/>
    <w:uiPriority w:val="34"/>
    <w:pPr>
      <w:widowControl w:val="0"/>
      <w:ind w:firstLine="420" w:firstLineChars="200"/>
      <w:jc w:val="both"/>
    </w:pPr>
    <w:rPr>
      <w:rFonts w:ascii="Calibri" w:hAnsi="Calibri" w:cs="Times New Roman"/>
      <w:kern w:val="2"/>
      <w:szCs w:val="22"/>
    </w:rPr>
  </w:style>
  <w:style w:type="table" w:customStyle="1" w:styleId="129">
    <w:name w:val="_Style 125"/>
    <w:basedOn w:val="44"/>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130">
    <w:name w:val="_Style 126"/>
    <w:basedOn w:val="48"/>
    <w:qFormat/>
    <w:uiPriority w:val="34"/>
    <w:pPr>
      <w:widowControl w:val="0"/>
      <w:ind w:firstLine="420" w:firstLineChars="200"/>
      <w:jc w:val="both"/>
    </w:pPr>
    <w:rPr>
      <w:rFonts w:ascii="Calibri" w:hAnsi="Calibri" w:cs="Times New Roman"/>
      <w:kern w:val="2"/>
      <w:szCs w:val="22"/>
    </w:rPr>
  </w:style>
  <w:style w:type="character" w:customStyle="1" w:styleId="131">
    <w:name w:val="_Style 127"/>
    <w:qFormat/>
    <w:uiPriority w:val="9"/>
    <w:rPr>
      <w:b/>
      <w:kern w:val="2"/>
      <w:sz w:val="21"/>
      <w:szCs w:val="32"/>
    </w:rPr>
  </w:style>
  <w:style w:type="paragraph" w:customStyle="1" w:styleId="132">
    <w:name w:val="_Style 128"/>
    <w:basedOn w:val="48"/>
    <w:qFormat/>
    <w:uiPriority w:val="34"/>
    <w:pPr>
      <w:widowControl w:val="0"/>
      <w:ind w:firstLine="420" w:firstLineChars="200"/>
      <w:jc w:val="both"/>
    </w:pPr>
    <w:rPr>
      <w:rFonts w:ascii="Calibri" w:hAnsi="Calibri" w:cs="Times New Roman"/>
      <w:kern w:val="2"/>
      <w:szCs w:val="22"/>
    </w:rPr>
  </w:style>
  <w:style w:type="paragraph" w:customStyle="1" w:styleId="133">
    <w:name w:val="_Style 129"/>
    <w:basedOn w:val="48"/>
    <w:qFormat/>
    <w:uiPriority w:val="34"/>
    <w:pPr>
      <w:widowControl w:val="0"/>
      <w:ind w:firstLine="420" w:firstLineChars="200"/>
      <w:jc w:val="both"/>
    </w:pPr>
    <w:rPr>
      <w:rFonts w:ascii="Calibri" w:hAnsi="Calibri" w:cs="Times New Roman"/>
      <w:kern w:val="2"/>
      <w:szCs w:val="22"/>
    </w:rPr>
  </w:style>
  <w:style w:type="paragraph" w:customStyle="1" w:styleId="134">
    <w:name w:val="_Style 130"/>
    <w:basedOn w:val="48"/>
    <w:qFormat/>
    <w:uiPriority w:val="1"/>
    <w:pPr>
      <w:widowControl w:val="0"/>
      <w:autoSpaceDE w:val="0"/>
      <w:autoSpaceDN w:val="0"/>
      <w:spacing w:after="160" w:line="259" w:lineRule="auto"/>
    </w:pPr>
    <w:rPr>
      <w:rFonts w:ascii="Noto Sans CJK JP Regular" w:hAnsi="Noto Sans CJK JP Regular" w:eastAsia="Noto Sans CJK JP Regular" w:cs="Noto Sans CJK JP Regular"/>
      <w:sz w:val="22"/>
      <w:szCs w:val="22"/>
      <w:lang w:eastAsia="en-US"/>
    </w:rPr>
  </w:style>
  <w:style w:type="character" w:customStyle="1" w:styleId="135">
    <w:name w:val="_Style 131"/>
    <w:qFormat/>
    <w:uiPriority w:val="0"/>
    <w:rPr>
      <w:rFonts w:ascii="Times New Roman" w:hAnsi="Times New Roman"/>
      <w:kern w:val="2"/>
      <w:sz w:val="21"/>
      <w:szCs w:val="21"/>
    </w:rPr>
  </w:style>
  <w:style w:type="character" w:customStyle="1" w:styleId="136">
    <w:name w:val="_Style 132"/>
    <w:qFormat/>
    <w:uiPriority w:val="9"/>
    <w:rPr>
      <w:b/>
      <w:kern w:val="2"/>
      <w:sz w:val="21"/>
      <w:szCs w:val="28"/>
    </w:rPr>
  </w:style>
  <w:style w:type="paragraph" w:customStyle="1" w:styleId="137">
    <w:name w:val="_Style 133"/>
    <w:basedOn w:val="48"/>
    <w:qFormat/>
    <w:uiPriority w:val="34"/>
    <w:pPr>
      <w:widowControl w:val="0"/>
      <w:ind w:firstLine="420" w:firstLineChars="200"/>
      <w:jc w:val="both"/>
    </w:pPr>
    <w:rPr>
      <w:rFonts w:ascii="Calibri" w:hAnsi="Calibri" w:cs="Times New Roman"/>
      <w:kern w:val="2"/>
      <w:szCs w:val="22"/>
    </w:rPr>
  </w:style>
  <w:style w:type="character" w:customStyle="1" w:styleId="138">
    <w:name w:val="_Style 134"/>
    <w:qFormat/>
    <w:uiPriority w:val="0"/>
    <w:rPr>
      <w:rFonts w:ascii="Times New Roman" w:hAnsi="Times New Roman"/>
      <w:kern w:val="2"/>
      <w:sz w:val="21"/>
      <w:szCs w:val="21"/>
    </w:rPr>
  </w:style>
  <w:style w:type="character" w:customStyle="1" w:styleId="139">
    <w:name w:val="_Style 135"/>
    <w:qFormat/>
    <w:uiPriority w:val="9"/>
    <w:rPr>
      <w:b/>
      <w:kern w:val="2"/>
      <w:sz w:val="21"/>
      <w:szCs w:val="32"/>
    </w:rPr>
  </w:style>
  <w:style w:type="character" w:customStyle="1" w:styleId="140">
    <w:name w:val="_Style 136"/>
    <w:qFormat/>
    <w:uiPriority w:val="0"/>
    <w:rPr>
      <w:rFonts w:ascii="Arial" w:hAnsi="Arial"/>
      <w:b/>
      <w:kern w:val="2"/>
      <w:sz w:val="21"/>
      <w:szCs w:val="21"/>
    </w:rPr>
  </w:style>
  <w:style w:type="character" w:customStyle="1" w:styleId="141">
    <w:name w:val="_Style 137"/>
    <w:qFormat/>
    <w:uiPriority w:val="9"/>
    <w:rPr>
      <w:rFonts w:ascii="Cambria" w:hAnsi="Cambria"/>
      <w:b/>
      <w:kern w:val="2"/>
      <w:sz w:val="21"/>
      <w:szCs w:val="28"/>
    </w:rPr>
  </w:style>
  <w:style w:type="character" w:customStyle="1" w:styleId="142">
    <w:name w:val="_Style 138"/>
    <w:qFormat/>
    <w:uiPriority w:val="9"/>
    <w:rPr>
      <w:b/>
      <w:kern w:val="2"/>
      <w:sz w:val="21"/>
      <w:szCs w:val="28"/>
    </w:rPr>
  </w:style>
  <w:style w:type="paragraph" w:customStyle="1" w:styleId="143">
    <w:name w:val="_Style 139"/>
    <w:basedOn w:val="48"/>
    <w:qFormat/>
    <w:uiPriority w:val="34"/>
    <w:pPr>
      <w:widowControl w:val="0"/>
      <w:ind w:firstLine="420" w:firstLineChars="200"/>
      <w:jc w:val="both"/>
    </w:pPr>
    <w:rPr>
      <w:rFonts w:ascii="Calibri" w:hAnsi="Calibri" w:cs="Times New Roman"/>
      <w:kern w:val="2"/>
      <w:szCs w:val="22"/>
    </w:rPr>
  </w:style>
  <w:style w:type="character" w:customStyle="1" w:styleId="144">
    <w:name w:val="_Style 140"/>
    <w:qFormat/>
    <w:uiPriority w:val="99"/>
    <w:rPr>
      <w:rFonts w:ascii="Times New Roman" w:hAnsi="Times New Roman"/>
      <w:kern w:val="2"/>
      <w:sz w:val="21"/>
      <w:szCs w:val="21"/>
    </w:rPr>
  </w:style>
  <w:style w:type="character" w:customStyle="1" w:styleId="145">
    <w:name w:val="_Style 141"/>
    <w:qFormat/>
    <w:uiPriority w:val="0"/>
    <w:rPr>
      <w:rFonts w:ascii="Times New Roman" w:hAnsi="Times New Roman" w:cs="Times New Roman"/>
      <w:kern w:val="2"/>
      <w:sz w:val="21"/>
      <w:szCs w:val="21"/>
    </w:rPr>
  </w:style>
  <w:style w:type="character" w:customStyle="1" w:styleId="146">
    <w:name w:val="_Style 142"/>
    <w:qFormat/>
    <w:uiPriority w:val="99"/>
    <w:rPr>
      <w:rFonts w:ascii="Times New Roman" w:hAnsi="Times New Roman"/>
      <w:kern w:val="2"/>
      <w:sz w:val="21"/>
      <w:szCs w:val="21"/>
    </w:rPr>
  </w:style>
  <w:style w:type="character" w:customStyle="1" w:styleId="147">
    <w:name w:val="_Style 143"/>
    <w:qFormat/>
    <w:uiPriority w:val="0"/>
    <w:rPr>
      <w:rFonts w:hint="default" w:ascii="FZLTSK--GBK1-0" w:hAnsi="FZLTSK--GBK1-0"/>
      <w:bCs/>
      <w:color w:val="000000"/>
      <w:sz w:val="20"/>
      <w:szCs w:val="20"/>
    </w:rPr>
  </w:style>
  <w:style w:type="character" w:customStyle="1" w:styleId="148">
    <w:name w:val="_Style 144"/>
    <w:semiHidden/>
    <w:qFormat/>
    <w:locked/>
    <w:uiPriority w:val="99"/>
    <w:rPr>
      <w:rFonts w:ascii="Times New Roman" w:hAnsi="Times New Roman"/>
      <w:kern w:val="2"/>
      <w:sz w:val="21"/>
      <w:szCs w:val="21"/>
    </w:rPr>
  </w:style>
  <w:style w:type="character" w:customStyle="1" w:styleId="149">
    <w:name w:val="_Style 145"/>
    <w:qFormat/>
    <w:uiPriority w:val="0"/>
    <w:rPr>
      <w:rFonts w:ascii="Arial" w:hAnsi="Arial"/>
      <w:b/>
      <w:kern w:val="2"/>
      <w:sz w:val="21"/>
      <w:szCs w:val="21"/>
    </w:rPr>
  </w:style>
  <w:style w:type="character" w:customStyle="1" w:styleId="150">
    <w:name w:val="_Style 146"/>
    <w:qFormat/>
    <w:uiPriority w:val="9"/>
    <w:rPr>
      <w:b/>
      <w:kern w:val="2"/>
      <w:sz w:val="21"/>
      <w:szCs w:val="28"/>
    </w:rPr>
  </w:style>
  <w:style w:type="character" w:customStyle="1" w:styleId="151">
    <w:name w:val="_Style 147"/>
    <w:qFormat/>
    <w:uiPriority w:val="9"/>
    <w:rPr>
      <w:b/>
      <w:kern w:val="2"/>
      <w:sz w:val="21"/>
      <w:szCs w:val="32"/>
    </w:rPr>
  </w:style>
  <w:style w:type="character" w:customStyle="1" w:styleId="152">
    <w:name w:val="_Style 148"/>
    <w:qFormat/>
    <w:uiPriority w:val="9"/>
    <w:rPr>
      <w:b/>
      <w:kern w:val="2"/>
      <w:sz w:val="21"/>
      <w:szCs w:val="32"/>
    </w:rPr>
  </w:style>
  <w:style w:type="character" w:customStyle="1" w:styleId="153">
    <w:name w:val="_Style 149"/>
    <w:basedOn w:val="56"/>
    <w:semiHidden/>
    <w:qFormat/>
    <w:uiPriority w:val="99"/>
    <w:rPr>
      <w:rFonts w:ascii="Calibri" w:hAnsi="Calibri" w:cs="Times New Roman"/>
      <w:kern w:val="2"/>
      <w:sz w:val="18"/>
      <w:szCs w:val="18"/>
    </w:rPr>
  </w:style>
  <w:style w:type="paragraph" w:customStyle="1" w:styleId="154">
    <w:name w:val="_Style 150"/>
    <w:basedOn w:val="48"/>
    <w:qFormat/>
    <w:uiPriority w:val="0"/>
    <w:rPr>
      <w:rFonts w:cs="Times New Roman"/>
      <w:bCs w:val="0"/>
      <w:sz w:val="24"/>
      <w:szCs w:val="24"/>
    </w:rPr>
  </w:style>
  <w:style w:type="character" w:customStyle="1" w:styleId="155">
    <w:name w:val="未处理的提及1"/>
    <w:basedOn w:val="21"/>
    <w:semiHidden/>
    <w:unhideWhenUsed/>
    <w:qFormat/>
    <w:uiPriority w:val="99"/>
    <w:rPr>
      <w:color w:val="605E5C"/>
      <w:shd w:val="clear" w:color="auto" w:fill="E1DFDD"/>
    </w:rPr>
  </w:style>
  <w:style w:type="character" w:customStyle="1" w:styleId="156">
    <w:name w:val="批注主题 字符"/>
    <w:basedOn w:val="29"/>
    <w:link w:val="18"/>
    <w:qFormat/>
    <w:uiPriority w:val="99"/>
    <w:rPr>
      <w:rFonts w:ascii="Times New Roman" w:hAnsi="Times New Roman" w:eastAsia="宋体" w:cs="Times New Roman"/>
      <w:b/>
      <w:bCs/>
      <w:szCs w:val="21"/>
    </w:rPr>
  </w:style>
  <w:style w:type="character" w:styleId="157">
    <w:name w:val="Placeholder Text"/>
    <w:basedOn w:val="21"/>
    <w:qFormat/>
    <w:uiPriority w:val="99"/>
    <w:rPr>
      <w:color w:val="808080"/>
    </w:rPr>
  </w:style>
  <w:style w:type="character" w:customStyle="1" w:styleId="158">
    <w:name w:val="批注框文本 字符"/>
    <w:basedOn w:val="21"/>
    <w:link w:val="14"/>
    <w:uiPriority w:val="99"/>
    <w:rPr>
      <w:rFonts w:cs="宋体"/>
      <w:bCs/>
      <w:sz w:val="18"/>
      <w:szCs w:val="18"/>
    </w:rPr>
  </w:style>
  <w:style w:type="paragraph" w:customStyle="1" w:styleId="159">
    <w:name w:val="修订1"/>
    <w:hidden/>
    <w:unhideWhenUsed/>
    <w:qFormat/>
    <w:uiPriority w:val="99"/>
    <w:rPr>
      <w:rFonts w:ascii="Times New Roman" w:hAnsi="Times New Roman" w:eastAsia="宋体" w:cs="宋体"/>
      <w:bCs/>
      <w:sz w:val="21"/>
      <w:szCs w:val="21"/>
      <w:lang w:val="en-US" w:eastAsia="zh-CN" w:bidi="ar-SA"/>
    </w:rPr>
  </w:style>
  <w:style w:type="paragraph" w:customStyle="1" w:styleId="160">
    <w:name w:val="Revision"/>
    <w:hidden/>
    <w:unhideWhenUsed/>
    <w:qFormat/>
    <w:uiPriority w:val="99"/>
    <w:rPr>
      <w:rFonts w:ascii="Times New Roman" w:hAnsi="Times New Roman" w:eastAsia="宋体" w:cs="宋体"/>
      <w:bCs/>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customXml" Target="../customXml/item5.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5.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B-ZB-009\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11111111111111111111111111111"/>
        <w:style w:val=""/>
        <w:category>
          <w:name w:val="常规"/>
          <w:gallery w:val="placeholder"/>
        </w:category>
        <w:types>
          <w:type w:val="bbPlcHdr"/>
        </w:types>
        <w:behaviors>
          <w:behavior w:val="content"/>
        </w:behaviors>
        <w:description w:val=""/>
        <w:guid w:val="{B960C2E6-8E28-4930-AAD5-AA36AFD6E523}"/>
      </w:docPartPr>
      <w:docPartBody>
        <w:p>
          <w:pPr>
            <w:rPr>
              <w:rFonts w:hint="eastAsia"/>
            </w:rPr>
          </w:pPr>
          <w:r>
            <w:rPr>
              <w:rStyle w:val="4"/>
              <w:rFonts w:hint="eastAsia"/>
            </w:rPr>
            <w:t>　</w:t>
          </w:r>
        </w:p>
      </w:docPartBody>
    </w:docPart>
    <w:docPart>
      <w:docPartPr>
        <w:name w:val="GBC22222222222222222222222222222"/>
        <w:style w:val=""/>
        <w:category>
          <w:name w:val="常规"/>
          <w:gallery w:val="placeholder"/>
        </w:category>
        <w:types>
          <w:type w:val="bbPlcHdr"/>
        </w:types>
        <w:behaviors>
          <w:behavior w:val="content"/>
        </w:behaviors>
        <w:description w:val=""/>
        <w:guid w:val="{54795268-88DE-4BB2-A320-6C6C52CBF450}"/>
      </w:docPartPr>
      <w:docPartBody>
        <w:p>
          <w:pPr>
            <w:rPr>
              <w:rFonts w:hint="eastAsia"/>
            </w:rPr>
          </w:pPr>
          <w:r>
            <w:rPr>
              <w:rStyle w:val="4"/>
              <w:color w:val="333399"/>
              <w:u w:val="single"/>
            </w:rPr>
            <w:t>　　　</w:t>
          </w:r>
        </w:p>
      </w:docPartBody>
    </w:docPart>
    <w:docPart>
      <w:docPartPr>
        <w:name w:val="10CB9194DA154236BB9BD637D407C0C3"/>
        <w:style w:val=""/>
        <w:category>
          <w:name w:val="常规"/>
          <w:gallery w:val="placeholder"/>
        </w:category>
        <w:types>
          <w:type w:val="bbPlcHdr"/>
        </w:types>
        <w:behaviors>
          <w:behavior w:val="content"/>
        </w:behaviors>
        <w:description w:val=""/>
        <w:guid w:val="{501CAFDE-E9D1-47BD-8980-49964EB865F7}"/>
      </w:docPartPr>
      <w:docPartBody>
        <w:p>
          <w:pPr>
            <w:pStyle w:val="5"/>
            <w:rPr>
              <w:rFonts w:hint="eastAsia"/>
            </w:rPr>
          </w:pPr>
          <w:r>
            <w:rPr>
              <w:rStyle w:val="4"/>
              <w:color w:val="333399"/>
              <w:u w:val="single"/>
            </w:rPr>
            <w:t>　　　</w:t>
          </w:r>
        </w:p>
      </w:docPartBody>
    </w:docPart>
    <w:docPart>
      <w:docPartPr>
        <w:name w:val="1F604DE714B349B5928A67E7D0749685"/>
        <w:style w:val=""/>
        <w:category>
          <w:name w:val="常规"/>
          <w:gallery w:val="placeholder"/>
        </w:category>
        <w:types>
          <w:type w:val="bbPlcHdr"/>
        </w:types>
        <w:behaviors>
          <w:behavior w:val="content"/>
        </w:behaviors>
        <w:description w:val=""/>
        <w:guid w:val="{B9F38E0E-8F71-458C-9797-4E1A274EA7DC}"/>
      </w:docPartPr>
      <w:docPartBody>
        <w:p>
          <w:pPr>
            <w:pStyle w:val="7"/>
            <w:rPr>
              <w:rFonts w:hint="eastAsia"/>
            </w:rPr>
          </w:pPr>
          <w:r>
            <w:rPr>
              <w:rStyle w:val="4"/>
              <w:color w:val="333399"/>
              <w:u w:val="single"/>
            </w:rPr>
            <w:t>　　　</w:t>
          </w:r>
        </w:p>
      </w:docPartBody>
    </w:docPart>
    <w:docPart>
      <w:docPartPr>
        <w:name w:val="70B03FBE92CE4FF3B83D4EEABA9B422B"/>
        <w:style w:val=""/>
        <w:category>
          <w:name w:val="常规"/>
          <w:gallery w:val="placeholder"/>
        </w:category>
        <w:types>
          <w:type w:val="bbPlcHdr"/>
        </w:types>
        <w:behaviors>
          <w:behavior w:val="content"/>
        </w:behaviors>
        <w:description w:val=""/>
        <w:guid w:val="{7FD14B61-6CA8-44BB-8F9F-AD33F055EF2A}"/>
      </w:docPartPr>
      <w:docPartBody>
        <w:p>
          <w:pPr>
            <w:pStyle w:val="8"/>
            <w:rPr>
              <w:rFonts w:hint="eastAsia"/>
            </w:rPr>
          </w:pPr>
          <w:r>
            <w:rPr>
              <w:rStyle w:val="4"/>
              <w:color w:val="333399"/>
              <w:u w:val="single"/>
            </w:rPr>
            <w:t>　　　</w:t>
          </w:r>
        </w:p>
      </w:docPartBody>
    </w:docPart>
    <w:docPart>
      <w:docPartPr>
        <w:name w:val="17B796154A4A4106AF60BF4E93A9E880"/>
        <w:style w:val=""/>
        <w:category>
          <w:name w:val="常规"/>
          <w:gallery w:val="placeholder"/>
        </w:category>
        <w:types>
          <w:type w:val="bbPlcHdr"/>
        </w:types>
        <w:behaviors>
          <w:behavior w:val="content"/>
        </w:behaviors>
        <w:description w:val=""/>
        <w:guid w:val="{5EE78A92-5073-4326-8577-999A44E71B29}"/>
      </w:docPartPr>
      <w:docPartBody>
        <w:p>
          <w:pPr>
            <w:pStyle w:val="9"/>
            <w:rPr>
              <w:rFonts w:hint="eastAsia"/>
            </w:rPr>
          </w:pPr>
          <w:r>
            <w:rPr>
              <w:rStyle w:val="4"/>
              <w:color w:val="333399"/>
              <w:u w:val="single"/>
            </w:rPr>
            <w:t>　　　</w:t>
          </w:r>
        </w:p>
      </w:docPartBody>
    </w:docPart>
    <w:docPart>
      <w:docPartPr>
        <w:name w:val="DC93BB499FEF429E81D97CB8AA490140"/>
        <w:style w:val=""/>
        <w:category>
          <w:name w:val="常规"/>
          <w:gallery w:val="placeholder"/>
        </w:category>
        <w:types>
          <w:type w:val="bbPlcHdr"/>
        </w:types>
        <w:behaviors>
          <w:behavior w:val="content"/>
        </w:behaviors>
        <w:description w:val=""/>
        <w:guid w:val="{6E98BE7D-448D-4A56-AC89-EE0BD67D4DBE}"/>
      </w:docPartPr>
      <w:docPartBody>
        <w:p>
          <w:pPr>
            <w:pStyle w:val="6"/>
            <w:rPr>
              <w:rFonts w:hint="eastAsia"/>
            </w:rPr>
          </w:pPr>
          <w:r>
            <w:rPr>
              <w:rStyle w:val="4"/>
              <w:color w:val="333399"/>
              <w:u w:val="single"/>
            </w:rPr>
            <w:t>　　　</w:t>
          </w:r>
        </w:p>
      </w:docPartBody>
    </w:docPart>
    <w:docPart>
      <w:docPartPr>
        <w:name w:val="F37F26CE1F774E4E80F2BA59CE1425F2"/>
        <w:style w:val=""/>
        <w:category>
          <w:name w:val="常规"/>
          <w:gallery w:val="placeholder"/>
        </w:category>
        <w:types>
          <w:type w:val="bbPlcHdr"/>
        </w:types>
        <w:behaviors>
          <w:behavior w:val="content"/>
        </w:behaviors>
        <w:description w:val=""/>
        <w:guid w:val="{B894C205-FDBE-4C43-9031-6D6022E9000D}"/>
      </w:docPartPr>
      <w:docPartBody>
        <w:p>
          <w:pPr>
            <w:pStyle w:val="13"/>
            <w:rPr>
              <w:rFonts w:hint="eastAsia"/>
            </w:rPr>
          </w:pPr>
          <w:r>
            <w:rPr>
              <w:rStyle w:val="4"/>
              <w:color w:val="333399"/>
              <w:u w:val="single"/>
            </w:rPr>
            <w:t>　　　</w:t>
          </w:r>
        </w:p>
      </w:docPartBody>
    </w:docPart>
    <w:docPart>
      <w:docPartPr>
        <w:name w:val="BA4F6D915FEE4C73B86D16E943CFFF0A"/>
        <w:style w:val=""/>
        <w:category>
          <w:name w:val="常规"/>
          <w:gallery w:val="placeholder"/>
        </w:category>
        <w:types>
          <w:type w:val="bbPlcHdr"/>
        </w:types>
        <w:behaviors>
          <w:behavior w:val="content"/>
        </w:behaviors>
        <w:description w:val=""/>
        <w:guid w:val="{C66575A3-2609-4155-98BD-F914C1F13E82}"/>
      </w:docPartPr>
      <w:docPartBody>
        <w:p>
          <w:pPr>
            <w:pStyle w:val="14"/>
            <w:rPr>
              <w:rFonts w:hint="eastAsia"/>
            </w:rPr>
          </w:pPr>
          <w:r>
            <w:rPr>
              <w:rStyle w:val="4"/>
              <w:color w:val="333399"/>
              <w:u w:val="single"/>
            </w:rPr>
            <w:t>　　　</w:t>
          </w:r>
        </w:p>
      </w:docPartBody>
    </w:docPart>
    <w:docPart>
      <w:docPartPr>
        <w:name w:val="67208BEDB0EF4559855C345F9AC52D77"/>
        <w:style w:val=""/>
        <w:category>
          <w:name w:val="常规"/>
          <w:gallery w:val="placeholder"/>
        </w:category>
        <w:types>
          <w:type w:val="bbPlcHdr"/>
        </w:types>
        <w:behaviors>
          <w:behavior w:val="content"/>
        </w:behaviors>
        <w:description w:val=""/>
        <w:guid w:val="{B26AA5A5-6360-42F6-B0D4-F9F899D71103}"/>
      </w:docPartPr>
      <w:docPartBody>
        <w:p>
          <w:pPr>
            <w:pStyle w:val="15"/>
            <w:rPr>
              <w:rFonts w:hint="eastAsia"/>
            </w:rPr>
          </w:pPr>
          <w:r>
            <w:rPr>
              <w:rStyle w:val="4"/>
              <w:color w:val="333399"/>
              <w:u w:val="single"/>
            </w:rPr>
            <w:t>　　　</w:t>
          </w:r>
        </w:p>
      </w:docPartBody>
    </w:docPart>
    <w:docPart>
      <w:docPartPr>
        <w:name w:val="549510D9C6E7441B9E2CE1110A7A253D"/>
        <w:style w:val=""/>
        <w:category>
          <w:name w:val="常规"/>
          <w:gallery w:val="placeholder"/>
        </w:category>
        <w:types>
          <w:type w:val="bbPlcHdr"/>
        </w:types>
        <w:behaviors>
          <w:behavior w:val="content"/>
        </w:behaviors>
        <w:description w:val=""/>
        <w:guid w:val="{DF331EC5-13BA-40DF-8C31-3E98BB446221}"/>
      </w:docPartPr>
      <w:docPartBody>
        <w:p>
          <w:pPr>
            <w:pStyle w:val="10"/>
            <w:rPr>
              <w:rFonts w:hint="eastAsia"/>
            </w:rPr>
          </w:pPr>
          <w:r>
            <w:rPr>
              <w:rStyle w:val="4"/>
              <w:color w:val="333399"/>
              <w:u w:val="single"/>
            </w:rPr>
            <w:t>　　　</w:t>
          </w:r>
        </w:p>
      </w:docPartBody>
    </w:docPart>
    <w:docPart>
      <w:docPartPr>
        <w:name w:val="2DC1F87D4C3943778AF782E952D60919"/>
        <w:style w:val=""/>
        <w:category>
          <w:name w:val="常规"/>
          <w:gallery w:val="placeholder"/>
        </w:category>
        <w:types>
          <w:type w:val="bbPlcHdr"/>
        </w:types>
        <w:behaviors>
          <w:behavior w:val="content"/>
        </w:behaviors>
        <w:description w:val=""/>
        <w:guid w:val="{DF8E6A73-64AE-4B46-A1C9-7C28CB743B9D}"/>
      </w:docPartPr>
      <w:docPartBody>
        <w:p>
          <w:pPr>
            <w:pStyle w:val="11"/>
            <w:rPr>
              <w:rFonts w:hint="eastAsia"/>
            </w:rPr>
          </w:pPr>
          <w:r>
            <w:rPr>
              <w:rStyle w:val="4"/>
            </w:rPr>
            <w:t>　</w:t>
          </w:r>
        </w:p>
      </w:docPartBody>
    </w:docPart>
    <w:docPart>
      <w:docPartPr>
        <w:name w:val="5D1059B7883D4390AFE9AA14283C7A71"/>
        <w:style w:val=""/>
        <w:category>
          <w:name w:val="常规"/>
          <w:gallery w:val="placeholder"/>
        </w:category>
        <w:types>
          <w:type w:val="bbPlcHdr"/>
        </w:types>
        <w:behaviors>
          <w:behavior w:val="content"/>
        </w:behaviors>
        <w:description w:val=""/>
        <w:guid w:val="{E7C4F51A-C916-4824-8681-0A847985EBFE}"/>
      </w:docPartPr>
      <w:docPartBody>
        <w:p>
          <w:pPr>
            <w:pStyle w:val="12"/>
            <w:rPr>
              <w:rFonts w:hint="eastAsia"/>
            </w:rPr>
          </w:pPr>
          <w:r>
            <w:rPr>
              <w:rStyle w:val="4"/>
              <w:color w:val="333399"/>
              <w:u w:val="single"/>
            </w:rPr>
            <w:t>　　　</w:t>
          </w:r>
        </w:p>
      </w:docPartBody>
    </w:docPart>
    <w:docPart>
      <w:docPartPr>
        <w:name w:val="F8B5B5D8B1194460B2EEEF01A85C25CA"/>
        <w:style w:val=""/>
        <w:category>
          <w:name w:val="常规"/>
          <w:gallery w:val="placeholder"/>
        </w:category>
        <w:types>
          <w:type w:val="bbPlcHdr"/>
        </w:types>
        <w:behaviors>
          <w:behavior w:val="content"/>
        </w:behaviors>
        <w:description w:val=""/>
        <w:guid w:val="{DFABF59B-C837-495C-B35B-53A03DB68FB9}"/>
      </w:docPartPr>
      <w:docPartBody>
        <w:p>
          <w:pPr>
            <w:pStyle w:val="16"/>
            <w:rPr>
              <w:rFonts w:hint="eastAsia"/>
            </w:rPr>
          </w:pPr>
          <w:r>
            <w:rPr>
              <w:rStyle w:val="4"/>
            </w:rPr>
            <w:t>　</w:t>
          </w:r>
        </w:p>
      </w:docPartBody>
    </w:docPart>
    <w:docPart>
      <w:docPartPr>
        <w:name w:val="4F86A124BE8B49A1A41135F8D90CDB50"/>
        <w:style w:val=""/>
        <w:category>
          <w:name w:val="常规"/>
          <w:gallery w:val="placeholder"/>
        </w:category>
        <w:types>
          <w:type w:val="bbPlcHdr"/>
        </w:types>
        <w:behaviors>
          <w:behavior w:val="content"/>
        </w:behaviors>
        <w:description w:val=""/>
        <w:guid w:val="{C3FF2BBF-CD33-42EA-801D-0DE5EAF424EA}"/>
      </w:docPartPr>
      <w:docPartBody>
        <w:p>
          <w:pPr>
            <w:pStyle w:val="17"/>
            <w:rPr>
              <w:rFonts w:hint="eastAsia"/>
            </w:rPr>
          </w:pPr>
          <w:r>
            <w:rPr>
              <w:rStyle w:val="4"/>
              <w:color w:val="333399"/>
              <w:u w:val="single"/>
            </w:rPr>
            <w:t>　　　</w:t>
          </w:r>
        </w:p>
      </w:docPartBody>
    </w:docPart>
    <w:docPart>
      <w:docPartPr>
        <w:name w:val="A36D80DB600A40E2B21FB0F824380791"/>
        <w:style w:val=""/>
        <w:category>
          <w:name w:val="常规"/>
          <w:gallery w:val="placeholder"/>
        </w:category>
        <w:types>
          <w:type w:val="bbPlcHdr"/>
        </w:types>
        <w:behaviors>
          <w:behavior w:val="content"/>
        </w:behaviors>
        <w:description w:val=""/>
        <w:guid w:val="{456160CF-C8B6-4C1A-B2D5-C0E29C3F289B}"/>
      </w:docPartPr>
      <w:docPartBody>
        <w:p>
          <w:pPr>
            <w:pStyle w:val="18"/>
            <w:rPr>
              <w:rFonts w:hint="eastAsia"/>
            </w:rPr>
          </w:pPr>
          <w:r>
            <w:rPr>
              <w:rStyle w:val="4"/>
              <w:color w:val="333399"/>
              <w:u w:val="single"/>
            </w:rPr>
            <w:t>　　　</w:t>
          </w:r>
        </w:p>
      </w:docPartBody>
    </w:docPart>
    <w:docPart>
      <w:docPartPr>
        <w:name w:val="5AD9E1A50BCF433199F0FECF4B049ABC"/>
        <w:style w:val=""/>
        <w:category>
          <w:name w:val="常规"/>
          <w:gallery w:val="placeholder"/>
        </w:category>
        <w:types>
          <w:type w:val="bbPlcHdr"/>
        </w:types>
        <w:behaviors>
          <w:behavior w:val="content"/>
        </w:behaviors>
        <w:description w:val=""/>
        <w:guid w:val="{5A1CDE78-3558-4AF0-8043-51550A44577C}"/>
      </w:docPartPr>
      <w:docPartBody>
        <w:p>
          <w:pPr>
            <w:pStyle w:val="19"/>
            <w:rPr>
              <w:rFonts w:hint="eastAsia"/>
            </w:rPr>
          </w:pPr>
          <w:r>
            <w:rPr>
              <w:rStyle w:val="4"/>
              <w:color w:val="333399"/>
              <w:u w:val="single"/>
            </w:rPr>
            <w:t>　　　</w:t>
          </w:r>
        </w:p>
      </w:docPartBody>
    </w:docPart>
    <w:docPart>
      <w:docPartPr>
        <w:name w:val="553D5FFA745D4300A1C7E1A7EDF3515A"/>
        <w:style w:val=""/>
        <w:category>
          <w:name w:val="常规"/>
          <w:gallery w:val="placeholder"/>
        </w:category>
        <w:types>
          <w:type w:val="bbPlcHdr"/>
        </w:types>
        <w:behaviors>
          <w:behavior w:val="content"/>
        </w:behaviors>
        <w:description w:val=""/>
        <w:guid w:val="{635DC5AD-2E04-42EC-8F4A-ED4304B532C6}"/>
      </w:docPartPr>
      <w:docPartBody>
        <w:p>
          <w:pPr>
            <w:pStyle w:val="20"/>
            <w:rPr>
              <w:rFonts w:hint="eastAsia"/>
            </w:rPr>
          </w:pPr>
          <w:r>
            <w:rPr>
              <w:rStyle w:val="4"/>
              <w:color w:val="333399"/>
              <w:u w:val="single"/>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293"/>
    <w:rsid w:val="00001F05"/>
    <w:rsid w:val="00016523"/>
    <w:rsid w:val="0008777A"/>
    <w:rsid w:val="000A78F8"/>
    <w:rsid w:val="000D7705"/>
    <w:rsid w:val="001248C8"/>
    <w:rsid w:val="00131D60"/>
    <w:rsid w:val="001508DA"/>
    <w:rsid w:val="00194927"/>
    <w:rsid w:val="001C30E7"/>
    <w:rsid w:val="00233F9A"/>
    <w:rsid w:val="00291BC7"/>
    <w:rsid w:val="002A4357"/>
    <w:rsid w:val="002B349E"/>
    <w:rsid w:val="00331A16"/>
    <w:rsid w:val="00345863"/>
    <w:rsid w:val="003E28A8"/>
    <w:rsid w:val="0043376C"/>
    <w:rsid w:val="0046084A"/>
    <w:rsid w:val="004673FE"/>
    <w:rsid w:val="00487E6B"/>
    <w:rsid w:val="004A0CEE"/>
    <w:rsid w:val="004A40E2"/>
    <w:rsid w:val="004C150C"/>
    <w:rsid w:val="004E4CCC"/>
    <w:rsid w:val="004F3D85"/>
    <w:rsid w:val="00530AAA"/>
    <w:rsid w:val="00533AEA"/>
    <w:rsid w:val="00547AEB"/>
    <w:rsid w:val="00567F44"/>
    <w:rsid w:val="0057458E"/>
    <w:rsid w:val="00575046"/>
    <w:rsid w:val="00581DE9"/>
    <w:rsid w:val="00596D5F"/>
    <w:rsid w:val="005A1FE1"/>
    <w:rsid w:val="005B6563"/>
    <w:rsid w:val="005C671F"/>
    <w:rsid w:val="005D3850"/>
    <w:rsid w:val="005D4977"/>
    <w:rsid w:val="00603757"/>
    <w:rsid w:val="00660AF8"/>
    <w:rsid w:val="00687E25"/>
    <w:rsid w:val="0069079E"/>
    <w:rsid w:val="006E26A0"/>
    <w:rsid w:val="006F45B1"/>
    <w:rsid w:val="0074016C"/>
    <w:rsid w:val="007504EA"/>
    <w:rsid w:val="007656EF"/>
    <w:rsid w:val="007A6D78"/>
    <w:rsid w:val="007A71A4"/>
    <w:rsid w:val="007C0F7E"/>
    <w:rsid w:val="007E6DF4"/>
    <w:rsid w:val="00856CB1"/>
    <w:rsid w:val="008829ED"/>
    <w:rsid w:val="00882F53"/>
    <w:rsid w:val="00885EEC"/>
    <w:rsid w:val="00921CF5"/>
    <w:rsid w:val="009527E0"/>
    <w:rsid w:val="00963E47"/>
    <w:rsid w:val="009940BF"/>
    <w:rsid w:val="009A4D24"/>
    <w:rsid w:val="009A7D55"/>
    <w:rsid w:val="00A14093"/>
    <w:rsid w:val="00A23293"/>
    <w:rsid w:val="00A502E5"/>
    <w:rsid w:val="00A7382C"/>
    <w:rsid w:val="00A76FB7"/>
    <w:rsid w:val="00AB07AF"/>
    <w:rsid w:val="00AD0EEB"/>
    <w:rsid w:val="00AD7C4B"/>
    <w:rsid w:val="00B13771"/>
    <w:rsid w:val="00B44F11"/>
    <w:rsid w:val="00B4552E"/>
    <w:rsid w:val="00B700CD"/>
    <w:rsid w:val="00B701AC"/>
    <w:rsid w:val="00B83328"/>
    <w:rsid w:val="00BB7BDA"/>
    <w:rsid w:val="00BD0932"/>
    <w:rsid w:val="00BD1D32"/>
    <w:rsid w:val="00C10E7D"/>
    <w:rsid w:val="00C36BAF"/>
    <w:rsid w:val="00C47F5D"/>
    <w:rsid w:val="00CE680B"/>
    <w:rsid w:val="00CE75AE"/>
    <w:rsid w:val="00D018C2"/>
    <w:rsid w:val="00D63C60"/>
    <w:rsid w:val="00D75D3E"/>
    <w:rsid w:val="00DB36AE"/>
    <w:rsid w:val="00DB5E83"/>
    <w:rsid w:val="00DB7821"/>
    <w:rsid w:val="00DD3AAE"/>
    <w:rsid w:val="00DE1C1A"/>
    <w:rsid w:val="00DF2CB4"/>
    <w:rsid w:val="00DF6154"/>
    <w:rsid w:val="00E518BC"/>
    <w:rsid w:val="00E809D0"/>
    <w:rsid w:val="00EB125F"/>
    <w:rsid w:val="00EC7698"/>
    <w:rsid w:val="00F352B0"/>
    <w:rsid w:val="00F74009"/>
    <w:rsid w:val="00F85E05"/>
    <w:rsid w:val="00FB1541"/>
    <w:rsid w:val="00FC6FB1"/>
    <w:rsid w:val="00FF25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semiHidden="0" w:name="Placeholder Text"/>
  </w:latentStyles>
  <w:style w:type="paragraph" w:default="1" w:styleId="1">
    <w:name w:val="Normal"/>
    <w:qFormat/>
    <w:uiPriority w:val="0"/>
    <w:pPr>
      <w:widowControl w:val="0"/>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qFormat/>
    <w:uiPriority w:val="99"/>
    <w:rPr>
      <w:color w:val="808080"/>
    </w:rPr>
  </w:style>
  <w:style w:type="paragraph" w:customStyle="1" w:styleId="5">
    <w:name w:val="10CB9194DA154236BB9BD637D407C0C3"/>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DC93BB499FEF429E81D97CB8AA49014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1F604DE714B349B5928A67E7D0749685"/>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8">
    <w:name w:val="70B03FBE92CE4FF3B83D4EEABA9B422B"/>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9">
    <w:name w:val="17B796154A4A4106AF60BF4E93A9E88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0">
    <w:name w:val="549510D9C6E7441B9E2CE1110A7A253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1">
    <w:name w:val="2DC1F87D4C3943778AF782E952D60919"/>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2">
    <w:name w:val="5D1059B7883D4390AFE9AA14283C7A71"/>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3">
    <w:name w:val="F37F26CE1F774E4E80F2BA59CE1425F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4">
    <w:name w:val="BA4F6D915FEE4C73B86D16E943CFFF0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5">
    <w:name w:val="67208BEDB0EF4559855C345F9AC52D77"/>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6">
    <w:name w:val="F8B5B5D8B1194460B2EEEF01A85C25C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7">
    <w:name w:val="4F86A124BE8B49A1A41135F8D90CDB5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8">
    <w:name w:val="A36D80DB600A40E2B21FB0F824380791"/>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19">
    <w:name w:val="5AD9E1A50BCF433199F0FECF4B049ABC"/>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20">
    <w:name w:val="553D5FFA745D4300A1C7E1A7EDF3515A"/>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template xmlns:t="http://mapping.word.org/2012/template">
  <t:sse><![CDATA[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]]></t:sse>
</t:template>
</file>

<file path=customXml/item2.xml><?xml version="1.0" encoding="utf-8"?>
<sc:sections xmlns:sc="http://mapping.word.org/2014/section/customize"/>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xmlns:bond="bond">
  <clcid-cgi:GongSiFaDingZhongWenMingCheng xmlns:clcid-cgi="clcid-cgi">重庆望变电气（集团）股份有限公司</clcid-cgi:GongSiFaDingZhongWenMingCheng>
  <clcid-mr:GongSiFuZeRenXingMing xmlns:clcid-mr="clcid-mr">杨泽民</clcid-mr:GongSiFuZeRenXingMing>
  <clcid-mr:ZhuGuanKuaiJiGongZuoFuZeRenXingMing xmlns:clcid-mr="clcid-mr">杨万华</clcid-mr:ZhuGuanKuaiJiGongZuoFuZeRenXingMing>
  <clcid-mr:KuaiJiJiGouFuZeRenXingMing xmlns:clcid-mr="clcid-mr">冯波</clcid-mr:KuaiJiJiGouFuZeRenXingMing>
  <clcid-cgi:GongSiFaDingDaiBiaoRen xmlns:clcid-cgi="clcid-cgi"/>
  <clcid-ci-ar:DanWeiKouChuFeiJingChangXingSunYiXiangMuHeJinE xmlns:clcid-ci-ar="clcid-ci-ar">万元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
  <clcid-pte:FeiJingChangXingSunYiXiangMuZhongShaoShuGuDongQuanYiYingXiangEShuoMing xmlns:clcid-pte="clcid-pte"/>
  <clcid-pte:FeiJingChangXingSunYiDeKouChuXiangMuDuiSuoDeShuiDeYingXiang xmlns:clcid-pte="clcid-pte"/>
  <clcid-pte:FeiJingChangXingSunYiDeKouChuXiangMuDuiSuoDeShuiDeYingXiangShuoMing xmlns:clcid-pte="clcid-pte"/>
  <clcid-pte:KouChuDeFeiJingChangXingSunYiHeJi xmlns:clcid-pte="clcid-pte"/>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clcid-mr:DuiBaoGaoCunZaiYiYiDeDongShiXingMing/>
  <bond:DanWeiFeiJingYingXingWangLaiZhanKuanHeZiJinChaiJie>100000000</bond:DanWeiFeiJingYingXingWangLaiZhanKuanHeZiJinChaiJie>
  <bond:DanWeiMuGongSiYouXiZhaiWu>亿元</bond:DanWeiMuGongSiYouXiZhaiWu>
  <bond:DanWeiYouXiZhaiWu>亿元</bond:DanWeiYouXiZhaiWu>
  <bond:DanWeiFaXingRenJingWaiShiChangFaXingZhaiQuan>亿元</bond:DanWeiFaXingRenJingWaiShiChangFaXingZhaiQuan>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FeiJingChangXingSunYiXiangMu/>
  <clcid-pte:ChuTongGongSiZhengChangJingYingYeWuXiangGuanDeYouXiaoTaoQiBaoZhiYeWuWaiChiYouJiaoYiXingJinRongZiChanYanShengJinRongZiChanJiaoYiXingJinRongFuZhaiYanShengJinRongFuZhaiChanShengDeGongYunJiaZhiBianDongSunYiYiJiChuZhiJiaoYiXingJinRongZiChanYanShengJinRongZiChanJiaoYiXingJinRongFuZhaiYanShengJinRongFuZhaiHeQiTaZhaiQuanTouZiQuDeDeTouZiShouYiDeShuoMingFeiJingChangXingSunYiXiangMu/>
  <clcid-pte:DanDuJinXingJianZhiCeShiDeYingShouKuanXiangHeTongZiChanJianZhiZhunBeiZhuanHuiFeiJingChangXingSunYiXiangMu/>
  <clcid-pte:DanDuJinXingJianZhiCeShiDeYingShouKuanXiangHeTongZiChanJianZhiZhunBeiZhuanHuiDeShuoMingFeiJingChangXingSunYiXiangMu/>
  <clcid-pte:YinQuXiaoXiuGaiGuQuanJiLiJiHuaYiCiXingQueRenDeGuFenZhiFuFeiYong/>
  <clcid-pte:DuiYuXianJinJieSuanDeGuFenZhiFuZaiKeXingQuanRiZhiHouYingFuZhiGongXinChouDeGongYunJiaZhiBianDongChanShengDeSunYi/>
  <bond:BiZhongFeiJingYingXingWangLaiZhanKuanHeZiJinChaiJie>人民币</bond:BiZhongFeiJingYingXingWangLaiZhanKuanHeZiJinChaiJie>
  <bond:JingWaiZhaiQuan/>
  <bond:BiZhongFaXingRenJingWaiShiChangFaXingZhaiQuan>人民币</bond:BiZhongFaXingRenJingWaiShiChangFaXingZhaiQuan>
  <bond:DanWeiZhuYaoZiChanHeFuZhaiBianDongQingKuang>亿元</bond:DanWeiZhuYaoZiChanHeFuZhaiBianDongQingKuang>
  <bond:BiZhongZhuYaoZiChanHeFuZhaiBianDongQingKuang>人民币</bond:BiZhongZhuYaoZiChanHeFuZhaiBianDongQingKuang>
</b:binding>
</file>

<file path=customXml/item5.xml><?xml version="1.0" encoding="utf-8"?>
<m:mapping xmlns:m="http://mapping.word.org/2012/mapping">
  <m:namespaceDeclare prefix="clcid-mr" namespaceURI="http://www.xbrl-cn.org/cn/lcid/rpt/mr/2006-12-31"/>
  <m:namespaceDeclare prefix="clcid-cgi" namespaceURI="http://www.xbrl-cn.org/cn/lcid/rpt/cgi/2006-12-31"/>
  <m:namespaceDeclare prefix="clcid-ar" namespaceURI="http://www.xbrl-cn.org/cn/lcid/rpt/ar/2006-12-31"/>
  <m:namespaceDeclare prefix="clcid-ci-ar" namespaceURI="http://www.xbrl-cn.org/cn/lcid/ci/ar/2008-12-31"/>
  <m:namespaceDeclare prefix="clcid-pte" namespaceURI="http://www.xbrl-cn.org/cn/lcid/common/pte/2006-12-31"/>
  <m:namespaceDeclare prefix="clcid-ie" namespaceURI="http://www.xbrl-cn.org/cn/lcid/rpt/ie/2006-12-31"/>
  <m:namespaceDeclare prefix="clcid-gcd" namespaceURI="http://www.xbrl-cn.org/cn/lcid/rpt/gcd/2006-12-31"/>
  <m:namespaceDeclare prefix="clcid-sce" namespaceURI="http://www.xbrl-cn.org/cn/lcid/fs/sce/2006-12-31"/>
  <m:namespaceDeclare prefix="bond" namespaceURI="http://www.xbrl-cn.org/cn/bond/2017-06-30"/>
  <m:namespaceDeclare prefix="clcid-fste" namespaceURI="http://www.xbrl-cn.org/cn/lcid/common/fste/2006-12-31"/>
  <m:document name="" version="0.1" axisType="Column" optimized="true" originalVersion="0.1" taggingType="Axis" fallbackIntervalCalc="true" cryptoType="SM4" columnType="true" embedding-dts="true" siblingTextSaved="true">
    <m:item xlName="_GBC_782d803d917f4432be22f5ded01fbc6d" concept="clcid-cgi:GongSiFaDingZhongWenMingCheng" label="公司法定中文名称" binding="true" type="i:"/>
    <m:placeholder xlName="_PLD_e2023e93e9d5454698c56f4b7265ca56"/>
    <m:item xlName="_GBC_704b7b03ea3f4a93b8d4655a09b2ff61" concept="clcid-gcd:GongSiDaiMa" label="公司代码" type="i:" fixedType="EntityCode" keyCode="GONGSI_DAIMA" keyAction="5"/>
    <m:placeholder xlName="_PLD_9cd7c9dfc1e1482cb001b3fad058a63c"/>
    <m:item xlName="_GBC_0384ae715a1e4b4894a29e4d27f5bef4" concept="clcid-gcd:GongSiJianCheng" label="公司简称" type="i:" keyCode="GONGSI_JIANCHENG" keyAction="5"/>
    <m:item xlName="_GBC_ef279e32efc14c6bb521c62ff1f265ba" textBlock="true" up="tag:_PLD_e2023e93e9d5454698c56f4b7265ca56" down="2026年半年度报告" concept="clcid-cgi:GongSiFaDingZhongWenMingCheng" label="公司法定中文名称" binding="true" type="i:" keyCode="InitialValue:股份有限公司" keyAction="31">
      <m:simpleRule minOccurs="1"/>
    </m:item>
    <m:placeholder xlName="_PLD_845fa8b330524542a31e33dd31c44bb8" keyCode="PageId:ch0000" keyAction="31"/>
    <m:section xlName="_SEC_d5e0e82062cc4f3cb5a290078031cbd7" title="董事会及董事声明" checkKey="!无法保证" headerRef="1" summaryGuid="_SEC_cfbf6931f3444f44940972008f086a29" helpId="101001001" primarySection="_SEC_d5e0e82062cc4f3cb5a290078031cbd7" optionText="公司全体董监高保证内容真实、准确、完整" optionGroupTitle="董事会及董事声明情况"/>
    <m:section xlName="_SEC_0bd09595636a40e9a57d708860ca9135" title="董事、监事、高级管理人员无法保证的声明" afterEmptyPhCount="0" checkKey="无法保证" headerRef="2" ignorePeriod="1" summaryGuid="_SEC_cfbf6931f3444f44940972008f086a29" helpId="101001003" primarySection="_SEC_d5e0e82062cc4f3cb5a290078031cbd7" optionText="公司部分董监高无法保证内容真实、准确、完整" activeContentOption="_GBC_c39714d4523c4f26bc10a8bd552c9a0c" optionGroupTitle="董事会及董事声明情况"/>
    <m:section xlName="_GBC_1b1325bf1ae840869be71054a10ad268" title="公司全体董事出席董事会会议。" checkKey="全体董事出席&amp;!未出席&amp;!未能出席&amp;!未亲自出席&amp;!委托" headerRef="3" summaryGuid="_SEC_0200e9b183e741738a0cbf26f533dc77" helpId="101001003" helpText="注：如有董事未出席董事会，应当单独列示其姓名。这里的出席指的是亲自出席" primarySection="_GBC_1b1325bf1ae840869be71054a10ad268" optionText="全体出席" optionGroupTitle="董事会出席情况" afterEmptyParagraphs="1"/>
    <m:section xlName="_GBC_782ae2efbebb4873980d40bd21713c00" title="未出席董事情况" checkKey="!全体出席" headerRef="4" summaryGuid="_SEC_0200e9b183e741738a0cbf26f533dc77" helpId="101001003" helpText="注：如有董事未出席董事会，应当单独列示其姓名。这里的出席指的是亲自出席" primarySection="_GBC_1b1325bf1ae840869be71054a10ad268" optionText="有未出席情况" optionGroupTitle="董事会出席情况"/>
    <m:section xlName="_GBC_07370c6ee32a4bea8271133440d087fd" title="本年度报告未经审计。" checkKey="!带强调事项段或其他事项段的无保留意见&amp;!保留意见&amp;!无法表示意见&amp;!否定意见&amp;!标准无保留意见" headerRef="5" summaryGuid="_SEC_6bd7e9a7daad491ca88a8b61c8ca9156" helpId="101001004" primarySection="_GBC_07370c6ee32a4bea8271133440d087fd" optionText="未经审计" activeContentOption="_GBC_07370c6ee32a4bea8271133440d087fd" optionGroupTitle="审计报告情况"/>
    <m:section xlName="_GBC_03a09ae7cff4426393cc0d64b59cc810" title="事务所为本公司出具了标准无保留意见的审计报告。" checkKey="!带强调事项段或其他事项段的无保留意见&amp;!无法表示意见&amp;!否定意见&amp;!未经审计" headerRef="6" summaryGuid="_SEC_6bd7e9a7daad491ca88a8b61c8ca9156" helpId="101001004" primarySection="_GBC_07370c6ee32a4bea8271133440d087fd" optionText="标准无保留意见" optionGroupTitle="审计报告情况"/>
    <m:section xlName="_GBC_a3cb6d3de6c1425cb1ae504871e39a94" title="非标意见说明" checkKey="!标准无保留意见&amp;!未经审计" headerRef="7" summaryGuid="_SEC_6bd7e9a7daad491ca88a8b61c8ca9156" helpId="101001004" primarySection="_GBC_07370c6ee32a4bea8271133440d087fd" optionText="非标意见" optionGroupTitle="审计报告情况"/>
    <m:section xlName="_GBC_04b137e7f87b43b8812b2c33bd605e04" title="公司负责人等声明" headerRef="8" helpId="101001005"/>
    <m:section xlName="_GBC_21c095fa67114a208ee8411405e3a22a" title="经董事会审议的报告期利润分配预案或公积金转增股本预案" headerRef="9" convertSummaryRule="NoConvert" helpId="101001007"/>
    <m:section xlName="_GBC_cc24ced211694e75b40a9765d2616e01" title="前瞻性陈述的风险声明" headerRef="10" helpId="102001006" helpText="注：如半年度报告涉及未来计划等前瞻性陈述，同时附有相应的警示性陈述，则应当声明该计划不构成公司对投资者的实质承诺，请投资者注意投资风险。 "/>
    <m:section xlName="_GBC_70f733efbc484640a48089ddc49bf2b9" title="是否存在被控股股东及其关联方非经营性占用资金情况" headerRef="11"/>
    <m:section xlName="_GBC_0b5725dfa5c04f85874bece4083eddb4" title="是否存在违反规定决策程序对外提供担保的情况" headerRef="12" convertSummaryRule="NoConvert"/>
    <m:section xlName="_SEC_f8924de2a90b4f29b727c0dcf0bfd58a" headerRef="13"/>
    <m:section xlName="_SEC_765dd5e867e04417bfcc7ba07f902949" title="重大风险提示" headerRef="14" helpId="112001203"/>
    <m:section xlName="_GBC_b8bb35c675b44fbdaf150c1114447d89" title="重要提示的其他情况说明" headerRef="15"/>
    <m:section xlName="_SEC_821e9eb80bde4a9883ae71815f226d98" title="备查文件目录" headerRef="15" convertSummaryRule="NoConvert" helpId="110002018" helpText="载有公司负责人、主管会计工作负责人、会计机构负责人（会计主管人员）签名并盖章的财务报表。\n载有会计师事务所盖章、注册会计师签名并盖章的审计报告原件（如有）。\n报告期内公开披露过的所有公司文件的正本及公告的原稿。\n在其他证券市场公布的半年度报告。"/>
    <m:placeholder xlName="_PLD_cddb82e37bd847e68624ee2fb262fd06" headerRef="16" keyCode="PageId:ch0100" keyAction="31"/>
    <m:section xlName="_GBC_5d2d156d1e654b289921f6ca279d0332" title="释义" headerRef="16" ignorePeriod="1" convertSummaryRule="NoConvert" helpId="101001008"/>
    <m:placeholder xlName="_PLD_d1ba05d619c6403cb81e6e0d827b0ef2" headerRef="17" keyCode="PageId:ch0200" keyAction="31"/>
    <m:section xlName="_GBC_aa763dfc67ed4eac9000c019cc1ff258" title="公司信息" headerRef="18" ignorePeriod="1" convertSummaryRule="NoConvert" helpId="102001001"/>
    <m:section xlName="_GBC_c68db6bd18a148f3a9683d04b791123b" title="联系人和联系方式" headerRef="19" ignorePeriod="1" convertSummaryRule="NoConvert" helpId="102001002">
      <m:virtualTuples>
        <m:virtualTuple id="7ed3504a-70ec-4378-915d-9c3be91aafcc" tupleRef="clcid-cgi:DongShiHuiMiShuQingKuang" defaultRows="0" extendDirection="2" splitWidth="1"/>
        <m:virtualTuple id="4dae452f-3358-4466-b139-adc8ec38f384" tupleRef="clcid-cgi:ZhengQuanShiWuDaiBiaoQingKuang" defaultRows="0" extendDirection="2" splitWidth="1"/>
      </m:virtualTuples>
    </m:section>
    <m:section xlName="_SEC_3b2e98069dfe4938a93e32b37561ce15" title="基本情况变更简介公司注册地址公司注册地址的邮政编码（..." headerRef="20" helpId="102001003"/>
    <m:section xlName="_GBC_20a39c6141734cc19616660ebf1a0dfa" title="信息披露及备置地点变更情况简介" headerRef="21" ignorePeriod="1" convertSummaryRule="NoConvert" helpId="102001004"/>
    <m:section xlName="_GBC_f73e31215837403db78d7a2ed15723c6" title="公司股票简况" headerRef="22" ignorePeriod="1" helpId="102001005" helpText="注：本项可选填“A股”、“B股”、“H股”或其他。"/>
    <m:section xlName="_GBC_cd186ef4acaf4e28b71fed998e691ebd" title="其他有关资料" headerRef="23" ignorePeriod="1" convertSummaryRule="NoConvert" helpId="102001008"/>
    <m:placeholder xlName="_PLD_b47d677776aa4149b98a7d448142ed48" headerRef="24" keyCode="PageId:ch0201" keyAction="31"/>
    <m:item xlName="_GBC_c7cd0dd826b247dbba8cc8b1a811aefb" indRef="1" concept="clcid-ci-ar:DanWeiBaoGaoQiMoGongSiQianSanNianZhuYaoKuaiJiShuJuHeCaiWuZhiBiao" label="单位：报告期末公司前三年主要会计数据和财务指标" selectOptions="_buildInScales" controlType="Combobox" cellType="Scale" type="i:" keyCode="InitialValue:元" keyAction="31"/>
    <m:item xlName="_GBC_2df6a5d441324c13bcf6c4c54ac41eb0" indRef="2" concept="clcid-ci-ar:BiZhongBaoGaoQiMoGongSiQianSanNianZhuYaoKuaiJiShuJuHeCaiWuZhiBiao" label="币种：报告期末公司前三年主要会计数据和财务指标" selectOptions="_buildInISO4217" controlType="Combobox" cellType="Measure" type="i:" keyCode="InitialValue:人民币" keyAction="31"/>
    <m:section xlName="_GBC_aea1fefe2cc54d88a8a870982a41d97a" title="主要会计数据(无追溯)" rules="R2015_R2_001" checkKey="!调整" headerRef="25" helpId="103004001" helpText="注1：涉及非经常性损益的，都应当按照《公开发行证券的公司信息披露解释性公告第1号-非经常性损益(2023)》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 primarySection="_GBC_aea1fefe2cc54d88a8a870982a41d97a" optionText="无追溯调整" activeContentOption="_GBC_ae1e7c9f562c42d3b68129ca8edb8f91" optionGroupTitle="主要会计数据和财务指标情况" optionTargetConcept="clcid-ci-ar:ShiFouZhuiSuTiaoZheng" optionTargetConceptValue="无追溯调整"/>
    <m:section xlName="_GBC_f3826dda988749e78931d3af98058157" title="主要会计数据(追溯)" rules="R2015_R2_001" checkKey="调整" headerRef="25" helpId="103004001" helpText="注1：涉及非经常性损益的，都应当按照《公开发行证券的公司信息披露解释性公告第1号-非经常性损益(2023)》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 primarySection="_GBC_aea1fefe2cc54d88a8a870982a41d97a" optionText="追溯调整" optionGroupTitle="主要会计数据和财务指标情况" optionTargetConcept="clcid-ci-ar:ShiFouZhuiSuTiaoZheng" optionTargetConceptValue="追溯调整"/>
    <m:section xlName="_GBC_b44cc48c2c094fe699f563d257345cf5" title="主要财务指标(无追溯)" rules="R2015_R2_001" checkKey="!调整" headerRef="26" helpId="103004001" helpText="注1：涉及非经常性损益的，都应当按照《公开发行证券的公司信息披露解释性公告第1号-非经常性损益(2023)》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 primarySection="_GBC_b44cc48c2c094fe699f563d257345cf5" optionText="无追溯调整" activeContentOption="_GBC_4758ff96ce404c01979372535152a8f5" optionGroupTitle="主要会计数据和财务指标情况" optionTargetConcept="clcid-ci-ar:ShiFouZhuiSuTiaoZheng" optionTargetConceptValue="无追溯调整"/>
    <m:section xlName="_GBC_f2e015828f0e4c85978a15defdf078a0" title="主要财务指标(追溯)" rules="R2015_R2_001" checkKey="调整" headerRef="26" helpId="103004001" helpText="注1：涉及非经常性损益的，都应当按照《公开发行证券的公司信息披露解释性公告第1号-非经常性损益(2023)》要求的非经常性损益的口径进行计算 \n注2：如上年同期为负数，“增减比例”不填。 \n注3：在报告期内公司因派发股票股利、公积金转增股本、拆股而增加或因并股而减少公司总股本，但不影响股东权益金额的，应当根据相关会计准则的规定按最新股本调整并列报基本每股收益和稀释每股收益。 \n注4：如果报告期末至半年度报告披露日，公司股本因送红股、资本公积金转增股本的原因发生变化且不影响股东权益金额的，应当根据相关会计准则的规定按最新股本调整并列报基本每股收益和稀释每股收益。 \n注5：本报告期对上年度财务数据进行了追溯调整或重述的，上年度末和上年同期应当同时列示追溯调整或重述前后的数据。 \n注6：净资产收益率的本报告期比上年同期增减为两期数的差值。" primarySection="_GBC_b44cc48c2c094fe699f563d257345cf5" optionText="追溯调整" optionGroupTitle="主要会计数据和财务指标情况" optionTargetConcept="clcid-ci-ar:ShiFouZhuiSuTiaoZheng" optionTargetConceptValue="追溯调整"/>
    <m:section xlName="_GBC_89dd4b4cf79140928f55be83e164f009" title="公司主要会计数据和财务指标的说明" rules="R2015_R2_001" headerRef="26" convertSummaryRule="NoConvert" helpId="103004001"/>
    <m:item xlName="_GBC_bdabc18d82504a7696c49b78e67b7ce4" headerRef="27" up="境内外会计准则下会计数据差异" concept="clcid-ci-ar:ShiFouShiYongJingNeiWaiHuiJiZhunZeXiaHuiJiShuJuChaYi" label="是否适用：境内外会计准则下会计数据差异" selectOptions="_buildInAppliance" controlType="CustomCheckbox" type="i:" cRanges="{&quot;StartName&quot;:&quot;_GBC_bdabc18d82504a7696c49b78e67b7ce4&quot;,&quot;EndName&quot;:&quot;_GBC_b29c1fea910b4dfca31323fe84213a44&quot;,&quot;CType&quot;:1,&quot;DisplayText&quot;:null}"/>
    <m:section xlName="_GBC_088e8e183b6741d29b9f742440278698" title="同时按照国际会计准则与按中国会计准则披露的差异" rules="R2015_R2_002" headerRef="28" convertSummaryRule="NoConvert" helpId="103002001"/>
    <m:section xlName="_GBC_2f705e4eae72458eb00a3440cec6f7c7" title="同时按照境外会计准则与按中国会计准则披露的差异" rules="R2015_R2_002" headerRef="29" convertSummaryRule="NoConvert" helpId="103002001" helpText="注：境内外会计准则下会计数据差异填列合并报表数据。"/>
    <m:section xlName="_GBC_b29c1fea910b4dfca31323fe84213a44" title="境内外会计准则差异的说明" rules="R2015_R2_002" headerRef="30" convertSummaryRule="NoConvert" helpId="103002001"/>
    <m:section xlName="_SEC_90b59d2109be4d75a6210da2f2ee54cb" title="非经常性损益项目和金额" headerRef="31" helpId="103003001" helpText="1.非经常性损益的界定，应以非经常性损益的定义为依据。在界定非经常性损益项目时，应遵循以下原则：\n（一）非经常性损益的认定应基于交易和事项的经济性质判断\n（二）非经常性损益的认定应基于行业特点和业务模式判断\n（三）非经常性损益的认定应遵循重要性原则。\n2.各非经常性损益项目按税前金额列示。\n3.非经常性损益项目中的损失类应以负数填写。\n4.自定义科目全部填入“其他符合非经常性损益定义的损益项目”，并在该项目附注中说明具体情况。"/>
    <m:section xlName="_SEC_3fbc22adf9774d23a74dc1230c514eff" title="将《公开发行证券的公司信息披露解释性公告第1号——非经常性损..." headerRef="31" helpId="103003001"/>
    <m:section xlName="_SEC_7d3650d94de74af8939d44f4df000418" title="存在股权激励、员工持股计划的公司可选择披露扣除股份支付影响后的净利润" headerRef="32"/>
    <m:section xlName="_SEC_91fb5ac2aac642e89e6b316117b23f35" title="扣除股份支付影响后的净利润（无追溯）" checkKey="!调整" headerRef="32" helpId="102001007" primarySection="_SEC_91fb5ac2aac642e89e6b316117b23f35" optionText="无追溯调整" optionGroupTitle="主要会计数据和财务指标情况" optionTargetConcept="clcid-ci-ar:ShiFouZhuiSuTiaoZheng" optionTargetConceptValue="无追溯调整"/>
    <m:section xlName="_SEC_ea0392b1078c4ff88755b685a4b20ba0" title="扣除股份支付影响后的净利润（有追溯）" checkKey="调整" headerRef="32" helpId="102001007" primarySection="_SEC_91fb5ac2aac642e89e6b316117b23f35" optionText="追溯调整" optionGroupTitle="主要会计数据和财务指标情况" optionTargetConcept="clcid-ci-ar:ShiFouZhuiSuTiaoZheng" optionTargetConceptValue="追溯调整"/>
    <m:section xlName="_GBC_129e81c113f94ab2b6af974b5d24abc6" title="其他财务和业务数据" headerRef="33"/>
    <m:placeholder xlName="_PLD_6cca53cc041f41edb5387e57121841d5" headerRef="34" keyCode="PageId:ch0300" keyAction="31"/>
    <m:section xlName="_SEC_30613ac4c1d74a918acca2b58acc457d" title="报告期内公司所从事的主要业务、经营模式及行业情况说明" rules="R2015_R3_001" headerRef="35" helpId="101001009" helpText="公司应当简要介绍报告期内公司所属行业发展情况、主要业务、主要产品及其用途、经营模式、市场地位、主要的业绩驱动因素等发生的主要变化情况。"/>
    <m:section xlName="_SEC_f15d0d7540414c49a7604c682d4e3278" title="报告期内公司新增重要非主营业务的说明" headerRef="35" helpId="101001009"/>
    <m:section xlName="_GBC_ba3734a9f27a452095f3115c17f4b09e" title="经营情况的讨论与分析" headerRef="36" convertSummaryRule="NoConvert" helpId="104001002"/>
    <m:section xlName="_SEC_5c790aea31ad48bb8832d20c53fcc625" title="报告期内公司经营情况的重大变化，以及报告期内发生的对公司经营..." headerRef="36" helpId="110002108"/>
    <m:section xlName="_SEC_95fcc6373f8d4d92bdccbe04323713c4" title="报告期内核心竞争力分析" rules="R2015_R3_001" headerRef="37" helpId="112001209" helpText="公司应当披露报告期内核心竞争力（包括核心管理团队、关键技术人员、专有设备、专利、非专利技术、特许经营权、土地使用权、水面养殖权、探矿权、采矿权、独特经营方式和盈利模式、允许他人使用自己所有的资源要素或作为被许可方使用他人资源要素等）的重要变化及对公司所产生的影响。发生因核心管理团队或关键技术人员离职、设备或技术升级换代、特许经营权丧失等导致公司核心竞争力受到严重影响的，公司应当详细分析，并说明拟采取的相应措施。"/>
    <m:section xlName="_GBC_281bf95299804381a41f7dd82e2c19f3" title="财务报表相关科目变动分析表" headerRef="40" helpId="108001001" helpText="注1：科目来源合并利润表和合并现金流量表（除研发支出）。上市公司如有科目需要披露，请自行添加。\n注2：结合行业发展、业务经营等情况分析变化的原因。\n如需删除变动原因说明，请通过模块-删除段落进行删除。" editSection="_GBC_d946d01b34d4418f87d2ffa61f8ee353" axisType="Column"/>
    <m:section xlName="_GBC_2346c2f60a0d447bb4e68d1cdeb1ae6e" title="公司利润构成或利润来源发生重大变动的详细说明" headerRef="41" convertSummaryRule="NoConvert" helpId="108001001"/>
    <m:section xlName="_SEC_8eca3e31ebef41f0bccb8c1e5fae0579" title="非主营业务导致利润重大变化的说明" headerRef="42" helpId="108005007"/>
    <m:placeholder xlName="_PLD_3fac5a5b77844135b5f776fa93da3108" headerRef="43" keyCode="PageId:ch0301" keyAction="31"/>
    <m:item xlName="_GBC_7e768f46f428417e8696bff3cfaf9902" headerRef="43" up="资产、负债情况分析" concept="clcid-ci-ar:ShiFouShiYongZiChanFuZhaiQingKuangFenXi" label="是否适用：资产、负债情况分析" selectOptions="_buildInAppliance" controlType="CustomCheckbox" type="i:" cRanges="{&quot;StartName&quot;:&quot;_GBC_7e768f46f428417e8696bff3cfaf9902&quot;,&quot;EndName&quot;:&quot;_SEC_a3069c29080242b4a4de48db80a4164e&quot;,&quot;CType&quot;:1,&quot;DisplayText&quot;:null}"/>
    <m:section xlName="_SEC_6223798588db4238825d68a423f52705" title="资产负债情况分析表" headerRef="44" helpId="108005004" axisType="Column"/>
    <m:item xlName="_GBC_95d71e9a9dcd4966863ba2859a3bf0b7" headerRef="45" up="境外资产情况" concept="clcid-ci-ar:ShiFouShiYongJingWaiZiChanQingKuang" label="是否适用：境外资产情况 " selectOptions="_buildInAppliance" controlType="CustomCheckbox" type="i:" cRanges="[{&quot;StartName&quot;:&quot;_GBC_95d71e9a9dcd4966863ba2859a3bf0b7&quot;,&quot;EndName&quot;:&quot;_SEC_1054cd8b91c348ed94f7bc925d57ba7b&quot;,&quot;CType&quot;:1}]"/>
    <m:section xlName="_SEC_7f2308a9bb284441948806ea6c09c608" headerRef="46" helpId="108005004"/>
    <m:section xlName="_SEC_d3282e023dd342148088e8b62a141d34" title="境外资产占比较高的相关说明" headerRef="47" helpId="108005004" helpText="若境外资产占总资产的比例大于或等于30%，一般认为境外资产占比较高。在此基础上，公司可以根据境外资产贡献收入、利润等情况，判断是否构成重要境外资产，进行披露。"/>
    <m:section xlName="_SEC_1054cd8b91c348ed94f7bc925d57ba7b" title="其他说明" headerRef="47" helpId="108005004"/>
    <m:section xlName="_SEC_390cddc4349f46b4bcccd468c3e69d14" title="截至报告期末主要资产受限情" headerRef="48" helpId="108005004"/>
    <m:section xlName="_SEC_a3069c29080242b4a4de48db80a4164e" title="其他说明" headerRef="49" helpId="108005004"/>
    <m:section xlName="_SEC_e7a08c655c9844a8b5127e2ae800064c" title="对外股权投资总体分析" headerRef="51" convertSummaryRule="NoConvert" helpId="108005001" helpText="公司应当介绍本半年度投资情况，分析报告期内公司投资额同比变化情况。"/>
    <m:section xlName="_SEC_6dcee2c665d94c8b941605cedc06f568" title="重大的股权投资" headerRef="52" helpId="108005002" helpText="例如私募基金、证券公司等。"/>
    <m:section xlName="_SEC_ac9932f6d2bb4e35b86dbcc496bca6c4" title="重大的非股权投资" headerRef="53" helpId="108005003" helpText="对报告期内正在进行的重大的非股权投资，公司应当披露项目本半年度和累计实际投入情况、资金来源、项目的进度及预计收益。若项目已产生收益，应当说明收益情况；未达到计划进度和收益的，应当说明原因。"/>
    <m:section xlName="_SEC_5ac920b545894503a0b852b58774a2f1" title="以公允价值计量的金融资产" headerRef="54" helpId="112001210" helpText="1、涉及银行理财的，购买和赎回金额列填写净发生额；2、选择其他的，需自行添加普通行说明其他项下产品类型；如添加后为控件行请操作【报告编制】-【表格】-【转为普通行】。"/>
    <m:section xlName="_SEC_223855f312f442628a6b89be29f039a8" title="证券投资情况" headerRef="54" helpId="112001210" helpText="若因为自营业务投资品种较多，可选择不适用，但应当说明原因。"/>
    <m:section xlName="_SEC_1fd1b5403f6b4f59b90a86c5afda2100" title="证券投资情况的说明  " headerRef="54" helpId="112001210"/>
    <m:section xlName="_SEC_1314f2a4c4444241bb2afb255168e300" title="私募基金投资情况" headerRef="54" helpId="112001210"/>
    <m:item xlName="_GBC_bfd154b38b804edbb19ff4896b6b9c42" headerRef="54" up="衍生品投资情况" concept="clcid-ci-ar:ShiFouShiYongYanShengPinTouZiQingKuang" label="是否适用：衍生品投资情况  " selectOptions="_buildInAppliance" controlType="CustomCheckbox" type="i:" cRanges="[{&quot;StartName&quot;:&quot;_GBC_bfd154b38b804edbb19ff4896b6b9c42&quot;,&quot;EndName&quot;:&quot;_SEC_7f3a1a0062ac456f8a983b6567183908&quot;,&quot;CType&quot;:1}]"/>
    <m:item xlName="_GBC_5859448da4c34bc4af3f8639036828dd" headerRef="54" up="报告期内以套期保值为目的的衍生品投资" concept="clcid-ci-ar:ShiFouShiYongBaoGaoQiNeiYiTaoQiBaoZhiWeiMuDeDeYanShengPinTouZi" label="是否适用：报告期内以套期保值为目的的衍生品投资" selectOptions="_buildInAppliance" controlType="CustomCheckbox" type="i:" cRanges="[{&quot;StartName&quot;:&quot;_GBC_5859448da4c34bc4af3f8639036828dd&quot;,&quot;EndName&quot;:&quot;_SEC_01cbfb7e8e8545a7ab7909e2370b26d7&quot;,&quot;CType&quot;:1}]"/>
    <m:section xlName="_SEC_01cbfb7e8e8545a7ab7909e2370b26d7" title="报告期内以套期保值为目的的衍生品投资" headerRef="54" helpId="112001210" helpText="1、本表非金融类公司须填写。本表中“衍生品投资”是指对价值依赖于基础资产价值变动的合约的交易行为。其中，合约包括远期、期货、期权、掉期或互换及其组合；基础资产包括证券、指数、利率、汇率、货币、商品、其他标的，或上述基础资产的组合。\n2、公司可根据投资的衍生品基础商品及合约种类情况进行分类汇总披露，但须对所采用分类方式及标准予以说明。\n3、各“投资金额”均指合约金额。\n4、公司应当将套期工具与被套期项目价值变动加总后说明报告期内的实际损益。\n5、公司应在定期报告中结合被套期项目情况对套期保值效果进行全面披露，套期保值业务不满足会计准则规定的套期会计适用条件或未适用套期会计核算，但能够通过衍生品交易实现风险管理目标的，可以结合套期工具和被套期项目之间的关系等说明是否有效实现了预期风险管理目标。"/>
    <m:item xlName="_GBC_c55d25ebbbbc4a9a894716278303dec4" headerRef="54" up="报告期内以投机为目的的衍生品投资" concept="clcid-ci-ar:ShiFouShiYongBaoGaoQiNeiYiTouJiWeiMuDeDeYanShengPinTouZi" label="是否适用：报告期内以投机为目的的衍生品投资" selectOptions="_buildInAppliance" controlType="CustomCheckbox" type="i:" cRanges="[{&quot;StartName&quot;:&quot;_GBC_c55d25ebbbbc4a9a894716278303dec4&quot;,&quot;EndName&quot;:&quot;_SEC_b420da0f8c4343c0a1214c19c3689c01&quot;,&quot;CType&quot;:1}]"/>
    <m:section xlName="_SEC_b420da0f8c4343c0a1214c19c3689c01" title="报告期内以投机为目的的衍生品投资" headerRef="54" helpId="112001210" helpText="1、本表非金融类公司须填写。本表中“衍生品投资”是指对价值依赖于基础资产价值变动的合约的交易行为。其中，合约包括远期、期货、期权、掉期或互换及其组合；基础资产包括证券、指数、利率、汇率、货币、商品、其他标的，或上述基础资产的组合。\n2、公司可根据投资的衍生品基础商品及合约种类情况进行分类汇总披露，但须对所采用分类方式及标准予以说明。\n3、表格中“衍生品投资操作方”，是指公司交易上述合约的交易对方。\n4、各“投资金额”均指合约金额。"/>
    <m:section xlName="_SEC_7f3a1a0062ac456f8a983b6567183908" title="其他说明" headerRef="54" helpId="112001210"/>
    <m:section xlName="_SEC_04b9238e9d184f1bab78bd58a24f46ef" title="重大资产和股权出售" headerRef="55" helpId="110005010" helpText="公司应当简要分析重大资产和股权出售事项对公司业务连续性、管理层稳定性的影响。公司应当说明上述事项是否按计划如期实施，如已实施完毕，应当说明其对财务状况和经营成果的影响，以及所涉及的金额及其占利润总额的比例；如未按计划实施，应当说明原因及公司已采取的措施。"/>
    <m:section xlName="_SEC_2a2bbe84e5b044d9b42284613cdb120d" title="主要控股参股公司分析" headerRef="56" convertSummaryRule="NoConvert" helpId="108005008" helpText="公司应当介绍主要子公司的主要业务、注册资本、总资产、净资产、净利润，本半年度取得和处置子公司的情况，包括取得和处置的方式及对公司整体生产经营和业绩的影响。如来源于单个子公司的净利润或单个参股公司的投资收益对公司净利润影响达到10%以上，还应当介绍该公司主营业务收入、主营业务利润等数据。若单个子公司或参股公司的经营业绩同比出现大幅波动，且对公司合并经营业绩造成重大影响的，公司应当对其业绩波动情况及其变动原因进行分析。\n若主要子公司或参股公司的经营业绩未出现大幅波动，但其资产规模、构成或其他主要财务指标出现显著变化，并可能在将来对公司业绩造成影响，也应当对变化情况和原因予以说明。"/>
    <m:section xlName="_SEC_1ac5f271c9c14f569093b3be96ecc8d2" title="公司控制的结构化主体情况" headerRef="57" helpId="112001211" helpText="公司存在其控制下的结构化主体时，应当介绍公司对其控制权方式和控制权内容，并说明公司从中可以获取的利益和对其所承担的风险。另外，公司还应当介绍结构化主体对其提供融资、商品或劳务以支持自身主要经营活动的相关情况。公司控制的结构化主体为《企业会计准则第41号——在其他主体中权益的披露》中所规定的“结构化主体”。"/>
    <m:section xlName="_SEC_81e2de17d1214ba3b0e3ff89b6c2b65d" title="可能面对的风险" headerRef="59" helpId="104002005" helpText="公司应当针对自身特点，遵循关联性原则和重要性原则充分披露可能对公司核心竞争力、经营活动和未来发展产生重大不利影响的风险因素。"/>
    <m:section xlName="_SEC_2d00d0d8a1b7409b884a0beb6a447e0d" title="其他披露事项" headerRef="60" orient="landscape"/>
    <m:placeholder xlName="_PLD_57909b9ef42f4287bf9fc4c184c9b2f5" headerRef="61" keyCode="PageId:ch0400" keyAction="31"/>
    <m:section xlName="_SEC_fe90051e8bfd40b8bb8541284a29b30e" title="公司董事、监事、高级管理人员变动情况" headerRef="62" helpId="105001004" helpText="报告期如存在任期内董事和高级管理人员离任，应当说明原因。\n注：\n1、报告期内离任的董事、监事、高级管理人员，仍需按本章要求披露相关内容。\n2、报告期后新任的，董事、监事、高级管理人员可作附注说明。"/>
    <m:section xlName="_SEC_9d764ab9e1c44e0e972e846b8ecf0813" title="公司董事、监事、高级管理人员变动的情况说明" headerRef="62" helpId="105001004"/>
    <m:section xlName="_GBC_e4b48d016b974478b1fce3e8671a7227" title="半年度拟定的利润分配预案" rules="R2015_R5_001" headerRef="63" helpId="108006001" helpText="公司董事会在审议半年度报告时拟定利润分配预案、资本公积金转增股本预案的，公司应当说明上述预案是否符合公司章程及审议程序的规定，是否充分保护中小投资者的合法权益，是否由独立董事发表意见。"/>
    <m:section xlName="_SEC_27d68d30f5fb4d008c2e762ac7309c77" title="相关股权激励事项已在临时公告披露且后续实施无进展或变化的" headerRef="65" helpId="110005001"/>
    <m:item xlName="_GBC_388221bc7be24cdca55be337256c8bc1" headerRef="66" up="股权激励情况" concept="clcid-ci-ar:ShiFouShiYongGuQuanJiLiQingKuang" label="是否适用：股权激励情况 " selectOptions="_buildInAppliance" controlType="CustomCheckbox" cRanges="[{&quot;StartName&quot;:&quot;_GBC_388221bc7be24cdca55be337256c8bc1&quot;,&quot;EndName&quot;:&quot;_SEC_03192fc0d89a465d87224782dc1ad23d&quot;,&quot;CType&quot;:1}]"/>
    <m:section xlName="_SEC_03192fc0d89a465d87224782dc1ad23d" title="股权激励情况" rules="R2015_R5_008" repeatable="1" tupleConcept="clcid-ie:GuQuanJiLiJiHuaQingKuangMingXi" headerRef="66" helpId="110005001" helpText="注：报告期内失效的权益总额以负数填列。"/>
    <m:section xlName="_SEC_a417a9b40b6a4adeba436d511837e016" title="股权激励情况的说明" headerRef="66" helpId="110005001"/>
    <m:section xlName="_SEC_70861e225efc4a6aa2a87c82bdeffa60" title="员工持股计划情况" rules="R2015_R5_008" headerRef="66" helpId="110005001"/>
    <m:section xlName="_SEC_63920368dc0b49e9a257b190129bf278" title="其他激励措施" rules="R2015_R5_008" headerRef="66" helpId="110005001"/>
    <m:section xlName="_SEC_ab58f0198e65475bb5f5f50593019206" title="纳入环境信息依法披露企业名单的上市公司及其主要子公司的环境信息情况" headerRef="67" helpId="104002008"/>
    <m:section xlName="_SEC_7eeef6a842224b3eac28c0a6aa105d7d" title="巩固拓展脱贫攻坚成果、乡村振兴工作具体情况" headerRef="68" helpId="104002004"/>
    <m:placeholder xlName="_PLD_66d15229764a4914b70c862eb5cfce2d" headerRef="69" keyCode="PageId:ch0600" keyAction="31"/>
    <m:section xlName="_SEC_29ca9ecf549940e5a0b5179d68e38198" title="上市公司、持股5%以上的股东、控股股东及实际控制人在报告期内承诺事项" rules="R2015_R5_002" headerRef="71" convertSummaryRule="NoConvert" helpId="112001217" helpText="注：公司应当披露报告期内履行完毕的，以及截至报告期末尚未履行完毕的承诺事项。"/>
    <m:section xlName="_SEC_2f371a3cc949400ea818d66a836d5785" title="报告期内控股股东及其他关联方非经营性占用资金情况" headerRef="72" helpId="110002101"/>
    <m:section xlName="_SEC_623f0c33c18d4979b146b229057a4e89" title="违规担保情况" headerRef="73" orient="landscape" helpId="110002102"/>
    <m:item xlName="_GBC_b2faf86be7fd4060a2a7ad4018aaf033" headerRef="74" up="半年报审计情况" concept="clcid-ci-ar:ShiFouShiYongBanNianBaoShenJiQingKuang" label="是否适用：半年报审计情况  " selectOptions="_buildInAppliance" controlType="CustomCheckbox" type="i:" cRanges="[{&quot;StartName&quot;:&quot;_GBC_b2faf86be7fd4060a2a7ad4018aaf033&quot;,&quot;EndName&quot;:&quot;_SEC_ff2ca8295db041209fe47eea7ae742aa&quot;,&quot;CType&quot;:1}]"/>
    <m:section xlName="_SEC_da98fea575804e4da57e6ed94a08807a" title="聘任、解聘会计师事务所的情况说明" headerRef="75" helpId="110009001" helpText="《国有企业、上市公司选聘会计师事务所管理办法》\n第十二条 国有企业连续聘任同一会计师事务所原则上不超过8年。国有企业因业务需要拟继续聘用同一会计师事务所超过8年的，应当综合考虑会计师事务所前期审计质量、股东评价、监管部门意见等情况，在履行法人治理程序及内部决策程序后，可适当延长聘用年限，但连续聘任期限不得超过10年。\n第十三条 审计项目合伙人、签字注册会计师累计实际承担同一国有企业、上市公司审计业务满5年的，之后连续5年不得参与该国有企业、上市公司的审计业务。\n审计项目合伙人、签字注册会计师由于工作变动，在不同会计师事务所为同一国有企业、上市公司提供审计服务的期限应当合并计算。\n国有企业、上市公司发生重大资产重组、子公司分拆上市，为其提供审计服务的审计项目合伙人、签字注会计师未变更的，相关审计项目合伙人、签字注册会计师在该重大资产重组、子公司分拆上市前后提供审计服务的期限应当合并计算。\n审计项目合伙人、签字注册会计师在公司上市前后审计服务年限应当合并计算。审计项目合伙人、签字注册会计师承担首次公开发行股票或者向不特定对象公开发行股票并上市审计业务的，上市后连续执行审计业务的期限不得超过两年。\n公司半年度财务报告已经审计的，公司应当披露聘任审计半年度财务报告的会计师事务所的情况及报告期内支付给会计师事务所的报酬情况。更换会计师事务所的，公司应当披露解聘原会计师事务所的原因，以及是否履行了必要的程序。"/>
    <m:section xlName="_SEC_39a839676dca47f595f0cbe05d986e81" title="审计期间改聘会计师事务所的情况说明" headerRef="75" helpId="110009001" helpText="注：公司若改聘、解聘会计师事务所，则必须填写改聘、解聘的情况说明。"/>
    <m:section xlName="_SEC_ff2ca8295db041209fe47eea7ae742aa" title="公司对会计师事务所“非标准审计报告”的说明" rules="R2015_R5_004" headerRef="76" helpId="110009001" helpText="公司半年度财务报告已经审计，并被出具非标准意见审计报告的，公司董事会应当按照《公开发行证券的公司信息披露编报规则第14号——非标准审计意见及其涉及事项的处理》规定，针对非标准意见涉及的事项作出专项说明。"/>
    <m:section xlName="_SEC_10be83ff0126440a8620e35536191767" title="公司对上年年度报告中的财务报告被注册会计师出具“非标准审计报..." headerRef="77" helpId="110002109" helpText="《国有企业、上市公司选聘会计师事务所管理办法》\n第十二条 国有企业连续聘任同一会计师事务所原则上不超过8年。国有企业因业务需要拟继续聘用同一会计师事务所超过8年的，应当综合考虑会计师事务所前期审计质量、股东评价、监管部门意见等情况，在履行法人治理程序及内部决策程序后，可适当延长聘用年限，但连续聘任期限不得超过10年。\n第十三条 审计项目合伙人、签字注册会计师累计实际承担同一国有企业、上市公司审计业务满5年的，之后连续5年不得参与该国有企业、上市公司的审计业务。\n审计项目合伙人、签字注册会计师由于工作变动，在不同会计师事务所为同一国有企业、上市公司提供审计服务的期限应当合并计算。\n国有企业、上市公司发生重大资产重组、子公司分拆上市，为其提供审计服务的审计项目合伙人、签字注会计师未变更的，相关审计项目合伙人、签字注册会计师在该重大资产重组、子公司分拆上市前后提供审计服务的期限应当合并计算。\n审计项目合伙人、签字注册会计师在公司上市前后审计服务年限应当合并计算。审计项目合伙人、签字注册会计师承担首次公开发行股票或者向不特定对象公开发行股票并上市审计业务的，上市后连续执行审计业务的期限不得超过两年。\n公司半年度财务报告已经审计的，公司应当披露聘任审计半年度财务报告的会计师事务所的情况及报告期内支付给会计师事务所的报酬情况。更换会计师事务所的，公司应当披露解聘原会计师事务所的原因，以及是否履行了必要的程序。"/>
    <m:section xlName="_SEC_1ae3a3f4b3c4484980120137749e19ed" title="破产重整相关事项" headerRef="78" helpId="110002001" helpText="公司应当披露报告期内发生的破产重整相关事项，包括相关主体向法院申请重整、和解或破产清算，法院受理重整、和解或破产清算，以及公司重整期间发生的法院裁定结果及其他重大事项。执行重整计划的公司应当说明计划的具体内容及执行情况。"/>
    <m:item xlName="_GBC_0fcf1cd2d0814185bde747855edf5227" headerRef="79" up="重大诉讼、仲裁事项" concept="clcid-mr:BenNianDuGongSiYouWuZhongDaSuSongZhongCaiShiXiang" label="本年度公司有无重大诉讼、仲裁事项" selectOptions="b57efa008b784297940d385751c4cb21" controlType="CustomCheckbox" type="i:" cRanges="{&quot;StartName&quot;:&quot;_GBC_0fcf1cd2d0814185bde747855edf5227&quot;,&quot;EndName&quot;:&quot;_SEC_c92a88ec21204766afe5f9688cbd21bd&quot;,&quot;CType&quot;:1,&quot;DisplayText&quot;:null}"/>
    <m:section xlName="_SEC_902756a755994b00b80a02d3baa0ea44" title="诉讼、仲裁事项已在临时公告披露且无后续进展的" rules="R2015_R5_006" headerRef="80" convertSummaryRule="NoConvert" helpId="110001001" helpText="注：如以上诉讼、仲裁或媒体质疑事项已在临时公告披露且无后续进展的，仅需披露该事项概述，并提供临时报告披露网站的查询索引。"/>
    <m:section xlName="_SEC_85376178a04b46fb90efc5d6fa2e6a28" title="临时公告未披露或有后续进展的诉讼、仲裁情况" rules="R2015_R5_006" headerRef="81" convertSummaryRule="NoConvert" helpId="110001001"/>
    <m:section xlName="_SEC_c92a88ec21204766afe5f9688cbd21bd" title="其他诉讼仲裁事项说明" rules="R2015_R5_006" headerRef="82" convertSummaryRule="NoConvert" helpId="110001001"/>
    <m:section xlName="_SEC_61682565f6714c6a81ab8e6d05a5abaa" title="上市公司及其董事、监事、高级管理人员、控股股东、实际控制人、收购人处罚及整改情况" headerRef="83" helpId="110010001" helpText="报告期内公司存在以下情形的，应当说明原因或结论：\n（一）公司涉嫌犯罪被依法立案调查，公司的控股股东、实际控制人、董事、监事、高级管理人员涉嫌犯罪被依法采取强制措施；\n（二）公司或者公司的控股股东、实际控制人、董事、监事、高级管理人员受到刑事处罚，涉嫌违法违规被中国证监会立案调查或者受到中国证监会行政处罚，或者受到其他有权机关重大行政处罚；\n（三）公司的控股股东、实际控制人、董事、监事、高级管理人员涉嫌严重违纪违法或者职务犯罪被纪检监察机关采取留置措施且影响其履行职责。\n（四）公司董事、监事、高级管理人员因涉嫌违法违规被其他有权机关采取强制措施且影响其履行职责。\n公司应当披露报告期内公司或者公司的控股股东、实际控制人、董事、监事、高级管理人员被中国证监会采取行政监管措施和被证券交易所采取纪律处分的情况,若涉及限期整改要求的，公司应当披露整改责任人、整改期限、整改措施、整改完成情况。"/>
    <m:section xlName="_SEC_b6520273283341408b24eceadfb999dd" title="报告期内公司及其控股股东、实际控制人诚信状况的说明" headerRef="84" helpId="104002006" helpText="公司应当披露报告期内公司及其控股股东、实际控制人的诚信状况，包括但不限于：是否存在未履行法院生效法律文书确定的义务、所负数额较大的债务到期未清偿等情况。"/>
    <m:placeholder xlName="_PLD_ed0a75531ff14ea1aad22e0ef7e2aa32" headerRef="85" keyCode="PageId:ch0602" keyAction="31"/>
    <m:section xlName="_SEC_b9489dd6b4c843e6be6e5a97de24b51b" title="已在临时公告披露且后续实施无进展或变化的事项" rules="R2015_R5_009" headerRef="87" convertSummaryRule="NoConvert" helpId="110006001"/>
    <m:section xlName="_SEC_ec9777844cc44aa6b3f98c8af0a20f95" title="已在临时公告披露，但有后续实施的进展或变化的事项" rules="R2015_R5_009" headerRef="88" convertSummaryRule="NoConvert" helpId="110006001"/>
    <m:section xlName="_SEC_227a4feb5cd045acb20f0e655bf26ea8" title="临时公告未披露的事项" rules="R2015_R5_009" headerRef="89" convertSummaryRule="NoConvert" helpId="110006001"/>
    <m:section xlName="_SEC_bf9131838c5b421d81cb3165b3861506" title="已在临时公告披露且后续实施无进展或变化的事项" rules="R2015_R5_009" headerRef="91" convertSummaryRule="NoConvert" helpId="110006003"/>
    <m:section xlName="_SEC_f9a57b14408248c4bc6881cfd0e81074" title="已在临时公告披露，但有后续实施的进展或变化的事项" rules="R2015_R5_009" headerRef="92" convertSummaryRule="NoConvert" helpId="110006003"/>
    <m:section xlName="_SEC_a7b4eef2f39c4550974e81ee8caca798" title="临时公告未披露的事项" rules="R2015_R5_009" headerRef="93" convertSummaryRule="NoConvert" helpId="110006003"/>
    <m:section xlName="_SEC_e17a03ced9e54c92b773a7e185d85bd3" title="涉及业绩约定的，应当披露报告期内的业绩实现情况" headerRef="94" helpId="110006003"/>
    <m:section xlName="_SEC_d9e67609bdab489e985efba8758860bd" title="已在临时公告披露且后续实施无进展或变化的事项" rules="R2015_R5_009" headerRef="96" convertSummaryRule="NoConvert" helpId="110006004"/>
    <m:section xlName="_SEC_53e4f8cd2c114fb1a1c9d74236ebd2fc" title="已在临时公告披露，但有后续实施的进展或变化的事项" rules="R2015_R5_009" headerRef="97" convertSummaryRule="NoConvert" helpId="110006004"/>
    <m:section xlName="_SEC_25e347f9cbc546cbafdf30522b654328" title="临时公告未披露的事项" rules="R2015_R5_009" headerRef="98" convertSummaryRule="NoConvert" helpId="110006004"/>
    <m:section xlName="_SEC_2fd4e717dd2949d2b4b4fb580dfce32a" title="已在临时公告披露且后续实施无进展或变化的事项" rules="R2015_R5_009" headerRef="100" convertSummaryRule="NoConvert" helpId="110006005"/>
    <m:section xlName="_SEC_dcb3650518df4296931e576a9d6fdaf3" title="已在临时公告披露，但有后续实施的进展或变化的事项" rules="R2015_R5_009" headerRef="101" convertSummaryRule="NoConvert" helpId="110006005"/>
    <m:section xlName="_SEC_da19abf815bb4e3a97fcb901c6225551" title="临时公告未披露的事项" rules="R2015_R5_009" headerRef="102" convertSummaryRule="NoConvert" helpId="110006005" helpText="注：“关联债权债务往来”不包括本准则第三十九条（一）（二）（三）项中的交易事项，表格中“发生额”、“余额”应包括以下项目的加总：\n（1）“其他应收款”、“其他应付款”科目下的有关金额；\n（2）“应收账款”及“预付账款”科目中的代垫经营性费用及成本部分。"/>
    <m:item xlName="_GBC_918ef76103ad41b4a79075b59fdb8bf4" headerRef="103" up="公司与存在关联关系的财务公司、公司控股财务公司与关联方之间的金融业务" concept="clcid-ci-ar:ShiFouShiYongGongSiYuCunZaiGuanLianGuanXiDeCaiWuGongSiGongSiKongGuCaiWuGongSiYuGuanLianFangZhiJianDeJinRongYeWu" label="是否适用：公司与存在关联关系的财务公司、公司控股财务公司与关联方之间的金融业务 " selectOptions="_buildInAppliance" controlType="CustomCheckbox" type="i:" cRanges="[{&quot;StartName&quot;:&quot;_GBC_918ef76103ad41b4a79075b59fdb8bf4&quot;,&quot;EndName&quot;:&quot;_SEC_ede026bdca864b809b90849751fe4fc0&quot;,&quot;CType&quot;:1}]"/>
    <m:section xlName="_SEC_fc426ce94f134c9ba4ffd1e1a862890e" title="存款业务" headerRef="104" helpId="110002103"/>
    <m:section xlName="_SEC_45b8c1047ae846eebaed610686a59163" title="贷款业务" headerRef="105" helpId="110002103"/>
    <m:section xlName="_SEC_12af8280dba7414eaa58fcdd5ef5ac8d" title="授信业务或其他金融业务" headerRef="106" helpId="110002103"/>
    <m:section xlName="_SEC_ede026bdca864b809b90849751fe4fc0" title="其他说明" headerRef="107"/>
    <m:section xlName="_SEC_d0d528034450466db3d12315559a161a" title="(五) 其他重大关联交易" rules="R2015_R5_009" headerRef="108" helpId="104002007"/>
    <m:section xlName="_SEC_94b5dc0c50e04cae8442e9675bd15742" title="其他" headerRef="109" helpId="104002007"/>
    <m:placeholder xlName="_PLD_c4fb91d213914f02914129de5a9f3dcf" headerRef="110" keyCode="PageId:ch0604" keyAction="31"/>
    <m:item xlName="_GBC_daed561e68674d828a348a97bffbc154" headerRef="111" up="托管、承包、租赁事项" concept="clcid-ci-ar:ShiFouShiYongTuoGuanChengBaoZuLinShiXiang" label="是否适用：托管、承包、租赁事项" selectOptions="_buildInAppliance" controlType="CustomCheckbox" type="i:" cRanges="{&quot;StartName&quot;:&quot;_GBC_daed561e68674d828a348a97bffbc154&quot;,&quot;EndName&quot;:&quot;_SEC_c517528524f046abb8a7c1e21d61ed7c&quot;,&quot;CType&quot;:1,&quot;DisplayText&quot;:null}"/>
    <m:section xlName="_SEC_9c01e84b84e4472699e6ea8e413814d7" title="托管情况" headerRef="112" isSupervision="true" convertSummaryRule="NoConvert" helpId="110007001" helpText="注：为公司带来的利润达到公司本期利润总额10％以上（含10％）的托管、承包、租赁事项"/>
    <m:section xlName="_SEC_37ed7d66ad1d401d8403e9b54bcb42bc" title="承包情况                         ..." headerRef="113" convertSummaryRule="NoConvert" helpId="110007001" helpText="注：为公司带来的利润达到公司本期利润总额10％以上（含10％）的托管、承包、租赁事项"/>
    <m:section xlName="_SEC_c517528524f046abb8a7c1e21d61ed7c" title="租赁情况                         ..." headerRef="114" convertSummaryRule="NoConvert" helpId="110007001" helpText="注：为公司带来的利润达到公司本期利润总额10％以上（含10％）的托管、承包、租赁事项"/>
    <m:item xlName="_GBC_aae98b3e30bd49e4b2e1d2643f200047" headerRef="115" up="报告期内履行的及尚未履行完毕的重大担保情况" concept="clcid-ci-ar:ShiFouShiYongDanBaoQingKuang" label="是否适用：担保情况" selectOptions="_buildInAppliance" controlType="CustomCheckbox" type="i:" cRanges="{&quot;StartName&quot;:&quot;_GBC_aae98b3e30bd49e4b2e1d2643f200047&quot;,&quot;EndName&quot;:&quot;_SEC_7252a26412904d92b0bddfc3266d9f75&quot;,&quot;CType&quot;:1,&quot;DisplayText&quot;:null}"/>
    <m:section xlName="_SEC_7252a26412904d92b0bddfc3266d9f75" title="担保情况" rules="R2015_R5_010" headerRef="115" orient="landscape" convertSummaryRule="NoConvert" helpId="110007002" helpText="注1：报告期内担保发生额和报告期末担保余额包括子公司的对外担保，其担保金额为该子公司对外担保金额乘以公司持有该公司的股份比例。公司及其子公司的对外担保应在此处填写明细情况。\n注2：担保总额为上述“报告期末担保余额合计（不包括对子公司的担保）”和“报告期末对子公司担保余额合计”两项的加总。 “上述三项担保金额合计”为上述“为股东、实际控制人及其关联方提供担保的金额”、“直接或间接为资产负债率超过70%的被担保对象提供的债务担保金额”和“担保总额超过净资产50%部分的金额”三项的加总。若一个担保事项同时出现上述两项或三项情形，在合计中只需要计算一次。 \n注3：重大担保。报告期内履行的及尚未履行完毕的担保合同，包括担保金额、担保期限、担保对象、担保类型（一般担保或连带责任担保）、担保物（如有）、反担保情况（如有）、担保的决策程序等。对于未到期担保合同，如果报告期内发生担保责任或有证据表明有可能承担连带清偿责任，应当明确说明。"/>
    <m:section xlName="_SEC_e046194a1b604165ab4ac9dbd406e6b1" title="其他重大合同" headerRef="116" convertSummaryRule="NoConvert" helpId="110007004"/>
    <m:placeholder xlName="_PLD_e81f1d6e46664a099c23364cdb71d69a" headerRef="117" keyCode="PageId:ch0603" keyAction="31"/>
    <m:item xlName="_GBC_680b9390780e4e2096adf48e91fa95ca" headerRef="117" up="募集资金使用进展说明" concept="clcid-ci-ar:ShiFouShiYongMuJiZiJinShiYongJinZhanShuoMing" label="是否适用：募集资金使用进展说明" selectOptions="_buildInAppliance" controlType="CustomCheckbox" type="i:" cRanges="[{&quot;StartName&quot;:&quot;_GBC_680b9390780e4e2096adf48e91fa95ca&quot;,&quot;EndName&quot;:&quot;_SEC_a2c604b847a04b50b6319cabc2e71012&quot;,&quot;CType&quot;:1}]"/>
    <m:section xlName="_SEC_413dfb4663ad4788be1ab30f51e9ad00" title="募集资金整体使用情况" discLawArt="第五十五条" discLaw="CSRC_LC_CFG_N2_NDBG_V2025" headerRef="118" helpText="如数据校验提示错误，请在其他说明中具体解释原因。\n1、对于某次融资的募集资金在报告期之前已经全部使用完毕的，无需填写。\n2、募集资金来源分为首次公开发行股票、向特定对象发行股票、发行可转换债券、其他。请填写对应募集资金到位时间，格式为：xxxx年xx月xx日。\n3、填写单位为：元"/>
    <m:item xlName="_GBC_d62426eab3014f178b7d8906e6ab8d2c" headerRef="119" up="募投项目明细" concept="clcid-ci-ar:ShiFouShiYongMuTouXiangMuMingXi" label="是否适用：募投项目明细" selectOptions="_buildInAppliance" controlType="CustomCheckbox" type="i:" cRanges="[{&quot;StartName&quot;:&quot;_GBC_d62426eab3014f178b7d8906e6ab8d2c&quot;,&quot;EndName&quot;:&quot;_SEC_099793cc2c0544da87bdcc524e614fe6&quot;,&quot;CType&quot;:1}]"/>
    <m:section xlName="_SEC_e6c63beeba524f6c8c28498ba5240ad9" title="募投项目明细" discLawArt="第五十五条" discLaw="CSRC_LC_CFG_N2_NDBG_V2025" headerRef="120" helpText="如数据校验提示错误，请在上一张表“募集资金整体使用情况”表下方的其他说明中解释具体原因。\n1、对于某次融资的募集资金在报告期之前已经全部使用完毕的，无需填写。\n2、该表列示目前仍在执行的或结项的募投项目明细，即如涉及募投项目变更，该表列示变更后的项目。对于某次融资的募集资金已经全部使用完毕的无需列示。\n3、募集资金来源分为首次公开发行股票、向特定对象发行股票、发行可转换债券、其他。请填写对应募集资金到位时间，格式为：xxxx年xx月xx日。\n4、募集资金计划投资总额：填写项目的实际募集资金计划投资额。如果项目变更过投资金额，则以最新披露过的公告内容为准，如有新增项目则新建一行。\n5、项目达到预定可使用状态日期：根据招股书/募集说明书中披露的项目实施周期及实际启动日期，填写具体时间，精确到月份。\n6、本项目已实现的效益或者研发成果：填写已实现的产能、已研发出的产品或已获批的专利等；如无前述成果，填写“无”。\n公司的子公司发生的本节所列重大事项，对投资者作出价值判断和投资决策有重大影响的，应当视同公司的重大事项予以披露。"/>
    <m:section xlName="_SEC_b926ba928d574ba0a7e97ab61b1105fc" title="超募资金明细使用情况" discLawArt="第五十五条" discLaw="CSRC_LC_CFG_N2_NDBG_V2025" headerRef="121" helpText="对于某次融资的募集资金在报告期之前已经全部使用完毕的，无需填写。\n公司的子公司发生的本节所列重大事项，对投资者作出价值判断和投资决策有重大影响的，应当视同公司的重大事项予以披露。"/>
    <m:section xlName="_SEC_099793cc2c0544da87bdcc524e614fe6" title="报告期内募投项目重新论证的具体情况" discLawArt="第五十五条" discLaw="CSRC_LC_CFG_N2_NDBG_V2025" headerRef="122" helpId="103002008" helpText="《上海证券交易所上市公司自律监管指引第1号——规范运作》6.3.9 募集资金投资项目出现下列情形之一的，上市公司应当及时对该项目的可行性、预计收益等重新进行论证，决定是否继续实施该项目：\n（一）募集资金投资项目涉及的市场环境发生重大变化的；\n（二）募集资金到账后，募集资金投资项目搁置时间超过一年的；\n（三）超过募集资金投资计划的完成期限且募集资金投入金额未达到相关计划金额50%的；\n（四）募集资金投资项目出现其他异常情形的。\n上市公司存在前款规定情形的，应当及时披露。需要调整募集资金投资计划的，应当同时披露调整后的募集资金投资计划；涉及改变募集资金投资项目的，适用改变募集资金用途的相关审议程序。\n上市公司应当在年度报告和半年度报告中披露报告期内上市公司募投项目重新论证的具体情况。"/>
    <m:section xlName="_SEC_765a4abd121e4bf8bc1267fde4c0401f" title="报告期内募投变更情况" discLawArt="第五十五条" discLaw="CSRC_LC_CFG_N2_NDBG_V2025" headerRef="123" orient="landscape" helpText="1、对于某次融资的募集资金在报告期之前已经全部使用完毕的，无需填写。\n2、包含终止募投项目用于补充流动资金情形，该情形下变更后项目名称填写补充流动资金。\n3、变更前项目名称：仅适用于原募投项目变更金额、原募投项目取消或终止。如因低募调低募集资金投入金额或取消某募投项目，不属于此处变更用途情形。\n4、变更或终止原因：具体说明变更或终止的原因及合理性，并明确变更或终止后的项目是否用于主营业务。"/>
    <m:section xlName="_SEC_46cef5bb25984707aca27aa80f83fd2a" title="募集资金投资项目先期投入及置换情况  ____" discLawArt="第五十五条" discLaw="CSRC_LC_CFG_N2_NDBG_V2025" headerRef="125" helpText="对于某次融资的募集资金在报告期之前已经全部使用完毕的，无需填写。"/>
    <m:section xlName="_SEC_ff3e2416ad6c4af48b73d6cc3ce54fc1" title="用闲置募集资金暂时补充流动资金情况  ____" discLawArt="第五十五条" discLaw="CSRC_LC_CFG_N2_NDBG_V2025" headerRef="126" helpText="对于某次融资的募集资金在报告期之前已经全部使用完毕的，无需填写。"/>
    <m:section xlName="_SEC_5e51418415d94f41b9d1f518b7caa82a" title="对闲置募集资金进行现金管理，投资相关产品情况  ____" discLawArt="第五十五条" discLaw="CSRC_LC_CFG_N2_NDBG_V2025" headerRef="127" helpText="1、对于某次融资的募集资金在报告期之前已经全部使用完毕的，无需填写。\n2、董事会审议日期、起始日期和结束日期”的格式为：xxxx年xx月xx日。"/>
    <m:section xlName="_SEC_711697a1f7a2410da19e2ebf4fd0a8d9" title="其他" discLawArt="第五十五条" discLaw="CSRC_LC_CFG_N2_NDBG_V2025" headerRef="128" helpText="对于某次融资的募集资金在报告期之前已经全部使用完毕的，无需填写。"/>
    <m:section xlName="_SEC_4682dca9b4434d0db792a55324015986" title="中介机构对募集资金存储与使用情况核查异常的相关情况说明" headerRef="772" helpId="103002007" helpText="《上海证券交易所上市公司自律监管指引第1号——规范运作》\n6.3.25 保荐人或者独立财务顾问应当按照《证券发行上市保荐业务管理办法》的规定，对上市公司募集资金的存放、管理和使用进行持续督导，持续督导中发现异常情况的，应当及时开展现场核查。保荐人或者独立财务顾问应当至少每半年度对上市公司募集资金的存放、管理和使用情况进行一次现场核查。保荐机构或者独立财务顾问在持续督导和现场核查中发现异常情况的，应当督促公司及时整改，并及时向本所及有关监管部门报告。\n每个会计年度结束后，保荐人或者独立财务顾问应当对上市公司年度募集资金存放、管理和使用情况出具专项核查报告，并于上市公司披露年度报告时一并披露。"/>
    <m:section xlName="_SEC_a2c604b847a04b50b6319cabc2e71012" title="擅自变更募集资金用途、违规占用募集资金的后续整改情况" discLawArt="第五十五条" discLaw="CSRC_LC_CFG_N2_NDBG_V2025" headerRef="130" helpText="请补充说明擅自变更募集资金用途、违规占用募集资金的具体情形及对应的整改情况。"/>
    <m:section xlName="_SEC_82a7281a6dc544bea8ef97d430f7b6fc" headerRef="131" helpId="110011001"/>
    <m:placeholder xlName="_PLD_cde8434e71444eafa523d9d0ecc7c784" headerRef="132" keyCode="PageId:ch0700" keyAction="31"/>
    <m:section xlName="_GBC_dd8bc2a0b3ed4147a1e657cdc8573344" title="报告期内，公司股份总数及股本结构未发生变化。" checkKey="!变动增减" headerRef="135" helpId="104001001" primarySection="_GBC_dd8bc2a0b3ed4147a1e657cdc8573344" optionText="股份未变化" activeContentOption="_GBC_f9397743097a41aeb54f7cc576d0c924" optionGroupTitle="公司股份变化情况" optionTargetConcept="clcid-ci-ar:ShiFouShiYongGuFenBianDongQingKuangBiao" optionTargetConceptValue="false" otherKeyActions="{&quot;KeyCode&quot;:&quot;SF_SSE&quot;,&quot;KeyAction&quot;:47,&quot;KeyActionTitle&quot;:null,&quot;OtherActions&quot;:null}"/>
    <m:section xlName="_GBC_f9397743097a41aeb54f7cc576d0c924" title="股份变动情况表(已完成或不涉及股改)" rules="R2015_R6_001" checkKey="!未发生变化&amp;!未上市流通股份" headerRef="135" helpId="104001001" primarySection="_GBC_dd8bc2a0b3ed4147a1e657cdc8573344" optionText="股份有变化,已完成股权分置改革或不涉及股权分置改革" activeContentOption="_GBC_0422a6706bc4487ebfdb5679a4894cf2" optionGroupTitle="公司股份变化情况" optionTargetConcept="clcid-ci-ar:ShiFouShiYongGuFenBianDongQingKuangBiao" optionTargetConceptValue="true" otherKeyActions="{&quot;KeyCode&quot;:&quot;SF_SSE&quot;,&quot;KeyAction&quot;:47,&quot;KeyActionTitle&quot;:null,&quot;OtherActions&quot;:null}"/>
    <m:section xlName="_GBC_872d4d405bf64e4d9c4e4ee9330ec2d5" title="股份变动情况表(未完成股改)" rules="R2015_R6_001" checkKey="!未发生变化&amp;!有限售条件股份" headerRef="135" helpId="104001001" primarySection="_GBC_dd8bc2a0b3ed4147a1e657cdc8573344" optionText="股份有变化,未完成股权分置改革" activeContentOption="_GBC_0422a6706bc4487ebfdb5679a4894cf2" optionGroupTitle="公司股份变化情况" optionTargetConcept="clcid-ci-ar:ShiFouShiYongGuFenBianDongQingKuangBiao" optionTargetConceptValue="true" otherKeyActions="{&quot;KeyCode&quot;:&quot;SF_SSE&quot;,&quot;KeyAction&quot;:47,&quot;KeyActionTitle&quot;:null,&quot;OtherActions&quot;:null}"/>
    <m:section xlName="_GBC_11d26f58e47e4a1f997d73362074f464" title="股份变动情况说明" rules="R2015_R6_001" headerRef="136" convertSummaryRule="NoConvert" helpId="104001001"/>
    <m:section xlName="_GBC_2c9eb79778814e39ab254196ba75dab3" title="报告期后到半年报披露日期间发生股份变动对每股收益等指标影响" rules="R2015_R6_001" headerRef="137" convertSummaryRule="NoConvert" helpId="104001001"/>
    <m:section xlName="_GBC_ea8cea8d08c04df4b51a4a58c86eadd2" title="公司认为必要或证券监管机构要求披露的其他内容" rules="R2015_R6_001" headerRef="138" convertSummaryRule="NoConvert" helpId="104001001"/>
    <m:section xlName="_SEC_71bda84d0fff4902850bfc37d3477fb7" title="限售股份变动情况" headerRef="139" helpId="104001031" helpText="注：若同一股东因不同限售原因或限售期限持有几类限售股份的，应当区别不同的限售原因或解除限售日期填写上表。"/>
    <m:section xlName="_GBC_ba0ac3b5d31347c0a620e3662112fa62" title="股东总数" rules="R2015_R6_002" headerRef="141" convertSummaryRule="NoConvert" helpId="104002001"/>
    <m:section xlName="_SEC_592bb0bb4ec54f4281af37e1affd5a7d" title="截至报告期末前十名股东持股情况表" checkKey="!非流通股" headerRef="142" helpId="104001032" helpText="注：\n1.公司股票为融资融券标的证券的，股东持股数量应当按照其通过普通证券账户、信用证券账户持有的股票及其权益数量合并计算。\n2.公司在计算本条所指股东持股数额或比例时,应合并计算普通股和表决权恢复的优先股(如有)。" primarySection="_SEC_592bb0bb4ec54f4281af37e1affd5a7d" optionText="已完成股权分置改革或不涉及股权分置改革" optionGroupTitle="前十名股东持股情况" optionTargetConcept="clcid-cgi:GuQuanFenZhiGaiGeZhuangTai" optionTargetConceptValue="已完成股权分置改革" mergeDisplayOptionTag="_SEC_592bb0bb4ec54f4281af37e1affd5a7d"/>
    <m:section xlName="_SEC_e6be5feadfe34f78a95c27bf11e8485b" title="前十名股东参与转融通业务出借股份情况" checkKey="!非流通股" headerRef="142" helpId="101001006" helpText="《上海证券交易所上市公司自律监管指南第2号——业务办理（2023年11月修订）》第十一号 融资融券、转融通相关事项：\n四、定期报告相关要求\n（一）上市公司应当在定期报告的“股份变动和股东情况”部分，披露持股5%以上股东、前10名股东及前10名无限售流通股股东在报告期内参与融资融券及转融通业务的具体情况，包括相关股东名称、报告期初持股数量及比例、报告期初转融通出借股份数量及比例、报告期末持股数量及比例、报告期末转融通出借股份数量及比例等。\n（二）上市公司前10名股东及前10名无限售流通股股东较前一个定期报告中披露的情况发生变化的，公司应当向相关股东核实变化原因是否涉及股东在报告期内参与转融通业务，如是，公司应当在定期报告“股份变动和股东情况”部分，披露报告期内相关股东以公司证券为标的参与转融通业务的证券数量及占上市公司总股本的比例，以及报告期末该等股东所持该公司股份数量与已通过转融通出借尚未归还的该公司股份数量的合计数及占上市公司总股本的合计比例。\n（三）上市公司可登陆中国证券金融股份有限公司证券出借数据查询平台（https://margindata.csf.com.cn）查询证券出借数据。" optionTargetConcept="clcid-cgi:GuQuanFenZhiGaiGeZhuangTai" optionTargetConceptValue="已完成股权分置改革" mergeDisplayOptionTag="_SEC_592bb0bb4ec54f4281af37e1affd5a7d"/>
    <m:section xlName="_SEC_754d5c3876f14c478be5d284316e9503" title="前十名股东较上期发生变化" checkKey="!非流通股" headerRef="142" helpId="102001009" helpText="1、本表仅填写转融通引起的变化，不填其他原因引起的变化。\n2、本表的变化指的是股东与上期相比的新进和退出，不是指股份数量与上期相比的增加和减少。" optionTargetConcept="clcid-cgi:GuQuanFenZhiGaiGeZhuangTai" optionTargetConceptValue="已完成股权分置改革" mergeDisplayOptionTag="_SEC_592bb0bb4ec54f4281af37e1affd5a7d"/>
    <m:section xlName="_SEC_b5308a454ece4ff1ac26795955195341" title="前十名有限售条件股东持股数量及限售条件" checkKey="!非流通股" headerRef="142" helpId="104001032" optionTargetConcept="clcid-cgi:GuQuanFenZhiGaiGeZhuangTai" optionTargetConceptValue="已完成股权分置改革" mergeDisplayOptionTag="_SEC_592bb0bb4ec54f4281af37e1affd5a7d"/>
    <m:section xlName="_GBC_4a9721209ff04ca9a1a9139d61e2a864" title="持有公司5%以上股份的前十名股东持股情况(未完成股改)" rules="R2015_R6_002" headerRef="143" helpId="104001032" primarySection="_SEC_592bb0bb4ec54f4281af37e1affd5a7d" optionText="未完成股权分置改革" optionGroupTitle="前十名股东持股情况" optionTargetConcept="clcid-cgi:GuQuanFenZhiGaiGeZhuangTai" optionTargetConceptValue="未完成股权分置改革" otherKeyActions="{&quot;KeyCode&quot;:&quot;SF_SSE&quot;,&quot;KeyAction&quot;:47,&quot;KeyActionTitle&quot;:null,&quot;OtherActions&quot;:null}"/>
    <m:section xlName="_GBC_e978a717352b4bf6852a761b15c1e95b" title="战略投资者或一般法人因配售新股成为前10名股东" rules="R2015_R6_002" headerRef="144" convertSummaryRule="NoConvert" helpId="104001032"/>
    <m:placeholder xlName="_PLD_6b831d200a944e2085dc13f82ae7a59e" headerRef="145" keyCode="PageId:ch0701" keyAction="31">
      <m:placeholder xlName="_PLD_9d2c0b803c8340e89586e10920d012bd" keyCode="SF_CL_SJWYH" keyAction="30"/>
    </m:placeholder>
    <m:section xlName="_SEC_34f8808520ab47be851d00ee44fc510b" title="现任及报告期内离任董事、监事和高级管理人员持股变动情况 " headerRef="146" helpId="105001001" helpText="注：\n1、报告期内离任的董事、监事、高级管理人员，仍需按本章要求披露相关内容。\n2、报告期后新任的，董事、监事、高级管理人员可作附注说明。\n注：职务如是独立董事，需单独注明。\n（1）如果涉及多个职称使用中文顿号“、”分隔；\n（2）如果已离任使用括号备注，例如：董事（离任）\n（3）常用职称：董事、独立董事、职工代表董事、董事长、监事、职工代表监事、监事会主席、总经理、分管（XX）的副总经理、财务负责人、董事会秘书、副董事长、监事长、监事会副主席、总裁、副总裁、信息披露负责人、行长、副行长等；" axisType="Column" keyAction="31" keyCode="AutoSplitRow"/>
    <m:section xlName="_SEC_ddbdd27d049d452a9d63bfa087a3f3c5" title="其它情况说明" headerRef="146" helpId="105001001"/>
    <m:section xlName="_SEC_e31f847e559a4ff7aa07914d45526543" title="董事、监事、高级管理人员报告期内被授予的股权激励情况" headerRef="147" helpId="105001001" helpText="注：\n1、报告期内离任的董事、监事、高级管理人员，仍需按本章要求披露相关内容。\n2、报告期后新任的，董事、监事、高级管理人员可作附注说明。"/>
    <m:section xlName="_SEC_b5cd47f19fe24fecafd1039d3c1c6b51" title="董事、监事、高级管理人员报告期内被授予的股权激励情况表二" headerRef="147" helpId="105001001" helpText="注：\n1、报告期内离任的董事、监事、高级管理人员，仍需按本章要求披露相关内容。\n2、报告期后新任的，董事、监事、高级管理人员可作附注说明。"/>
    <m:section xlName="_SEC_a1a4d90699494886b231030a7c17645b" title="其他董事、监事、高级管理人员和员工情况" rules="R2015_R8_001" headerRef="148" helpId="105001001" helpText="注：\n1、报告期内离任的董事、监事、高级管理人员，仍需按本章要求披露相关内容。\n2、报告期后新任的，董事、监事、高级管理人员可作附注说明。"/>
    <m:section xlName="_GBC_2e7a202224f3494aa0093f3bd0f39d33" title="控股股东及实际控制人变更情况" rules="R2015_R6_003" headerRef="149" convertSummaryRule="ConvertDefinedText" convertText="本报告期内公司控股股东或实际控制人没有发生变更。" helpId="104002003"/>
    <m:placeholder xlName="_PLD_f265807d96c149c1b9ed9134b86e3d4c" headerRef="150" keyCode="PageId:ch0800" keyAction="31"/>
    <m:item xlName="_GBC_2113adbee8464e1c828b3d6d35c60abf" headerRef="150" up="优先股相关情况" concept="clcid-ci-ar:ShiFouShiYongYouXianGuXiangGuanQingKuang" label="是否适用：优先股相关情况" selectOptions="_buildInAppliance" controlType="CustomCheckbox" type="i:" cRanges="{&quot;StartName&quot;:&quot;_GBC_2113adbee8464e1c828b3d6d35c60abf&quot;,&quot;EndName&quot;:&quot;_GBC_8fb06e980aee40a3b1b78ccabb3fc0e3&quot;,&quot;CType&quot;:1,&quot;DisplayText&quot;:null}"/>
    <m:section xlName="_GBC_038a92c2237240f0893f503bba7a03c0" title="报告期内优先股发行与上市情况" rules="R2015_R7_001" headerRef="151" helpId="112001228"/>
    <m:section xlName="_SEC_09ecd5a571d64e909892f8249659d711" title="优先股股东情况" tupleConcept="clcid-cgi:QianShiMingYouXianGuGuDongQingKuangMingXi" repeatable="1" headerRef="153" helpId="104002009"/>
    <m:section xlName="_GBC_cdbecede1d44433785be1be860bc785b" title="其他优先股股东情况说明" rules="R2015_R7_001" headerRef="155" helpId="104002009"/>
    <m:section xlName="_GBC_dd0252a8df9640e89dc854d849426857" title="回购情况" rules="R2015_R7_001" headerRef="157" helpId="112001230"/>
    <m:section xlName="_GBC_bfe4b4f422a94baaa8274d70ba44bfb9" title="转换情况" rules="R2015_R7_001" headerRef="158" helpId="112001229"/>
    <m:section xlName="_GBC_ddb96eb7a92a4d6285f620d33674775f" title="报告期内存在优先股表决权恢复的，公司应当披露相关表决权的恢复情况" rules="R2015_R7_001" headerRef="159" helpId="112001231"/>
    <m:section xlName="_GBC_8c2b7a1d2d1b4786b4822d8ec9c8c28f" title="公司对优先股采取的会计政策及理由" rules="R2015_R7_001" headerRef="160" helpId="112001232"/>
    <m:section xlName="_GBC_8fb06e980aee40a3b1b78ccabb3fc0e3" title="其他优先股相关情况" rules="R2015_R7_001" headerRef="161" helpId="112001232"/>
    <m:placeholder xlName="_PLD_de1412537a3e4974a4bb3bfafcae6d7a" headerRef="162" keyCode="PageId:ch0900" keyAction="31"/>
    <m:item xlName="_GBC_8e6b9cf2d8c24a6faf41199f98e408b3" helpId="112500014" headerRef="163" up="公司债券（含企业债券）和非金融企业债务融资工具" concept="clcid-ci-ar:ShiFouShiYongZhaiQuanXiangGuanQingKuang" label="是否适用：债券相关情况" selectOptions="_buildInAppliance" controlType="CustomCheckbox" type="i:" cRanges="[{&quot;StartName&quot;:&quot;_GBC_8e6b9cf2d8c24a6faf41199f98e408b3&quot;,&quot;EndName&quot;:&quot;_SEC_9f3013bc6d4940f49cf3cfe39dab5a57&quot;,&quot;CType&quot;:1}]"/>
    <m:item xlName="_GBC_0aefba4fc6d84d32a7c7d372906dfb2e" headerRef="164" up="公司债券（含企业债券）" concept="clcid-ci-ar:ShiFouShiYongGongSiZhaiQuanXiangGuanQingKuang" label="是否适用：公司债券相关情况" selectOptions="_buildInAppliance" controlType="CustomCheckbox" type="i:" cRanges="[{&quot;StartName&quot;:&quot;_GBC_0aefba4fc6d84d32a7c7d372906dfb2e&quot;,&quot;EndName&quot;:&quot;_SEC_82f9c67b20cb45eda99d978cc09be2e9&quot;,&quot;CType&quot;:1}]"/>
    <m:section xlName="_SEC_ea7d4fd769564315a74d9d85b6aed2f9" title="公司债券基本情况" headerRef="165" convertSummaryRule="NoConvert" helpId="112500001" helpText="公司债券基本信息列表以未来行权（含到期及回售）时间顺序排列"/>
    <m:section xlName="_SEC_a78818601652484a980eda0c78d6536d" title="公司对债券终止上市交易风险的应对措施  ____" headerRef="165" helpId="112500001"/>
    <m:section xlName="_SEC_5399143278374bc6a0338b597e80e0a8" title="公司或投资者选择权条款、投资者保护条款的触发和执行情况 ..." headerRef="166" helpId="110002105"/>
    <m:section xlName="_SEC_f79901d570c546118d8c8e652fd6699d" title="信用评级结果调整情况" headerRef="167" helpId="112500004">
      <m:axisValue occRef="非金融企业债务融资工具"/>
    </m:section>
    <m:section xlName="_SEC_f0fb497d2dc44da48452d2fd65e1db0f" title="其他说明  ____" headerRef="167" helpId="112500004">
      <m:axisValue occRef="非金融企业债务融资工具"/>
    </m:section>
    <m:section xlName="_SEC_82f9c67b20cb45eda99d978cc09be2e9" title="担保情况、偿债计划及其他偿债保障措施在报告期内的执行和变化情况及其影响" headerRef="168" helpId="110002106">
      <m:axisValue occRef="非金融企业债务融资工具"/>
    </m:section>
    <m:item xlName="_GBC_a9fc2a22a6aa4f7bb7f1d88774b6e37e" headerRef="169" up="公司债券募集资金情况" concept="bond:ShiFouZaiBaoGaoQiNeiShiYongMuJiZiJin" label="是否：在报告期内使用募集资金" selectOptions="8dbeb5f896c9489f8b8bd763e64b1cf5" controlType="CustomCheckbox" type="i:Boolean" helpText="在报告期内使用募集资金或整改" cRanges="[{&quot;StartName&quot;:&quot;_SEC_0c4699f9caa945d6ad96327a29ce56ea&quot;,&quot;EndName&quot;:&quot;_SEC_e089a48a86974c13b461b62dd8a6d93d&quot;,&quot;CType&quot;:1},{&quot;StartName&quot;:&quot;_SEC_1b0d783ef3104ade8396082f7a0e5fb8&quot;,&quot;EndName&quot;:&quot;_SEC_0eb66e4cf9df4a9f97a0ef7b0417a8ce&quot;,&quot;CType&quot;:1}]">
      <m:simpleRule minOccurs="1"/>
    </m:item>
    <m:section xlName="_SEC_0c4699f9caa945d6ad96327a29ce56ea" title="公司债券募集资金基本情况" headerRef="170" helpId="102001010" helpText="在报告期内使用募集资金或整改"/>
    <m:section xlName="_SEC_676b13bf3ea84b1d87a05b83d847511a" title="募集资金用途变更调整" headerRef="171" helpId="102001010" helpText="报告期内发生变更调整公司债券募集资金用途的情况"/>
    <m:section xlName="_SEC_94da10aea3dd45a88dc65d869f389ae0" title="募集资金实际使用情况（此处不含临时补流）" headerRef="172" helpId="102001010"/>
    <m:section xlName="_SEC_ae92c9e866534ac092824753789aa7f6" title="募集资金用于偿还公司债券及其他有息债务" headerRef="174" helpId="102001010"/>
    <m:section xlName="_SEC_e089a48a86974c13b461b62dd8a6d93d" title="募集资金用于补充流动资金（此处不含临时补流）" headerRef="175" helpId="102001010"/>
    <m:section xlName="_SEC_01906e9c9259492086483d7b990d3fc0" title="募集资金用于特定项目" headerRef="176" helpId="102001010" helpText="公司债券募集资金用于固定资产投资项目或者股权投资、债权投资或者资产收购等其他特定项目。"/>
    <m:section xlName="_SEC_1b0d783ef3104ade8396082f7a0e5fb8" title="募集资金用于其他用途债券代码债券简称其他用途的具体情况..." headerRef="177" helpId="102001010"/>
    <m:section xlName="_SEC_3482e772d0ce487ca811421341bb0309" title="临时补流" headerRef="178" helpId="102001010" helpText="报告期内公司债券募集资金用于临时补流"/>
    <m:section xlName="_SEC_80467ffc626e47de9a4877593d240cd2" title="募集资金合规情况" headerRef="179" helpId="102001010"/>
    <m:section xlName="_SEC_0eb66e4cf9df4a9f97a0ef7b0417a8ce" title="募集资金使用和募集资金账户管理存在违法违规情况" headerRef="179" orient="landscape" extended="true" version="0.1" versionTime="1785249605" helpId="102001010">
      <m:item xlName="_GBC_c33d02560b2c4cdb8965b389315b70eb" headerRef="179" up="募集资金使用和募集资金账户管理存在违规情况" concept="bond:ShiFouShiYongMuJiZiJinShiYongHeMuJiZiJinZhangHuGuanLiCunZaiWeiFaWeiGuiQingKuang" label="是否适用：募集资金使用和募集资金账户管理存在违法违规情况" selectOptions="6565ee901a12496788beccfc9e2a4ee0" controlType="CustomCheckbox" type="i:" cRanges="[{&quot;StartName&quot;:&quot;_GBC_c33d02560b2c4cdb8965b389315b70eb&quot;,&quot;EndName&quot;:&quot;_GBC_e650653da3f14704a9150433a631cdb2&quot;,&quot;CType&quot;:1}]"/>
      <m:item xlName="_GBC_bbabcffdc47449249ed970d08818f0e1" headerRef="179" up="tag:_GBC_c33d02560b2c4cdb8965b389315b70eb" concept="bond:ShiFouWeiGuiJiZhengGaiQingXingYiZaiQianQiDingQiBaoGaoZhongWanZhengPiLu" label="是否：违规及整改情形已在前期定期报告中完整披露" selectOptions="_buildInYesNo" appId="_GBC_8e6b9cf2d8c24a6faf41199f98e408b3" controlType="CustomCheckbox" type="i:Boolean" cRanges="[{&quot;StartName&quot;:&quot;_GBC_bbabcffdc47449249ed970d08818f0e1&quot;,&quot;EndName&quot;:&quot;_GBC_e650653da3f14704a9150433a631cdb2&quot;,&quot;CType&quot;:2}]"/>
      <m:placeholder xlName="_PLD_1adcbae834ea4735ae70849a11672164" headerRef="179" addr="T0R0C0S1_1" wordText="债券代码"/>
      <m:placeholder xlName="_PLD_d884864c43b24882a6ca20bf69d78f70" addr="T0R0C1S1_1" wordText="债券简称"/>
      <m:placeholder xlName="_PLD_413b8e294749486ea0f24a287f85a09b" addr="T0R0C2S1_1" wordText="违规的具体情况"/>
      <m:placeholder xlName="_PLD_c4158316ac54428da7c853c222650d68" addr="T0R0C3S1_1" wordText="是否已完成整改及整改情况（如有）"/>
      <m:tuple xlName="_TUP_59a7e15a517b41cca31e619a537014cb" concept="bond:MuJiZiJinShiYongHeMuJiZiJinZhangHuGuanLiCunZaiWeiFaWeiGuiQingKuangMingXi" label="募集资金使用和募集资金账户管理存在违法违规情况明细" default_row="2" addr="T0R1C">
        <m:item xlName="_GBC_a1b477ea9fb049a4ae11a5871f64a6d9" concept="bond:ZhaiQuanDaiMa" label="债券代码" addr="T0R1C0S1_1" appId="_GBC_c33d02560b2c4cdb8965b389315b70eb" type="i:" fixedType="EntityCode" degradeCheck="true"/>
        <m:item xlName="_GBC_fe9a84dce00b459286d679a8d5eb21a6" concept="bond:ZhaiQuanJianCheng" label="债券简称" addr="T0R1C1S1_1" appId="_GBC_c33d02560b2c4cdb8965b389315b70eb" type="i:" fixedType="EntityName"/>
        <m:item xlName="_GBC_9b3edd4bea63466d91548b4bbe9768b9" concept="bond:MuJiZiJinWeiGuiShongYongDeWeiGuiQingKuang" label="募集资金违规使用的违规情况" addr="T0R1C2S1_1" appId="_GBC_c33d02560b2c4cdb8965b389315b70eb" type="i:"/>
        <m:item xlName="_GBC_e650653da3f14704a9150433a631cdb2" concept="bond:MuJiZiJinRuYouWeiGuiShiYongShiFouYiJingJiShiZhengGai" label="募集资金如有违规使用是否已经及时整改" addr="T0R1C3S1_1" appId="_GBC_c33d02560b2c4cdb8965b389315b70eb" type="i:"/>
      </m:tuple>
    </m:section>
    <m:section xlName="_SEC_9e1c83ec0d3f4df2bc002a4d3ef8c9d9" title="专项品种债券应当披露的其他事项" headerRef="180" helpText="1、涉及公司债券（含企业债券）的判断是否适用填写。\n2、报告期内存续专项债的，无论批准报出日债券是否出存续，均应披露。"/>
    <m:section xlName="_SEC_99e99c9c85aa4dfc91cf84253fff29c5" title="公司为可交换债券发行人" headerRef="181"/>
    <m:section xlName="_SEC_295d93c849224fc28693863e59d1b952" title="可交换债券发行人单位币种" headerRef="181"/>
    <m:section xlName="_SEC_f9e1aacd54054e64bb49d3524bcaad63" title="可交换债券发行人" repeatable="1" headerRef="181" helpId="102001010" helpText="1、涉及公司债券（含企业债券）的判断是否适用填写。\n2、报告期内存续专项债的，无论批准报出日债券是否出存续，均应披露。" lockTable="4" keyAction="65">
      <m:virtualTuples>
        <m:virtualTuple id="105f8db2-47b5-4283-accf-4680581487c8" tupleRef="bond:FaXingRenWeiKeJiaoHuanZhaiQuanFaXingRenMingXi" extendDirection="2" splitWidth="1"/>
      </m:virtualTuples>
    </m:section>
    <m:section xlName="_SEC_9cc69df433eb420a8ab95d298f6de46d" title="公司为绿色公司债券发行人" headerRef="182" helpText="应当参照绿色债券标准委员会《绿色债券存续期信息披露指南》的要求进行披露。\n1、涉及公司债券（含企业债券）的判断是否适用填写。\n2、报告期内存续专项债的，无论批准报出日债券是否出存续，均应披露。"/>
    <m:section xlName="_SEC_373f3feeaacc400597afa1087267addc" title="其他特殊品种债券发行人" headerRef="182"/>
    <m:section xlName="_SEC_894dd48e6e2d422a9bb833d337a5f634" title="绿色公司债券发行人" repeatable="1" headerRef="182" helpId="102001010" helpText="应当参照绿色债券标准委员会《绿色债券存续期信息披露指南》的要求进行披露。\n1、涉及公司债券（含企业债券）的判断是否适用填写。\n2、报告期内存续专项债的，无论批准报出日债券是否出存续，均应披露。" lockTable="4">
      <m:virtualTuples>
        <m:virtualTuple id="df9a8ef3-4979-4416-9f5a-2c6a08762377" tupleRef="bond:LvSeGongSiZhaiQuanFaXingRenMingXi" extendDirection="2" splitWidth="1"/>
      </m:virtualTuples>
    </m:section>
    <m:section xlName="_SEC_84a8b74ec41145199218cf0df66ce28d" title="公司为可续期公司债券发行人" headerRef="183" helpText="1、涉及公司债券（含企业债券）的判断是否适用填写。\n2、报告期内存续专项债的，无论批准报出日债券是否出存续，均应披露。"/>
    <m:section xlName="_SEC_e1e47a42b80842eaa2bb6b87fc2afc3f" headerRef="183"/>
    <m:section xlName="_SEC_825b38c1e3bf424ab51c5e0bdcaeb327" title="可续期公司债券发行人" repeatable="1" headerRef="183" helpId="102001010" helpText="1、涉及公司债券（含企业债券）的判断是否适用填写。\n2、报告期内存续专项债的，无论批准报出日债券是否出存续，均应披露。">
      <m:virtualTuples>
        <m:virtualTuple id="697c70b8-5d9d-426a-8d46-62027057f90f" tupleRef="bond:KeXuQiGongSiZhaiQuanFaXingRenMingXi" extendDirection="2" splitWidth="1"/>
      </m:virtualTuples>
    </m:section>
    <m:section xlName="_SEC_80bb3a08f5224510abe5ebc8e258e4ea" title="公司为扶贫债券发行人" headerRef="184" helpText="1、涉及公司债券（含企业债券）的判断是否适用填写。\n2、报告期内存续专项债的，无论批准报出日债券是否出存续，均应披露。"/>
    <m:section xlName="_SEC_8ae0e150e2fc47eab902aa5895bc03df" title="单位：亿元 币种：人民币" headerRef="184"/>
    <m:section xlName="_SEC_c9d187031aab4e4dbd1508214ab287a7" title="扶贫债券" repeatable="1" headerRef="184" helpId="102001010" helpText="1、涉及公司债券（含企业债券）的判断是否适用填写。\n2、报告期内存续专项债的，无论批准报出日债券是否出存续，均应披露。" lockTable="4">
      <m:virtualTuples>
        <m:virtualTuple id="ae00df5b-89be-4468-b309-faba708a2c6c" tupleRef="bond:FuPinZhaiQuanMingXi" extendDirection="2" splitWidth="1"/>
      </m:virtualTuples>
    </m:section>
    <m:section xlName="_SEC_40d25a185dc04bb9a8dd60a18262df0d" title="公司为乡村振兴债券发行人" headerRef="185" helpText="1、涉及公司债券（含企业债券）的判断是否适用填写。\n2、报告期内存续专项债的，无论批准报出日债券是否出存续，均应披露。"/>
    <m:section xlName="_SEC_96e8c6128c8e4061beb682af3b7f3277" title="单位：亿元 币种：人民币" headerRef="185"/>
    <m:section xlName="_SEC_74bde326fd5b4d70a79e3446c69a8544" title="乡村振兴债券" repeatable="1" headerRef="185" helpId="102001010" helpText="1、涉及公司债券（含企业债券）的判断是否适用填写。\n2、报告期内存续专项债的，无论批准报出日债券是否出存续，均应披露。" lockTable="4">
      <m:virtualTuples>
        <m:virtualTuple id="3bef7e25-4ba7-4df8-8fa9-75d3a813e9e8" tupleRef="bond:XiangCunZhenXingZhaiQuanMingXi" extendDirection="2" splitWidth="1"/>
      </m:virtualTuples>
    </m:section>
    <m:section xlName="_SEC_970b07ed75b2479785ae079e6e9cf872" title="公司为一带一路债券发行人" headerRef="186" helpText="1、涉及公司债券（含企业债券）的判断是否适用填写。\n2、报告期内存续专项债的，无论批准报出日债券是否出存续，均应披露。"/>
    <m:section xlName="_SEC_feac35d86f954f90a30b2a255406f833" title="单位：亿元 币种：人民币" headerRef="186"/>
    <m:section xlName="_SEC_86758553c6b24c189ef1ca48667cb6de" title="一带一路债券" repeatable="1" headerRef="186" helpId="102001010" helpText="1、涉及公司债券（含企业债券）的判断是否适用填写。\n2、报告期内存续专项债的，无论批准报出日债券是否出存续，均应披露。" lockTable="4">
      <m:virtualTuples>
        <m:virtualTuple id="6a1b0d14-443b-47c3-90a9-c8e785dacece" tupleRef="bond:YiDaiYiLuZhaiQuanMingXi" extendDirection="2" splitWidth="1"/>
      </m:virtualTuples>
    </m:section>
    <m:section xlName="_SEC_0d27e7bdd08e49899944f118911fa06a" title="科技创新债或者双创债" headerRef="187" helpText="1、涉及公司债券（含企业债券）的判断是否适用填写。\n2、报告期内存续专项债的，无论批准报出日债券是否出存续，均应披露。"/>
    <m:section xlName="_SEC_1dca8234e1094fcc84ed32a396ac283d" title="单位币种" headerRef="187"/>
    <m:section xlName="_SEC_6eda2438636f49ca84266469d19db2c9" title="科技创新债或者双创债" repeatable="1" headerRef="187" helpId="102001010" helpText="1、涉及公司债券（含企业债券）的判断是否适用填写。\n2、报告期内存续专项债的，无论批准报出日债券是否出存续，均应披露。">
      <m:virtualTuples>
        <m:virtualTuple id="8ed19c78-2061-4e9d-b3a8-e5b9b2d79b21" tupleRef="bond:KeJiChuangXinZhaiMingXi" extendDirection="2" splitWidth="1"/>
      </m:virtualTuples>
    </m:section>
    <m:section xlName="_SEC_a81cc1e7215a4d06aef3d2a95fb3091c" title="低碳转型（挂钩）公司债券" headerRef="188" helpText="1、涉及公司债券（含企业债券）的判断是否适用填写。\n2、报告期内存续专项债的，无论批准报出日债券是否出存续，均应披露。"/>
    <m:section xlName="_SEC_a9c53a8b726840e6911405b3fc9d11f1" title="单位币种" headerRef="188"/>
    <m:section xlName="_SEC_df2aaebfbe484098aaab8e22415e35b2" title="低碳转型（挂钩）公司债券" repeatable="1" headerRef="188" helpId="102001010" helpText="1、涉及公司债券（含企业债券）的判断是否适用填写。\n2、报告期内存续专项债的，无论批准报出日债券是否出存续，均应披露。">
      <m:virtualTuples>
        <m:virtualTuple id="0b14a4a7-7bc3-46ab-98fa-cd5e0d43dbcb" tupleRef="bond:DiTanZhuanXingGongSiZhaiQuanMingXi" extendDirection="2" splitWidth="1"/>
      </m:virtualTuples>
    </m:section>
    <m:section xlName="_SEC_70b856b8fcad4671a8341d55e19623f8" title="纾困公司债券" headerRef="189" helpText="1、涉及公司债券（含企业债券）的判断是否适用填写。\n2、报告期内存续专项债的，无论批准报出日债券是否出存续，均应披露。"/>
    <m:section xlName="_SEC_49196774b1ae4e20a0f329db2ac3dae9" title="单位币种" headerRef="189"/>
    <m:section xlName="_SEC_403d749ccc6344c9b679c7f7930c0a9f" title="纾困公司债券" repeatable="1" headerRef="189" helpId="102001010" helpText="1、涉及公司债券（含企业债券）的判断是否适用填写。\n2、报告期内存续专项债的，无论批准报出日债券是否出存续，均应披露。">
      <m:virtualTuples>
        <m:virtualTuple id="8795b403-d049-41a8-b4be-3085f35d2246" tupleRef="bond:ShuKunGongSiZhaiQuanMingXi" extendDirection="2" splitWidth="1"/>
      </m:virtualTuples>
    </m:section>
    <m:section xlName="_SEC_fb15ab3e74a040cf8b47149eb7ea30e3" title="中小微企业支持债券" headerRef="190" helpText="1、涉及公司债券（含企业债券）的判断是否适用填写。\n2、报告期内存续专项债的，无论批准报出日债券是否出存续，均应披露。"/>
    <m:section xlName="_SEC_70deea48cc544f91b9b42903ca24540e" title="单位：亿元  币种：人民币" headerRef="190"/>
    <m:section xlName="_SEC_aad62f05b42849039322dfa138e1c277" title="中小微企业支持债券发行人" repeatable="2" headerRef="190" helpId="102001010" helpText="1、涉及公司债券（含企业债券）的判断是否适用填写。\n2、报告期内存续专项债的，无论批准报出日债券是否出存续，均应披露。">
      <m:virtualTuples>
        <m:virtualTuple id="41ec6b9e-07d8-4e9c-8e62-fb77729c5bc9" tupleRef="bond:ZhongXiaoWeiQiYeZhiChiZhaiQuanMingXi" extendDirection="2" splitWidth="1"/>
      </m:virtualTuples>
    </m:section>
    <m:section xlName="_SEC_66a9fdd1c5aa4c6bab045d51254d9be7" title="其他特定品种债券事项" headerRef="191" helpId="102001010" helpText="1、涉及公司债券（含企业债券）的判断是否适用填写。\n2、报告期内存续专项债的，无论批准报出日债券是否出存续，均应披露。"/>
    <m:section xlName="_SEC_89bbfbd577384b6082eed6305d758cdb" title="报告期内公司债券相关重要事项" headerRef="192" helpText="涉及公司债券（含企业债券）的需填写"/>
    <m:section xlName="_SEC_22bc7414df8e4760a7f83accef77a1ca" title="非经营性往来占款和资金拆借余额" headerRef="193" helpId="102001010" helpText="涉及公司债券（含企业债券）的需填写"/>
    <m:section xlName="_SEC_ec97a61d67724ed0a6e24554bfd553f3" title="截止报告期末，未收回的非经营性往来占款和资金拆借的主要构成、..." headerRef="195" helpId="102001010" helpText="涉及公司债券（含企业债券）的需填写" optionTargetConcept="bond:MoKuaiFeiJingChangXingWangLaiZhanKuanHeZiJinChaiJie" optionTargetConceptValue="true"/>
    <m:section xlName="_SEC_3053e21160aa4cf8839fb1a9edef8d45" title="公司非经营性往来占款和资金拆借账龄结构" headerRef="195" helpId="102001010" helpText="涉及公司债券（含企业债券）的需填写" optionTargetConcept="bond:MoKuaiFeiJingChangXingWangLaiZhanKuanHeZiJinChaiJie" optionTargetConceptValue="true"/>
    <m:section xlName="_SEC_ddc5e4c900ec49f3adcfe393281fa2b8" title="报告期末，公司非经营性往来占款和资金拆借前5名债务方情况" headerRef="195" helpId="102001010"/>
    <m:section xlName="_SEC_0756ce3975cf4fce90f5541e8f952c06" title="以前报告期内披露的回款安排的执行情况" headerRef="196" helpId="102001010" helpText="涉及公司债券（含企业债券）的需填写"/>
    <m:section xlName="_SEC_9d83f549b0b84cff8d3523d1174d5e77" title="发行人债务结构情况报告期初和报告期末，发行人口径（非发行人..." headerRef="199" helpId="102001010" helpText="涉及公司债券（含企业债券）的需填写"/>
    <m:section xlName="_SEC_139e2c1b974e4a54997cc9b4fdb7a7f4" title="发行人合并口径有息债务结构情况报告期初和报告期末，发行人合..." headerRef="200" helpId="102001010" helpText="涉及公司债券（含企业债券）的需填写"/>
    <m:section xlName="_SEC_ecfb6211bb734dba9c41de024576810c" title="截止报告期末，发行人合并口径内发行的境外债券余额亿元人..." headerRef="201" helpId="102001010" helpText="涉及公司债券（含企业债券）的需填写"/>
    <m:section xlName="_SEC_5702f60cb45747bab6bad125fbd9fa39" title="报告期末是否存在公司信用类债券逾期或其他单笔债务逾期金额超过..." headerRef="202" extended="true" version="0.1" versionTime="1785250233" helpText="涉及公司债券（含企业债券）的需填写">
      <m:item xlName="_GBC_417a5ca9f1d5453481794d3a0ce950a7" headerRef="202" up="报告期末公司及其子公司存在逾期金额超过1000万元或者占公司合并报表范围上年末净资产5%以上的有息债务或者公司信用类债券逾期情况" concept="bond:ShiFouShiYongYuQiJinEJiaoDaDeYouXiZhaiWu" label="是否适用：逾期金额较大的有息债务" selectOptions="_buildInAppliance" controlType="CustomCheckbox" type="i:Boolean" cRanges="[{&quot;StartName&quot;:&quot;_SEC_66a589b4d26e45ac89e205f97f0654e6&quot;,&quot;EndName&quot;:&quot;_SEC_66a589b4d26e45ac89e205f97f0654e6&quot;,&quot;CType&quot;:1}]">
        <m:simpleRule minOccurs="1"/>
      </m:item>
    </m:section>
    <m:section xlName="_SEC_66a589b4d26e45ac89e205f97f0654e6" title="存在逾期金额超过1000万元的有息债务" headerRef="202" helpId="102001010" helpText="涉及公司债券（含企业债券）的需填写"/>
    <m:section xlName="_SEC_9738a2f6f1d24bd6a456c0b644492507" title="可对抗第三人的优先偿付负债情况" headerRef="203" helpId="102001010" helpText="涉及公司债券（含企业债券）的需填写"/>
    <m:section xlName="_SEC_f981cad67f404d578c27d1649d1cd053" title="报告期内信息披露事务管理制度变更情况" discLaw="CSRC_LC_CFG_XXPL_V202503" headerRef="204" helpId="102001010"/>
    <m:item xlName="_GBC_26e1b928d11c47bfad361d998e446706" headerRef="205" up="银行间债券市场非金融企业债务融资工具" concept="clcid-ci-ar:ShiFouShiYongYinXingJianZhaiQuanShiChangFeiJinRongQiYeZhaiWuRongZiGongJuXiangGuanQingKuang" label="是否适用：银行间债券市场非金融企业债务融资工具相关情况" selectOptions="_buildInAppliance" appId="_GBC_8e6b9cf2d8c24a6faf41199f98e408b3" controlType="CustomCheckbox" type="i:" cRanges="[{&quot;StartName&quot;:&quot;_GBC_26e1b928d11c47bfad361d998e446706&quot;,&quot;EndName&quot;:&quot;_SEC_f9bf2c4fe6ff467498e3773fc0c13df6&quot;,&quot;CType&quot;:1}]">
      <m:axisValue occRef="非金融企业债务融资工具"/>
    </m:item>
    <m:section xlName="_SEC_3f8a3448cfdb4a6b9a931cd5e6b90c54" title="非金融企业债务融资工具基本情况" headerRef="206" convertSummaryRule="NoConvert" helpId="112500001"/>
    <m:section xlName="_SEC_c960bfcad3944f559dd2eefcbad971ce" title="(一) 非金融企业债务融资工具 公司对债券终止上市交易风险的应对措施" headerRef="206" helpId="112500001"/>
    <m:section xlName="_SEC_7e4c682ba29946ae888dca7864714f9e" title="非金融企业债务融资工具逾期未偿还债券" headerRef="206" helpId="101001119"/>
    <m:section xlName="_SEC_cb4bcf836680447fb1216fcc0601f9db" title="非金融企业债务融资工具关于逾期债项的说明" headerRef="206" helpId="112500009"/>
    <m:section xlName="_SEC_ee8ef2708a4c4a4bbfcdb7705ac59e4b" title="非金融企业债务融资工具发行人或投资者选择权条款、投资者保护条款的触发和执行情况" headerRef="207" helpId="110002105"/>
    <m:section xlName="_SEC_21c70a9f67594b1f943dc6ddb6783183" title="企业债券信用评级结果调整情况" headerRef="208" helpId="112500004">
      <m:axisValue occRef="非金融企业债务融资工具"/>
    </m:section>
    <m:section xlName="_SEC_edcb7f3e4f694fc8b787ab7a6d69a671" title="其他说明  ____" headerRef="208" helpId="112500004">
      <m:axisValue occRef="非金融企业债务融资工具"/>
    </m:section>
    <m:section xlName="_SEC_1787be1f0f6f4989a888633e99a258d5" title="企业债券_担保情况、偿债计划及其他偿债保障措施在报告期内的执行和变化情况及其影响" headerRef="209" helpId="110002106">
      <m:axisValue occRef="非金融企业债务融资工具"/>
    </m:section>
    <m:section xlName="_SEC_96d3c49bcdff4a708e6cc02215c1760c" title="非金融企业债务融资工具担保情况、偿债计划及其他偿债保障措施在报告期内的执行和变化情况及其影响" headerRef="209" helpId="110002106"/>
    <m:section xlName="_SEC_f9bf2c4fe6ff467498e3773fc0c13df6" title="非金融企业债务融资工具其他情况的说明" headerRef="210" orient="landscape" helpId="112500001"/>
    <m:section xlName="_SEC_53cb8a9927c84975874838d7d288b8eb" title="公司报告期内合并报表范围亏损超过上年末净资产10%亏损情..." headerRef="211" helpId="110002107" keyAction="42" keyCode="2"/>
    <m:section xlName="_SEC_d398256070b0408a94641a9b8f84de7c" title="报告期内违反法律法规、公司章程、信息披露事务管理制度规定的情..." headerRef="773" helpId="102001010"/>
    <m:section xlName="_SEC_9f3013bc6d4940f49cf3cfe39dab5a57" title="截至报告期末公司近2年的会计数据和财务指标" headerRef="212" helpId="112500008" helpText="表里的“扣除非经常性损益后净利润”指的是“归属于上市公司股东的扣除非经常性损益的净利润”"/>
    <m:placeholder xlName="_PLD_d08d223f82ea489e8527d6111e23987c" headerRef="213" keyCode="PageId:ch0901" keyAction="31"/>
    <m:item xlName="_GBC_6a49e99841294af3b87ba6216b1997d9" headerRef="213" up="可转换公司债券情况" concept="clcid-ci-ar:ShiFouShiYongKeZhuanHuanGongSiZhaiQuanQingKuang" label="是否适用：可转换公司债券情况" selectOptions="_buildInAppliance" controlType="CustomCheckbox" type="i:" cRanges="{&quot;StartName&quot;:&quot;_GBC_6a49e99841294af3b87ba6216b1997d9&quot;,&quot;EndName&quot;:&quot;_SEC_cc036ec1e45042a4a4bce38515d23fb4&quot;,&quot;CType&quot;:1,&quot;DisplayText&quot;:null}"/>
    <m:section xlName="_SEC_7b43a59e4b774f688e87b04a6fd9b0bf" title="转债发行情况" discLawArt="第二章 定期报告/第十四条" discLaw="CSRC_LC_CFG_XXPL_V202503" headerRef="214" convertSummaryRule="NoConvert"/>
    <m:section xlName="_SEC_7f82abb841ec4e91b7d333b30060eb09" title="报告期转债持有人及担保人情况" discLawArt="第二章 定期报告/第十四条" discLaw="CSRC_LC_CFG_XXPL_V202503" tupleConcept="clcid-cgi:BaoGaoQiZhuanZhaiChiYouRenJiDanBaoRenQingKuangMingXi" repeatable="1" headerRef="215"/>
    <m:section xlName="_SEC_b9f22fe710ea43fdac5cd3b3d1602d99" title="报告期转债变动情况" discLawArt="第二章 定期报告/第十四条" discLaw="CSRC_LC_CFG_XXPL_V202503" headerRef="216" convertSummaryRule="NoConvert"/>
    <m:section xlName="_SEC_9efab8215ecb4674a0bf11385b12d00f" title="报告期转债累计转股情况" discLawArt="第二章 定期报告/第十四条" discLaw="CSRC_LC_CFG_XXPL_V202503" tupleConcept="clcid-cgi:BaoGaoQiZhuanZhaiLeiJiZhuanGuQingKuangMingXi" repeatable="1" headerRef="217"/>
    <m:item xlName="_GBC_00961fb4f3ee4a1694a243600402a0a9" indRef="149" concept="clcid-ci-ar:DanWeiZhuanGuJiaGeLiCiTiaoZhengQingKuang" label="单位：转股价格历次调整情况" selectOptions="_buildInScales" appId="_GBC_6a49e99841294af3b87ba6216b1997d9" controlType="Combobox" cellType="Scale" type="i:" keyCode="InitialValue:元" keyAction="31"/>
    <m:item xlName="_GBC_a431a6b0a18c49efa3d2e8d3c8bd1e70" indRef="150" concept="clcid-ci-ar:BiZhongZhuanGuJiaGeLiCiTiaoZhengQingKuang" label="币种：转股价格历次调整情况" selectOptions="_buildInISO4217" appId="_GBC_6a49e99841294af3b87ba6216b1997d9" controlType="Combobox" cellType="Measure" type="i:" keyCode="InitialValue:人民币" keyAction="31"/>
    <m:section xlName="_SEC_a5cea25713674d7d8959e2b0b662b500" title="转股价格历次调整情况" discLawArt="第二章 定期报告/第十四条" discLaw="CSRC_LC_CFG_XXPL_V202503" tupleConcept="clcid-cgi:ZhuanGuJiaGeLiCiDiaoZhengQingKuangMingXi" repeatable="1" headerRef="218"/>
    <m:section xlName="_SEC_61331536cfaf4da0a6a270818a4ab35b" title="公司的负债情况、资信变化情况及在未来年度还债的现金安排" discLawArt="第二章 定期报告/第十四条" discLaw="CSRC_LC_CFG_XXPL_V202503" headerRef="219" convertSummaryRule="NoConvert"/>
    <m:section xlName="_SEC_cc036ec1e45042a4a4bce38515d23fb4" title="转债其他情况说明" discLawArt="第二章 定期报告/第十四条" discLaw="CSRC_LC_CFG_XXPL_V202503" headerRef="220" convertSummaryRule="NoConvert"/>
    <m:placeholder xlName="_PLD_476cb65012914b3ebd1504690c591df0" headerRef="221" keyCode="PageId:ch1000" keyAction="31"/>
    <m:section xlName="_GBC_3c4b7d00409449a2b71d41277e7bd042" title="审计报告" headerRef="222" helpId="112001005" helpText="注：公司应披露具有证券期货业务资格的会计师事务所盖章及由两名或两名以上注册会计师签名盖章的审计报告全文。请上市公司将审计报告全文填写在此文本框内。"/>
    <m:section xlName="_GBC_f3d43b26b5d34a4c88db3cb7d81650cc" title="需要编制合并报表" checkKey="合并" headerRef="224" helpId="112001001" helpText="若2024年首次执行新会计准则或准则解释等调整首次执行当年年初财务报表相关项目的，则2023年12月31日列按照旧会计准则涉及科目填写；若首次执行新会计准则或准则解释等追溯调整前期比较数据的，则2023年12月31日列按照新会计准则涉及科目填写。" primarySection="_GBC_f3d43b26b5d34a4c88db3cb7d81650cc" optionText="需要编制合并报表" activeContentOption="_GBC_f3d43b26b5d34a4c88db3cb7d81650cc" optionGroupTitle="是否需要合并报表" optionTargetConcept="clcid-ci-ar:ShiFouXuYaoHeBingBaoBiao" optionTargetConceptValue="true" keyAction="57" otherKeyActions="{&quot;KeyCode&quot;:&quot;2&quot;,&quot;KeyAction&quot;:42,&quot;KeyActionTitle&quot;:null,&quot;OtherActions&quot;:null}|{&quot;KeyCode&quot;:null,&quot;KeyAction&quot;:14,&quot;KeyActionTitle&quot;:null,&quot;OtherActions&quot;:null}" noCustom="1"/>
    <m:section xlName="_GBC_1503eb297d3448c582e8e9dc7031b2c7" title="无需编制合并报表" checkKey="!合并" headerRef="226" helpId="112001001" helpText="若2024年首次执行新会计准则或准则解释等调整首次执行当年年初财务报表相关项目的，则2023年12月31日列按照旧会计准则涉及科目填写；若首次执行新会计准则或准则解释等追溯调整前期比较数据的，则2023年12月31日列按照新会计准则涉及科目填写。" primarySection="_GBC_f3d43b26b5d34a4c88db3cb7d81650cc" optionText="无需编制合并报表" optionGroupTitle="是否需要合并报表" optionTargetConcept="clcid-ci-ar:ShiFouXuYaoHeBingBaoBiao" optionTargetConceptValue="false" keyAction="57" otherKeyActions="{&quot;KeyCode&quot;:&quot;2&quot;,&quot;KeyAction&quot;:42,&quot;KeyActionTitle&quot;:null,&quot;OtherActions&quot;:null}|{&quot;KeyCode&quot;:null,&quot;KeyAction&quot;:14,&quot;KeyActionTitle&quot;:null,&quot;OtherActions&quot;:null}" noCustom="1">
      <m:rowModel locationConcept="clcid-ci-ar:ZiDingYiKeMuWeiZhi" labelConcept="clcid-ci-ar:ZiDingYiKeMuMingCheng" conceptPrefix="资产负债表" presentationRole="http://www.xbrl-cn.org/cn/lcid/lr/role/BalanceSheetforCommercialandIndustrialCompanies" presentationParentConcept="clcid-pte:ZiChanFuZhaiBiao" tuplePrefix="项目"/>
    </m:section>
    <m:section xlName="_GBC_bf89afc47e17438594730edb3412d929" title="需要编制合并报表" checkKey="合并" headerRef="227" helpId="112001001" primarySection="_GBC_bf89afc47e17438594730edb3412d929" optionText="需要编制合并报表" optionGroupTitle="是否需要合并报表" optionTargetConcept="clcid-ci-ar:ShiFouXuYaoHeBingBaoBiao" optionTargetConceptValue="true" keyAction="57" otherKeyActions="{&quot;KeyCode&quot;:null,&quot;KeyAction&quot;:88,&quot;KeyActionTitle&quot;:null,&quot;OtherActions&quot;:null}|{&quot;KeyCode&quot;:&quot;2&quot;,&quot;KeyAction&quot;:42,&quot;KeyActionTitle&quot;:null,&quot;OtherActions&quot;:null}|{&quot;KeyCode&quot;:null,&quot;KeyAction&quot;:14,&quot;KeyActionTitle&quot;:null,&quot;OtherActions&quot;:null}" noCustom="1"/>
    <m:section xlName="_GBC_3ad209fb8b5d433d8d91b39c5a1a6fe2" title="无需编制合并报表" checkKey="!合并" headerRef="229" helpId="112001001" primarySection="_GBC_bf89afc47e17438594730edb3412d929" optionText="无需编制合并报表" optionGroupTitle="是否需要合并报表" optionTargetConcept="clcid-ci-ar:ShiFouXuYaoHeBingBaoBiao" optionTargetConceptValue="false" keyAction="57" otherKeyActions="{&quot;KeyCode&quot;:null,&quot;KeyAction&quot;:88,&quot;KeyActionTitle&quot;:null,&quot;OtherActions&quot;:null}|{&quot;KeyCode&quot;:&quot;2&quot;,&quot;KeyAction&quot;:42,&quot;KeyActionTitle&quot;:null,&quot;OtherActions&quot;:null}|{&quot;KeyCode&quot;:null,&quot;KeyAction&quot;:14,&quot;KeyActionTitle&quot;:null,&quot;OtherActions&quot;:null}" noCustom="1">
      <m:rowModel locationConcept="clcid-ci-ar:ZiDingYiKeMuWeiZhi" labelConcept="clcid-ci-ar:ZiDingYiKeMuMingCheng" conceptPrefix="利润表" presentationRole="http://www.xbrl-cn.org/cn/lcid/lr/role/IncomeStatementforCommercialandIndustrialCompanies" presentationParentConcept="clcid-pte:LiRunBiao" tuplePrefix="项目"/>
    </m:section>
    <m:section xlName="_GBC_d6533048a32749eaa7738390457b7f24" title="需要编制合并报表" checkKey="合并" headerRef="230" helpId="112001001" primarySection="_GBC_d6533048a32749eaa7738390457b7f24" optionText="需要编制合并报表" optionGroupTitle="是否需要合并报表" optionTargetConcept="clcid-ci-ar:ShiFouXuYaoHeBingBaoBiao" optionTargetConceptValue="true" keyAction="57" otherKeyActions="{&quot;KeyCode&quot;:&quot;2&quot;,&quot;KeyAction&quot;:42,&quot;KeyActionTitle&quot;:null,&quot;OtherActions&quot;:null}|{&quot;KeyCode&quot;:null,&quot;KeyAction&quot;:14,&quot;KeyActionTitle&quot;:null,&quot;OtherActions&quot;:null}" noCustom="1"/>
    <m:section xlName="_GBC_de8d3cfcf111414a940cf01324ef9389" title="无需编制合并报表" checkKey="!合并" headerRef="232" helpId="112001001" primarySection="_GBC_d6533048a32749eaa7738390457b7f24" optionText="无需编制合并报表" optionGroupTitle="是否需要合并报表" optionTargetConcept="clcid-ci-ar:ShiFouXuYaoHeBingBaoBiao" optionTargetConceptValue="false" keyAction="57" otherKeyActions="{&quot;KeyCode&quot;:&quot;2&quot;,&quot;KeyAction&quot;:42,&quot;KeyActionTitle&quot;:null,&quot;OtherActions&quot;:null}|{&quot;KeyCode&quot;:null,&quot;KeyAction&quot;:14,&quot;KeyActionTitle&quot;:null,&quot;OtherActions&quot;:null}" noCustom="1">
      <m:rowModel locationConcept="clcid-ci-ar:ZiDingYiKeMuWeiZhi" labelConcept="clcid-ci-ar:ZiDingYiKeMuMingCheng" conceptPrefix="现金流量表" presentationRole="http://www.xbrl-cn.org/cn/lcid/lr/role/CashFlowsStatementforCommercialandIndustrialCompanies" presentationParentConcept="clcid-pte:XianJinLiuLiangBiao" tuplePrefix="项目"/>
    </m:section>
    <m:section xlName="_GBC_3b1dcbfa33024cc0a5c2f3d693817342" title="需要编制合并报表" checkKey="合并" headerRef="233" helpId="112001001" primarySection="_GBC_3b1dcbfa33024cc0a5c2f3d693817342" optionText="需要编制合并报表" activeContentOption="_GBC_3b1dcbfa33024cc0a5c2f3d693817342" optionGroupTitle="是否需要合并报表" optionTargetConcept="clcid-ci-ar:ShiFouXuYaoHeBingBaoBiao" optionTargetConceptValue="true" axisType="XYAxis" keyAction="57" otherKeyActions="{&quot;KeyCode&quot;:&quot;2&quot;,&quot;KeyAction&quot;:42,&quot;KeyActionTitle&quot;:null,&quot;OtherActions&quot;:null}" noCustom="1"/>
    <m:section xlName="_GBC_f6396333f93949a599b3a170d5a7962b" title="无需编制合并报表" checkKey="!合并" headerRef="235" orient="landscape" helpId="112001001" primarySection="_GBC_3b1dcbfa33024cc0a5c2f3d693817342" optionText="无需编制合并报表" activeContentOption="_GBC_f6396333f93949a599b3a170d5a7962b" optionGroupTitle="是否需要合并报表" optionTargetConcept="clcid-ci-ar:ShiFouXuYaoHeBingBaoBiao" optionTargetConceptValue="false" matrix="true" matrixTablePrefix="所有者权益变动表" axisType="XYAxis" keyAction="57" otherKeyActions="{&quot;KeyCode&quot;:&quot;2&quot;,&quot;KeyAction&quot;:42,&quot;KeyActionTitle&quot;:null,&quot;OtherActions&quot;:null}" noCustom="1">
      <m:rowModel/>
    </m:section>
    <m:section xlName="_SEC_fd2e2f67954e46ae836300d3eb98cf6d" title="公司基本情况" headerRef="236" ignorePeriod="1" convertSummaryRule="NoConvert" helpId="112001003"/>
    <m:section xlName="_GBC_6d12949d3695402592266a78137dcfb5" title="财务报表的编制基础" headerRef="239" helpId="112001007"/>
    <m:section xlName="_GBC_69ae6baeacb44e8fa17b0b984abbf6ab" title="持续经营" headerRef="240" helpId="112001008" helpText="注：公司应评价自报告期末起12个月的持续经营能力。评价结果表明对持续能力产生重大怀疑的，公司应披露导致对持续经营能力产生重大怀疑的因素以及公司拟采取的改善措施。"/>
    <m:section xlName="_GBC_03d97fea34d045cb980749ccc6860a5a" title="具体会计政策和会计估计提示" rules="R2015_R11_001" headerRef="241" helpId="112001010" helpText="注：公司根据实际生产经营特点制定的具体会计政策和会计估计，应在本节开始部分对相关事项进行提示。"/>
    <m:section xlName="_GBC_a0afbb5b3a444bce84ee78a2a282cb28" title="遵循企业会计准则的声明" headerRef="242" ignorePeriod="1" helpId="112001010"/>
    <m:section xlName="_GBC_2d7f332501c8461ea731797db5588ee5" title="会计期间" headerRef="243" ignorePeriod="1" helpId="112001010"/>
    <m:section xlName="_GBC_b045784ca7904d52a060134ffec0d88c" title="营业周期" headerRef="244" ignorePeriod="1" helpId="112001010" helpText="注：公司对营业周期不同于12个月，并以营业周期作为资产和负债的流动性划分标准的，应说明营业周期及确定依据。"/>
    <m:section xlName="_GBC_13b1061968754e20bebf2099281ed54f" title="记账本位币" headerRef="245" ignorePeriod="1" helpId="112001010"/>
    <m:section xlName="_SEC_76d2fbb6df224868bf571b62d2c7c349" title="重要性标准确定方法和选择依据" headerRef="246" ignorePeriod="1" helpId="103002003" helpText="根据15号文第四条，公司在编制和披露财务报告时应遵循重要性原则，披露事项涉及重要性标准判断的，应披露重要性标准确定方法和选择依据。\n公司可结合自身实际情况，选择在此处按照一定分类标准集中披露附注所涉的重要性标准；或者在后文各具体附注项下的“其他说明”中分别披露，此处索引。\n项目示例：重要的单项计提坏账准备的应收款项；应收款项本期坏账准备收回或转回金额重要的；本期重要的应收款项核销；合同资产账面价值发生重大变动；重要的债权投资；重要的在建工程；重要的非全资子公司；重要的资本化研发项目..."/>
    <m:section xlName="_GBC_f44e1e76b2a3457ea36bc088adcbb4c3" title="同一控制下和非同一控制下企业合并的会计处理方法" headerRef="247" ignorePeriod="1" convertSummaryRule="NoConvert" helpId="112001010"/>
    <m:section xlName="_GBC_c23be25e527044f689b710dabd312b04" title="合并财务报表的编制方法" headerRef="248" ignorePeriod="1" helpId="112001010"/>
    <m:section xlName="_GBC_a6643877dd0341e39dee12c064dc6fdc" title="合营安排分类及共同经营会计处理方法" headerRef="249" ignorePeriod="1" helpId="112001010"/>
    <m:section xlName="_GBC_9f2dfe6521c4434b9ad3e7bb1a8a52b7" title="现金及现金等价物的确定标准" headerRef="250" ignorePeriod="1" helpId="112001010"/>
    <m:section xlName="_GBC_cff1e1487c3242a8a1be0ce9c2b7a554" title="外币业务和外币报表折算" headerRef="251" ignorePeriod="1" convertSummaryRule="NoConvert" helpId="112001010" helpText="注：说明发生外币交易时折算汇率的确定方法、在资产负债表日外币货币性项目采用的折算方法、汇兑损益的处理方法以及外币报表折算的会计处理方法。"/>
    <m:section xlName="_GBC_4b3a058b038b41689d379e6a2726a904" title="金融工具" headerRef="252" ignorePeriod="1" helpId="112001010" helpText="注：说明金融工具的分类、确认依据和计量方法，金融资产转移的确认依据和计量方法，金融负债终止确认条件，金融资产和金融负债的公允价值确定方法，金融资产（此处不含应收款项）减值的测试方法及会计处理方法。"/>
    <m:item xlName="_GBC_aefda35d1a7148f0844e33d721703cda" headerRef="253" up="应收票据" concept="clcid-ci-ar:ShiFouShiYongYingShouPiaoJuZhongYaoHuiJiZhengCeHeGuJi" label="是否适用：应收票据_重要会计政策和估计" selectOptions="_buildInAppliance" controlType="CustomCheckbox" type="i:" cRanges="[{&quot;StartName&quot;:&quot;_GBC_aefda35d1a7148f0844e33d721703cda&quot;,&quot;EndName&quot;:&quot;_SEC_250b7b96804647b0920c1cf5c92456c9&quot;,&quot;CType&quot;:1}]"/>
    <m:section xlName="_SEC_5f7ccc4533204a4ea40abf6cfc0e2cf7" title="按照信用风险特征组合计提坏账准备的组合类别及确定依据单击或..." headerRef="253" ignorePeriod="1" helpId="112001010"/>
    <m:section xlName="_SEC_92b754b9d1c8488b9a3dbd4f8e544605" title="基于账龄确认信用风险特征组合的账龄计算方法单击或点击此处输..." headerRef="253" ignorePeriod="1" helpId="112001010"/>
    <m:section xlName="_SEC_250b7b96804647b0920c1cf5c92456c9" title="按照单项计提坏账准备的单项计提判断标准单击或点击此处输入文..." headerRef="253" ignorePeriod="1" helpId="112001010"/>
    <m:item xlName="_GBC_9bb0ad4fd90e4860a048c5c1b42cdc17" headerRef="254" up="应收账款" concept="clcid-ci-ar:ShiFouShiYongYingShouZhangKuanZhongYaoHuiJiZhengCeHeGuJi" label="是否适用：应收账款_重要会计政策和估计" selectOptions="_buildInAppliance" controlType="CustomCheckbox" type="i:" cRanges="[{&quot;StartName&quot;:&quot;_GBC_9bb0ad4fd90e4860a048c5c1b42cdc17&quot;,&quot;EndName&quot;:&quot;_SEC_c8e55835e2d842228ebba8e2018130c8&quot;,&quot;CType&quot;:1}]"/>
    <m:section xlName="_SEC_69bd2fa75eba49e8a935e93c11b981ac" title="按照信用风险特征组合计提坏账准备的组合类别及确定依据单击或..." headerRef="254" ignorePeriod="1" helpId="112001010"/>
    <m:section xlName="_SEC_82302f3d7cd346af81560053dc7d45b5" title="基于账龄确认信用风险特征组合的账龄计算方法单击或点击此处输..." headerRef="254" ignorePeriod="1" helpId="112001010"/>
    <m:section xlName="_SEC_c8e55835e2d842228ebba8e2018130c8" title="按照单项计提坏账准备的认定单项计提判断标准单击或点击此处输..." headerRef="254" ignorePeriod="1" helpId="112001010"/>
    <m:item xlName="_GBC_47906a8d31c54a72891112f417e1058d" headerRef="255" up="应收款项融资" concept="clcid-ci-ar:ShiFouShiYongYingShouKuanXiangRongZiZhongYaoKuaiJiZhengCeHeGuJi" label="是否适用：应收款项融资_重要会计政策和估计" selectOptions="_buildInAppliance" controlType="CustomCheckbox" type="i:" cRanges="[{&quot;StartName&quot;:&quot;_GBC_47906a8d31c54a72891112f417e1058d&quot;,&quot;EndName&quot;:&quot;_SEC_a133dfa6dbfe498b86ace80225b3dbb3&quot;,&quot;CType&quot;:1}]"/>
    <m:section xlName="_SEC_416ee1c34e144a8e91d422b5d31a97f8" title="按照信用风险特征组合计提坏账准备的组合类别及确定依据单击或..." headerRef="255" ignorePeriod="1" helpId="112001010"/>
    <m:section xlName="_SEC_717801d7faa4451aa8dc0acca0e0447e" title="基于账龄确认信用风险特征组合的账龄计算方法单击或点击此处输..." headerRef="255" ignorePeriod="1" helpId="112001010"/>
    <m:section xlName="_SEC_a133dfa6dbfe498b86ace80225b3dbb3" title="按照单项计提坏账准备的单项计提判断标准单击或点击此处输入文..." headerRef="255" ignorePeriod="1" helpId="112001010"/>
    <m:placeholder xlName="_PLD_16058f6847404d8f8ecaeeb086284c95" headerRef="256" keyCode="PageId:ch1004" keyAction="31"/>
    <m:item xlName="_GBC_dfe58b09048a4951b32b48ce6a3930aa" headerRef="256" up="其他应收款" concept="clcid-ci-ar:ShiFouShiYongQiTaYingShouKuanZhongYaoHuiJiZhengCeHeGuJi" label="是否适用：其他应收款_重要会计政策和估计" selectOptions="_buildInAppliance" controlType="CustomCheckbox" type="i:" cRanges="[{&quot;StartName&quot;:&quot;_GBC_dfe58b09048a4951b32b48ce6a3930aa&quot;,&quot;EndName&quot;:&quot;_SEC_65907d2dee3243b0a625259201221910&quot;,&quot;CType&quot;:1}]"/>
    <m:section xlName="_SEC_cff58e8508c147a08145be5515d678b9" title="按照信用风险特征组合计提坏账准备的组合类别及确定依据单击或..." headerRef="256" ignorePeriod="1" helpId="112001010"/>
    <m:section xlName="_SEC_8efbd247b505408c96e7133da8424c42" title="基于账龄确认信用风险特征组合的账龄计算方法单击或点击此处输..." headerRef="256" ignorePeriod="1" helpId="112001010"/>
    <m:section xlName="_SEC_65907d2dee3243b0a625259201221910" title="按照单项计提坏账准备的单项计提判断标准单击或点击此处输入文..." headerRef="256" ignorePeriod="1" helpId="112001010"/>
    <m:item xlName="_GBC_517cddca0e1f4d4bb5ef2c4a3d049269" headerRef="257" up="存货" concept="clcid-ci-ar:ShiFouShiYongCunHuoZhongYaoHuiJiZhengCeHeGuJi" label="是否适用：存货_重要会计政策和估计" selectOptions="_buildInAppliance" controlType="CustomCheckbox" type="i:" cRanges="[{&quot;StartName&quot;:&quot;_GBC_517cddca0e1f4d4bb5ef2c4a3d049269&quot;,&quot;EndName&quot;:&quot;_SEC_e792e598ea494b138dbd9229e5d967bc&quot;,&quot;CType&quot;:1}]"/>
    <m:section xlName="_SEC_45c9cda1a7954913af07b0fc6bed1f4b" title="存货类别、发出计价方法、盘存制度、低值易耗品和包装物的摊销方..." headerRef="257" ignorePeriod="1" helpId="112001010"/>
    <m:section xlName="_SEC_1cd44856f54a4f16bb58d8a9949bdc7c" title="存货跌价准备的确认标准和计提方法单击或点击此处输入文字。..." headerRef="257" ignorePeriod="1" helpId="112001010"/>
    <m:section xlName="_SEC_8081ecb7900049458086a58014c3416e" title="按照组合计提存货跌价准备的组合类别及确定依据、不同类别存货可..." headerRef="257" ignorePeriod="1" helpId="112001010"/>
    <m:section xlName="_SEC_e792e598ea494b138dbd9229e5d967bc" title="基于库龄确认存货可变现净值的各库龄组合可变现净值的计算方法和..." headerRef="257" ignorePeriod="1" helpId="112001010"/>
    <m:item xlName="_GBC_2975adaf2d6646238ccae8f732c465f0" headerRef="258" up="合同资产" concept="clcid-ci-ar:ShiFouShiYongHeTongZiChanZhongYaoHuiJiZhengCeHeGuJi" label="是否适用：合同资产_重要会计政策和估计" selectOptions="_buildInAppliance" controlType="CustomCheckbox" type="i:" cRanges="[{&quot;StartName&quot;:&quot;_GBC_2975adaf2d6646238ccae8f732c465f0&quot;,&quot;EndName&quot;:&quot;_SEC_6a596f9564ab4625ac5d0afcdacc5ae6&quot;,&quot;CType&quot;:1}]"/>
    <m:section xlName="_SEC_b4bffb1f8e2d49bb8a666b1dadf04d84" title="合同资产的确认方法及标准" headerRef="258" ignorePeriod="1" helpId="112001010"/>
    <m:section xlName="_SEC_da461cc09c004df4a44dd5c240ffa826" title="按照信用风险特征组合计提坏账准备的组合类别及确定依据单击或..." headerRef="258" ignorePeriod="1" helpId="112001010"/>
    <m:section xlName="_SEC_f972af48a0434a32b9fe11decaa5ebe7" title="基于账龄确认信用风险特征组合的账龄计算方法单击或点击此处输..." headerRef="258" ignorePeriod="1" helpId="112001010"/>
    <m:section xlName="_SEC_6a596f9564ab4625ac5d0afcdacc5ae6" title="按照单项计提坏账准备的认定单项计提判断标准单击或点击此处输..." headerRef="258" ignorePeriod="1" helpId="112001010"/>
    <m:section xlName="_SEC_fb9fc514fe4b4fd1a4c298384e5375dd" title="持有待售的非流动资产或处置组单击或点击此处输入文字。单击..." headerRef="259" ignorePeriod="1" helpId="112001010"/>
    <m:section xlName="_SEC_830b4f94591548efb1adc0f21a1b31fd" title="划分为持有待售的非流动资产或处置组的确认标准和会计处理方法..." headerRef="259" ignorePeriod="1" helpId="112001010"/>
    <m:section xlName="_SEC_f042a63dae564989b0cc0a0f1b88c85a" title="终止经营的认定标准和列报方法单击或点击此处输入文字。单击..." headerRef="259" ignorePeriod="1" helpId="112001010"/>
    <m:section xlName="_GBC_d82c12cf13554acd90dfb7880244798c" title="长期股权投资" headerRef="260" ignorePeriod="1" helpId="112001010" helpText="注：说明共同控制、重要影响的判断标准，长期股权投资的初始投资成本确定、后续计量及损益确认方法。"/>
    <m:placeholder xlName="_PLD_45281b8bf99b4125ae788ee254a4a655" headerRef="261" keyCode="PageId:ch1005" keyAction="31"/>
    <m:section xlName="_GBC_20b1c487c1e348188269523d7d980194" title="成本计量模式" checkKey="!公允价值计量&amp;!不适用" headerRef="262" ignorePeriod="1" helpId="112001010" primarySection="_GBC_20b1c487c1e348188269523d7d980194" optionText="成本计量模式" activeContentOption="_GBC_6983d9e24ed54c18a335cb0386f36c2c" optionGroupTitle="投资性房地产计量模式" optionTargetConcept="clcid-pte:TouZiXingFangDiChanJiLiangMoShi" optionTargetConceptValue="成本计量模式" afterEmptyParagraphs="1"/>
    <m:section xlName="_GBC_2b2036270bc84711804cd256998442a6" title="公允价值计量模式" checkKey="!成本计量&amp;!不适用" headerRef="263" ignorePeriod="1" helpId="112001010" primarySection="_GBC_20b1c487c1e348188269523d7d980194" optionText="公允价值计量模式" activeContentOption="_GBC_2b2036270bc84711804cd256998442a6" optionGroupTitle="投资性房地产计量模式" optionTargetConcept="clcid-pte:TouZiXingFangDiChanJiLiangMoShi" optionTargetConceptValue="公允价值计量模式"/>
    <m:section xlName="_GBC_6983d9e24ed54c18a335cb0386f36c2c" title="不适用" checkKey="!公允价值计量&amp;!成本计量" headerRef="263" helpId="112001010" primarySection="_GBC_20b1c487c1e348188269523d7d980194" optionText="不适用" optionGroupTitle="投资性房地产计量模式" optionTargetConcept="clcid-pte:TouZiXingFangDiChanJiLiangMoShi" optionTargetConceptValue="不适用"/>
    <m:section xlName="_GBC_662771796da549e1b2a02fb7d497f077" title="固定资产确认条件" headerRef="265" ignorePeriod="1" helpId="112001010"/>
    <m:section xlName="_GBC_7c749a57d4094b3386978c34c3487e2a" title="固定资产折旧方法" headerRef="266" ignorePeriod="1" isSupervision="true" helpId="112001010" helpText="注：公司根据自身实际情况确定类别，一般包括房屋及建筑物、机器设备、电子设备、运输设备等。折旧方法有年限平均法、工作量法、双倍余额递减法、年数总和法，其他。如选择其他，请在文本框中说明。"/>
    <m:section xlName="_GBC_3eb5f960df3e47f0a4bf3af0bc67ca96" title="在建工程会计处理方法" headerRef="267" ignorePeriod="1" convertSummaryRule="NoConvert" helpId="112001010" helpText="注：说明在建工程结转为固定资产的标准和时点。"/>
    <m:section xlName="_GBC_e3e4d07ea08d4589a9293563ea655b42" title="借款费用会计处理方法" headerRef="268" ignorePeriod="1" convertSummaryRule="NoConvert" helpId="112001010" helpText="注：说明借款费用资本化的确认原则、资本化期间、暂停资本化期间、借款费用资本化率以及资本化金额的计算方法。"/>
    <m:section xlName="_GBC_0b83f813710f436286429917c8c39567" title="生物资产会计处理方法" headerRef="269" ignorePeriod="1" convertSummaryRule="NoConvert" helpId="112001010" helpText="注：说明生物资产的分类及确定标准。各类生产性生物资产的使用寿命和预计净残值及其确定依据、折旧方法。采用公允价值模式的，说明选择公允价值计量的依据。"/>
    <m:section xlName="_GBC_ed738d1d51d04aad8efd3fb3e88bf021" title="油气资产会计处理方法" headerRef="270" ignorePeriod="1" convertSummaryRule="NoConvert" helpId="112001010" helpText="注：说明与各类油气资产相关支出的资本化标准，各类油气资产的折耗或摊销方法，采矿许可证等执照费用的会计处理方法以及油气储量估计的判断依据等。"/>
    <m:section xlName="_GBC_0a8b293ff9e94173b2e385f4ef2a8c89" title="无形资产会计处理方法" headerRef="271" ignorePeriod="1" convertSummaryRule="NoConvert" helpId="112001010"/>
    <m:section xlName="_SEC_c11b0580b6b040ca9dbb882b383dfc03" title="长期资产减值" headerRef="274" ignorePeriod="1" helpId="112001010"/>
    <m:section xlName="_SEC_716e5dd4aef549d9b8815a4e1474e63d" title="长期待摊费用" headerRef="275" ignorePeriod="1" helpId="112001010"/>
    <m:section xlName="_SEC_2988762bdf3a48178e0180a615cb7705" title="合同负债" headerRef="276" ignorePeriod="1" helpId="112001010"/>
    <m:section xlName="_GBC_8ec8855eb4d5447ab785e4bd4b0b73aa" title="职工薪酬" headerRef="277" ignorePeriod="1" helpId="112001010"/>
    <m:section xlName="_GBC_b5b71a4d3cc1425c80f55e751e7e18c2" title="预计负债会计处理方法" headerRef="282" ignorePeriod="1" convertSummaryRule="NoConvert" helpId="112001010" helpText="注：说明预计负债的确认标准和各类预计负债的计量方法。"/>
    <m:section xlName="_GBC_5300d3ce4b5f4c1690fe13bde0a610e3" title="股份支付" headerRef="283" ignorePeriod="1" helpId="112001010" helpText="注：说明股份支付计划的会计处理方法，包括修改或终止股份支付计划的相关会计处理。"/>
    <m:section xlName="_GBC_d3c9524999e647d78f354bb216cfb1aa" title="优先股、永续债" headerRef="284" ignorePeriod="1" helpId="112001010" helpText="注：说明优先股、永续债等其他金融工具的会计处理方法"/>
    <m:section xlName="_GBC_19704df9fd714cad895419bf4903f70e" title="收入会计处理方法" headerRef="285" ignorePeriod="1" convertSummaryRule="NoConvert" helpId="112001010" helpText="注：说明收入确认原则和计量方法。公司应结合实际生产经营特点制定收入确认会计政策，说明具体收入确认时点及计量方法，同类业务采用不同经营模式在不同时点确认收入的，应当分别说明。按完工百分比法确认提供劳务和建造合同收入的收入的，说明确定合同完工进度的依据和方法。"/>
    <m:section xlName="_SEC_d90e7184f27046ff9caab68c045539c7" title="同类业务采用不同经营模式导致收入确认会计政策存在差异的情况" headerRef="287" ignorePeriod="1" helpId="112001010"/>
    <m:section xlName="_SEC_1a8f2a657b9d471d80373f3b25cb1dfe" title="合同成本" headerRef="288" ignorePeriod="1" helpId="112001010"/>
    <m:section xlName="_GBC_b03bd816e50b42ae97b660897ca33234" title="政府补助会计处理方法" headerRef="289" ignorePeriod="1" convertSummaryRule="NoConvert" helpId="112001010"/>
    <m:section xlName="_GBC_01f1973e44f24cd99b90200f8205be13" title="递延所得税资产/递延所得税负债会计处理方法" headerRef="290" ignorePeriod="1" convertSummaryRule="NoConvert" helpId="112001010" helpText="注：说明递延所得税资产和递延所得税负债的确认依据。"/>
    <m:item xlName="_GBC_7f954ee357264e2c946d2c530d8787c5" headerRef="291" up="租赁" concept="clcid-ci-ar:ShiFouShiYongZuLinZhongYaoKuaiJiZhengCeHeGuJi" label="是否适用：租赁_重要会计政策和估计" selectOptions="_buildInAppliance" controlType="CustomCheckbox" type="i:" cRanges="[{&quot;StartName&quot;:&quot;_GBC_7f954ee357264e2c946d2c530d8787c5&quot;,&quot;EndName&quot;:&quot;_SEC_de0d6f86c5e44e9ba9ed0ad83d081f20&quot;,&quot;CType&quot;:1}]"/>
    <m:section xlName="_SEC_0b2a109afef44d198ca2c3ed557c8d1d" title="作为承租方对短期租赁和低价值资产租赁进行简化处理的判断依据和..." headerRef="291" ignorePeriod="1" helpId="112001010"/>
    <m:section xlName="_SEC_de0d6f86c5e44e9ba9ed0ad83d081f20" title="作为出租方的租赁分类标准和会计处理方法单击或点击此处输入文..." headerRef="291" ignorePeriod="1" helpId="112001010"/>
    <m:section xlName="_GBC_208440ea3a0f4676970b3672c3cdf96f" title="其他重要的会计政策和会计估计" headerRef="292" ignorePeriod="1" helpId="112001010" helpText="注：说明其他重要的会计政策和会计估计，包括但不限于：终止经营的确认标准、会计处理方法，采用套期会计的依据、会计处理方法，与回购公司股份相关的会计处理方法，资产证券化业务的会计处理方法等。"/>
    <m:item xlName="_GBC_f1ebc580f60c4d30a80747190ffbec4f" headerRef="294" up="重要会计政策变更" concept="clcid-pte:ShiFouShiYongZhongYaoKuaiJiZhengCeBianGeng" label="是否适用：重要会计政策变更" selectOptions="_buildInAppliance" controlType="CustomCheckbox" type="i:Boolean" cRanges="[{&quot;StartName&quot;:&quot;_GBC_f1ebc580f60c4d30a80747190ffbec4f&quot;,&quot;EndName&quot;:&quot;_SEC_b59487ebdc7b4d11894136077303d0d8&quot;,&quot;CType&quot;:1}]"/>
    <m:section xlName="_SEC_b59487ebdc7b4d11894136077303d0d8" title="会计政策变更" headerRef="294" ignorePeriod="1" convertSummaryRule="ConvertDefinedText" convertText="无" helpId="112001010" helpText="注：说明受重要影响的报表项目名称和金额。"/>
    <m:item xlName="_GBC_902f08bd36774074945386d2d1f9b67d" headerRef="295" up="重要会计估计变更" concept="clcid-pte:ShiFouShiYongZhongYaoKuaiJiGuJiBianGeng" label="是否适用：重要会计估计变更" selectOptions="_buildInAppliance" controlType="CustomCheckbox" type="i:Boolean" cRanges="[{&quot;StartName&quot;:&quot;_GBC_902f08bd36774074945386d2d1f9b67d&quot;,&quot;EndName&quot;:&quot;_SEC_acb82d75d97145538369850670e86521&quot;,&quot;CType&quot;:1}]"/>
    <m:section xlName="_SEC_acb82d75d97145538369850670e86521" title="会计估计变更" headerRef="295" ignorePeriod="1" helpId="112001010" helpText="注：说明受重要影响的报表项目名称和金额。"/>
    <m:section xlName="_SEC_a9815fd707d7490aa4f57a92594115cf" title="首次执行新金融工具准则、新收入准则、新租赁准则调整首次执行当年年初财务报表相关项目情况" headerRef="296" helpId="112001010" primarySection="_SEC_a9815fd707d7490aa4f57a92594115cf" optionText="需要编制合并报表" optionGroupTitle="是否需要合并报表" optionTargetConcept="clcid-ci-ar:ShiFouXuYaoHeBingBaoBiao" optionTargetConceptValue="true" keyAction="42" keyCode="2"/>
    <m:section xlName="_SEC_b25f53d81de34b61bf171ff5ba21cfa8" title="首次执行新金融工具准则、新收入准则、新租赁准则调整首次执行当年年初财务报表相关项目情况" headerRef="297" helpId="112001010" primarySection="_SEC_a9815fd707d7490aa4f57a92594115cf" optionText="无需编制合并报表" optionGroupTitle="是否需要合并报表" optionTargetConcept="clcid-ci-ar:ShiFouXuYaoHeBingBaoBiao" optionTargetConceptValue="false" keyAction="42" keyCode="2">
      <m:rowModel locationConcept="clcid-ci-ar:ZiDingYiKeMuWeiZhi" labelConcept="clcid-ci-ar:ZiDingYiKeMuMingCheng" conceptPrefix="资产负债表" presentationRole="http://www.xbrl-cn.org/cn/lcid/lr/role/BalanceSheetforCommercialandIndustrialCompanies " presentationParentConcept="clcid-pte:ZiChanFuZhaiBiao" tuplePrefix="项目"/>
    </m:section>
    <m:section xlName="_GBC_f9189f2c315949f484bded540173f7a8" title="其他" headerRef="298" helpId="112001010"/>
    <m:section xlName="_GBC_21c965fa52af49a9865023fb4e05671a" title="主要税种及税率" headerRef="300" convertSummaryRule="NoConvert" helpId="112001036" axisType="Column"/>
    <m:section xlName="_GBC_8efa381cc976417f9135f0c744d05452" title="税收优惠及批文" headerRef="301" convertSummaryRule="NoConvert" helpId="112001036" helpText="注：说明主要税收优惠政策及依据。"/>
    <m:section xlName="_GBC_9fdef48633e142f68e18dc5da08c2deb" title="其他说明" headerRef="302" convertSummaryRule="NoConvert" helpId="112001038"/>
    <m:placeholder xlName="_PLD_5caece51bbf041cfa2138d22a8ddeef3" headerRef="303" keyCode="PageId:ch1009" keyAction="31"/>
    <m:section xlName="_SEC_fe3ce9278bcc4538b07f06ed84d7ee69" title="货币资金" rules="R2015_R11_002" headerRef="304" convertSummaryRule="NoConvert" helpId="112001039" helpText="注：因抵押、质押或冻结等对使用有限制，以及存放在境外且资金汇回受到限制的款项应单独说明。\n“根据《企业会计准则解释第15号》，对于成员单位未归集至集团母公司账户而直接存入财务公司的资金，成员单位应当在资产负债表“货币资金” 项目中列示， 根据重要性原则并结合本企业的实际情况，成员单位还可以在“货币资金” 项目之下增设“其中：存放财务公司款项” 项目单独列示。”"/>
    <m:section xlName="_SEC_6fb2365d490c45119367e7aca86f857c" title="交易性金融资产" headerRef="305" helpId="112001041"/>
    <m:section xlName="_GBC_bc314407a9a14c2f8b2b5368638e0a51" title="衍生金融资产" headerRef="306" helpId="112001042" helpText="注：说明衍生金融工具形成原因以及相关会计处理等。"/>
    <m:placeholder xlName="_PLD_5f1e8572fc9c4837a19df40c8bc28554" headerRef="307" keyCode="PageId:ch1039" keyAction="31"/>
    <m:section xlName="_GBC_c1ce1fc5bd0f42bca82cd02f3a6b623f" title="应收票据分类" rules="R2015_R11_003" headerRef="308" convertSummaryRule="NoConvert" helpId="112001044"/>
    <m:section xlName="_GBC_8fdb3f7098324d0d8b9f6e395abf9009" title="期末公司已质押的应收票据情况" rules="R2015_R11_003" headerRef="309" convertSummaryRule="NoConvert" helpId="112001044"/>
    <m:section xlName="_GBC_d0a9833415574c7baa9ef176fea05ecf" title="因出票人无力履约而将票据转为应收账款的票据，以及期末已背书未到期票据" rules="R2015_R11_003" headerRef="310" convertSummaryRule="NoConvert" helpId="112001044"/>
    <m:item xlName="_GBC_064ae6cf552d47d6abf4ad2b5c55d254" headerRef="311" up="按坏账计提方法分类披露" concept="clcid-ci-ar:ShiFouShiYongYingShouPiaoJuAnHuaiZhangJiTiFangFaFenLeiPiLu" label="是否适用：应收票据按坏账计提方法分类披露" selectOptions="_buildInAppliance" controlType="CustomCheckbox" cRanges="[{&quot;StartName&quot;:&quot;_GBC_064ae6cf552d47d6abf4ad2b5c55d254&quot;,&quot;EndName&quot;:&quot;_SEC_2dc3b0ce015a4b54a67e0a855abb57d7&quot;,&quot;CType&quot;:1}]"/>
    <m:section xlName="_SEC_2dc3b0ce015a4b54a67e0a855abb57d7" title="按坏账计提方法分类披露" headerRef="311" helpId="112001044"/>
    <m:section xlName="_SEC_35f0dd53a3094420ab950eaf2d236098" title="按单项计提坏账准备：" headerRef="311" helpId="112001044"/>
    <m:item xlName="_GBC_2b00fe7228b14b11bdb374e735777f02" headerRef="311" up="按组合计提坏账准备：" concept="clcid-ci-ar:ShiFouShiYongAnZuHeJiTiHuaiZhangZhunBeiDeYingShouPiaoJuXiangXiQingKuang" label="是否适用：按组合计提坏账准备的应收票据详细情况" selectOptions="_buildInAppliance" controlType="CustomCheckbox" cRanges="[{&quot;StartName&quot;:&quot;_GBC_2b00fe7228b14b11bdb374e735777f02&quot;,&quot;EndName&quot;:&quot;_SEC_ba9a8c13d1d945d389c5919539ae944e&quot;,&quot;CType&quot;:1}]"/>
    <m:section xlName="_SEC_ba9a8c13d1d945d389c5919539ae944e" title="按组合计提坏账准备" repeatable="1" tupleConcept="clcid-pte:AnZuHeJiTiHuaiZhangZhunBeiDeYingShouPiaoJuXiangXiMingXi" headerRef="311" helpId="112001044" keyAction="89"/>
    <m:section xlName="_SEC_6b9325db8bc94217b3b159530c2e7ce6" title="如按预期信用损失一般模型计提坏账准备，请参照其他应收款披露" headerRef="311" helpId="112001044">
      <m:axisValue occRef="应收票据"/>
    </m:section>
    <m:section xlName="_SEC_c99da1af26b84f39935c31f457be5726" title="坏账准备的情况" headerRef="312" helpId="112001044" keyAction="89"/>
    <m:section xlName="_SEC_b5b10fb76e04464dac1f70f677b727ee" title="应收票据本期坏账准备收回或转回金额重要的" headerRef="312" helpId="112001044"/>
    <m:section xlName="_SEC_d1d07f77bea54442a58602a5a3e94f42" title="本期实际核销的应收票据情况" headerRef="313" helpId="112001044"/>
    <m:section xlName="_GBC_c7095bafbab543a9bb9dcc587154df29" title="应收票据其他说明" rules="R2015_R11_003" headerRef="313" convertSummaryRule="NoConvert" helpId="112001044"/>
    <m:placeholder xlName="_PLD_19b98ceec6c14d9a8bb1ce7d7374749c" headerRef="314" keyCode="PageId:ch1010" keyAction="31"/>
    <m:section xlName="_SEC_a298d7120a244ca9b9690c64cb86f6ad" title="按账龄披露" headerRef="315" helpId="112001045" helpText="表中的“期末账面余额”指的是包含单项计提和组合计提的期末账面余额。"/>
    <m:item xlName="_GBC_fc55e6778e08412caa3e7b9e7a1a0f85" headerRef="316" up="按坏账计提方法分类披露" concept="clcid-ci-ar:ShiFouShiYongYingShouZhangKuanFenLeiPiLu" label="是否适用：应收账款分类披露" selectOptions="_buildInAppliance" controlType="CustomCheckbox" type="i:" cRanges="[{&quot;StartName&quot;:&quot;_GBC_fc55e6778e08412caa3e7b9e7a1a0f85&quot;,&quot;EndName&quot;:&quot;_SEC_0398db7d3d0941d99bcd41800ef0e448&quot;,&quot;CType&quot;:1}]"/>
    <m:section xlName="_SEC_0398db7d3d0941d99bcd41800ef0e448" title="(2). 按坏账计提方法分类披露" headerRef="316" helpId="112001045"/>
    <m:section xlName="_SEC_498beef22f03474fa398c526ee8a934d" title="按单项计提坏账准备：" headerRef="316" helpId="112001045"/>
    <m:item xlName="_GBC_47a07baa9a4f4c5ea6de193ae7b87e74" headerRef="316" up="按组合计提坏账准备：" concept="clcid-ci-ar:ShiFouShiYongAnZuHeJiTiHuaiZhangZhunBeiDeYingShouZhangKuanXiangXiQingKuang" label="是否适用：按组合计提坏账准备的应收账款详细情况" selectOptions="_buildInAppliance" controlType="CustomCheckbox" cRanges="[{&quot;StartName&quot;:&quot;_GBC_47a07baa9a4f4c5ea6de193ae7b87e74&quot;,&quot;EndName&quot;:&quot;_SEC_f085826b570e4937b558307522853cff&quot;,&quot;CType&quot;:1}]"/>
    <m:section xlName="_SEC_f085826b570e4937b558307522853cff" title="组合计提项目" repeatable="1" tupleConcept="clcid-pte:AnZuHeJiTiHuaiZhangZhunBeiDeYingShouZhangKuanXiangXiMingXi" headerRef="316" helpId="112001045" keyAction="89"/>
    <m:section xlName="_SEC_e432f11a05d54da1a71a76d4978c5139" title="如按预期信用损失一般模型计提坏账准备" headerRef="316" helpId="112001045">
      <m:axisValue occRef="应收账款"/>
    </m:section>
    <m:section xlName="_SEC_12d740ff187b4b12aec92868132c72ed" title="坏账准备的情况" headerRef="317" helpId="112001045" keyAction="89"/>
    <m:section xlName="_SEC_cdecb9c204ca4a9c9226b9ac1afaefaa" title="本期坏账准备收回或转回金额重要的" rules="R2015_R11_004" headerRef="317" convertSummaryRule="NoConvert" helpId="112001045" helpText="注：说明转回或收回原因，确定原坏账准备计提比例的依据及其合理性。"/>
    <m:section xlName="_GBC_af8ceb97930d4d7391d4823a068c824b" title="本报告期实际核销的应收账款情况" rules="R2015_R11_004" headerRef="318" convertSummaryRule="NoConvert" helpId="112001045"/>
    <m:section xlName="_SEC_0de922a4c3ae428ca01a32fccaf5a259" title="按欠款方归集的期末余额前五名的应收账款情况：" rules="R2015_R11_004" headerRef="319" helpId="112001045" helpText="注：按欠款方集中度，汇总或分别披露期末余额前五名的应收账款的期末余额及占应收账款期末余额合计数的比例，以及相应计提的坏账准备期末余额。"/>
    <m:section xlName="_GBC_2f38c172c62a46cfa73776efdf952fad" title="应收账款其他说明" rules="R2015_R11_004" headerRef="319" helpId="112001045"/>
    <m:section xlName="_SEC_9eb3b6c88c0a41f7a3f6a2f43946f06c" title="合同资产" headerRef="320" helpId="112002271"/>
    <m:section xlName="_SEC_e8c350da8e69479e93eb03226371923c" title="报告期内账面价值发生重大变动的金额和原因" headerRef="322" helpId="112002271"/>
    <m:section xlName="_SEC_79262ce3c3fa43da93ff17d323d38679" title="按坏账计提方法分类披露" headerRef="323" helpId="112002271">
      <m:axisValue occRef="合同资产"/>
      <m:axisValue occRef="长期应收款"/>
    </m:section>
    <m:section xlName="_SEC_8ff311ab8694456982efe033266b0818" title="按单项计提坏账准备：  单位：元币种：人民币名称 期..." headerRef="323" helpId="112002271">
      <m:axisValue occRef="合同资产"/>
      <m:axisValue occRef="长期应收款"/>
    </m:section>
    <m:item xlName="_GBC_059f7dfd74cd41d4b2b8918cfc3d067f" headerRef="323" up="按组合计提坏账准备：" concept="clcid-ci-ar:ShiFouShiYongAnZuHeJiTiHuaiZhangZhunBeiDeXiangXiQingKuang" label="是否适用：按组合计提坏账准备的详细情况" selectOptions="_buildInAppliance" controlType="CustomCheckbox" type="i:" cRanges="[{&quot;StartName&quot;:&quot;_GBC_059f7dfd74cd41d4b2b8918cfc3d067f&quot;,&quot;EndName&quot;:&quot;_SEC_7ee1acac21f147e8be51ad7c182a59cc&quot;,&quot;CType&quot;:1}]">
      <m:axisValue occRef="合同资产"/>
    </m:item>
    <m:section xlName="_SEC_7ee1acac21f147e8be51ad7c182a59cc" title="组合计提项目" tupleConcept="clcid-pte:AnZuHeJiTiHuaiZhangZhunBeiDeXiangXiMingXi" repeatable="1" headerRef="323" helpId="112002271">
      <m:axisValue occRef="合同资产"/>
      <m:axisValue occRef="长期应收款"/>
    </m:section>
    <m:section xlName="_SEC_cda340aaf00a44e5b3e83efedfe3e597" title="如按预期信用损失一般模型计提坏账准备" headerRef="323" helpId="112002271">
      <m:axisValue occRef="合同资产"/>
    </m:section>
    <m:section xlName="_SEC_bf3d6e0971b243878381353846199645" title="本期合同资产计提减值准备情况" headerRef="324" helpId="112002271"/>
    <m:section xlName="_SEC_41fd81b29b64408b828316d7fae0e4f5" title="其中本期坏账准备收回或转回金额重要的" headerRef="324" helpId="112002271">
      <m:axisValue occRef="合同资产"/>
    </m:section>
    <m:section xlName="_SEC_483be52511e0421bb90a3e86c5b7e9ed" title="本期实际核销的合同资产情况" headerRef="325" helpId="112002271"/>
    <m:section xlName="_SEC_a12e20a7ea774c8197717894a1e3f908" title="其中重要的合同资产核销情况 " headerRef="325" helpId="112002271">
      <m:axisValue occRef="合同资产"/>
      <m:axisValue occRef="长期应收款"/>
    </m:section>
    <m:section xlName="_SEC_5b10981ad765434eb8d30a4d75bff071" title="其他说明：" headerRef="325" helpId="112002271"/>
    <m:placeholder xlName="_PLD_4377fa9346cc450dbde8979afdffb399" headerRef="326" keyCode="PageId:ch1041" keyAction="31"/>
    <m:section xlName="_SEC_b9585f9030e74f2d93f72009bc3b92cd" title="应收款项融资分类列示" headerRef="327" helpId="112002268" helpText="按信用风险等级分类披露应收款项融资明细。"/>
    <m:section xlName="_SEC_ec636e9fe97347bfab252a12b8e3278b" title="期末公司已质押的应收款项融资" headerRef="328" helpId="112002268"/>
    <m:section xlName="_SEC_789198171e364e6b81e731af96218522" title="期末公司已背书或贴现且在资产负债表日尚未到期的应收款项融资" headerRef="329" helpId="112002268" keyAction="42" keyCode="2"/>
    <m:section xlName="_SEC_a8011b91cc30479fbff85c1b0f7c9ba6" title="按坏账计提方法分类披露" headerRef="330" helpId="112002268">
      <m:axisValue occRef="应收款项融资"/>
    </m:section>
    <m:section xlName="_SEC_325c2ed151c84f059ead84fd926427c9" title="按单项计提坏账准备：  单位：元币种：人民币名称 期..." headerRef="330" helpId="112002268">
      <m:axisValue occRef="应收款项融资"/>
    </m:section>
    <m:item xlName="_GBC_02191f78423f4f4ca97cd31179bf21d5" headerRef="330" up="按组合计提坏账准备：" concept="clcid-ci-ar:ShiFouShiYongAnZuHeJiTiHuaiZhangZhunBeiDeXiangXiQingKuang" label="是否适用：按组合计提坏账准备的详细情况" selectOptions="_buildInAppliance" controlType="CustomCheckbox" type="i:" cRanges="[{&quot;StartName&quot;:&quot;_GBC_02191f78423f4f4ca97cd31179bf21d5&quot;,&quot;EndName&quot;:&quot;_SEC_3b46e5fa769b48378dd226f4c8f25a6d&quot;,&quot;CType&quot;:1}]">
      <m:axisValue occRef="应收款项融资"/>
    </m:item>
    <m:section xlName="_SEC_3b46e5fa769b48378dd226f4c8f25a6d" title="组合计提项目" tupleConcept="clcid-pte:AnZuHeJiTiHuaiZhangZhunBeiDeXiangXiMingXi" repeatable="1" headerRef="330" helpId="112002268">
      <m:axisValue occRef="应收款项融资"/>
    </m:section>
    <m:section xlName="_SEC_0c668b0e80ca4583b8434cfcd068e62f" title="如按预期信用损失一般模型计提坏账准备" headerRef="330" helpId="112002268">
      <m:axisValue occRef="应收款项融资"/>
    </m:section>
    <m:section xlName="_SEC_8fbaf4832b8a4df2a8add0c01204cf49" title="坏账准备的情况" headerRef="331" helpId="112002268" keyAction="89"/>
    <m:section xlName="_SEC_008a4bca1fca4fc1be642fcc3d913567" title="其中本期坏账准备收回或转回金额重要的" headerRef="331" helpId="112002268">
      <m:axisValue occRef="应收款项融资"/>
    </m:section>
    <m:section xlName="_SEC_edb06bb7ac854fa4be196ec302ba7ddf" title="本期实际核销的应收款项融资情况" headerRef="332" helpId="112002268"/>
    <m:section xlName="_SEC_db1213cf20c146178575f11ed7dafbf6" title="其中重要的应收款项融资核销情况单位：币种：（..." headerRef="332" helpId="112002268">
      <m:axisValue occRef="应收款项融资"/>
    </m:section>
    <m:section xlName="_SEC_f622924e64af4a44a962a96fa26bf3ea" title="应收款项融资本期增减变动及公允价值变动情况：  " headerRef="333" helpId="112002268"/>
    <m:section xlName="_SEC_cc1b5a87b00b4f9597e03f379dacda36" title="其他说明：  " headerRef="334" helpId="112002268"/>
    <m:section xlName="_GBC_4c02994d3bd04bacba6592630552e576" title="预付款项按账龄列示" rules="R2015_R11_005" headerRef="336" convertSummaryRule="NoConvert" helpId="112001047"/>
    <m:section xlName="_GBC_2c5fba8651a04a6d88c0c9fc33310c57" title="预付款项金额前五名单位情况" rules="R2015_R11_005" headerRef="337" convertSummaryRule="NoConvert" helpId="112001047" helpText="注：按预付对象集中度，汇总或分别披露期末余额前五名的预付款项的期末余额及占预付款项期末余额合计数的比例。"/>
    <m:section xlName="_GBC_ee9bedfa5e5340c9b02fb474f1a1fc26" title="预付款项的说明" rules="R2015_R11_005" headerRef="337" convertSummaryRule="NoConvert" helpId="112001047"/>
    <m:placeholder xlName="_PLD_15d22efc683642ab9c4d303ac2774bd8" headerRef="338" keyCode="PageId:ch1043" keyAction="31"/>
    <m:section xlName="_SEC_440b8bdb86984dd89d750fdd7845fe71" title="分类列示" headerRef="339" helpId="112001051"/>
    <m:section xlName="_GBC_6620e2366b444b3fb9e784e1bb6a87fd" title="应收利息" headerRef="340" convertSummaryRule="NoConvert" helpId="112001049"/>
    <m:section xlName="_GBC_bcfcff19f55a43f988e9223dca0728dc" title="逾期利息" headerRef="342" convertSummaryRule="NoConvert" helpId="112001049"/>
    <m:section xlName="_SEC_3c4747ce924442abb81880a0653caa26" title="按坏账计提方法分类披露" headerRef="343" helpId="112001049">
      <m:axisValue occRef="应收利息"/>
    </m:section>
    <m:section xlName="_SEC_20180252db834d89b2024c56a55e6339" title="按单项计提坏账准备：  单位：元币种：人民币名称 期..." headerRef="343" helpId="112001049">
      <m:axisValue occRef="应收利息"/>
    </m:section>
    <m:item xlName="_GBC_0dc49505e0b44d56bf15079c4ea20a9a" headerRef="343" up="按组合计提坏账准备：" concept="clcid-ci-ar:ShiFouShiYongAnZuHeJiTiHuaiZhangZhunBeiDeXiangXiQingKuang" label="是否适用：按组合计提坏账准备的详细情况" selectOptions="_buildInAppliance" controlType="CustomCheckbox" type="i:" cRanges="[{&quot;StartName&quot;:&quot;_GBC_0dc49505e0b44d56bf15079c4ea20a9a&quot;,&quot;EndName&quot;:&quot;_SEC_36b1b98311154e0784b35cec07d0e1ff&quot;,&quot;CType&quot;:1}]">
      <m:axisValue occRef="应收利息"/>
    </m:item>
    <m:section xlName="_SEC_36b1b98311154e0784b35cec07d0e1ff" title="组合计提项目" tupleConcept="clcid-pte:AnZuHeJiTiHuaiZhangZhunBeiDeXiangXiMingXi" repeatable="1" headerRef="343" helpId="112001049">
      <m:axisValue occRef="应收利息"/>
    </m:section>
    <m:section xlName="_SEC_61c56552057346dd98026d659f25d3ef" title="坏账准备计提情况" headerRef="344" helpId="112001049"/>
    <m:section xlName="_SEC_17aef62ec0584f7d9e3478a8e415e7b0" title="坏账准备的情况" headerRef="345" helpId="112001049" keyAction="89"/>
    <m:section xlName="_SEC_2262ff1f38cb4a9a8b0014b1f85f01c2" title="其中本期坏账准备收回或转回金额重要的" headerRef="345" helpId="112001049">
      <m:axisValue occRef="应收利息"/>
    </m:section>
    <m:section xlName="_SEC_4961ad9f36704cc08392d69b741c3f4d" title="本期实际核销的应收利息情况" headerRef="346" helpId="112001049"/>
    <m:section xlName="_SEC_54cd05ce6e8b41e8ae8e158cd50f20ec" title="其中重要的应收利息核销情况" headerRef="346" helpId="112001049">
      <m:axisValue occRef="应收利息"/>
    </m:section>
    <m:section xlName="_GBC_0dc3bcd06a754f79952657ba82acdc9f" title="应收利息的说明" headerRef="346" helpId="112001049"/>
    <m:section xlName="_GBC_94a22362634d47499fd45a0a5577c49b" title="应收股利" headerRef="348" helpId="112001050"/>
    <m:section xlName="_GBC_aafe0f2583ac4a35a029d834ee52b5de" title="应收股利" headerRef="349" convertSummaryRule="NoConvert" helpId="112001050"/>
    <m:section xlName="_SEC_46e8b25d525743bd96171366da61cc99" title="按坏账计提方法分类披露" headerRef="350" helpId="112001050">
      <m:axisValue occRef="应收股利"/>
    </m:section>
    <m:section xlName="_SEC_a626035601754a95bb4dbfad76205526" title="按单项计提坏账准备：  单位：元币种：人民币名称 期..." headerRef="350" helpId="112001050">
      <m:axisValue occRef="应收股利"/>
    </m:section>
    <m:item xlName="_GBC_37434366d06a4e49b22522b1d88358dd" headerRef="350" up="按组合计提坏账准备：" concept="clcid-ci-ar:ShiFouShiYongAnZuHeJiTiHuaiZhangZhunBeiDeXiangXiQingKuang" label="是否适用：按组合计提坏账准备的详细情况" selectOptions="_buildInAppliance" controlType="CustomCheckbox" type="i:" cRanges="[{&quot;StartName&quot;:&quot;_GBC_37434366d06a4e49b22522b1d88358dd&quot;,&quot;EndName&quot;:&quot;_SEC_bf8c9c72115249d0ae24858a46c41775&quot;,&quot;CType&quot;:1}]">
      <m:axisValue occRef="应收股利"/>
    </m:item>
    <m:section xlName="_SEC_bf8c9c72115249d0ae24858a46c41775" title="组合计提项目" tupleConcept="clcid-pte:AnZuHeJiTiHuaiZhangZhunBeiDeXiangXiMingXi" repeatable="1" headerRef="350" helpId="112001050">
      <m:axisValue occRef="应收股利"/>
    </m:section>
    <m:section xlName="_SEC_cce3905839dc4d6ea19cf81ee0af7e4b" title="坏账准备计提情况" headerRef="351" helpId="112001050"/>
    <m:section xlName="_SEC_ff5cad629068408799f5650de6d18979" title="坏账准备的情况" headerRef="352" helpId="112001050" keyAction="89"/>
    <m:section xlName="_SEC_5d828ebb427e444da707ce439ad480e0" title="其中本期坏账准备收回或转回金额重要的" headerRef="352" helpId="112001050">
      <m:axisValue occRef="应收股利"/>
    </m:section>
    <m:section xlName="_SEC_918d3902ab7f4bc58530738be7a5c260" title="本期实际核销的应收股利情况" headerRef="353" helpId="112001050"/>
    <m:section xlName="_SEC_5dd71b6ee5e7434a9121bbc0060b5fb0" title="其中重要的应收股利核销情况" headerRef="353" helpId="112001050">
      <m:axisValue occRef="应收股利"/>
    </m:section>
    <m:section xlName="_GBC_3543035ac1594f0aaa966ebb907a6f0d" title="应收股利的说明" headerRef="353" convertSummaryRule="NoConvert" helpId="112001050"/>
    <m:section xlName="_SEC_59c1797238404acbb309d3cabb45702e" title="按账龄披露" headerRef="355" helpId="112001051" helpText="表里的“期末账面余额”指的是包含单项计提和组合计提的期末账面余额。"/>
    <m:section xlName="_GBC_84d520d656b8446b87c909f5ff2b545d" title="其他应收款按款项性质分类情况" rules="R2015_R11_006" headerRef="356" helpId="112001051"/>
    <m:section xlName="_SEC_5ff83398df8949c88f89340b5b0e52f6" title="坏账准备计提情况" headerRef="357" helpId="112001051" helpText="如存在坏账准备，应按照财政部企业会计准则第37号第83条规定，披露损失准备期初余额与期末余额的调节表"/>
    <m:section xlName="_SEC_7849289533db4e96add81004bc8b8e26" title="坏账准备的情况" headerRef="358" helpId="112001051"/>
    <m:section xlName="_SEC_c7b512866069406b8202b761cc645bc8" title="本期坏账准备转回或收回金额重要的" headerRef="358" helpId="112001051"/>
    <m:section xlName="_GBC_ca12851378c64f09a5335b8a527df46f" title="本报告期实际核销的其他应收款情况" rules="R2015_R11_006" headerRef="359" convertSummaryRule="NoConvert" helpId="112001051"/>
    <m:section xlName="_GBC_a83a3fc7866445d68738701d3998ac0b" title="按欠款方归集的期末余额其中前五名的其他应收款单位情况" rules="R2015_R11_006" headerRef="360" helpId="112001051" helpText="根据《公开发行证券的公司信息披露编报规则第15号——财务报告的一般规定》第十九条规定，按欠款方归集的期末余额前五名的其他应收款应分别披露欠款方名称，不得使用代称替代。公司确因特殊原因存在暂缓、豁免信息披露需求的，应当按照《2号格式准则》第五条、《上市公司信息披露暂缓与豁免管理规定》（以下简称《暂缓与豁免管理规定》）等规定，审慎判断相关往来主体信息是否属于暂缓或者豁免披露范畴。经判断确属暂缓或者豁免披露范畴的，应当按照《暂缓与豁免管理规定》相关要求填写登记材料，在半年度报告后10日内，将相关登记材料报送公司注册地证监局和证券交易所。母公司报表及注释同理。"/>
    <m:section xlName="_SEC_1c58bc8760574788a64c13226568d4d4" title="因资金集中管理而列报于其他应收款 " headerRef="361" helpId="112001051"/>
    <m:section xlName="_GBC_de4246046d754793a6a2db96dd5bb245" title="其他应收款其他说明" rules="R2015_R11_006" headerRef="361" helpId="112001051"/>
    <m:placeholder xlName="_PLD_1bc58b299bae44378ee0798c35d77f29" headerRef="362" keyCode="PageId:ch1011" keyAction="31"/>
    <m:section xlName="_GBC_1953ea50f68542df9fa36d84b994cf17" title="存货分类 " rules="R2015_R11_007" headerRef="363" convertSummaryRule="NoConvert" helpId="112001053" axisType="Column"/>
    <m:section xlName="_SEC_ea0da6bd0d2c478e8dec978906af6b21" title="确认为存货的数据资源" headerRef="364" helpId="103002002"/>
    <m:section xlName="_GBC_d00b46c41ac84794bd1f7b10e97923a0" title="存货跌价准备" rules="R2015_R11_007" headerRef="365" convertSummaryRule="NoConvert" helpId="112001053" helpText="注：说明确定可变现净值的具体依据及本期转回或转销存货跌价准备的原因。" axisType="Column" keyAction="89"/>
    <m:section xlName="_SEC_06b6288b45644d34b15b9a65afd820ce" title="本期转回或转销存货跌价准备的原因  " headerRef="365" helpId="112001053"/>
    <m:section xlName="_SEC_e1c4b4d6cd8a41f493e3b74a0a74c2cb" title="按组合计提存货跌价准备  单位：元币种：人民币组合名称..." headerRef="365" helpId="112001053"/>
    <m:section xlName="_SEC_4f2c30a069004806a3a3fb2eb2452fc7" title="按组合计提存货跌价准备的计提标准  ___" headerRef="365" helpId="112001053"/>
    <m:section xlName="_GBC_dc559aaf0bf0428386e2f7f2cdeb43ec" title="存货期末余额含有借款费用资本化金额的说明：" rules="R2015_R11_007" headerRef="366" helpId="112001053"/>
    <m:section xlName="_SEC_8c46917973d94083a642ad0ca746d3cd" title="合同履约成本本期摊销金额的说明" headerRef="367" helpId="112001053"/>
    <m:section xlName="_SEC_96c2195df56b4f3eb6049f39e6923486" title="存货的其他说明" headerRef="367" helpId="112001053"/>
    <m:section xlName="_GBC_b8017c342539428893a6ec198dd061b3" title="划分为持有待售的资产" headerRef="368" helpId="112001055" helpText="企业应当按照《企业会计准则第42号——持有待售的非流动资产、处置组和终止经营》（财会〔2017〕13号）等规定，披露划分为持有待售类别的数据资源无形资产有关信息。\n注：说明划分为持有待售的资产的原因等。"/>
    <m:section xlName="_SEC_dbd8b443bc2d472ca3a90241f958114b" title="一年内到期的非流动资产" headerRef="369" helpId="112002269"/>
    <m:item xlName="_GBC_ed748eccf06845059b7b75fbb321c08e" headerRef="370" up="一年内到期的债权投资" concept="clcid-ci-ar:ShiFouShiYongYiNianNeiDaoQiDeZhaiQuanTouZi" label="是否适用：一年内到期的债权投资" selectOptions="_buildInAppliance" controlType="CustomCheckbox" type="i:" cRanges="[{&quot;StartName&quot;:&quot;_GBC_ed748eccf06845059b7b75fbb321c08e&quot;,&quot;EndName&quot;:&quot;_SEC_d042825cbefd47cf84e253b4c6891fc8&quot;,&quot;CType&quot;:1}]"/>
    <m:section xlName="_SEC_39f1e39174ab4e07b2b9c6fab708b6de" title="一年内到期的债权投资情况" headerRef="371" helpId="112002269"/>
    <m:section xlName="_SEC_28254391fc4643aea4ff7f60a433e4a5" title="一年内到期的债权投资减值准备本期变动情况  单位：元币种..." headerRef="371" helpId="112002269">
      <m:axisValue occRef="一年内到期的债权投资"/>
      <m:axisValue occRef="一年内到期的其他债权投资"/>
      <m:axisValue occRef="债权投资"/>
      <m:axisValue occRef="其他债权投资"/>
    </m:section>
    <m:section xlName="_SEC_904de3ad5cbe4b719b3f3d7b6a127bd1" title="一年内到期的非流动资产期末重要的债权投资" headerRef="372" helpId="112002269"/>
    <m:section xlName="_SEC_e425664a289e46a3aa9d3a22a507f462" title="一年内到期的债权投资的减值准备计提情况" headerRef="373" helpId="112002269">
      <m:axisValue occRef="一年内到期的债权投资"/>
      <m:axisValue occRef="一年内到期的其他债权投资"/>
    </m:section>
    <m:section xlName="_SEC_76b7c4cd1d434c33a3be5908053f7051" title="本期减值准备计提金额以及评估金融工具的信用风险是否显著增加的..." headerRef="373" helpId="112002269">
      <m:axisValue occRef="一年内到期的债权投资"/>
      <m:axisValue occRef="一年内到期的其他债权投资"/>
    </m:section>
    <m:section xlName="_SEC_2fee3a86c12a495f95fcf37d4d35b7ef" title="本期实际核销的一年内到期的债权投资情况" headerRef="374" helpId="112002269"/>
    <m:section xlName="_SEC_23536a7cef02401eba5e128f1a9376b5" title="其中重要的一年内到期的债权投资的核销情况 " headerRef="374" helpId="112002269">
      <m:axisValue occRef="一年内到期的债权投资"/>
      <m:axisValue occRef="一年内到期的其他债权投资"/>
      <m:axisValue occRef="债权投资"/>
      <m:axisValue occRef="其他债权投资"/>
    </m:section>
    <m:section xlName="_SEC_d042825cbefd47cf84e253b4c6891fc8" title="其他说明 " headerRef="374" helpId="112002269"/>
    <m:item xlName="_GBC_4fffef07e644478cae129eff5661f608" headerRef="375" up="一年内到期的其他债权投资" concept="clcid-ci-ar:ShiFouShiYongYiNianNeiDaoQiDeQiTaZhaiQuanTouZi" label="是否适用：一年内到期的其他债权投资" selectOptions="_buildInAppliance" controlType="CustomCheckbox" type="i:" cRanges="[{&quot;StartName&quot;:&quot;_GBC_4fffef07e644478cae129eff5661f608&quot;,&quot;EndName&quot;:&quot;_SEC_b78d5344fc5c4cb5a6bde20882705a89&quot;,&quot;CType&quot;:1}]"/>
    <m:section xlName="_SEC_22990f1e7af94869b0fbac47401ea617" title="一年内到期的其他债权投资情况" headerRef="376" helpId="112002269"/>
    <m:section xlName="_SEC_756850893c8e4f4da521cd021c2d4443" title="一年内到期的债权投资减值准备本期变动情况" headerRef="376" helpId="112002269">
      <m:axisValue occRef="一年内到期的债权投资"/>
      <m:axisValue occRef="一年内到期的其他债权投资"/>
      <m:axisValue occRef="债权投资"/>
      <m:axisValue occRef="其他债权投资"/>
    </m:section>
    <m:section xlName="_SEC_3cd7fe0fbf3a43cca3cccee5448ced1e" title="期末重要的一年内到期的其他债权投资  单位：元 币种：人..." headerRef="377" helpId="112002269"/>
    <m:section xlName="_SEC_0ee8c481fefd4fd1950720b5fa46d118" title="一年内到期的其他债权投资的减值准备计提情况" headerRef="378" helpId="112002269">
      <m:axisValue occRef="一年内到期的债权投资"/>
      <m:axisValue occRef="一年内到期的其他债权投资"/>
    </m:section>
    <m:section xlName="_SEC_e0233feae2ae424a8f685639047bc7cd" title="本期减值准备计提金额以及评估金融工具的信用风险是否显著增加的..." headerRef="378" helpId="112002269">
      <m:axisValue occRef="一年内到期的债权投资"/>
      <m:axisValue occRef="一年内到期的其他债权投资"/>
    </m:section>
    <m:section xlName="_SEC_64077e8b6cdb42a7a3c728e7774007ed" title="本期实际核销的一年内到期的其他债权投资情况" headerRef="379" helpId="112002269"/>
    <m:section xlName="_SEC_2bb2fa8912ff4c7c8354413711ab986c" title="其中重要的一年内到期的债权投资的核销情况 " headerRef="379" helpId="112002269">
      <m:axisValue occRef="一年内到期的债权投资"/>
      <m:axisValue occRef="一年内到期的其他债权投资"/>
    </m:section>
    <m:section xlName="_SEC_b78d5344fc5c4cb5a6bde20882705a89" title="其他说明" headerRef="379" helpId="112002269">
      <m:axisValue occRef="一年内到期的其他债权投资"/>
    </m:section>
    <m:section xlName="_SEC_744e256464b14d4d97c35dc1e5e2405c" title="一年内到期的非流动资产其他说明" headerRef="379" helpId="112002269"/>
    <m:placeholder xlName="_PLD_678a3b0a56e14e89b2085d1f0ddfc44e" headerRef="380" keyCode="PageId:ch10111" keyAction="31"/>
    <m:item xlName="_GBC_7733d50365e24328b41020152f88028d" headerRef="380" up="其他流动资产" concept="clcid-ci-ar:ShiFouShiYongQiTaLiuDongZiChan" label="是否适用：其他流动资产" selectOptions="_buildInAppliance" controlType="CustomCheckbox" type="i:" cRanges="[{&quot;StartName&quot;:&quot;_SEC_cb12976bef2e49a09b0fc2b908cdb09a&quot;,&quot;EndName&quot;:&quot;_SEC_fb414b1165d94746bd20e19e8c824e07&quot;,&quot;CType&quot;:1}]"/>
    <m:section xlName="_SEC_cb12976bef2e49a09b0fc2b908cdb09a" title="其他流动资产" headerRef="380" helpId="112002272"/>
    <m:section xlName="_SEC_f29c6743af28448c84f51d0092555618" title="补偿性资产相关信息" headerRef="380" helpId="103002006" helpText="企业应当设置“补偿性资产”科目对补偿性资产进行会计核算，并按照《企业会计准则第30号——财务报表列报》规定，在资产负债表中对补偿性资产按照流动性分别在“其他流动资产”和“其他非流动资产”项目中列示。企业应当在财务报表附注中披露与补偿性资产相关的合同条款、金额、减值处理以及对企业的财务影响等信息。"/>
    <m:section xlName="_SEC_fb414b1165d94746bd20e19e8c824e07" title="其他说明" headerRef="380"/>
    <m:section xlName="_SEC_949cb4eb7a744418a5a5c6266b7029c9" title="债权投资债权投资情况" headerRef="381" helpId="112001057"/>
    <m:section xlName="_SEC_1a87d44858e0409e959095bd8463fb27" title="债权投资减值准备本期变动情况  单位：元币种..." headerRef="382" helpId="112001057">
      <m:axisValue occRef="一年内到期的债权投资"/>
      <m:axisValue occRef="一年内到期的其他债权投资"/>
      <m:axisValue occRef="债权投资"/>
      <m:axisValue occRef="其他债权投资"/>
    </m:section>
    <m:section xlName="_SEC_57ae6e89921c46d1ae9f8e69cdc2b4ab" title="期末重要的债权投资" headerRef="383" helpId="112001057"/>
    <m:section xlName="_SEC_bff86b17d4774a4a9f8a3329635b5429" title="减值准备计提情况" headerRef="384" helpId="112001057"/>
    <m:section xlName="_SEC_521886b28c8b4c10be77dbf48e5a1ca9" title="本期实际的核销债权投资情况" headerRef="385" helpId="112001057"/>
    <m:section xlName="_SEC_ffcb8eb3b5084d1eb5088577a0db748e" title="其中重要的债权投资的核销情况 " headerRef="385" helpId="112001057">
      <m:axisValue occRef="一年内到期的债权投资"/>
      <m:axisValue occRef="一年内到期的其他债权投资"/>
      <m:axisValue occRef="债权投资"/>
      <m:axisValue occRef="其他债权投资"/>
    </m:section>
    <m:section xlName="_SEC_669c12f4634f476da12e8828ee348501" headerRef="385" helpId="112001057"/>
    <m:section xlName="_SEC_715ae48b76e04c4997ebf3f4be7dd37e" title="其他债权投资情况" headerRef="386" helpId="112001058"/>
    <m:section xlName="_SEC_603c2d24f1dc40448de4d279e85dbf6b" title="其他债权投资减值准备本期变动情况  单位：元币种..." headerRef="387" helpId="112001058">
      <m:axisValue occRef="一年内到期的债权投资"/>
      <m:axisValue occRef="一年内到期的其他债权投资"/>
      <m:axisValue occRef="债权投资"/>
      <m:axisValue occRef="其他债权投资"/>
    </m:section>
    <m:section xlName="_SEC_d26a416206fd4897bf57b05069b5e5f6" title="期末重要的其他债权投资" headerRef="388" helpId="112001058"/>
    <m:section xlName="_SEC_a18c2d8250c64daf904816a57fe286bd" title="减值准备计提情况" headerRef="389" helpId="112001058"/>
    <m:section xlName="_SEC_b66b91d8022d4effac38beecbf9956e3" title="本期实际核销的其他债权投资情况" headerRef="390" helpId="112001058"/>
    <m:section xlName="_SEC_61ef436f99f84243a58411b54b1bf890" title="其中重要的其他债权投资的核销情况 " headerRef="390" helpId="112001058">
      <m:axisValue occRef="一年内到期的债权投资"/>
      <m:axisValue occRef="一年内到期的其他债权投资"/>
      <m:axisValue occRef="债权投资"/>
      <m:axisValue occRef="其他债权投资"/>
    </m:section>
    <m:section xlName="_SEC_a6d7d62dd24747a08e0a132cf37e100c" title="其他说明：" headerRef="390" helpId="112001058"/>
    <m:section xlName="_GBC_2642a454002a499399e1b643b91ef1ad" title="长期应收款" rules="R2015_R11_009" headerRef="392" helpId="112001061"/>
    <m:section xlName="_SEC_677d06412bc54d80a1e1c315047edb2d" title="按坏账计提方法分类披露" headerRef="393" helpId="112001061">
      <m:axisValue occRef="合同资产"/>
      <m:axisValue occRef="长期应收款"/>
    </m:section>
    <m:section xlName="_SEC_cc5139ab22f449a8bac68465ebcc2c9a" title="按单项计提坏账准备：  单位：元币种：人民币名称 期..." headerRef="393" helpId="112001061">
      <m:axisValue occRef="合同资产"/>
      <m:axisValue occRef="长期应收款"/>
    </m:section>
    <m:item xlName="_GBC_555a40ceb7d348a0a16b652ac8e1178a" headerRef="393" up="按组合计提坏账准备：" concept="clcid-ci-ar:ShiFouShiYongAnZuHeJiTiHuaiZhangZhunBeiDeXiangXiQingKuang" label="是否适用：按组合计提坏账准备的详细情况" selectOptions="_buildInAppliance" controlType="CustomCheckbox" type="i:" cRanges="[{&quot;StartName&quot;:&quot;_GBC_555a40ceb7d348a0a16b652ac8e1178a&quot;,&quot;EndName&quot;:&quot;_SEC_2478fb544ee941deb728fafe76a7d1be&quot;,&quot;CType&quot;:1}]">
      <m:axisValue occRef="长期应收款"/>
    </m:item>
    <m:section xlName="_SEC_2478fb544ee941deb728fafe76a7d1be" title="组合计提项目" tupleConcept="clcid-pte:AnZuHeJiTiHuaiZhangZhunBeiDeXiangXiMingXi" repeatable="1" headerRef="393" helpId="112001061">
      <m:axisValue occRef="合同资产"/>
      <m:axisValue occRef="长期应收款"/>
    </m:section>
    <m:section xlName="_SEC_a0520f64d4bd49e5a3638a0386a233ee" title="坏账准备计提情况" headerRef="393" helpId="112001061"/>
    <m:section xlName="_SEC_6277fd9ac8dc4fd683276214c0ea87d3" title="坏账准备的情况" headerRef="394" helpId="112001061" keyAction="89"/>
    <m:section xlName="_SEC_0e294835c7a44e64a546aacdcd871d63" title="长期应收款其中本期坏账准备收回或转回金额重要的" headerRef="394" helpId="112001061">
      <m:axisValue occRef="合同资产"/>
      <m:axisValue occRef="长期应收款"/>
    </m:section>
    <m:section xlName="_SEC_dbf6f18a3a664f2ea79e9eb7f7d0f1a5" title="本期实际核销的长期应收款情况" headerRef="395" helpId="112001061"/>
    <m:section xlName="_SEC_bc7c1f08d9dc46d4b18f6800d8e6559f" title="其中重要的长期应收款核销情况 " headerRef="395" helpId="112001061">
      <m:axisValue occRef="合同资产"/>
      <m:axisValue occRef="长期应收款"/>
    </m:section>
    <m:section xlName="_GBC_2a6246644ca84dfdb1b5ecc95ea5c0c2" title="长期应收款的其他说明" rules="R2015_R11_009" headerRef="395" helpId="112001061"/>
    <m:placeholder xlName="_PLD_00c73562658d406e8e175638dc90bc82" headerRef="396" keyCode="PageId:ch10112" keyAction="31"/>
    <m:item xlName="_GBC_bafa2cb2262c4c4ebc4eed8f4e4a81c6" headerRef="397" up="长期股权投资情况" concept="clcid-ci-ar:ShiFouShiYongChangQiGuQuanTouZi" label="是否适用：长期股权投资" selectOptions="_buildInAppliance" controlType="CustomCheckbox" type="i:" cRanges="{&quot;StartName&quot;:&quot;_GBC_bafa2cb2262c4c4ebc4eed8f4e4a81c6&quot;,&quot;EndName&quot;:&quot;_GBC_e68906ccea2845f1856fe89f4de6c229&quot;,&quot;CType&quot;:1,&quot;DisplayText&quot;:null}"/>
    <m:section xlName="_GBC_e68906ccea2845f1856fe89f4de6c229" title="长期股权投资" rules="R2015_R11_010" headerRef="397" helpId="112001063" helpText="期初余额（账面价值）、期末余额（账面价值）请填写扣除减值准备后的净值"/>
    <m:item xlName="_GBC_c736c8a0ce06478bb4d52ef30b7043c8" headerRef="398" up="长期股权投资的减值测试情况" concept="clcid-ci-ar:ShiFouShiYongJianZhiCeShiQingKuang" label="是否适用：减值测试情况" selectOptions="_buildInAppliance" controlType="CustomCheckbox" type="i:" cRanges="[{&quot;StartName&quot;:&quot;_GBC_c736c8a0ce06478bb4d52ef30b7043c8&quot;,&quot;EndName&quot;:&quot;_SEC_56d24c02504f4a8a8676c53fdded27ce&quot;,&quot;CType&quot;:1}]">
      <m:axisValue occRef="长期股权投资"/>
    </m:item>
    <m:section xlName="_SEC_0a174fdc5c7d48809c1d711c76d9ba8a" title="可收回金额按公允价值减去处置费用后的净额确定" headerRef="399" helpId="112001063">
      <m:axisValue occRef="长期股权投资"/>
      <m:axisValue occRef="母公司"/>
    </m:section>
    <m:section xlName="_SEC_0e4d4221660a4a80a54e3296f02262c3" title="可收回金额按预计未来现金流量的现值确定" headerRef="400" helpId="112001063">
      <m:axisValue occRef="长期股权投资"/>
      <m:axisValue occRef="母公司"/>
    </m:section>
    <m:section xlName="_SEC_2876f6f79eb34152b3b96723e77f2cce" title="前述信息与以前年度减值测试采用的信息或外部信息明显不一致的差..." headerRef="401" helpId="112001063">
      <m:axisValue occRef="长期股权投资"/>
      <m:axisValue occRef="母公司"/>
    </m:section>
    <m:section xlName="_SEC_56d24c02504f4a8a8676c53fdded27ce" title="公司以前年度减值测试采用信息与当年实际情况明显不一致的差异原..." headerRef="402" helpId="112001063">
      <m:axisValue occRef="长期股权投资"/>
      <m:axisValue occRef="母公司"/>
    </m:section>
    <m:section xlName="_SEC_43b46610901442f38169529110b4d1ca" headerRef="402"/>
    <m:section xlName="_SEC_cd316123938740ec921ccd61703a59f5" title="其他权益工具投资情况" headerRef="403" helpId="112001059"/>
    <m:section xlName="_SEC_c9055ca12ca24c51b5df8004a6efb8fa" title="本期存在终止确认的情况说明  单位：元币种：人民币项目..." headerRef="405" helpId="112001059"/>
    <m:section xlName="_SEC_e3d4d5136ad847a0a66a1c4edca28c29" title="其他说明：" headerRef="405" orient="landscape" helpId="112001059"/>
    <m:section xlName="_SEC_446d157c4e3f4bd19055f19972462c2d" title="其他非流动金融资产" headerRef="406" helpId="112001235"/>
    <m:placeholder xlName="_PLD_a0580233baba48c0a21367be0e7bf38a" headerRef="407" keyCode="PageId:ch1013" keyAction="31"/>
    <m:section xlName="_GBC_f6dac261d9a74df7a48db85ed7768fd1" title="成本计量模式" rules="R2015_R11_011" checkKey="!公允价值计量" headerRef="408" convertSummaryRule="NoConvert" helpId="112001064" primarySection="_GBC_f6dac261d9a74df7a48db85ed7768fd1" optionText="成本计量模式" activeContentOption="_GBC_3910517a603f4979b551ec278644d4e0" optionGroupTitle="投资性房地产计量模式" optionTargetConcept="clcid-pte:TouZiXingFangDiChanJiLiangMoShi" optionTargetConceptValue="成本计量模式" afterEmptyParagraphs="1" mergeDisplayOptionTag="_GBC_f6dac261d9a74df7a48db85ed7768fd1"/>
    <m:section xlName="_SEC_77b2ce8551974817b0692d7ab7e94f22" title="采用成本计量模式的投资性房地产的减值测试情况" headerRef="410" optionTargetConcept="clcid-pte:TouZiXingFangDiChanJiLiangMoShi" optionTargetConceptValue="成本计量模式" mergeDisplayOptionTag="_GBC_f6dac261d9a74df7a48db85ed7768fd1"/>
    <m:section xlName="_SEC_95447f1ab4fa4aec91376142aaa92050" title="可收回金额按公允价值减去处置费用后的净额确定" headerRef="411" helpId="112001064" helpText="减值测试情况仅适用于采用成本计量模式的投资性房地产，采用公允价值计量模式的投资性房地产或者不适用的，请手动删除，删除方法：双击“采用成本计量模式的投资性房地产的减值测试情况”下方的不适用。" optionTargetConcept="clcid-pte:TouZiXingFangDiChanJiLiangMoShi" optionTargetConceptValue="成本计量模式" mergeDisplayOptionTag="_GBC_f6dac261d9a74df7a48db85ed7768fd1">
      <m:axisValue occRef="投资性房地产"/>
    </m:section>
    <m:section xlName="_SEC_6285864112634a7688006d7f773301eb" title="可收回金额按预计未来现金流量的现值确定" headerRef="412" helpId="112001064" helpText="减值测试情况仅适用于采用成本计量模式的投资性房地产，采用公允价值计量模式的投资性房地产或者不适用的，请手动删除，删除方法：双击“采用成本计量模式的投资性房地产的减值测试情况”下方的不适用。" optionTargetConcept="clcid-pte:TouZiXingFangDiChanJiLiangMoShi" optionTargetConceptValue="成本计量模式" mergeDisplayOptionTag="_GBC_f6dac261d9a74df7a48db85ed7768fd1">
      <m:axisValue occRef="投资性房地产"/>
    </m:section>
    <m:section xlName="_SEC_cf50dba5d5e24b8db5c2841a4dee6489" title="前述信息与以前年度减值测试采用的信息或外部信息明显不一致的差..." headerRef="413" helpId="112001064" helpText="减值测试情况仅适用于采用成本计量模式的投资性房地产，采用公允价值计量模式的投资性房地产或者不适用的，请手动删除，删除方法：双击“采用成本计量模式的投资性房地产的减值测试情况”下方的不适用。" optionTargetConcept="clcid-pte:TouZiXingFangDiChanJiLiangMoShi" optionTargetConceptValue="成本计量模式" mergeDisplayOptionTag="_GBC_f6dac261d9a74df7a48db85ed7768fd1">
      <m:axisValue occRef="投资性房地产"/>
    </m:section>
    <m:section xlName="_SEC_86740bbfa4e94364a59be0de1e90da83" title="公司以前年度减值测试采用信息与当年实际情况明显不一致的差异原..." headerRef="414" helpId="112001064" helpText="减值测试情况仅适用于采用成本计量模式的投资性房地产，采用公允价值计量模式的投资性房地产或者不适用的，请手动删除，删除方法：双击“采用成本计量模式的投资性房地产的减值测试情况”下方的不适用。" optionTargetConcept="clcid-pte:TouZiXingFangDiChanJiLiangMoShi" optionTargetConceptValue="成本计量模式" mergeDisplayOptionTag="_GBC_f6dac261d9a74df7a48db85ed7768fd1">
      <m:axisValue occRef="投资性房地产"/>
    </m:section>
    <m:section xlName="_SEC_3edd44fe2cb04e7886b542d771d4e134" title="其他说明" headerRef="414" helpId="112001064" helpText="减值测试情况仅适用于采用成本计量模式的投资性房地产，采用公允价值计量模式的投资性房地产或者不适用的，请手动删除，删除方法：双击“采用成本计量模式的投资性房地产的减值测试情况”下方的不适用。" optionTargetConcept="clcid-pte:TouZiXingFangDiChanJiLiangMoShi" optionTargetConceptValue="成本计量模式" mergeDisplayOptionTag="_GBC_f6dac261d9a74df7a48db85ed7768fd1"/>
    <m:section xlName="_GBC_528a899f5044443fa0dd6606f304d80d" title="公允价值计量模式" rules="R2015_R11_011" checkKey="!成本计量" headerRef="415" convertSummaryRule="NoConvert" helpId="112001064" primarySection="_GBC_f6dac261d9a74df7a48db85ed7768fd1" optionText="公允价值计量模式" optionGroupTitle="投资性房地产计量模式" optionTargetConcept="clcid-pte:TouZiXingFangDiChanJiLiangMoShi" optionTargetConceptValue="公允价值计量模式"/>
    <m:section xlName="_GBC_3910517a603f4979b551ec278644d4e0" title="不适用" checkKey="!公允价值计量&amp;!成本计量" headerRef="417" primarySection="_GBC_f6dac261d9a74df7a48db85ed7768fd1" optionText="不适用" optionGroupTitle="投资性房地产计量模式" optionTargetConcept="clcid-pte:TouZiXingFangDiChanJiLiangMoShi" optionTargetConceptValue="不适用"/>
    <m:section xlName="_SEC_d216074d2ae442239dbb6f5f9b7a5d89" title="固定资产项目列示" headerRef="419" helpId="112001065"/>
    <m:section xlName="_GBC_6b764c2f9af049ba98fb55c66fe083a9" title="固定资产情况" rules="R2015_R11_012" headerRef="421" convertSummaryRule="NoConvert" helpId="112001065" helpText="注：公司根据自身实际情况确定类别，一般包括房屋及建筑物、机器设备、电子设备、运输设备等。">
      <m:virtualTuples>
        <m:virtualTuple id="bdf0d8d4-7913-40b3-bfd4-fd60241cfc86" tupleRef="clcid-pte:GuDingZiChanQingKuangMingXi" defaultRows="4" extendDirection="2" splitWidth="1"/>
      </m:virtualTuples>
    </m:section>
    <m:section xlName="_GBC_77e89169b7ab4fccae8cff3d8a125711" title="暂时闲置的固定资产情况" rules="R2015_R11_012" headerRef="422" convertSummaryRule="NoConvert" helpId="112001065"/>
    <m:section xlName="_GBC_06e38c241c8a43a99fdd68c92888bab1" title="通过经营租赁租出的固定资产" rules="R2015_R11_012" headerRef="423" helpId="112001065" helpText="未执行新租赁准则的公司填写。"/>
    <m:section xlName="_GBC_5b357259936442c38f67f17b533c7085" title="未办妥产权证书的固定资产情况" rules="R2015_R11_012" headerRef="424" convertSummaryRule="NoConvert" helpId="112001065"/>
    <m:item xlName="_GBC_9a66caee6756422c9cb01da54631670e" headerRef="425" up="固定资产的减值测试情况" concept="clcid-ci-ar:ShiFouShiYongJianZhiCeShiQingKuang" label="是否适用：减值测试情况" selectOptions="_buildInAppliance" controlType="CustomCheckbox" type="i:" cRanges="[{&quot;StartName&quot;:&quot;_GBC_9a66caee6756422c9cb01da54631670e&quot;,&quot;EndName&quot;:&quot;_SEC_3766642b8ed048e7a1b5fe6a63ec3b63&quot;,&quot;CType&quot;:1}]">
      <m:axisValue occRef="固定资产"/>
    </m:item>
    <m:section xlName="_SEC_e565856d06374184b0128fde0ef05842" title="可收回金额按公允价值减去处置费用后的净额确定" headerRef="426" helpId="112001065">
      <m:axisValue occRef="固定资产"/>
    </m:section>
    <m:section xlName="_SEC_713a431386524412af8474497588c82c" title="可收回金额按预计未来现金流量的现值确定" headerRef="427" helpId="112001065">
      <m:axisValue occRef="固定资产"/>
    </m:section>
    <m:section xlName="_SEC_fbc44acbcda745aa9b026082e71ef4d9" title="前述信息与以前年度减值测试采用的信息或外部信息明显不一致的差..." headerRef="428" helpId="112001065">
      <m:axisValue occRef="固定资产"/>
    </m:section>
    <m:section xlName="_SEC_3766642b8ed048e7a1b5fe6a63ec3b63" title="公司以前年度减值测试采用信息与当年实际情况明显不一致的差异原..." headerRef="429" helpId="112001065">
      <m:axisValue occRef="固定资产"/>
    </m:section>
    <m:section xlName="_GBC_c93a179f84504ae59ee71556bc9afb64" title="固定资产说明" rules="R2015_R11_012" headerRef="429" convertSummaryRule="NoConvert" helpId="112001065"/>
    <m:section xlName="_GBC_0de4677cdcb54eaa8c2b2afa938f1054" title="固定资产清理" headerRef="430" helpId="112001065"/>
    <m:section xlName="_SEC_5259769a5b954eaaa39f8ab4268be07c" title="在建工程项目列示" headerRef="432" helpId="112001067"/>
    <m:section xlName="_GBC_88cd7483eb15414d84d17f5cc1a4bf78" title="在建工程情况" rules="R2015_R11_012" headerRef="434" convertSummaryRule="NoConvert" helpId="112001067"/>
    <m:section xlName="_GBC_b1eb75f465d7494995f17407201cfca9" title="重大在建工程项目变动情况" rules="R2015_R11_012" headerRef="435" convertSummaryRule="NoConvert" helpId="112001067" helpText="注：资金来源，一般包括募股资金、金融机构贷款和其他来源等。"/>
    <m:section xlName="_SEC_b381f285b0124fbaa1cdaa9d7cd6d93a" title="在建工程减值准备" rules="R2015_R11_012" headerRef="436" convertSummaryRule="NoConvert" helpId="112001067"/>
    <m:item xlName="_GBC_f6d4bcf1dee14a709974326281981b12" headerRef="437" up="在建工程的减值测试情况" concept="clcid-ci-ar:ShiFouShiYongJianZhiCeShiQingKuang" label="是否适用：减值测试情况" selectOptions="_buildInAppliance" controlType="CustomCheckbox" type="i:" cRanges="[{&quot;StartName&quot;:&quot;_GBC_f6d4bcf1dee14a709974326281981b12&quot;,&quot;EndName&quot;:&quot;_SEC_b46390f610c64619936db407e5835ea1&quot;,&quot;CType&quot;:1}]">
      <m:axisValue occRef="在建工程"/>
    </m:item>
    <m:section xlName="_SEC_3201c8866808401db639cc2771e1c670" title="可收回金额按公允价值减去处置费用后的净额确定" headerRef="438" helpId="112001067">
      <m:axisValue occRef="在建工程"/>
    </m:section>
    <m:section xlName="_SEC_5fab5c9d4d144176b70ef763748d7a2e" title="可收回金额按预计未来现金流量的现值确定" headerRef="439" helpId="112001067">
      <m:axisValue occRef="在建工程"/>
    </m:section>
    <m:section xlName="_SEC_b1e11a250c2847a083a7929766535c0d" title="前述信息与以前年度减值测试采用的信息或外部信息明显不一致的差..." headerRef="440" helpId="112001067">
      <m:axisValue occRef="在建工程"/>
    </m:section>
    <m:section xlName="_SEC_b46390f610c64619936db407e5835ea1" title="公司以前年度减值测试采用信息与当年实际情况明显不一致的差异原..." headerRef="441" helpId="112001067">
      <m:axisValue occRef="在建工程"/>
    </m:section>
    <m:section xlName="_GBC_d5aec612c6334d1b8a827f3f39a2781d" title="在建工程的说明" rules="R2015_R11_012" headerRef="441" convertSummaryRule="NoConvert" helpId="112001067"/>
    <m:section xlName="_GBC_12c2ea8f308b49c7b5e2baae867f1ec7" title="工程物资" headerRef="442" convertSummaryRule="NoConvert" helpId="112001067"/>
    <m:section xlName="_GBC_e4aea5da03534f61818766a33b5ada09" title="采用成成本计量模式的生产性生物资产" headerRef="444" helpId="112001070">
      <m:virtualTuples>
        <m:virtualTuple id="5080c45b-c3e2-466e-8ce4-2a86227ee3da" tupleRef="clcid-pte:CaiYongChengBenJiLiangMoShiDeShengChanXingShengWuZiChanMingXi" defaultRows="8" extendDirection="2" splitWidth="1"/>
      </m:virtualTuples>
    </m:section>
    <m:item xlName="_GBC_9e260b0f45a84f50898aaf872db0ca84" headerRef="445" up="采用成本计量模式的生产性生物资产的减值测试情况" concept="clcid-ci-ar:ShiFouShiYongJianZhiCeShiQingKuang" label="是否适用：减值测试情况" selectOptions="_buildInAppliance" controlType="CustomCheckbox" type="i:" cRanges="[{&quot;StartName&quot;:&quot;_GBC_9e260b0f45a84f50898aaf872db0ca84&quot;,&quot;EndName&quot;:&quot;_SEC_ee7f552f0cfe436183502e530d92c458&quot;,&quot;CType&quot;:1}]">
      <m:axisValue occRef="生产性生物资产"/>
    </m:item>
    <m:section xlName="_SEC_e34a6e21f8284a14895655d8cbbd4a0c" title="可收回金额按公允价值减去处置费用后的净额确定" headerRef="446" helpId="112001070">
      <m:axisValue occRef="生产性生物资产"/>
    </m:section>
    <m:section xlName="_SEC_d5bc4d80f72d433897c978ec3ec13d90" title="可收回金额按预计未来现金流量的现值确定" headerRef="447" helpId="112001070">
      <m:axisValue occRef="生产性生物资产"/>
    </m:section>
    <m:section xlName="_SEC_6a9bdae55c0548b3b641e5c9e51a1a55" title="前述信息与以前年度减值测试采用的信息或外部信息明显不一致的差..." headerRef="448" helpId="112001070">
      <m:axisValue occRef="生产性生物资产"/>
    </m:section>
    <m:section xlName="_SEC_ee7f552f0cfe436183502e530d92c458" title="公司以前年度减值测试采用信息与当年实际情况明显不一致的差异原..." headerRef="449" helpId="112001070">
      <m:axisValue occRef="生产性生物资产"/>
    </m:section>
    <m:section xlName="_GBC_c6f2d306944241a8a32f51421c437b66" title="采用公允价值计量模式的生产性生物资产" headerRef="450" helpId="112001070">
      <m:virtualTuples>
        <m:virtualTuple id="e6d9fec0-4b75-4442-afa4-5b5810eb6611" tupleRef="clcid-pte:CaiYongGongYunJiaZhiJiLiangMoShiDeShengChanXingShengWuZiChanMingXi" defaultRows="8" extendDirection="2" splitWidth="1"/>
      </m:virtualTuples>
    </m:section>
    <m:section xlName="_GBC_2bc189a19173429a899369a340bb8483" title="生产性生物资产的说明" headerRef="450" convertSummaryRule="NoConvert" helpId="112001070"/>
    <m:section xlName="_GBC_fe60430654f541aab1da59bd08202085" title="油气资产" headerRef="451" convertSummaryRule="NoConvert" helpId="112001071">
      <m:virtualTuples>
        <m:virtualTuple id="391f4d5d-e2bb-4e43-a73b-1a879022eeed" tupleRef="clcid-pte:YouQiZiChanMingXi" extendDirection="2" splitWidth="1"/>
      </m:virtualTuples>
    </m:section>
    <m:item xlName="_GBC_3d3afd59d9f741639537a668ab2d0ccf" headerRef="453" up="油气资产的减值测试情况" concept="clcid-ci-ar:ShiFouShiYongJianZhiCeShiQingKuang" label="是否适用：减值测试情况" selectOptions="_buildInAppliance" controlType="CustomCheckbox" type="i:" cRanges="[{&quot;StartName&quot;:&quot;_GBC_3d3afd59d9f741639537a668ab2d0ccf&quot;,&quot;EndName&quot;:&quot;_SEC_f83763a685a745958904228b88bf4990&quot;,&quot;CType&quot;:1}]">
      <m:axisValue occRef="油气资产"/>
    </m:item>
    <m:section xlName="_SEC_a123788a0d8646699cf3ba94b6bc60aa" title="可收回金额按公允价值减去处置费用后的净额确定" headerRef="454" helpId="112001071">
      <m:axisValue occRef="油气资产"/>
    </m:section>
    <m:section xlName="_SEC_66c0f5190caa4463aca66c5cd4b32993" title="可收回金额按预计未来现金流量的现值确定" headerRef="455" helpId="112001071">
      <m:axisValue occRef="油气资产"/>
    </m:section>
    <m:section xlName="_SEC_6ca54465ede8432ab94c9c12b3b05a77" title="前述信息与以前年度减值测试采用的信息或外部信息明显不一致的差..." headerRef="456" helpId="112001071">
      <m:axisValue occRef="油气资产"/>
    </m:section>
    <m:section xlName="_SEC_f83763a685a745958904228b88bf4990" title="公司以前年度减值测试采用信息与当年实际情况明显不一致的差异原..." headerRef="457" helpId="112001071">
      <m:axisValue occRef="油气资产"/>
    </m:section>
    <m:section xlName="_SEC_e84ea8baed5f427281f9567ccf4fce73" headerRef="457"/>
    <m:section xlName="_SEC_42126bf96c7241e38ff33aae0d98dae2" title="使用权资产" headerRef="458" tagAction="1" helpId="112001060">
      <m:virtualTuples>
        <m:virtualTuple id="06aa4ced-53cd-4ab4-88f8-025c43637847" tupleRef="clcid-pte:ShiYongQuanZiChanMingXi" extendDirection="2"/>
      </m:virtualTuples>
    </m:section>
    <m:item xlName="_GBC_d79f93753a2c43fc80991be4c588d144" headerRef="460" up="使用权资产的减值测试情况" concept="clcid-ci-ar:ShiFouShiYongJianZhiCeShiQingKuang" label="是否适用：减值测试情况" selectOptions="_buildInAppliance" controlType="CustomCheckbox" type="i:" cRanges="[{&quot;StartName&quot;:&quot;_GBC_d79f93753a2c43fc80991be4c588d144&quot;,&quot;EndName&quot;:&quot;_SEC_2efe345077f34dc7b56c8b6dd09737d0&quot;,&quot;CType&quot;:1}]">
      <m:axisValue occRef="使用权资产"/>
    </m:item>
    <m:section xlName="_SEC_66982ba855cf475dbc8cade4c82ea78f" title="可收回金额按公允价值减去处置费用后的净额确定" headerRef="461" helpId="112001060">
      <m:axisValue occRef="使用权资产"/>
    </m:section>
    <m:section xlName="_SEC_7b67f63c7bda4ded9aeb5eccbcbf5448" title="可收回金额按预计未来现金流量的现值确定" headerRef="462" helpId="112001060">
      <m:axisValue occRef="使用权资产"/>
    </m:section>
    <m:section xlName="_SEC_3f9e651c30d340f7abad0cbb82380466" title="前述信息与以前年度减值测试采用的信息或外部信息明显不一致的差..." headerRef="463" helpId="112001060">
      <m:axisValue occRef="使用权资产"/>
    </m:section>
    <m:section xlName="_SEC_2efe345077f34dc7b56c8b6dd09737d0" title="公司以前年度减值测试采用信息与当年实际情况明显不一致的差异原..." headerRef="464" helpId="112001060">
      <m:axisValue occRef="使用权资产"/>
    </m:section>
    <m:section xlName="_SEC_5070aea807214dbd90520876987851ca" headerRef="464" helpId="112001060"/>
    <m:item xlName="_GBC_0882d05501f84259b91efc5f2eae98cf" headerRef="466" up="无形资产情况" concept="clcid-ci-ar:ShiFouShiYongWuXingZiChanQingKuang" label="是否适用：无形资产情况" selectOptions="_buildInAppliance" controlType="CustomCheckbox" type="i:" cRanges="{&quot;StartName&quot;:&quot;_GBC_0882d05501f84259b91efc5f2eae98cf&quot;,&quot;EndName&quot;:&quot;_GBC_799ffdb131784d33a2db94a85018c927&quot;,&quot;CType&quot;:1,&quot;DisplayText&quot;:null}"/>
    <m:section xlName="_GBC_799ffdb131784d33a2db94a85018c927" title="无形资产情况" rules="R2015_R11_013" headerRef="466" helpId="112001072">
      <m:virtualTuples>
        <m:virtualTuple id="dd625539-1bb3-40f2-b0d4-0097d3143f41" tupleRef="clcid-pte:WuXingZiChanMingXi" extendDirection="2" splitWidth="1"/>
      </m:virtualTuples>
    </m:section>
    <m:section xlName="_SEC_4286bf9a44474b9d8db2dc6464331cb7" title="确认为无形资产的数据资源" headerRef="467" helpId="103002004"/>
    <m:section xlName="_GBC_0daf5d1e7172402ab885ca5e5b78a389" title="未办妥产权证书的土地使用权情况：" rules="R2015_R11_013" headerRef="468" helpId="112001072"/>
    <m:item xlName="_GBC_6523dfc219a7467fb60857d0ff4fbd37" headerRef="469" up="无形资产的减值测试情况" concept="clcid-ci-ar:ShiFouShiYongJianZhiCeShiQingKuang" label="是否适用：减值测试情况" selectOptions="_buildInAppliance" controlType="CustomCheckbox" type="i:" cRanges="[{&quot;StartName&quot;:&quot;_GBC_6523dfc219a7467fb60857d0ff4fbd37&quot;,&quot;EndName&quot;:&quot;_SEC_cf85eb8dfb4045928123b6c2e1643578&quot;,&quot;CType&quot;:1}]">
      <m:axisValue occRef="无形资产"/>
    </m:item>
    <m:section xlName="_SEC_38d3a053503345f48df315a347f2112c" title="可收回金额按公允价值减去处置费用后的净额确定" headerRef="470" helpId="112001072">
      <m:axisValue occRef="无形资产"/>
    </m:section>
    <m:section xlName="_SEC_b8d20578cfac42ecb639bf6fbee628e2" title="可收回金额按预计未来现金流量的现值确定" headerRef="471" helpId="112001072">
      <m:axisValue occRef="无形资产"/>
    </m:section>
    <m:section xlName="_SEC_e219e131009f41f9a2016c5cbf9bd063" title="前述信息与以前年度减值测试采用的信息或外部信息明显不一致的差..." headerRef="472" helpId="112001072">
      <m:axisValue occRef="无形资产"/>
    </m:section>
    <m:section xlName="_SEC_cf85eb8dfb4045928123b6c2e1643578" title="公司以前年度减值测试采用信息与当年实际情况明显不一致的差异原..." headerRef="473" helpId="112001072">
      <m:axisValue occRef="无形资产"/>
    </m:section>
    <m:section xlName="_GBC_c2d02a8bb1274cb1bf0330030cc64229" title="无形资产说明" rules="R2015_R11_013" headerRef="473" helpId="112001072"/>
    <m:placeholder xlName="_PLD_d0c315cafa75407a9dd26d6933e4846e" headerRef="474" keyCode="PageId:ch10113" keyAction="31"/>
    <m:section xlName="_SEC_0d13253f4b004ecdaea8960cfb92cf26" title="商誉账面原值" headerRef="475" helpId="112001075"/>
    <m:section xlName="_SEC_6fe538077d4746d4ba51a5610b4bd03b" title="商誉减值准备" headerRef="476" helpId="112001075"/>
    <m:section xlName="_SEC_ad8117fc791d472f816d77862f5dddb4" title="商誉所在资产组或资产组组合的相关信息  名称 所属资产..." headerRef="477" helpId="112001075"/>
    <m:section xlName="_SEC_58151e6228ce4a57b53a0b1abcc5a0a9" title="资产组或资产组组合发生变化  名称 变化前的构成 变..." headerRef="477" helpId="112001075"/>
    <m:section xlName="_SEC_18a69ff62df94142843ad78b7290472e" title="其他说明  " headerRef="477" helpId="112001075"/>
    <m:section xlName="_SEC_2f648d692d984e19aadb87773c563ba4" title="可收回金额按公允价值减去处置费用后的净额确定" headerRef="478" helpId="112001075">
      <m:axisValue occRef="商誉"/>
    </m:section>
    <m:section xlName="_SEC_2721f807202e48fabdc088f2bc6ee06e" title="可收回金额按预计未来现金流量的现值确定" headerRef="478" helpId="112001075">
      <m:axisValue occRef="商誉"/>
    </m:section>
    <m:section xlName="_SEC_702fa636abe24a5bad8a5822ba64893a" title="前述信息与以前年度减值测试采用的信息或外部信息明显不一致的差..." headerRef="478" helpId="112001075">
      <m:axisValue occRef="商誉"/>
    </m:section>
    <m:section xlName="_SEC_8704482859ed4b46ac6112fdc46ac26d" title="公司以前年度减值测试采用信息与当年实际情况明显不一致的差异原..." headerRef="478" helpId="112001075">
      <m:axisValue occRef="商誉"/>
    </m:section>
    <m:section xlName="_SEC_f50dbc62868f42b1bba55adf22761b01" title="业绩承诺完成及对应商誉减值情况形成商誉时存在业绩承诺且报告..." headerRef="479" helpId="112001075"/>
    <m:section xlName="_SEC_fd9f0a21b0c44e29ba84ddb7842fe32a" title="其他说明" headerRef="479" helpId="112001075"/>
    <m:section xlName="_GBC_c7f901dce89846cbbbab6c51c3213a6f" title="长期待摊费用" headerRef="480" convertSummaryRule="NoConvert" helpId="112001076"/>
    <m:section xlName="_SEC_24cb6110bf5143448478343c289c754e" title="未经抵销的递延所得税资产" headerRef="481" helpId="112001077"/>
    <m:section xlName="_SEC_022eb52f9e1542cbb5aaa5a287b8ee2a" title="未经抵销的递延所得税负债" headerRef="483" helpId="112001077"/>
    <m:section xlName="_SEC_393d53219fe44274aa0bc5257c75c762" title="以抵销后净额列示的递延所得税资产或负债" headerRef="484" helpId="112001077"/>
    <m:section xlName="_SEC_858c4743950048c4949e354ac068e8af" title="未确认递延所得税资产明细" headerRef="485" helpId="112001077"/>
    <m:section xlName="_SEC_a5f2b329395b406fa4b30b710f4a81e0" title="未确认递延所得税资产的可抵扣亏损将于以下年度到期" headerRef="486" helpId="112001077"/>
    <m:section xlName="_GBC_057749240d604d9ab0db94f6e505935f" title="递延所得税资产和递延所得税负债的说明" rules="R2015_R11_015" headerRef="486" convertSummaryRule="NoConvert" helpId="112001077"/>
    <m:placeholder xlName="_PLD_b255f300fa4245c58c32e012fb2d281a" headerRef="487" keyCode="PageId:ch10151" keyAction="31"/>
    <m:item xlName="_GBC_227882aeaa9b4aa98d6af8bcac2af7a5" headerRef="487" up="其他非流动资产" concept="clcid-ci-ar:ShiFouShiYongQiTaFeiLiuDongZiChan" label="是否适用：其他非流动资产" selectOptions="_buildInAppliance" controlType="CustomCheckbox" type="i:" cRanges="[{&quot;StartName&quot;:&quot;_SEC_3ee0111722b449bdbe5127f95a7c7c04&quot;,&quot;EndName&quot;:&quot;_SEC_b8d863a65ca5487982dd757e3532728f&quot;,&quot;CType&quot;:1}]"/>
    <m:section xlName="_SEC_3ee0111722b449bdbe5127f95a7c7c04" title="其他非流动资产" headerRef="487" helpId="112001235"/>
    <m:section xlName="_SEC_0a7f5ceb50764f8dbf68d02d7a86e264" title="补偿性资产相关信息  " headerRef="487" helpId="103002006" helpText="企业应当设置“补偿性资产”科目对补偿性资产进行会计核算，并按照《企业会计准则第30号——财务报表列报》规定，在资产负债表中对补偿性资产按照流动性分别在“其他流动资产”和“其他非流动资产”项目中列示。企业应当在财务报表附注中披露与补偿性资产相关的合同条款、金额、减值处理以及对企业的财务影响等信息。"/>
    <m:section xlName="_SEC_b8d863a65ca5487982dd757e3532728f" title="其他说明" headerRef="487"/>
    <m:section xlName="_SEC_a97d8d910214412e8d8459047fe06b94" title="所有权或使用权受到限制的资产" headerRef="488" helpId="112002306" helpText="1、应当披露所有权或使用权受到限制的数据资源无形资产，以及用于担保的数据资源无形资产的账面价值、当期摊销额等情况。\n2、应当披露所有权或使用权受到限制的数据资源存货，以及用于担保的数据资源存货的账面价值等情况。" axisType="Column"/>
    <m:section xlName="_GBC_7bd2428d8b3140c1a80e7a88bb928c1f" title="短期借款分类" headerRef="490" convertSummaryRule="NoConvert" helpId="112001079" axisType="Column"/>
    <m:section xlName="_GBC_ed2a6c31b7cf49cda098dbe4c44cf674" title="已到期未偿还的短期借款情况" headerRef="491" convertSummaryRule="NoConvert" helpId="112001079"/>
    <m:section xlName="_GBC_46c6d163213144f484acc37c597c42f6" title="短期借款的说明" headerRef="491" helpId="112001079"/>
    <m:section xlName="_SEC_f2a8047b67b94258bc29276832ced511" title="交易性金融负债" headerRef="492" helpId="112001080"/>
    <m:section xlName="_GBC_c6a901495ec44a7798e3a75ddb5e06bf" title="衍生金融负债" headerRef="493" helpId="112001081" helpText="注：说明衍生金融工具形成原因及相关会计处理等。"/>
    <m:placeholder xlName="_PLD_aabcb312fb674272a25843abf3b3e4e5" headerRef="494" keyCode="PageId:ch1015" keyAction="31"/>
    <m:item xlName="_GBC_57c67181b34944e782b23a48b1843e8f" headerRef="494" up="应付票据" concept="clcid-ci-ar:ShiFouShiYongYingFuPiaoJu" label="是否适用：应付票据" selectOptions="_buildInAppliance" controlType="CustomCheckbox" type="i:" cRanges="[{&quot;StartName&quot;:&quot;_GBC_57c67181b34944e782b23a48b1843e8f&quot;,&quot;EndName&quot;:&quot;_SEC_a4b116c3ef20487f88d23464626b8bb5&quot;,&quot;CType&quot;:1}]"/>
    <m:section xlName="_SEC_a4b116c3ef20487f88d23464626b8bb5" title="商业承兑汇票" headerRef="494" helpId="112001083"/>
    <m:section xlName="_GBC_0f1b98b90c3845e1a1ad65786460f84b" title="应付账款情况" rules="R2015_R11_018" headerRef="496" convertSummaryRule="NoConvert" helpId="112001084"/>
    <m:section xlName="_GBC_5fffbd1416eb408d959645d37f190cf5" title="重要的账龄超过1年的应付账款" rules="R2015_R11_018" headerRef="497" helpId="112001084"/>
    <m:section xlName="_GBC_aecd44efc3ea456b9149dd662d0a5085" title="应付账款的其他说明" rules="R2015_R11_018" headerRef="497" convertSummaryRule="NoConvert" helpId="112001084"/>
    <m:section xlName="_GBC_d7dac18f0444439d83469555857c3195" title="预收账款情况" headerRef="499" convertSummaryRule="NoConvert" helpId="112002200"/>
    <m:section xlName="_GBC_59300802f7ac43e3ab1ce4a570fb0267" title="账龄超过1年的重要预收款项" headerRef="500" helpId="112002200"/>
    <m:section xlName="_SEC_e82c3ab4c94e42259deb54d8b6083101" title="报告期内账面价值发生重大变动的金额和原因  单位：元 币..." headerRef="501" helpId="112002200"/>
    <m:section xlName="_GBC_3b693e8055374a80821823cdad74f225" title="账龄超过1年的大额预收款项情况的说明" headerRef="501" convertSummaryRule="NoConvert" helpId="112002200"/>
    <m:section xlName="_SEC_c98a59ac0d184ea5b3b590c23bf7ff8d" title="合同负债" headerRef="502" helpId="112002281"/>
    <m:section xlName="_SEC_4460fbb7bed54524a745325e3da992a1" title="账龄超过1年的重要合同负债  单位：元币种：人民币项目..." headerRef="504" helpId="112002281"/>
    <m:section xlName="_SEC_c824c488dbc74824b379bb9187c7bdf0" title="报告期内账面价值发生重大变动的金额和原因" headerRef="505" helpId="112002281"/>
    <m:section xlName="_SEC_1910d69cccc04d3fb0422784d0b1dd58" title="其他说明：" headerRef="505" helpId="112002281"/>
    <m:section xlName="_GBC_fa609950067149f1a5c0a6c3ba353431" title="应付职工薪酬列示：" headerRef="507" helpId="112001085"/>
    <m:section xlName="_GBC_8889528627cf49dfa80ba4d972a53405" title="短期薪酬列示" headerRef="508" helpId="112001085"/>
    <m:section xlName="_GBC_b98ebc9fce454755bd30d763bee0283a" title="设定提存计划列示" headerRef="509" helpId="112001085"/>
    <m:section xlName="_GBC_9173eff793e04226ba65f69088a27313" title="应付职工薪酬说明" headerRef="509" helpId="112001085"/>
    <m:section xlName="_GBC_50fc9ef51868432e98c401f69097dfc6" title="应交税费" headerRef="510" convertSummaryRule="NoConvert" helpId="112001086" axisType="Column"/>
    <m:section xlName="_SEC_91b63eaccd3b4791a7db86166a2d97cb" title="其他应付款分类列示" headerRef="512" helpId="112001089"/>
    <m:section xlName="_SEC_60feb8ef6f7c4655a263f50d12c222d8" title="应付利息" headerRef="513" helpId="112001087"/>
    <m:section xlName="_SEC_454db7ed64ca40e48e42eb6c38ae54ca" title="应付股利" headerRef="514" helpId="112001088"/>
    <m:section xlName="_SEC_df361e68406f49208d47d08674984872" title="按款项性质列示其他应付款" headerRef="515" helpId="112001089"/>
    <m:section xlName="_SEC_83408720712d4902a68e6c9ddd4c67ae" title="账龄超过1年的重要其他应付款" headerRef="515" helpId="112001089"/>
    <m:section xlName="_SEC_b03fcb02b4b747249703cbc2e0a127fd" title="其他说明" headerRef="515" helpId="112001089"/>
    <m:section xlName="_GBC_b863defdccbc448695ee82953f3da273" title="划分为持有待售的负债" headerRef="516" helpId="112001091" helpText="注：说明划分为持有待售的负债的原因等。"/>
    <m:section xlName="_GBC_d5b7f9c02d494f85b85a36713895b9f8" title="一年内到期的非流动负债" headerRef="517" helpId="112001092"/>
    <m:item xlName="_GBC_80907e3e53c44260b850f42646eb3d63" headerRef="518" up="其他流动负债" concept="clcid-ci-ar:ShiFouShiYongQiTaLiuDongFuZhaiQingKuang" label="是否适用：其他流动负债情况 " selectOptions="_buildInAppliance" controlType="CustomCheckbox" type="i:" cRanges="[{&quot;StartName&quot;:&quot;_GBC_80907e3e53c44260b850f42646eb3d63&quot;,&quot;EndName&quot;:&quot;_GBC_b1cb6faf7bad41e4868a075c1a423566&quot;,&quot;CType&quot;:1}]"/>
    <m:section xlName="_SEC_56be6eded8da4d0d9ac5c3624a91cdc6" title="其他流动负债" headerRef="518" helpId="112001093"/>
    <m:section xlName="_SEC_6226fe3c90c0484c9259178938031584" title="短期应付债券的增减变动" headerRef="518" convertSummaryRule="NoConvert" helpId="112001093"/>
    <m:section xlName="_GBC_b1cb6faf7bad41e4868a075c1a423566" title="其他流动负债说明" headerRef="518" helpId="112001093"/>
    <m:placeholder xlName="_PLD_29c71a102517413c9698bce76cefa0ee" headerRef="519" keyCode="PageId:ch1017" keyAction="31"/>
    <m:section xlName="_GBC_8b6acb9acc4745f09cf8ff1a98787eb9" title="长期借款分类 " headerRef="520" convertSummaryRule="NoConvert" helpId="112001094" axisType="Column"/>
    <m:section xlName="_GBC_7195bfed3c6d4a6fb2b17f01aa73f311" title="长期借款的说明" headerRef="520" helpId="112001094"/>
    <m:section xlName="_GBC_cd8e29427b9b4eecb46188c744528e27" title="应付债券" headerRef="522" helpId="112001095"/>
    <m:section xlName="_SEC_69d7c6c2b0fc4bd9b880a456523c61cd" title="应付债券的增减变动" headerRef="523" helpId="112001095">
      <m:virtualTuples>
        <m:virtualTuple id="05b1f0af-c01f-4fce-96b8-29a3faf0470e" tupleRef="clcid-pte:YingFuZhaiQuanMingXi" defaultRows="0" extendDirection="2"/>
      </m:virtualTuples>
    </m:section>
    <m:section xlName="_SEC_0d9de70c755e4939995c0e6cbbc104e1" title="可转换公司债券的说明" headerRef="524" helpId="112001095"/>
    <m:section xlName="_SEC_8ec97182697c4b739248bc1b21675e92" title="转股权会计处理及判断依据" headerRef="524" helpId="112001095"/>
    <m:section xlName="_GBC_d031ed2380884bb4aa3cb2efb2740308" title="划分为金融负债的其他金融工具说明" headerRef="525" helpId="112001095"/>
    <m:section xlName="_GBC_32fb23173d7a4a4fa8cb056982254a59" title="应付债券其他说明" headerRef="525" helpId="112001095"/>
    <m:section xlName="_SEC_6bd3f432494344eb8aaf6d133dbbfdc8" title="租赁负债" headerRef="526" helpId="112002270" helpText="按租赁负债年限分类列示"/>
    <m:section xlName="_SEC_c0e96ee0f49e415f98873dfb1c798446" title="项目列示" headerRef="528" helpId="112001096"/>
    <m:section xlName="_SEC_1ac73daea3484386b92787e79e677fbb" title="长期应付款" headerRef="529" helpId="112001096"/>
    <m:section xlName="_GBC_6847689be8c1493eb5db4e6dbab0fdbe" title="专项应付款" headerRef="530" convertSummaryRule="NoConvert" helpId="112001096"/>
    <m:item xlName="_GBC_077559b601814bb38f16734f98e8c045" headerRef="531" up="长期应付职工薪酬" concept="clcid-ci-ar:ShiFouShiYongChangQiYingFuZhiGongXinChou" label="是否适用：长期应付职工薪酬" selectOptions="_buildInAppliance" controlType="CustomCheckbox" type="i:" cRanges="{&quot;StartName&quot;:&quot;_GBC_077559b601814bb38f16734f98e8c045&quot;,&quot;EndName&quot;:&quot;_GBC_9d7ebc39babc43788a550e83deca7fdc&quot;,&quot;CType&quot;:1,&quot;DisplayText&quot;:null}"/>
    <m:section xlName="_GBC_8af4eec42fcd4a7a8402661c45277cf7" title="长期应付职工薪酬" headerRef="532" helpId="112001097"/>
    <m:section xlName="_GBC_afdd9211c159429fa2d6540cc92dda04" title="设定受益计划变动情况" headerRef="533" helpId="112001097"/>
    <m:section xlName="_GBC_9d7ebc39babc43788a550e83deca7fdc" title="长期应付职工薪酬的其他说明" headerRef="533" helpId="112001097"/>
    <m:section xlName="_GBC_6b41f75046264d5392c8786bf4fd2da4" title="预计负债" headerRef="534" convertSummaryRule="NoConvert" helpId="112001099"/>
    <m:section xlName="_GBC_8d74a4d69f6940c3968ca9c4cf2a1b4c" title="递延收益" rules="R2015_R11_019" headerRef="535" helpId="112001100"/>
    <m:section xlName="_GBC_3e5bdbca1c524ed19d397da3dfaf83a9" title="递延收益其他说明" rules="R2015_R11_019" headerRef="535" helpId="112001100"/>
    <m:section xlName="_GBC_ebdcd37ba77540d78079b1e51c20b6ce" title="其他非流动负债" headerRef="536" convertSummaryRule="NoConvert" helpId="112001235"/>
    <m:section xlName="_GBC_7f4b2f9bba854132af4bbd6504a10383" title="股本" headerRef="537" convertSummaryRule="NoConvert" helpId="112001101"/>
    <m:section xlName="_GBC_4f862512b6914630932c1857df6db6e4" title="其他权益工具" headerRef="539" helpId="112001102"/>
    <m:section xlName="_GBC_23fef1c643714b9f82710e33a1bef935" title="资本公积" headerRef="541" convertSummaryRule="NoConvert" helpId="112001105"/>
    <m:section xlName="_GBC_02198eb4b89045c5af2f3bcd240e18af" title="库存股" headerRef="542" convertSummaryRule="NoConvert" helpId="112001103" keyAction="89"/>
    <m:section xlName="_GBC_de162f89125c4dc8abd2331e6cce7184" title="其他综合收益" headerRef="543" helpId="112001106" helpText="注：期初余额、期末余额对应资产负债表中的其他综合收益项目。期初余额+税后归属于母公司的其他综合收益=期末余额。本期发生额对应利润表中的其他综合收益项目，本期所得税前发生额-前期计入其他综合收益当期转入损益-所得税费用=税后归属于母公司的其他综合收益+税后归属于少数股东的其他综合收益。"/>
    <m:section xlName="_GBC_8a08fa7a416e4e52a104ea9b06479f9e" title="专项储备" headerRef="544" convertSummaryRule="NoConvert" helpId="112001104" axisType="Column"/>
    <m:section xlName="_GBC_fc97b66d150f4d31ba9096ec58341715" title="盈余公积" headerRef="545" convertSummaryRule="NoConvert" helpId="112001108"/>
    <m:placeholder xlName="_PLD_2ba088e129ff48c8ba916e20604a56ab" headerRef="546" keyCode="PageId:ch1020" keyAction="31"/>
    <m:item xlName="_GBC_32c558bdbb77445cabeee783e5ff910e" headerRef="546" up="未分配利润" concept="clcid-ci-ar:ShiFouShiYongWeiFenPeiLiRun" label="是否适用：未分配利润" selectOptions="_buildInAppliance" controlType="CustomCheckbox" type="i:" cRanges="{&quot;StartName&quot;:&quot;_GBC_32c558bdbb77445cabeee783e5ff910e&quot;,&quot;EndName&quot;:&quot;_GBC_2cdd2861806d471aa767f92841b30fbf&quot;,&quot;CType&quot;:1,&quot;DisplayText&quot;:null}"/>
    <m:section xlName="_GBC_2cdd2861806d471aa767f92841b30fbf" title="未分配利润" headerRef="546" helpId="112001109"/>
    <m:section xlName="_GBC_a3a22662ec3d4fb69e12845051ced996" title="营业收入和营业成本" rules="R2015_R11_020" headerRef="547" helpId="112001110" keyAction="89"/>
    <m:section xlName="_SEC_c4e8c6d213eb4da9850e04355e0aa292" title="合同产生的收入的情况" headerRef="549" tagAction="1" helpId="112001110">
      <m:virtualTuples>
        <m:virtualTuple id="47b64d54-c0cb-4c7a-a1b2-733bbb651abd" tupleRef="clcid-pte:HeTongChanShengDeShouRuFenBuMingXi" extendDirection="2"/>
      </m:virtualTuples>
    </m:section>
    <m:section xlName="_SEC_8329630823ac439580d388526c3a8bbd" title="履约义务的说明" headerRef="550" helpId="112001110"/>
    <m:section xlName="_SEC_52c497559d5c4501875a7b175ab4b1eb" title="分摊至剩余履约义务的说明" headerRef="551" helpId="112001110" helpText="如需删除段落，请通过模块-删除段落进行删除。"/>
    <m:section xlName="_SEC_f9c2a7e15a02428d920ae65723615b8a" title="重大合同变更或重大交易价格调整" headerRef="552" helpId="112001110"/>
    <m:section xlName="_SEC_530aa03318f04819b92848bd4d1e0874" title="营业收入和营业成本的说明" headerRef="552" helpId="112001110"/>
    <m:section xlName="_GBC_38185835049143dd873ff3e7d0941647" title="税金及附加" rules="R2015_R11_021" headerRef="553" convertSummaryRule="NoConvert" helpId="112001112" axisType="Column" keyAction="89"/>
    <m:section xlName="_GBC_3faa14b862dd44e8a54b6137b70adace" title="成本费用" rules="R2015_R11_022" headerRef="554" convertSummaryRule="NoConvert" helpId="112001111" keyAction="89"/>
    <m:section xlName="_GBC_d5a6283bdea64513980a0cc618e2ec60" title="管理费用" rules="R2015_R11_023" headerRef="555" helpId="112001111" keyAction="89"/>
    <m:section xlName="_SEC_5070ecc0a0324b189a4ec7d6e218c5d7" title="研发费用" headerRef="556" helpId="112002273" keyAction="89"/>
    <m:section xlName="_GBC_aeeadad5456b4097a79668e5a1cadb17" title="财务费用" rules="R2015_R11_024" headerRef="557" helpId="112001111" keyAction="89"/>
    <m:section xlName="_SEC_b7dd1353107541ffa3a1d66fbb85a037" title="其他收益" headerRef="558" helpId="112002275"/>
    <m:section xlName="_SEC_56e74a133dff4dcebe7ed76c1a92a2e5" title="投资收益" headerRef="559" helpId="112001114" helpText="填写时注意区分新会计准则和旧会计准则适用的明细科目"/>
    <m:section xlName="_SEC_cbd8186e9cf3452cab63fa24a69149bc" title="净敞口套期收益" headerRef="560" helpId="112002276"/>
    <m:section xlName="_GBC_66e6cb51ec7740408a31ff233ae3330d" title="公允价值变动收益" rules="R2015_R11_025" headerRef="561" convertSummaryRule="NoConvert" helpId="112001113"/>
    <m:section xlName="_SEC_00e0e3c1427f4344825ff5b9912fdfd2" title="信用减值损失" headerRef="562" helpId="112002277" keyAction="89"/>
    <m:section xlName="_SEC_73945c101b414d309d5de40d75e99e2d" title="资产减值损失" rules="R2015_R11_027" headerRef="563" helpId="112001115" keyAction="89"/>
    <m:section xlName="_SEC_32e84127ca0a46b8896ad8e149c91048" title="资产处置收益" headerRef="564" helpId="112002278"/>
    <m:item xlName="_GBC_b6e9df1124844122abb2dde58392c605" headerRef="565" up="营业外收入" concept="clcid-ci-ar:ShiFouShiYongYingYeWaiShouRuQingKuang" label="是否适用：营业外收入情况 " selectOptions="_buildInAppliance" controlType="CustomCheckbox" type="i:" cRanges="[{&quot;StartName&quot;:&quot;_GBC_b6e9df1124844122abb2dde58392c605&quot;,&quot;EndName&quot;:&quot;_GBC_613f834d57f34b828d1fb937ee139a13&quot;,&quot;CType&quot;:1}]"/>
    <m:section xlName="_SEC_62e5cfd7609742dd8d0ae51a88918288" title="营业外收入" headerRef="565" helpId="112001116"/>
    <m:section xlName="_GBC_613f834d57f34b828d1fb937ee139a13" title="营业外收入说明" rules="R2015_R11_028" headerRef="565" convertSummaryRule="NoConvert" helpId="112001116"/>
    <m:section xlName="_GBC_7c51aa70be1f405d954dc316ed26b5b4" title="营业外支出" headerRef="566" convertSummaryRule="NoConvert" helpId="112001117" keyAction="89"/>
    <m:section xlName="_GBC_c8eb4731730a4ca395e992a85b3eafe1" title="所得税费用" headerRef="567" convertSummaryRule="NoConvert" helpId="112001119" keyAction="89"/>
    <m:section xlName="_GBC_a490950b62a146d9901e0aeb01787f97" title="其他综合收益" headerRef="570" helpId="112001121"/>
    <m:section xlName="_GBC_aebbed0d25f14d50b64339a751dec4bd" title="收到的其他与经营活动有关的现金" rules="R2015_R11_029" headerRef="572" convertSummaryRule="NoConvert" helpId="112002201"/>
    <m:section xlName="_GBC_3c8453861c4b4e94956633ec6c228388" title="支付的其他与经营活动有关的现金" rules="R2015_R11_030" headerRef="572" convertSummaryRule="NoConvert" helpId="112002201" keyAction="89"/>
    <m:section xlName="_SEC_00166f1660634497b2d715b89989923c" title="收到的重要的投资活动有关的现金" headerRef="573" helpId="112002201"/>
    <m:section xlName="_SEC_81b0db51e3fd4c3384f8009bd8e7890b" title="支付的重要的投资活动有关的现金 " headerRef="573" helpId="112002201"/>
    <m:section xlName="_GBC_7d29c8348da547cab82786074f1b3249" title="收到的其他与投资活动有关的现金" headerRef="573" convertSummaryRule="NoConvert" helpId="112002201"/>
    <m:section xlName="_GBC_fa501b3ede254af6bdfad826e328392a" title="支付的其他与投资活动有关的现金" headerRef="573" convertSummaryRule="NoConvert" helpId="112002201" keyAction="89"/>
    <m:section xlName="_GBC_6e57c618c25c498db37f205341e0c66a" title="收到的其他与筹资活动有关的现金" headerRef="574" convertSummaryRule="NoConvert" helpId="112002201"/>
    <m:section xlName="_GBC_96162aa406234e2485524876a03968e7" title="支付的其他与筹资活动有关的现金" headerRef="574" convertSummaryRule="NoConvert" helpId="112002201" keyAction="89"/>
    <m:section xlName="_SEC_ba18b0bdcdd046cfad79970305409a68" title="筹资活动产生的各项负债变动情况" headerRef="574" helpId="112002201"/>
    <m:section xlName="_SEC_e02efe2e841a4fb29f6751e521aa7b7b" title="以净额列报现金流量的说明" headerRef="575" helpId="112002201"/>
    <m:section xlName="_SEC_85819472f12d474cb1b5117d89f488d5" title="不涉及当期现金收支、但影响企业财务状况或在未来可能影响企业现..." headerRef="576" helpId="112002201"/>
    <m:section xlName="_GBC_7c9a174810ac4558be4e54f8019d5a1a" title="现金流量表补充资料" headerRef="578" helpId="112001123" keyAction="42" keyCode="2">
      <m:rowModel locationConcept="clcid-ci-ar:ZiDingYiKeMuWeiZhi" labelConcept="clcid-ci-ar:ZiDingYiKeMuMingCheng" conceptPrefix="补充资料现金流量表" presentationRole="http://www.xbrl-cn.org/cn/lcid/lr/role/XianJinLiuLiangBiaoBuChongZiLiao" presentationParentConcept="clcid-pte_XianJinLiuLiangBiaoBuChongZiLiao" tuplePrefix="项目"/>
    </m:section>
    <m:section xlName="_GBC_4161b069f3a54b4a9ab95be67b841c16" title="取得子公司支付的现金净额" headerRef="579" helpId="112001123"/>
    <m:section xlName="_GBC_2b15b115b2104b8ba327581d943203fc" title="处置子公司收到的现金净额" headerRef="580" helpId="112001123"/>
    <m:section xlName="_SEC_710336eea0e84b06ae3909c9e31d3ab0" title="现金和现金等价物的构成" headerRef="581" helpId="112001123"/>
    <m:section xlName="_SEC_2c9b142eefcb4db489a9c79d6d555791" title="使用范围受限但仍作为现金和现金等价物列示的情况" headerRef="582" helpId="112001123"/>
    <m:section xlName="_SEC_d6a80981c9424a3ba4698a0c8af5f921" title="不属于现金及现金等价物的货币资金  单位：元币种：人民币..." headerRef="583" helpId="112001123"/>
    <m:section xlName="_SEC_3f4e4b92c0554338b3ebe5206d887d6d" title="其他说明" headerRef="583" helpId="112001123"/>
    <m:section xlName="_GBC_f67b410d6123403caa2cee84fe191372" title="所有者权益变动表项目注释" headerRef="584" convertSummaryRule="NoConvert" helpId="112001124" keyAction="42" keyCode="2"/>
    <m:section xlName="_SEC_8a7a593e596142adbc3718027e7e962c" title="外币货币性项目" resetControlTag="true" headerRef="586" helpId="112001118" axisType="Column" keyAction="48" keyCode="currency"/>
    <m:section xlName="_SEC_08409cec197c407aa09814382097caff" title="货币缺乏可兑换性的影响" headerRef="774" helpId="103002009" helpText="根据《企业会计准则解释第20号》，企业应当披露下列信息：\n1.缺乏可兑换性的货币以及导致该货币不可兑换为另一种货币的具体限制；\n2.受影响的交易；\n3.受影响的资产和负债的账面价值；\n4.所使用的即期汇率以及该汇率是否为未经调整的可观察汇率或采用其他估计方法确定的即期汇率；\n5.企业采用的估计方法以及所使用的输入值和假设的定性和定量信息；\n6.因相关货币缺乏可兑换性导致企业面临的每类风险的定性信息，以及面临每类风险的资产和负债的性质和账面价值。"/>
    <m:section xlName="_SEC_6e87a1863c8342b4ac87f3fd5898024c" title="境外经营实体说明" headerRef="587" helpId="112001118"/>
    <m:section xlName="_SEC_3a62b9f920e84930b18cf865207074d9" title="境外经营的记账本位币与企业的列报货币之间缺乏可兑换性的情况..." headerRef="775" helpId="103003002" helpText="根据《企业会计准则解释第20号》，境外经营的记账本位币与企业的列报货币之间缺乏可兑换性的，企业还应当披露下列信息：\n1.境外经营的名称和主要业务所在地，以及该境外经营是否为子公司、共同经营、合营企业、联营企业或分支机构；\n2.境外经营的汇总财务信息；\n3.可能要求企业向该境外经营提供财务支持的合同安排的性质和条款（包括导致企业面临损失的事件或情形）。"/>
    <m:item xlName="_GBC_1a127bd18c664ed8bca6a513c43f1fa2" headerRef="589" up="作为承租人" concept="clcid-ci-ar:ShiFouShiYongZuoWeiChengZuRen" label="是否适用：作为承租人" selectOptions="_buildInAppliance" controlType="CustomCheckbox" type="i:" cRanges="[{&quot;StartName&quot;:&quot;_GBC_1a127bd18c664ed8bca6a513c43f1fa2&quot;,&quot;EndName&quot;:&quot;_SEC_3d5a1e2b71884e9894780879dc182d51&quot;,&quot;CType&quot;:1}]"/>
    <m:section xlName="_SEC_cca19a1f6a5d42209985b6ec76560937" title="未纳入租赁负债计量的可变租赁付款额  ___" headerRef="589" helpId="112001198"/>
    <m:section xlName="_SEC_063ee0d2743048e58bea781c5d8165fd" title="简化处理的短期租赁或低价值资产的租赁费用  ___" headerRef="589" helpId="112001198"/>
    <m:section xlName="_SEC_0e90b414de1c40d881111d251e59104d" title="售后租回交易及判断依据  ___" headerRef="589" helpId="112001198"/>
    <m:section xlName="_SEC_3d5a1e2b71884e9894780879dc182d51" title="与租赁相关的现金流出总额" headerRef="589" helpId="112001198"/>
    <m:section xlName="_SEC_eea5e1baa5c34eab8d8ce50d01cf47fb" title="作为出租人的经营租赁" headerRef="590" helpId="112001198"/>
    <m:section xlName="_SEC_597ee86053c44de3befe25077fa87863" title="作为出租人的融资租赁" headerRef="590" helpId="112001198"/>
    <m:section xlName="_SEC_e74be360ac0d4ce89dc395c58bc6b74d" title="未折现租赁收款额与租赁投资净额的调节表" headerRef="590" helpId="112001198"/>
    <m:section xlName="_SEC_b73454b592e541048d9da59dab975100" title="未来五年未折现租赁收款额" headerRef="590" helpId="112001198"/>
    <m:section xlName="_SEC_1d50b3775de944d1adb408ea57227980" title="作为生产商或经销商确认融资租赁销售损益" headerRef="591" helpId="112001198"/>
    <m:section xlName="_SEC_f04d4ec0f0254b05bb0e1094dae777c4" title="其他说明" headerRef="591" helpId="112001198"/>
    <m:section xlName="_SEC_bc9f2882a5a14114b0398db427647ead" title="数据资源" headerRef="592" helpId="103002005" helpText="企业对数据资源进行评估且评估结果对企业财务报表具有重要影响的，应当披露评估依据的信息来源，评估结论成立的假设前提和限制条件，评估方法的选择，各重要参数的来源、分析、比较与测算过程等信息。\n企业可以根据实际情况，自愿披露数据资源（含未作为无形资产或存货确认的数据资源）下列相关信息：\n（1）数据资源的应用场景或业务模式、对企业创造价值的影响方式，与数据资源应用场景相关的宏观经济和行业领域前景等。\n（2）用于形成相关数据资源的原始数据的类型、规模、来源、权属、质量等信息。\n（3）企业对数据资源的加工维护和安全保护情况，以及相关人才、关键技术等的持有和投入情况。\n（4）数据资源的应用情况，包括数据资源相关产品或9服务等的运营应用、作价出资、流通交易、服务计费方式等情况。\n（5）重大交易事项中涉及的数据资源对该交易事项的影响及风险分析，重大交易事项包括但不限于企业的经营活动、投融资活动、质押融资、关联方及关联交易、承诺事项、或有事项、债务重组、资产置换等。\n（6）数据资源相关权利的失效情况及失效事由、对企业的影响及风险分析等，如数据资源已确认为资产的，还包括相关资产的账面原值及累计摊销、减值准备或跌价准备、失效部分的会计处理。\n（7）数据资源转让、许可或应用所涉及的地域限制、领域限制及法律法规限制等权利限制。\n（8）企业认为有必要披露的其他数据资源相关信息。"/>
    <m:section xlName="_GBC_f027b70d30154df58ffdc310123f3e1f" title="合并财务报表项目注释其他需要说明的事项" headerRef="593" helpId="112001122"/>
    <m:section xlName="_SEC_e63ffc0b4c1848bcbfcb6a0272f643cb" title="研发费用" headerRef="594" helpId="112002273"/>
    <m:section xlName="_SEC_b312f37f7aab4f59975eec37dbd6855a" title="公司开发项目支出" headerRef="596" helpId="112002273"/>
    <m:section xlName="_SEC_021e44d8dc664861b863a81af49beeec" title="重要的资本化研发项目" headerRef="596" helpId="112002273"/>
    <m:section xlName="_SEC_b67f81b1fda94b0fa6bfc4319495e3fe" title="开发支出减值准备" headerRef="596" helpId="112002273"/>
    <m:section xlName="_SEC_807c7af5fda245b0a98ccab9591d9625" title="其他说明___" headerRef="596" helpId="112002273"/>
    <m:section xlName="_SEC_0f1e461cf6154cbda5da69406432abfe" title="重要的外购在研项目  项目 预期产生经济利益的方式 ..." headerRef="597" helpId="112002273"/>
    <m:placeholder xlName="_PLD_49841b6d23384cfd86a456ce580d70b6" headerRef="598" keyCode="PageId:ch1026" keyAction="31"/>
    <m:item xlName="_GBC_2f9a65b0b4644b14ab5af1407e6467f1" headerRef="599" up="非同一控制下企业合并" concept="clcid-ci-ar:ShiFouShiYongFeiTongYiKongZhiXiaQiYeHeBing" label="是否适用：非同一控制下企业合并" selectOptions="_buildInAppliance" controlType="CustomCheckbox" type="i:" cRanges="{&quot;StartName&quot;:&quot;_GBC_2f9a65b0b4644b14ab5af1407e6467f1&quot;,&quot;EndName&quot;:&quot;_GBC_a8e368f1c89042528538f003b17f5f6e&quot;,&quot;CType&quot;:1,&quot;DisplayText&quot;:null}"/>
    <m:section xlName="_SEC_66258ebef13c4cb99a0a2c7fcf18a276" title="本期发生的非同一控制下企业合并" headerRef="600" helpId="112001125" helpText="注：分步实现企业合并且在本期取得控制权的交易，应分别说明前期和本期取得股权的时点、成本、比例及方式。"/>
    <m:item xlName="_GBC_56d9f6aa774c4776ac65c41472b0a280" headerRef="601" up="合并成本及商誉" concept="clcid-ci-ar:ShiFouShiYongHeBingChengBenJiShangYu" label="是否适用：合并成本及商誉" selectOptions="_buildInAppliance" controlType="CustomCheckbox" type="i:" cRanges="[{&quot;StartName&quot;:&quot;_GBC_56d9f6aa774c4776ac65c41472b0a280&quot;,&quot;EndName&quot;:&quot;_GBC_b580c6f1845b4d7b8bf9ccaec8a64584&quot;,&quot;CType&quot;:1}]"/>
    <m:item xlName="_GBC_7dcc905e1cc54d7da6ff3999e09e0f1f" indRef="721" concept="clcid-ci-ar:DanWeiCaiWuFuZhuHeBingChengBenJiShangYu" label="单位：财务附注：合并成本及商誉" selectOptions="_buildInScales" appId="_GBC_56d9f6aa774c4776ac65c41472b0a280" controlType="Combobox" cellType="Scale" type="i:" keyCode="InitialValue:元" keyAction="31"/>
    <m:item xlName="_GBC_1d4f1604e6724ad4aa12235f8be81df0" indRef="722" concept="clcid-ci-ar:BiZhongCaiWuFuZhuHeBingChengBenJiShangYu" label="币种：财务附注：合并成本及商誉" selectOptions="_buildInISO4217" appId="_GBC_56d9f6aa774c4776ac65c41472b0a280" controlType="Combobox" cellType="Measure" type="i:" keyCode="InitialValue:人民币" keyAction="31"/>
    <m:section xlName="_GBC_b580c6f1845b4d7b8bf9ccaec8a64584" title="合并成本及商誉" repeatable="2" headerRef="601" helpId="112001126">
      <m:virtualTuples>
        <m:virtualTuple id="dc40489a-919e-4301-8c5f-ee7896369dc8" tupleRef="clcid-pte:FeiTongYiKongZhiXiaQiYeHeBingChengBenJiShangYuMingXi" extendDirection="2" splitWidth="1"/>
      </m:virtualTuples>
    </m:section>
    <m:item xlName="_GBC_b192e56c8e2242b3bf12a08de6dc76d4" headerRef="602" up="被购买方于购买日可辨认资产、负债" concept="clcid-ci-ar:ShiFouShiYongBeiGouMaiFangYuGouMaiRiKeBianRenZiChanFuZhai" label="是否适用：被购买方于购买日可辨认资产、负债" selectOptions="_buildInAppliance" controlType="CustomCheckbox" type="i:" cRanges="{&quot;StartName&quot;:&quot;_GBC_b192e56c8e2242b3bf12a08de6dc76d4&quot;,&quot;EndName&quot;:&quot;_SEC_71192ac75eef458fbf50203b1ba92b57&quot;,&quot;CType&quot;:1,&quot;DisplayText&quot;:null}"/>
    <m:item xlName="_GBC_fe3b0ed5978941cd84d579dc509a4b5e" indRef="723" concept="clcid-ci-ar:DanWeiCaiWuFuZhuBeiGouMaiFangYuGouMaiRiKeBianRenZiChanFuZhai" label="单位：财务附注：被购买方于购买日可辨认资产、负债" selectOptions="_buildInScales" appId="_GBC_b192e56c8e2242b3bf12a08de6dc76d4" controlType="Combobox" cellType="Scale" type="i:" keyCode="InitialValue:元" keyAction="31"/>
    <m:item xlName="_GBC_83c566a361664b7c893465ef7708f711" indRef="724" concept="clcid-ci-ar:BiZhongCaiWuFuZhuBeiGouMaiFangYuGouMaiRiKeBianRenZiChanFuZhai" label="币种：财务附注：被购买方于购买日可辨认资产、负债" selectOptions="_buildInISO4217" appId="_GBC_b192e56c8e2242b3bf12a08de6dc76d4" controlType="Combobox" cellType="Measure" type="i:" keyCode="InitialValue:人民币" keyAction="31"/>
    <m:section xlName="_GBC_bae5eee03904496d93aa515da79c8f71" title="被购买方于购买日可辨认资产、负债" repeatable="1" headerRef="602" helpId="112001128" helpText="注：资产、负债项目可根据重要性原则分类汇总列示；单项不重大的企业合并可汇总列示。 " keyAction="31" keyCode="NO_FIX_TAG">
      <m:virtualTuples>
        <m:virtualTuple id="38730a4f-a883-463b-bb49-550fe2a8033d" tupleRef="clcid-pte:BeiGouMaiFangYuGouMaiRiKeBianRenZiChanFuZhaiMingXi" extendDirection="2" splitWidth="1"/>
      </m:virtualTuples>
    </m:section>
    <m:section xlName="_SEC_71192ac75eef458fbf50203b1ba92b57" title="被购买方于购买日可辨认资产、负债说明" headerRef="602" helpId="112001128"/>
    <m:section xlName="_SEC_151a1db37b9340d789b6d92a5e03cbd2" title="购买日之前持有的股权按照公允价值重新计量产生的利得或损失" headerRef="603" helpId="112001130"/>
    <m:section xlName="_GBC_fec890c9a924410f898d02e5323920ad" title="购买日或合并当期期末无法合理确定合并对价或被购买方可辨认资产..." headerRef="604" helpId="112001131"/>
    <m:section xlName="_GBC_a8e368f1c89042528538f003b17f5f6e" title="非同一控制下企业合并其他说明" headerRef="605"/>
    <m:item xlName="_GBC_cde296136a1d4f2094eb79d21291eae2" headerRef="606" up="同一控制下企业合并" concept="clcid-ci-ar:ShiFouShiYongTongYiKongZhiXiaQiYeHeBing" label="是否适用：同一控制下企业合并" selectOptions="_buildInAppliance" controlType="CustomCheckbox" type="i:" cRanges="{&quot;StartName&quot;:&quot;_GBC_cde296136a1d4f2094eb79d21291eae2&quot;,&quot;EndName&quot;:&quot;_GBC_487797176f3744a7a99d390be05f0a8a&quot;,&quot;CType&quot;:1,&quot;DisplayText&quot;:null}"/>
    <m:section xlName="_GBC_66fabe3cff6241b1aebface99383f449" title="本期发生的同一控制下企业合并" headerRef="607" helpId="112001132"/>
    <m:item xlName="_GBC_1e3feddd46da4a95805d8f480f4c84d9" headerRef="608" up="合并成本" concept="clcid-ci-ar:ShiFouShiYongHeBingChengBen" label="是否适用：合并成本" selectOptions="_buildInAppliance" controlType="CustomCheckbox" type="i:" cRanges="{&quot;StartName&quot;:&quot;_GBC_1e3feddd46da4a95805d8f480f4c84d9&quot;,&quot;EndName&quot;:&quot;_SEC_d81c382e27f24c569c4bbf5642a055db&quot;,&quot;CType&quot;:1,&quot;DisplayText&quot;:null}"/>
    <m:item xlName="_GBC_b32867fe2f6f4a26bbf31a8eed01cc85" indRef="729" concept="clcid-ci-ar:DanWeiHeBingChengBen" label="单位：合并成本" selectOptions="_buildInScales" appId="_GBC_1e3feddd46da4a95805d8f480f4c84d9" controlType="Combobox" cellType="Scale" type="i:" keyCode="InitialValue:元" keyAction="31"/>
    <m:item xlName="_GBC_f6f12759e0c84fb0a180a147cec7432e" indRef="730" concept="clcid-ci-ar:BiZhongHeBingChengBen" label="币种：合并成本" selectOptions="_buildInISO4217" appId="_GBC_1e3feddd46da4a95805d8f480f4c84d9" controlType="Combobox" cellType="Measure" type="i:" keyCode="InitialValue:人民币" keyAction="31"/>
    <m:section xlName="_GBC_e51629db13fd46dd9d30ae3e3729cd68" title="合并成本" repeatable="1" headerRef="608" helpId="112001133">
      <m:virtualTuples>
        <m:virtualTuple id="986fe223-72fe-4432-9239-c0d0b7b4149b" tupleRef="clcid-pte:TongYiKongZhiXiaQiYeHeBingChengBenMingXi" extendDirection="2" splitWidth="1"/>
      </m:virtualTuples>
    </m:section>
    <m:section xlName="_SEC_d81c382e27f24c569c4bbf5642a055db" title="合并成本说明" headerRef="608" helpId="112001133"/>
    <m:item xlName="_GBC_b46a615b0ac64c019a83debe19fe4c1c" headerRef="609" up="合并日被合并方资产、负债的账面价值" concept="clcid-ci-ar:ShiFouShiYongHeBingRiBeiHeBingFangZiChanFuZhaiDeZhangMianJiaZhi" label="是否适用：合并日被合并方资产、负债的账面价值" selectOptions="_buildInAppliance" controlType="CustomCheckbox" type="i:" cRanges="{&quot;StartName&quot;:&quot;_GBC_b46a615b0ac64c019a83debe19fe4c1c&quot;,&quot;EndName&quot;:&quot;_SEC_fd90a916dff04a689bd6f8f4ea5aba89&quot;,&quot;CType&quot;:1,&quot;DisplayText&quot;:null}"/>
    <m:item xlName="_GBC_1e8d25398f6745efac6012e964de837a" indRef="731" concept="clcid-ci-ar:DanWeiCaiWuFuZhuHeBingRiBeiHeBingFangZiChanFuZhaiDeZhangMianJiaZhi" label="单位：财务附注：合并日被合并方资产、负债的账面价值" selectOptions="_buildInScales" appId="_GBC_b46a615b0ac64c019a83debe19fe4c1c" controlType="Combobox" cellType="Scale" type="i:" keyCode="InitialValue:元" keyAction="31"/>
    <m:item xlName="_GBC_80b9c60fc85e443f9c97e5d91db031a4" indRef="732" concept="clcid-ci-ar:BiZhongCaiWuFuZhuHeBingRiBeiHeBingFangZiChanFuZhaiDeZhangMianJiaZhi" label="币种：财务附注：合并日被合并方资产、负债的账面价值" selectOptions="_buildInISO4217" appId="_GBC_b46a615b0ac64c019a83debe19fe4c1c" controlType="Combobox" cellType="Measure" type="i:" keyCode="InitialValue:人民币" keyAction="31"/>
    <m:section xlName="_GBC_fd7a9ab8dc354763b98a4d577428c932" title="被合并方的资产、负债" repeatable="1" headerRef="609" helpId="112001135" helpText="注：资产、负债项目可根据重要性原则分类汇总列示；单项不重大的企业合并可汇总列示。">
      <m:virtualTuples>
        <m:virtualTuple id="85eb503a-1b77-4cac-a1bf-b8abba4f2f6a" tupleRef="clcid-pte:BeiHeBingFangDeZiChanFuZhaiMingXi" extendDirection="2" splitWidth="1"/>
      </m:virtualTuples>
    </m:section>
    <m:section xlName="_SEC_fd90a916dff04a689bd6f8f4ea5aba89" title="企业合并中承担的被合并方的或有负债" headerRef="609" helpId="112001135"/>
    <m:section xlName="_GBC_487797176f3744a7a99d390be05f0a8a" title="被合并方的资产、负债的说明" headerRef="609" helpId="112001135"/>
    <m:section xlName="_SEC_e0818786830d42ce99957d3ef113691a" title="反向购买" headerRef="610" helpId="112001137" helpText="注：上市公司保留的资产、负债构成业务的，同时还应按照非同一控制下企业合并披露相关信息。"/>
    <m:section xlName="_SEC_ddce958afd104b9e8903e71458d86efc" title="处置子公司" headerRef="611" helpId="112001139"/>
    <m:section xlName="_SEC_0088252418084ec7b98582fb9064102d" title="是否存在通过多次交易分步处置对子公司投资且在本期丧失控制权的情形" headerRef="611" helpId="112001139" helpText="注：分别说明前期和本期处置股权的时点、价款、比例及方式。"/>
    <m:section xlName="_SEC_2fcab20db6f0477d9b6d3e4d246339a2" title="其他说明" headerRef="611" helpId="112001139"/>
    <m:section xlName="_GBC_c61d869cb31c439992bb2118c8eaac1e" title="其他原因的合并范围变动" headerRef="612" helpId="112001141"/>
    <m:section xlName="_GBC_8ddcb59af8af49d295c61727d65b8301" title="同一控制下企业合并其他" headerRef="613" helpId="112001142"/>
    <m:placeholder xlName="_PLD_15096783e16c4b3a8666e1f85649202c" headerRef="614" keyCode="PageId:ch1027" keyAction="31"/>
    <m:section xlName="_SEC_595cb386dc7744d6a8f7456c5226bc6e" title="企业集团的构成" rules="R2015_R11_031" headerRef="616" helpId="112001143"/>
    <m:section xlName="_GBC_a2ec6e05ebd34d2fa14b1ba6b3ba8eb1" title="重要的非全资子公司" rules="R2015_R11_031" headerRef="617" helpId="112001144"/>
    <m:section xlName="_GBC_501222dd8f884fabbdeaec6fe7e79709" title="重要非全资子公司的主要财务信息" rules="R2015_R11_031" headerRef="618" orient="landscape" helpId="112001145"/>
    <m:section xlName="_GBC_573fe5c9daf0401da00d8fc5198daf66" title="使用企业集团资产和清偿企业集团债务的重大限制" rules="R2015_R11_031" headerRef="619" helpId="112001146"/>
    <m:section xlName="_GBC_114877d69a2e4b56b15fb618155127e3" title="向纳入合并财务报表范围的结构化主体提供的财务支持或其他支持" rules="R2015_R11_031" headerRef="620" helpId="112001147"/>
    <m:section xlName="_GBC_a0f68dc0a3a24efaa431a8c8d768eb0f" title="在子公司中的权益其他说明" rules="R2015_R11_031" headerRef="620" helpId="112001147"/>
    <m:item xlName="_GBC_51b903d8f50944dc91e91048eba723cd" headerRef="621" up="在子公司的所有者权益份额发生变化且仍控制子公司的交易" concept="clcid-ci-ar:ShiFouShiYongZaiZiGongSiDeSuoYouZheQuanYiFenEFaShengBianHuaQieRengKongZhiZiGongSiDeJiaoYi" label="是否适用：在子公司的所有者权益份额发生变化且仍控制子公司的交易" selectOptions="_buildInAppliance" controlType="CustomCheckbox" type="i:" cRanges="{&quot;StartName&quot;:&quot;_GBC_51b903d8f50944dc91e91048eba723cd&quot;,&quot;EndName&quot;:&quot;_GBC_6c711c3ca3c84136960924716eba5afd&quot;,&quot;CType&quot;:1,&quot;DisplayText&quot;:null}"/>
    <m:section xlName="_GBC_97caac97575742839d3ba3c28ee39a60" title="在子公司所有者权益份额的变化情况的说明" rules="R2015_R11_031" headerRef="622" helpId="112001148"/>
    <m:section xlName="_GBC_6c711c3ca3c84136960924716eba5afd" title="交易对于少数股东权益及归属于母公司所有者权益的影响" rules="R2015_R11_031" repeatable="2" headerRef="623" helpId="112001148">
      <m:virtualTuples>
        <m:virtualTuple id="a9fdb2d5-7ad8-422d-a254-52ab68cea10e" tupleRef="clcid-pte:JiaoYiDuiYuShaoShuGuDongQuanYiJiGuiShuYuMuGongSiSuoYouZheQuanYiDeYingXiangMingXi" extendDirection="2" splitWidth="1"/>
      </m:virtualTuples>
    </m:section>
    <m:item xlName="_GBC_31c0fe2068fd4a898e4269df4925aa76" headerRef="624" up="在合营企业或联营企业中的权益" concept="clcid-ci-ar:ShiFouShiYongZaiHeYingQiYeHuoLianYingQiYeZhongDeQuanYi" label="是否适用：在合营企业或联营企业中的权益" selectOptions="_buildInAppliance" controlType="CustomCheckbox" type="i:" cRanges="{&quot;StartName&quot;:&quot;_GBC_31c0fe2068fd4a898e4269df4925aa76&quot;,&quot;EndName&quot;:&quot;_GBC_1f803def681a42ba91cdde709a067b3f&quot;,&quot;CType&quot;:1,&quot;DisplayText&quot;:null}"/>
    <m:section xlName="_GBC_49e4a749316a464e89485cda5774fc07" title="重要的合营企业或联营企业" rules="R2015_R11_031" headerRef="625" helpId="112001149"/>
    <m:item xlName="_GBC_6241cde567c342139ae6186afeea9fb4" headerRef="626" up="重要合营企业的主要财务信息" concept="clcid-ci-ar:ShiFouShiYongZhongYaoHeYingQiYeDeZhuYaoCaiWuXinXi" label="是否适用：重要合营企业的主要财务信息" selectOptions="_buildInAppliance" controlType="CustomCheckbox" type="i:" cRanges="{&quot;StartName&quot;:&quot;_GBC_6241cde567c342139ae6186afeea9fb4&quot;,&quot;EndName&quot;:&quot;_SEC_0483769c9bcc4791905aa1394ee961e5&quot;,&quot;CType&quot;:1,&quot;DisplayText&quot;:null}"/>
    <m:item xlName="_GBC_c3e62c0d62494c0bb865a164a263a4c4" indRef="747" concept="clcid-ci-ar:DanWeiCaiWuFuZhuZhongYaoHeYingQiYeDeZhuYaoCaiWuXinXi" label="单位：财务附注：重要合营企业的主要财务信息" selectOptions="_buildInScales" appId="_GBC_31c0fe2068fd4a898e4269df4925aa76" controlType="Combobox" cellType="Scale" type="i:" keyCode="InitialValue:元" keyAction="31"/>
    <m:item xlName="_GBC_dbf325e8ec10449ba127b878292f7bb1" indRef="748" concept="clcid-ci-ar:BiZhongCaiWuFuZhuZhongYaoHeYingQiYeDeZhuYaoCaiWuXinXi" label="币种：财务附注：重要合营企业的主要财务信息" selectOptions="_buildInISO4217" appId="_GBC_31c0fe2068fd4a898e4269df4925aa76" controlType="Combobox" cellType="Measure" type="i:" keyCode="InitialValue:人民币" keyAction="31"/>
    <m:section xlName="_GBC_10d60417c84d41c1b3386073557d9d05" title="重要合营企业的主要财务信息" repeatable="1" headerRef="626" helpId="112001150">
      <m:virtualTuples>
        <m:virtualTuple id="597dff05-272b-4d7d-ab87-8880769a1248" tupleRef="clcid-pte:ZhongYaoHeYingQiYeDeZhuYaoCaiWuXinXiMingXi" defaultRows="2" extendDirection="2" splitWidth="1"/>
      </m:virtualTuples>
    </m:section>
    <m:section xlName="_SEC_0483769c9bcc4791905aa1394ee961e5" title="重要合营企业的主要财务信息其他说明方法" rules="R2015_R11_031" headerRef="626" helpId="112001150"/>
    <m:item xlName="_GBC_e304b69adb6f449495c3916754024763" headerRef="627" up="重要联营企业的主要财务信息" concept="clcid-ci-ar:ShiFouShiYongZhongYaoLianYingQiYeDeZhuYaoCaiWuXinXi" label="是否适用：重要联营企业的主要财务信息" selectOptions="_buildInAppliance" controlType="CustomCheckbox" type="i:" cRanges="{&quot;StartName&quot;:&quot;_GBC_e304b69adb6f449495c3916754024763&quot;,&quot;EndName&quot;:&quot;_SEC_3191928276884aa0be18ac148aa436b7&quot;,&quot;CType&quot;:1,&quot;DisplayText&quot;:null}"/>
    <m:item xlName="_GBC_0306b30be35040cd86d2b964142011d4" indRef="749" concept="clcid-ci-ar:DanWeiCaiWuFuZhuZhongYaoLianYingQiYeDeZhuYaoCaiWuXinXi" label="单位：财务附注：重要联营企业的主要财务信息" selectOptions="_buildInScales" appId="_GBC_31c0fe2068fd4a898e4269df4925aa76" controlType="Combobox" cellType="Scale" type="i:" keyCode="InitialValue:元" keyAction="31"/>
    <m:item xlName="_GBC_a2e655bae21746219bfd958c6f5b8be9" indRef="750" concept="clcid-ci-ar:BiZhongCaiWuFuZhuZhongYaoLianYingQiYeDeZhuYaoCaiWuXinXi" label="币种：财务附注：重要联营企业的主要财务信息" selectOptions="_buildInISO4217" appId="_GBC_31c0fe2068fd4a898e4269df4925aa76" controlType="Combobox" cellType="Measure" type="i:" keyCode="InitialValue:人民币" keyAction="31"/>
    <m:section xlName="_GBC_ac3eed998bbd4658ab651a88daefefb1" title="重要联营企业的主要财务信息" repeatable="1" rules="R2015_R11_031" headerRef="627" helpId="112001150">
      <m:virtualTuples>
        <m:virtualTuple id="f8a59098-2c31-40fa-b2f3-af06f4655f9e" tupleRef="clcid-pte:ZhongYaoLianYingQiYeDeZhuYaoCaiWuXinXiMingXi" defaultRows="2" extendDirection="2" splitWidth="1"/>
      </m:virtualTuples>
    </m:section>
    <m:section xlName="_SEC_3191928276884aa0be18ac148aa436b7" title="重要联营企业的主要财务信息其他说明的方法" rules="R2015_R11_031" headerRef="627" helpId="112001150"/>
    <m:section xlName="_GBC_7592afe8201c4b36a34fa177ca124037" title="不重要的合营企业和联营企业的汇总财务信息" rules="R2015_R11_031" headerRef="628" helpId="112001151"/>
    <m:section xlName="_GBC_2874973c28b34357bf81a60947721baa" title="合营企业或联营企业向公司转移资金的能力存在重大限制的说明" rules="R2015_R11_031" headerRef="629" helpId="112001152"/>
    <m:section xlName="_GBC_a9980062c82d44acae24fae7368ea42f" title="合营企业或联营企业发生的超额亏损" rules="R2015_R11_031" headerRef="630" helpId="112001153"/>
    <m:section xlName="_GBC_da055842bf8c4e9598b87bd760d969ec" title="与合营企业投资相关的未确认承诺" rules="R2015_R11_031" headerRef="631" helpId="112001154"/>
    <m:section xlName="_GBC_1f803def681a42ba91cdde709a067b3f" title="与合营企业或联营企业投资相关的或有负债" rules="R2015_R11_031" headerRef="632" helpId="112001154"/>
    <m:section xlName="_GBC_90d44eb1222944759107483908112493" title="重要的共同经营" rules="R2015_R11_031" headerRef="633" helpId="112001155"/>
    <m:section xlName="_GBC_5cfea65e45c44f1b9fdec762be35880d" title="在未纳入合并财务报表范围的结构化主体中的权益" rules="R2015_R11_031" headerRef="634" helpId="112001156"/>
    <m:section xlName="_GBC_b24eb633f5244c748225389f3b3cedd1" title="在其他主体中的权益其他需要说明的事项" rules="R2015_R11_031" headerRef="635" helpId="112001157"/>
    <m:placeholder xlName="_PLD_8e90be469c524d31ba55c9cac8b0312c" headerRef="636" keyCode="PageId:ch1028" keyAction="31"/>
    <m:section xlName="_SEC_987a3d87ba834dc3b82089e9d883e7ce" title="报告期末按应收金额确认的政府补助" headerRef="637" helpId="112002267"/>
    <m:section xlName="_SEC_4172c6c138864a1eafbce132eaba57ee" title="涉及政府补助的负债项目  单位:元币种:人民币财务报表..." headerRef="638" helpId="112002267" helpText="仅披露财务报表项目整体情况，无需逐笔披露政府补助项目"/>
    <m:section xlName="_SEC_aabb5dbe78054448bb1ab6aa5212e3bd" title="计入当期损益的政府补助" rules="R2015_R11_028" headerRef="639" convertSummaryRule="NoConvert" helpId="112002267" helpText="可按与资产/收益相关分类"/>
    <m:section xlName="_SEC_f98ef3cd61f7485e8a39176125e33f30" title="政府补助说明" headerRef="639" helpId="112002267"/>
    <m:section xlName="_SEC_5036d897cc9d4560bb716a188c49ae2f" title="与金融工具相关的风险" headerRef="640" helpId="112001158"/>
    <m:section xlName="_SEC_e38a8f292c6c49b5bdc0646a4bd61a0c" title="公司开展套期业务进行风险管理" headerRef="643" helpId="112001120"/>
    <m:section xlName="_SEC_e0de139c8e354e2b99ccf8cc6db4d9a7" title="公司开展符合条件套期业务并应用套期会计" headerRef="644" helpId="112001120"/>
    <m:section xlName="_SEC_e538f2679b9f435cb95de6c5b99133a6" title="公司开展套期业务进行风险管理、预期能实现风险管理" headerRef="645" helpId="112001120"/>
    <m:section xlName="_SEC_cef6acfba6ff48959f279b6ad5e3b0a3" title="转移方式分类" headerRef="647" helpId="112002314"/>
    <m:section xlName="_SEC_5af2aff14ae64dc2b959ce6dd009ef56" title="因转移而终止确认的金融资产" headerRef="648" helpId="112002314"/>
    <m:section xlName="_SEC_add8fbbe5cd24406afde8f9b36e57034" title="继续涉入的转移金融资产" headerRef="649" helpId="112002314"/>
    <m:section xlName="_SEC_495da6069ec14de9a8d0b2a40984514d" title="其他说明" headerRef="649" helpId="112002314"/>
    <m:placeholder xlName="_PLD_de28e5cffc614c74ae35d26351b2efcd" headerRef="650" keyCode="PageId:ch1029" keyAction="31"/>
    <m:section xlName="_GBC_b5067cea5bbf475388ac2623e2c669d7" title="以公允价值计量的资产和负债的期末公允价值" headerRef="651" helpId="112001159"/>
    <m:section xlName="_GBC_9cf59ced96b14247921100dffef5784f" title="持续和非持续第一层次公允价值计量项目市价的确定依据" headerRef="652" helpId="112001160"/>
    <m:section xlName="_GBC_8e00be36ed6245f895b032b3059a4854" title="持续和非持续第二层次公允价值计量项目，采用的估值技术和重要参数的定性及定量信息" headerRef="653" helpId="112001161"/>
    <m:section xlName="_GBC_5d389bac3ad747a292eb45fd87ce5896" title="持续和非持续第三层次公允价值计量项目，采用的估值技术和重要参数的定性及定量信息" headerRef="654" helpId="112001161"/>
    <m:section xlName="_GBC_353ab3e0cb19455ab2c2c2a397421afe" title="持续的第三层次公允价值计量的项目期初与期末账面价值之间的调节信息及不可观察参数的敏感性分析" headerRef="655" helpId="112001162"/>
    <m:section xlName="_GBC_a9200ec73b8d485e80b76f1a9ee34c49" title="持续的公允价值计量项目，本期内发生各层级之间转换的，转换的原因及确定转换时点的政策" headerRef="656" helpId="112001163"/>
    <m:section xlName="_GBC_8e563310a4b84a5d9dfe74fdbc178926" title="本期内发生的估值技术变更及变更原因" headerRef="657" helpId="112001164"/>
    <m:section xlName="_GBC_e354e1f41f824854b8f3345d52a9cfab" title="不以公允价值计量的金融资产和金融负债的公允价值情况" headerRef="658" helpId="112001165"/>
    <m:section xlName="_GBC_1551c1b4fedc4ac0ae859b67b4b79904" title="公允价值其他需要披露的事项" headerRef="659" helpId="112001166"/>
    <m:placeholder xlName="_PLD_6c4f95d1c08841c69de6b11ce54c978d" headerRef="660" keyCode="PageId:ch1030" keyAction="31"/>
    <m:section xlName="_GBC_29e1f7491caa4c3e96eef8c84532de84" title="本企业的母公司情况" rules="R2015_R11_032" headerRef="661" helpId="112001167"/>
    <m:section xlName="_GBC_244a434a920446c1838410fee0ac8ba8" title="本企业的子公司情况" rules="R2015_R11_032" headerRef="662" helpId="112001167"/>
    <m:section xlName="_GBC_a5638b7fd6a848a19564209060b6909a" title="存在关联方交易或余额的合营和联营企业情况" rules="R2015_R11_032" headerRef="663" helpId="112001167"/>
    <m:section xlName="_GBC_047a0ce3dc594d779db6d4cbc1623727" title="其他关联方情况" rules="R2015_R11_032" headerRef="664" helpId="112001167"/>
    <m:placeholder xlName="_PLD_71bd54a2ffca4b8d9dd797351a504c9f" headerRef="665" keyCode="PageId:ch1031" keyAction="31"/>
    <m:section xlName="_SEC_fb5c7314892940239be1e53fefbaec88" title="采购商品/接受劳务情况表" rules="R2015_R11_032" headerRef="666" helpId="112001168"/>
    <m:section xlName="_GBC_a4e1c0efe9f741ecbb648a33c9afb8fd" title="出售商品/提供劳务情况" rules="R2015_R11_032" headerRef="666" helpId="112001168"/>
    <m:section xlName="_GBC_41e9e66a2ab04304a0db7b9e032817c5" title="关联受托管理/承包及委托管理/出包情况" rules="R2015_R11_032" headerRef="667" helpId="112001168" helpText="注：托管资产类型包括：股权托管、其他资产托管。"/>
    <m:section xlName="_GBC_17f3281299e640aa88ca71463490c054" title="关联租赁情况" rules="R2015_R11_032" headerRef="668" orient="landscape" helpId="112001168"/>
    <m:section xlName="_GBC_a87b2e666bc14a67817d2d3189396350" title="关联担保情况" rules="R2015_R11_032" headerRef="669" helpId="112001168"/>
    <m:section xlName="_SEC_b82cc4dd84264685b7f47657a2755690" headerRef="670" helpId="112001168"/>
    <m:section xlName="_GBC_9319584d30f7446b9ff3e2a3d50022d5" title="关联方资产转让、债务重组情况" rules="R2015_R11_032" headerRef="671" helpId="112001168"/>
    <m:section xlName="_GBC_16da1beac91f4544809058bfda2ad3bf" title="关键管理人员报酬" rules="R2015_R11_032" headerRef="672" helpId="112001168"/>
    <m:section xlName="_GBC_45e2e59b0d6145b48f7cfd576edaa9e6" title="其他关联交易" rules="R2015_R11_032" headerRef="673" convertSummaryRule="NoConvert" helpId="112001168"/>
    <m:section xlName="_GBC_a8ddb53cf3424889a48a1749b5a1d910" title="上市公司应收关联方款项" rules="R2015_R11_032" headerRef="675" convertSummaryRule="NoConvert" helpId="112001168" helpText="注：关联交易约定以净额结算的，应收关联方款项可以抵销后金额填列。"/>
    <m:section xlName="_GBC_e7a5511f50dd4f05a897cdfaeac4023f" title="上市公司应付关联方款项" rules="R2015_R11_032" headerRef="676" convertSummaryRule="NoConvert" helpId="112001168" helpText="注：关联交易约定以净额结算的，应付关联方款项可以抵销后金额填列。"/>
    <m:section xlName="_SEC_e87e61b614b042e0b0ec6cdcff3c2fb9" title="其他项目" headerRef="677" helpId="112001168"/>
    <m:section xlName="_GBC_945a5f0033de4c9786bb7245eedc88e3" title="关联方承诺" rules="R2015_R11_032" headerRef="678" helpId="112001168"/>
    <m:section xlName="_GBC_f467d909644e4ab6b08e0abfbea78eb8" title="关联方及关联情况的其他说明" rules="R2015_R11_032" headerRef="679" helpId="112001166"/>
    <m:placeholder xlName="_PLD_a73f933b37714d8c822294471663c2a1" headerRef="680" keyCode="PageId:ch1032" keyAction="31"/>
    <m:item xlName="_GBC_65abee0b78064363a3f4a058a40176bf" headerRef="682" up="明细情况" concept="clcid-ci-ar:ShiFouShiYongGeXiangQuanYiGongJu" label="是否适用：各项权益工具" selectOptions="_buildInAppliance" controlType="CustomCheckbox" type="i:" cRanges="[{&quot;StartName&quot;:&quot;_GBC_65abee0b78064363a3f4a058a40176bf&quot;,&quot;EndName&quot;:&quot;_SEC_269bd1acfbb84dee9ccf7f6044aa8bf3&quot;,&quot;CType&quot;:1}]"/>
    <m:section xlName="_SEC_269bd1acfbb84dee9ccf7f6044aa8bf3" title="各项权益工具" repeatable="1" tupleConcept="clcid-pte:GeXiangQuanYiGongJuDuoBiaoMingXi" headerRef="682" helpId="112001170"/>
    <m:item xlName="_GBC_f17c034d860345b98ee280169a254e4a" headerRef="683" up="期末发行在外的股票期权或其他权益工具" concept="clcid-ci-ar:ShiFouShiYongQiMoFaXingZaiWaiDeGuPiaoQiQuanHuoQiTaQuanYiGongJu" label="是否适用：期末发行在外的股票期权或其他权益工具" selectOptions="_buildInAppliance" controlType="CustomCheckbox" type="i:" cRanges="[{&quot;StartName&quot;:&quot;_GBC_f17c034d860345b98ee280169a254e4a&quot;,&quot;EndName&quot;:&quot;_SEC_f772829ee36d45de95f9cca03f80e340&quot;,&quot;CType&quot;:1}]"/>
    <m:section xlName="_SEC_80f1a12d66c14051a45cd426403e05b9" title="期末发行在外的股票期权或其他权益工具" tupleConcept="clcid-pte:QiMoFaXingZaiWaiDeGuPiaoQiQuanHuoQiTaQuanYiGongJuDuoBiaoMingXi" repeatable="1" headerRef="683" helpId="112001170"/>
    <m:section xlName="_SEC_f772829ee36d45de95f9cca03f80e340" title="期末发行在外的股票期权或其他权益工具的其他说明" headerRef="683" helpId="112001170"/>
    <m:section xlName="_SEC_4157e56c7b2e4192983d8b53bcda8fec" title="以权益结算的股份支付情况" headerRef="684" convertSummaryRule="NoConvert" helpId="112001171" helpText="注：本期估计与上期估计不存在重大差异的，请填写“无”。"/>
    <m:section xlName="_SEC_ceb0668a9ef344f4873549a6299682c4" title="以现金结算的股份支付情况" headerRef="685" helpId="112002203"/>
    <m:item xlName="_GBC_5b0304a006c7437ca2961c2d2bdf142a" headerRef="686" up="本期股份支付费用" concept="clcid-ci-ar:ShiFouShiYongGuFenZhiFuFeiYong" label="是否适用：股份支付费用" selectOptions="_buildInAppliance" controlType="CustomCheckbox" type="i:" cRanges="[{&quot;StartName&quot;:&quot;_GBC_5b0304a006c7437ca2961c2d2bdf142a&quot;,&quot;EndName&quot;:&quot;_SEC_28a8d17b729847e1bbc4f523e1720242&quot;,&quot;CType&quot;:1}]"/>
    <m:section xlName="_SEC_f1d2ef590c584674bba731c2c55aca70" title="本期股份支付费用" tupleConcept="clcid-pte:GuFenZhiFuFeiYongDuoBiaoMingXi" repeatable="1" headerRef="686" helpId="112002315"/>
    <m:section xlName="_SEC_28a8d17b729847e1bbc4f523e1720242" title="本期股份支付费用的其他说明" headerRef="686"/>
    <m:section xlName="_GBC_ae153862caea4ff5a57470b6f594f167" title="股份支付的修改、终止情况" headerRef="687" convertSummaryRule="NoConvert" helpId="112001173" helpText="注：本期未发生股份支付修改、终止情况的，请填写“无”。"/>
    <m:section xlName="_GBC_d9554f13d811474eab6fe8ab0c5c8811" title="股份支付的其他情况说明" headerRef="688" helpId="112001166"/>
    <m:placeholder xlName="_PLD_0c90f0d615e4477e85d4ca361c4ea598" headerRef="689" keyCode="PageId:ch1033" keyAction="31"/>
    <m:item xlName="_GBC_3ee02d2bff5e4dd69f75cc6148bdda8f" headerRef="690" up="重要承诺事项" concept="clcid-ci-ar:ShiFouShiYongZhongYaoChengNuoShiXiang" label="是否适用：重要承诺事项" selectOptions="_buildInAppliance" controlType="CustomCheckbox" type="i:" cRanges="{&quot;StartName&quot;:&quot;_GBC_3ee02d2bff5e4dd69f75cc6148bdda8f&quot;,&quot;EndName&quot;:&quot;_GBC_bd716a4e356044ddb7c8207f0edef471&quot;,&quot;CType&quot;:1,&quot;DisplayText&quot;:null}"/>
    <m:section xlName="_GBC_bd716a4e356044ddb7c8207f0edef471" title="资产负债表日存在的重大承诺" headerRef="690" helpId="112002263" helpText="注：与合营企业投资相关的未确认承诺索引至“附注九、在其他主体中的权益”部分相应内容。" keyAction="42" keyCode="2"/>
    <m:section xlName="_GBC_c667d796bd114ba58f4592903a5601f3" title="资产负债表日存在的或有事项" headerRef="692" helpId="112002204" helpText="注：与合营企业或联营企业投资相关的或有负债索引至“附注九、在其他主体中的权益”部分相应内容。" keyAction="42" keyCode="2"/>
    <m:section xlName="_GBC_428b07d001974f7390d8bb4142377be9" title="公司没有需要披露的或有事项，也应予以说明" headerRef="693" helpId="112002206"/>
    <m:section xlName="_GBC_7967de77d1eb4fa3968e072c7d0d24ca" title="承诺及或有事项的其他情况说明" headerRef="694" helpId="112001166"/>
    <m:placeholder xlName="_PLD_1f849776a16a46f28486dac36a6710d0" headerRef="695" keyCode="PageId:ch1034" keyAction="31"/>
    <m:section xlName="_GBC_5d1bcf8f61b9443ba6ffa54897c724fc" title="重要的非调整事项" headerRef="696" helpId="112001176"/>
    <m:section xlName="_GBC_0fa3d44599d34674894cec144baccd50" title="资产负债表日后利润分配情况说明" headerRef="697" convertSummaryRule="NoConvert" helpId="112001177" keyAction="42" keyCode="2"/>
    <m:section xlName="_GBC_189c429afb95427192d478a4da4061cd" title="资产负债表日后事项-销售退回说明" headerRef="698" helpId="112001178" helpText="注：说明在资产负债表日后发生重要销售退回的相关情况及对报表的影响。" keyAction="42" keyCode="2"/>
    <m:section xlName="_GBC_90d185c72bfe452398767dd3a98447a5" title="其他资产负债表日后事项说明" headerRef="699" helpId="112001166" keyAction="42" keyCode="2"/>
    <m:placeholder xlName="_PLD_9f090bce27ca4e239e6cd3de3fb2fe24" headerRef="700" keyCode="PageId:ch1035" keyAction="31"/>
    <m:section xlName="_GBC_cb1f61a36a2a43b0ad30697c25cce450" title="会计差错更正(追溯重述)" headerRef="702" convertSummaryRule="ConvertDefinedText" convertText="无" helpId="112001180"/>
    <m:section xlName="_GBC_6bd40de18d9047e48f182803eefc5581" title="未来适用法本报告期是否发现采用未来适用法的前期会计差错：（..." headerRef="703" helpId="112001180"/>
    <m:section xlName="_SEC_3b93aae1bf0f4cd5afa055ee872804c3" title="债务重组" headerRef="704" convertSummaryRule="NoConvert" helpId="112001181" helpText="注：说明重要债务重组的详细情况，包括债重组方式、债务重组利得（或损失）金额总额、债务转为资本导致的股本增加额（或债权转为股份导致的投资增加额及该投资占债务人股份总额的比例）、或有应付（或有应收）金额、债务重组中公允价值的确定方法及依据。"/>
    <m:section xlName="_GBC_c8e7bc701c4e40cea43130c65dd24cdf" title="非货币性资产交换" headerRef="706" convertSummaryRule="NoConvert" helpId="112001183" helpText="注：非货币性资产交换应披露换入资产的类别、成本确定方式和公允价值，换出资产的类别、账面价值和公允价值，以及非货币性资产交换确认的损益。"/>
    <m:section xlName="_GBC_a7d8a797c78a4fb398d42fc923a0a5dc" title="其他资产置换资产说明" headerRef="707" helpId="112001183" helpText="注：说明重要资产置换、转让及出售的情况，包括资产账面价值、转让金额、对财务状况与经营成果的影响、转让原因等。"/>
    <m:section xlName="_GBC_868ef73c1ce14e36a7c8c41a6c9d1268" title="年金计划主要内容及重大变化" headerRef="708" convertSummaryRule="NoConvert" helpId="112001185" helpText="注：说明年金计划的主要内容及重要变化。"/>
    <m:section xlName="_GBC_eb9f713a39454ce1a2b0b09086ca70cc" title="终止经营" headerRef="709" convertSummaryRule="NoConvert" helpId="112001187"/>
    <m:section xlName="_GBC_a659f5b3817d4a3394d1850cd82bbbab" title="分部信息报告分部的确定依据与会计政策" rules="R2015_R11_033" headerRef="711" helpId="112001188"/>
    <m:section xlName="_GBC_7bcfc6b35dea4597b05ae9db882c542b" title="报告分部的财务信息" rules="R2015_R11_033" headerRef="712" helpId="112001188" helpText="注：报告分部的财务信息应结合公司具体情况披露，包括主营业务收入、主营业务成本等信息。"/>
    <m:section xlName="_GBC_0a73290869524182a42675dee97eaa48" title="公司无报告分部的，或者不能披露各报告分部的资产总额和负债总额的，应说明原因" rules="R2015_R11_033" headerRef="713" helpId="112001188"/>
    <m:section xlName="_GBC_bf8b759cb5b84035861b501b67f52f53" title="分部信息其他说明" rules="R2015_R11_033" headerRef="714" helpId="112001188"/>
    <m:section xlName="_GBC_0e2af5e32a53408bb340218a0c352be0" title="其他重要事项说明" headerRef="715" convertSummaryRule="NoConvert" helpId="112001190" helpText="注：说明其他对投资者决策有影响的重要交易和事项，包括具体情况、判断依据及相关会计处理。"/>
    <m:section xlName="_GBC_a9d998641356411784b3ec54387f322d" title="其他重要事项的说明" headerRef="716" helpId="112001166"/>
    <m:placeholder xlName="_PLD_0f9a2970e88848cfa13ef47ec3251a4e" headerRef="717" keyCode="PageId:ch1036" keyAction="31"/>
    <m:section xlName="_SEC_5859d30d861c4c0292d303045c54bde7" title="按账龄披露" headerRef="719" helpId="112002207" helpText="表中“期末账面余额”指的是包含单项计提和组合计提的期末账面余额。"/>
    <m:item xlName="_GBC_bd7fb52eb7f647d5aa6c10677b261ee1" headerRef="720" up="按坏账计提方法分类披露" concept="clcid-ci-ar:ShiFouShiYongMuGongSiYingShouZhangKuanAnHuaiZhangJiTiFangFaFenLeiPiLu" label="是否适用：母公司应收账款按坏账计提方法分类披露" selectOptions="_buildInAppliance" controlType="CustomCheckbox" cRanges="[{&quot;StartName&quot;:&quot;_GBC_bd7fb52eb7f647d5aa6c10677b261ee1&quot;,&quot;EndName&quot;:&quot;_SEC_22b53fc701704bd9858f1a601e7a3144&quot;,&quot;CType&quot;:1}]"/>
    <m:section xlName="_SEC_22b53fc701704bd9858f1a601e7a3144" title="(2).  按坏账计提方法分类披露" headerRef="720" helpId="112002207"/>
    <m:section xlName="_SEC_25fdb1db4e684b509f2d87c2a7766da9" title="按单项计提坏账准备：" headerRef="720" helpId="112002207"/>
    <m:item xlName="_GBC_bf96e631f2cf4f6a876dff49863ee9d3" headerRef="720" up="按组合计提坏账准备：" concept="clcid-ci-ar:ShiFouShiYongMuGongSiYingShouZhangKuanAnZuHeJiTiHuaiZhangZhunBei" label="是否适用：母公司应收账款按组合计提坏账准备" selectOptions="_buildInAppliance" controlType="CustomCheckbox" cRanges="[{&quot;StartName&quot;:&quot;_GBC_bf96e631f2cf4f6a876dff49863ee9d3&quot;,&quot;EndName&quot;:&quot;_SEC_6113a97431b44a51b796257dc3b7c6cb&quot;,&quot;CType&quot;:1}]"/>
    <m:section xlName="_SEC_6113a97431b44a51b796257dc3b7c6cb" title="组合计提项目" repeatable="1" tupleConcept="clcid-pte:AnZuHeJiTiHuaiZhangZhunBeiDeYingShouZhangKuanXiangXiMingXi" headerRef="720" helpId="112002207" keyAction="89"/>
    <m:section xlName="_SEC_c60e95248c4a4b468d429be8e0ec51d3" title="如按照一般预计信用损失模型计提坏账，请参照其他应收款的披露方式披露" headerRef="720" helpId="112002207"/>
    <m:item xlName="_GBC_f73789de2ecf49c4bad380c8767c93cf" headerRef="721" up="坏账准备的情况" concept="clcid-ci-ar:ShiFouShiYongMuGongSiYingShouZhangKuanHuaiZhangZhunBeiQingKuang" label="是否适用：母公司应收账款坏账准备情况" selectOptions="_buildInAppliance" controlType="CustomCheckbox" cRanges="[{&quot;StartName&quot;:&quot;_GBC_f73789de2ecf49c4bad380c8767c93cf&quot;,&quot;EndName&quot;:&quot;_SEC_1d771df7b6f44c3999ed9d4bceb75d3a&quot;,&quot;CType&quot;:1}]"/>
    <m:section xlName="_SEC_1d771df7b6f44c3999ed9d4bceb75d3a" title="计提坏账准备情况" headerRef="721" helpId="112002207" keyAction="89"/>
    <m:section xlName="_SEC_4190eeaef32c4ff2b6c26bd394b92040" title="本期转回或收回情况" headerRef="721" convertSummaryRule="NoConvert" helpId="112002207" helpText="注：说明转回或收回原因，确定原坏账准备计提比例的依据及其合理性。"/>
    <m:section xlName="_GBC_72fe1bcd09e2470f910107f1e159af49" title="本报告期实际核销的应收账款情况" headerRef="722" convertSummaryRule="NoConvert" helpId="112002207"/>
    <m:section xlName="_SEC_3d1ed932505a4d07984c925784c16944" title="按欠款方归集的期末余额前五名的应收账款情况：" rules="R2015_R11_004" headerRef="723" helpId="112002207" helpText="注：按欠款方集中度，汇总或分别披露期末余额前五名的应收账款的期末余额及占应收账款期末余额合计数的比例，以及相应计提的坏账准备期末余额。">
      <m:axisValue occRef="母公司"/>
    </m:section>
    <m:section xlName="_GBC_eac4abdf299a4312a10e680c5fc79ef9" title="其他说明：" headerRef="723" helpId="112002207"/>
    <m:section xlName="_SEC_e2f0b728ae404babbb57dfbc1fafed13" title="项目列示" headerRef="725"/>
    <m:section xlName="_SEC_91e08163b2464f8cb5d135fd131f631f" title="应收利息分类" headerRef="727" helpId="112002209"/>
    <m:section xlName="_SEC_e80bd789f30b40de829902e04129ef49" title="重要逾期利息" headerRef="728" helpId="112002209"/>
    <m:section xlName="_SEC_b442fa9a2c684bca8071281c3cd03c34" title="按坏账计提方法分类披露" headerRef="729" helpId="112002209">
      <m:axisValue occRef="应收利息"/>
    </m:section>
    <m:section xlName="_SEC_89e2ac286b0643a7a8caf5b7e2b151a5" title="按单项计提坏账准备：  单位：元币种：人民币名称 期..." headerRef="729" helpId="112002209">
      <m:axisValue occRef="应收利息"/>
    </m:section>
    <m:item xlName="_GBC_d3043e47b1544d94a13ce780dd85e9fc" headerRef="729" up="按组合计提坏账准备：" concept="clcid-ci-ar:ShiFouShiYongMuGongSiAnZuHeJiTiHuaiZhangZhunBeiDeXiangXiQingKuang" label="是否适用：母公司按组合计提坏账准备的详细情况" selectOptions="_buildInAppliance" controlType="CustomCheckbox" type="i:" cRanges="[{&quot;StartName&quot;:&quot;_GBC_d3043e47b1544d94a13ce780dd85e9fc&quot;,&quot;EndName&quot;:&quot;_SEC_d105d8ca510d42ca9fbd5947fe6f662b&quot;,&quot;CType&quot;:1}]">
      <m:axisValue occRef="应收利息"/>
    </m:item>
    <m:section xlName="_SEC_d105d8ca510d42ca9fbd5947fe6f662b" title="组合计提项目" tupleConcept="clcid-pte:AnZuHeJiTiHuaiZhangZhunBeiDeXiangXiMingXi" repeatable="1" headerRef="729" helpId="112002209">
      <m:axisValue occRef="应收利息"/>
    </m:section>
    <m:section xlName="_SEC_ce38368754b54030878f7a4b3d48648e" title="坏账准备计提情况" headerRef="730" helpId="112002209"/>
    <m:section xlName="_SEC_9bea6546387147b0820f4215aa005e52" title="母公司应收利息坏账准备的情况" headerRef="731" helpId="112002209" keyAction="89"/>
    <m:section xlName="_SEC_152c862663f24ed881706322f4817efb" title="其中本期坏账准备收回或转回金额重要的" headerRef="731" helpId="112002209">
      <m:axisValue occRef="应收利息"/>
    </m:section>
    <m:section xlName="_SEC_82ac412e608349798785ff91b50dc0b5" title="母公司实际核销的应收利息情况" headerRef="732" helpId="112002209"/>
    <m:section xlName="_SEC_d5a3493d4d5c43979c12a289d5d94e6b" title="其中重要的应收利息核销情况" headerRef="732" helpId="112002209">
      <m:axisValue occRef="应收利息"/>
    </m:section>
    <m:section xlName="_SEC_ad2b0daa52af481d8a56e5f8f2ccc52e" title="其他说明：" headerRef="732" helpId="112002209"/>
    <m:section xlName="_SEC_18f0cc3557ff45749d07d7a27d7c9620" title="应收股利" headerRef="734" helpId="112002209"/>
    <m:section xlName="_SEC_ccfd129beeb14f31b282a062cd845e5e" title="重要的账龄超过1年的应收股利" headerRef="735" helpId="112002209"/>
    <m:section xlName="_SEC_697abfe55ee446509f5a8969b2d67a8f" title="按坏账计提方法分类披露" headerRef="736" helpId="112002209">
      <m:axisValue occRef="应收股利"/>
    </m:section>
    <m:section xlName="_SEC_781cf520716148ff97619c28f803657e" title="按单项计提坏账准备：  单位：元币种：人民币名称 期..." headerRef="736" helpId="112002209">
      <m:axisValue occRef="应收股利"/>
    </m:section>
    <m:item xlName="_GBC_9f9d44f1ec164a3da4b2c14d4d129121" headerRef="736" up="按组合计提坏账准备：" concept="clcid-ci-ar:ShiFouShiYongMuGongSiAnZuHeJiTiHuaiZhangZhunBeiDeXiangXiQingKuang" label="是否适用：母公司按组合计提坏账准备的详细情况" selectOptions="_buildInAppliance" controlType="CustomCheckbox" type="i:" cRanges="[{&quot;StartName&quot;:&quot;_GBC_9f9d44f1ec164a3da4b2c14d4d129121&quot;,&quot;EndName&quot;:&quot;_SEC_c33d943e8d104301ab742de8215ea747&quot;,&quot;CType&quot;:1}]">
      <m:axisValue occRef="应收股利"/>
    </m:item>
    <m:section xlName="_SEC_c33d943e8d104301ab742de8215ea747" title="组合计提项目" tupleConcept="clcid-pte:AnZuHeJiTiHuaiZhangZhunBeiDeXiangXiMingXi" repeatable="1" headerRef="736" helpId="112002209">
      <m:axisValue occRef="应收股利"/>
    </m:section>
    <m:section xlName="_SEC_3d41530a7b3d408cbfe627f818ea914c" title="坏账准备计提情况" headerRef="737" helpId="112002209"/>
    <m:section xlName="_SEC_975a098f9e44436686992f27ed9ae1c3" title="母公司应收股利坏账准备的情况" headerRef="738" helpId="112002209" keyAction="89"/>
    <m:section xlName="_SEC_367ce86c62fe4d36a3f067e579dc9221" title="其中本期坏账准备收回或转回金额重要的" headerRef="738" helpId="112002209">
      <m:axisValue occRef="应收股利"/>
    </m:section>
    <m:section xlName="_SEC_d86f941ba0ed440db8b5c57d27cdae38" title="母公司本期实际核销的应收股利情况" headerRef="739" helpId="112002209"/>
    <m:section xlName="_SEC_9e1f721ff3884db48731bb4d485d232f" title="其中重要的应收股利核销情况" headerRef="739" helpId="112002209">
      <m:axisValue occRef="应收股利"/>
    </m:section>
    <m:section xlName="_SEC_2b03a6eb53a24c76a6dc28f0478009f2" title="其他说明：" headerRef="739" helpId="112002209"/>
    <m:section xlName="_SEC_db399aa123ce49ddb0116f33fe18109b" title="按账龄披露" headerRef="741" helpId="112002209" helpText="表里的这里的“期末账面余额”指的是包含单项计提和组合计提的期末账面余额。"/>
    <m:section xlName="_GBC_c9f7dc8489b74105a28800b5cfad23af" title="其他应收款按款项性质分类情况" headerRef="742" helpId="112002209"/>
    <m:section xlName="_SEC_15d9e20371d54bec9233b27dd50b301d" title="坏账准备计提情况" headerRef="743" helpId="112002209" helpText="如存在坏账准备，应按照财政部企业会计准则第37号第83条规定，披露损失准备期初余额与期末余额的调节表"/>
    <m:section xlName="_SEC_1eec480beee449d4b98b9ea58a782bf3" title="坏账准备的情况" headerRef="744" helpId="112002209"/>
    <m:section xlName="_SEC_f36c1b4ef7514683b7c1ed6f28889287" title="其中本期坏账准备转回或收回金额重要的" headerRef="744" helpId="112002209"/>
    <m:section xlName="_SEC_ffe6c87a4f4a49bd9769cbeb746b444b" title="本期实际核销的其他应收款情况" headerRef="745" helpId="112002209"/>
    <m:section xlName="_SEC_6c44e00a54d34fb1a03f38b7cf5b8a5d" title="其他应收款核销说明：  " headerRef="745" helpId="112002209"/>
    <m:section xlName="_GBC_c77f7efeabc1402191807946a9bfe714" title="按欠款方归集的期末余额前五名的其他应收款情况" headerRef="746" helpId="112002209" helpText="根据《公开发行证券的公司信息披露编报规则第15号——财务报告的一般规定》第十九条规定，按欠款方归集的期末余额前五名的其他应收款应分别披露欠款方名称，不得使用代称替代。公司确因特殊原因存在暂缓、豁免信息披露需求的，应当按照《2号格式准则》第五条、《上市公司信息披露暂缓与豁免管理规定》（以下简称《暂缓与豁免管理规定》）等规定，审慎判断相关往来主体信息是否属于暂缓或者豁免披露范畴。经判断确属暂缓或者豁免披露范畴的，应当按照《暂缓与豁免管理规定》相关要求填写登记材料，在半年度报告后10日内，将相关登记材料报送公司注册地证监局和证券交易所。母公司报表及注释同理。"/>
    <m:section xlName="_SEC_be582c15ca6d4a0ab5668538b5593187" title="因资金集中管理而列报于其他应收款 " headerRef="747" helpId="112002209"/>
    <m:section xlName="_GBC_4b6cd384bee54ff79269fa4457c70d49" title="其他应收款其他说明" headerRef="747" helpId="112002209"/>
    <m:placeholder xlName="_PLD_5e932ba34e5c49eb9fa8242fe47243cd" headerRef="748" keyCode="PageId:ch1042" keyAction="31"/>
    <m:item xlName="_GBC_61071b9a58624e83bfc4232808751b95" headerRef="748" up="长期股权投资" concept="clcid-ci-ar:ShiFouShiYongMuGongSiChangQiGuQuanTouZi" label="是否适用：母公司长期股权投资" selectOptions="_buildInAppliance" controlType="CustomCheckbox" type="i:" cRanges="{&quot;StartName&quot;:&quot;_GBC_61071b9a58624e83bfc4232808751b95&quot;,&quot;EndName&quot;:&quot;_GBC_1577b793bbce4a50b07decde0e07491e&quot;,&quot;CType&quot;:1,&quot;DisplayText&quot;:null}"/>
    <m:section xlName="_GBC_e5163872166a4141a666e7eec5d9956c" title="长期股权投资按成本法核算" headerRef="748" helpId="112002211"/>
    <m:section xlName="_SEC_28dc68e8c1ad450f9e39054df86a285c" title="对子公司投资" headerRef="749" helpId="112002211" helpText="期初余额（账面价值）、期末余额（账面价值）请填写扣除减值准备后的净值" keyAction="89"/>
    <m:section xlName="_SEC_6b695e9037d74ac480566f6b0cc3ea0d" title="对联营、合营企业投资" headerRef="750" helpId="112002211" helpText="期初余额（账面价值）、期末余额（账面价值）请填写扣除减值准备后的净值"/>
    <m:item xlName="_GBC_c0857dc1a8eb4f79b18a90f9b4b26d58" headerRef="751" up="长期股权投资的减值测试情况" concept="clcid-ci-ar:ShiFouShiYongJianZhiCeShiQingKuang" label="是否适用：减值测试情况" selectOptions="_buildInAppliance" controlType="CustomCheckbox" type="i:" cRanges="[{&quot;StartName&quot;:&quot;_GBC_c0857dc1a8eb4f79b18a90f9b4b26d58&quot;,&quot;EndName&quot;:&quot;_SEC_71ea10733b824b968c2e14cf048d7d1c&quot;,&quot;CType&quot;:1}]">
      <m:axisValue occRef="母公司"/>
      <m:axisValue occRef="长期股权投资"/>
    </m:item>
    <m:section xlName="_SEC_822d71d2a6114d65a3645fd0d6a4cb7d" title="可收回金额按公允价值减去处置费用后的净额确定" headerRef="752" helpId="112002211">
      <m:axisValue occRef="长期股权投资"/>
      <m:axisValue occRef="母公司"/>
    </m:section>
    <m:section xlName="_SEC_2294f378c2eb488185ad8620abb6d34a" title="可收回金额按预计未来现金流量的现值确定" headerRef="753" helpId="112002211">
      <m:axisValue occRef="长期股权投资"/>
      <m:axisValue occRef="母公司"/>
    </m:section>
    <m:section xlName="_SEC_14eb6745f28c4405aacca844bdf50463" title="前述信息与以前年度减值测试采用的信息或外部信息明显不一致的差..." headerRef="754" helpId="112002211">
      <m:axisValue occRef="长期股权投资"/>
      <m:axisValue occRef="母公司"/>
    </m:section>
    <m:section xlName="_SEC_71ea10733b824b968c2e14cf048d7d1c" title="公司以前年度减值测试采用信息与当年实际情况明显不一致的差异原..." headerRef="755" helpId="112002211">
      <m:axisValue occRef="长期股权投资"/>
      <m:axisValue occRef="母公司"/>
    </m:section>
    <m:section xlName="_GBC_1577b793bbce4a50b07decde0e07491e" title="长期股权投资的说明" headerRef="755" orient="landscape" helpId="112002211"/>
    <m:placeholder xlName="_PLD_07f50b7834c0490ca6a5342b909d2290" headerRef="756" keyCode="PageId:ch1037" keyAction="31"/>
    <m:section xlName="_SEC_c20353238d924d35bff1a3e0cee4af4b" title="营业收入和营业成本情况" headerRef="757" helpId="112001233" keyAction="89"/>
    <m:section xlName="_SEC_55b67c614f984b14baf467a8376baa6d" title="合同产生的收入的情况" headerRef="758" tagAction="1" helpId="112001233">
      <m:virtualTuples>
        <m:virtualTuple id="47b64d54-c0cb-4c7a-a1b2-733bbb651abd" tupleRef="clcid-pte:HeTongChanShengDeShouRuFenBuMingXi" extendDirection="2"/>
      </m:virtualTuples>
    </m:section>
    <m:section xlName="_SEC_07f314ac96bd42a28c2766bb3781c913" title="履约义务的说明" headerRef="759" helpId="112001233"/>
    <m:section xlName="_SEC_e95ad3f139c54551b2b6b25c8a85cd3e" title="分摊至剩余履约义务的说明" headerRef="760" helpId="112001233"/>
    <m:section xlName="_SEC_ced2618a2bfc45bca934a93ab08bfaa3" title="重大合同变更或重大交易价格调整" headerRef="761" helpId="112001233"/>
    <m:section xlName="_SEC_0c05b3f6a2d94f5989da6e67eb2f67d6" title="营业收入和营业成本其他说明" headerRef="761" helpId="112001233"/>
    <m:section xlName="_SEC_69cb0c27d0a845f8ab1383f9a47646b6" title="投资收益" headerRef="762" helpId="112001197"/>
    <m:section xlName="_GBC_23958e5452684882b98c8317e400c8d6" title="母公司会计报表附注的其他说明事项" headerRef="763" helpId="112002212"/>
    <m:placeholder xlName="_PLD_2bd48f8ab801400f88c94dac44731db0" headerRef="764" keyCode="PageId:ch1038" keyAction="31"/>
    <m:section xlName="_SEC_cde396f022fe426bae1097e657f16e83" title="当期非经常性损益明细" headerRef="765" helpId="112001192" helpText="1.非经常性损益的界定，应以非经常性损益的定义为依据。在界定非经常性损益项目时，应遵循以下原则：\n（一）非经常性损益的认定应基于交易和事项的经济性质判断\n（二）非经常性损益的认定应基于行业特点和业务模式判断\n（三）非经常性损益的认定应遵循重要性原则。\n2.各非经常性损益项目按税前金额列示。\n3.非经常性损益项目中的损失类应以负数填写。\n4.自定义科目全部填入“其他符合非经常性损益定义的损益项目”，并在该项目附注中说明具体情况。"/>
    <m:section xlName="_GBC_7944e47348cd4cd186b958ba1902ea3f" title="对公司根据《公开发行证券的公司信息披露解释性公告第1号——非..." headerRef="765" convertSummaryRule="NoConvert" helpId="112001192"/>
    <m:section xlName="_SEC_9779a45603754f5a8e4b377ad6f06fc2" title="其他说明" headerRef="765" helpId="112001192" helpText="上市公司在披露定期报告时，应在财务报表附注中披露执行本规则对可比会计期间非经常性损益的影响情况。"/>
    <m:section xlName="_GBC_146d888914ac4591bea1ff0ea9e89617" title="净资产收益率及每股收益" headerRef="766" helpId="112001194"/>
    <m:item xlName="_GBC_3482333eff2948139884cfdd1debc958" headerRef="767" up="境内外会计准则下会计数据差异" concept="clcid-ci-ar:ShiFouShiYongJingNeiWaiHuiJiZhunZeXiaHuiJiShuJuChaYi" label="是否适用：境内外会计准则下会计数据差异" selectOptions="_buildInAppliance" controlType="CustomCheckbox" type="i:" cRanges="{&quot;StartName&quot;:&quot;_GBC_3482333eff2948139884cfdd1debc958&quot;,&quot;EndName&quot;:&quot;_GBC_28e04aa78d514ffaa91bd2d93b36d312&quot;,&quot;CType&quot;:1,&quot;DisplayText&quot;:null}"/>
    <m:section xlName="_GBC_30f5ba046d124b5db9ae669fe845bbdb" title="同时按照国际会计准则与按中国会计准则披露的财务报告中净利润和..." headerRef="768" helpId="112001195"/>
    <m:section xlName="_GBC_4dcd3e5d3e2046b28e99d35c3cbab7be" title="同时按照境外会计准则与按中国会计准则披露的财务报告中净利润和..." headerRef="769" helpId="112001195" helpText="注：境内外会计准则下会计数据差异填列合并报表数据。"/>
    <m:section xlName="_GBC_28e04aa78d514ffaa91bd2d93b36d312" title="境内外会计准则下会计数据差异说明" headerRef="770" convertSummaryRule="NoConvert" helpId="112001195"/>
    <m:section xlName="_GBC_a60672e5f86e422cbb864ef991c9106b" title="补充资料其他说明事项" headerRef="771" helpId="112001166"/>
    <m:section xlName="_SEC_05b1791af4454108ad401bb8a64cf5c6" title="落款" headerRef="771" convertSummaryRule="NoConvert" helpId="110002018"/>
    <m:section xlName="_GBC_e51b54728b2e4e53b95b0611d0df9b06" title="修订信息 " headerRef="771" convertSummaryRule="NoConvert"/>
  </m:document>
  <m:conditions>
    <m:precondition id="CON_1a48cdb3133a4677a167bac7a8bc1aa8" desc="营业收入_上期数大于0" test=" $_GBC_7c5da886e3a04f318f97bf5b3df41719 &gt;  0 "/>
    <m:precondition id="CON_af473f7d20304c22995363c757f6daf0" desc="资产上年末数大于0" test=" $_GBC_6c7912ed42714421ab5f733f008d5f76 &gt;  0 "/>
    <m:precondition id="CON_197fec41ec98488498dfbe498be59a74" desc="股东权益上年末数大于0" test=" $_GBC_8d9460019b644ac19fb31e97c9b4647e &gt;  0 "/>
    <m:precondition id="CON_bdd606b457ef4e93a2a0294a54e4b405" desc="经营现金流量_上期数大于0" test=" $_GBC_7e2906a118e24d74ad326fa7837a253e &gt;  0 "/>
    <m:precondition id="CON_4da0ebfe15f24df88a660504507e40e1" desc="基本每股收益上期数大于0" test=" $_GBC_584729723e57485398b1976834ccf5b0 &gt;  0 "/>
    <m:precondition id="CON_a61b951a5f0c465ba40b9b17e981dbcd" desc="稀释每股收益上期数大于0" test=" $_GBC_df6801dbb6554f788e5691b1275ddc0c &gt;  0 "/>
    <m:precondition id="CON_6f9fe1fdf3be45bbaebeadd971a87dfa" desc="扣后净利润_上期数大于0" test=" $_GBC_9a2bb710bc064c538a123f1d4d9adca0 &gt;  0 "/>
    <m:precondition id="CON_657ce831c12f4f5781f276dad93ed67d" desc="归属净利润大于0" test=" $_GBC_3730fdab291446f69786b3732d6fa348 &gt;  0 "/>
    <m:precondition id="CON_2ac0161341124c22928d7d9bda9c092a" desc="扣后基本每股收益上期数大于0" test=" $_GBC_b9acb6b637744de2b3a128c6e247d5bf &gt;  0 "/>
    <m:precondition id="CON_2ab89e5947cc4829906ec6baa0a454ef" desc="以后重分类进损益的其他综合收益横向公式" test="not (  (  $_GBC_5c655a0ef59a4277bc39216e66537c6f +  $_GBC_89a43a67e3e544edbf44809c00131299 ==  $_GBC_e110b3abe19241479fa28dadc62117e9 )  ||  (  $_GBC_5c655a0ef59a4277bc39216e66537c6f +  $_GBC_89a43a67e3e544edbf44809c00131299 -  $_GBC_3c586710a7554d53a726a15a0984f7cf ==  $_GBC_e110b3abe19241479fa28dadc62117e9 )  ||  (  $_GBC_5c655a0ef59a4277bc39216e66537c6f +  $_GBC_89a43a67e3e544edbf44809c00131299 +  $_GBC_3c586710a7554d53a726a15a0984f7cf ==  $_GBC_e110b3abe19241479fa28dadc62117e9 )  ) "/>
    <m:precondition id="CON_3bc486b5ddd6468885af782b40530a51" desc="其他综合收益合计横向公式" test="not (  (  $_GBC_7d7534c6cb1c4ffdb0ccec0f16bb954b +  $_GBC_b5118f0af02749fc806db9326d754991 ==  $_GBC_0dbee349a9e94f788424baef436dd53a )  ||  (  $_GBC_7d7534c6cb1c4ffdb0ccec0f16bb954b +  $_GBC_b5118f0af02749fc806db9326d754991 -  $_GBC_a11f3011d8674a6aa5ed7c69a7e588cd ==  $_GBC_0dbee349a9e94f788424baef436dd53a )  ||  (  $_GBC_7d7534c6cb1c4ffdb0ccec0f16bb954b +  $_GBC_b5118f0af02749fc806db9326d754991 +  $_GBC_a11f3011d8674a6aa5ed7c69a7e588cd ==  $_GBC_0dbee349a9e94f788424baef436dd53a )  ) "/>
    <m:precondition id="CON_a1eb43ebcda24b18be4383b11129a8a8" desc="以后不能重分类进损益的其他综合收益横向公式" test="not (  (  $_GBC_e2de66f3d0ff45c8b9236045779902ae +  $_GBC_85d145546e3b4f72908bbefe16244d13 ==  $_GBC_ef85990f3d1549c99f748bd71e4c8ef8 )  ||  (  $_GBC_e2de66f3d0ff45c8b9236045779902ae +  $_GBC_85d145546e3b4f72908bbefe16244d13 -  $_GBC_bd45fe5da0464410af26e48ce2a50ef6 ==  $_GBC_ef85990f3d1549c99f748bd71e4c8ef8 )  ||  (  $_GBC_e2de66f3d0ff45c8b9236045779902ae +  $_GBC_85d145546e3b4f72908bbefe16244d13 +  $_GBC_bd45fe5da0464410af26e48ce2a50ef6 ==  $_GBC_ef85990f3d1549c99f748bd71e4c8ef8 )  ) "/>
    <m:precondition id="CON_820a785f5aae4e9eb308856dd4846c79" desc="以公允价值计量的金融资产明细条件" test="not (  $_GBC_3b9e3636926e4d2f92988cda91200735 ==  $_GBC_12cc863641a74c1ba8710aa5d63905f9 +  $_GBC_cf1d241f8ded43bd9d8c27194a25d6a2 -  $_GBC_52ab5c10d84145d3852083e6ff8f03ad +  $_GBC_ae10eb1955164d4081bbf023f5261efd -  $_GBC_f0c4dcb2328d4532b2d677d52da5a65d +  $_GBC_465f4e7871c54fb0b65388bc731a1526 ) "/>
    <m:precondition id="CON_c2188270207041648fd9954eac85114e" desc="以公允价值计量的金融资产合计条件" test="not (  $_GBC_3dbc3552c3074ca9b96524d2f78a0854 ==  $_GBC_840b5ca17fa5490ca7d9b7ea7653895a +  $_GBC_5dedc116b1a34c46b4ce2787c355bae4 -  $_GBC_877a66299c044337991b9283d9a5b470 +  $_GBC_0b7ed73a30d84af493ea5e5129ed4860 -  $_GBC_2d1c313360f64d47b7892be187122ae6 +  $_GBC_4e5b68750a324049a9c86b0bc22d22a9 ) "/>
    <m:precondition id="CON_b7f3afeae193461f8e2bb3cc19cf83ab" desc="证券投资情况明细条件" test="not (  $_GBC_85715d20ecfd4ceca8ac2d54b8ccbad4 ==  $_GBC_f837c010170b41dd8ecbefa15f053740 +  $_GBC_e05ac65464a045e9935f1b7ffebc91d9 +  $_GBC_2f08b72bf697466abfa7353e50814d08 -  $_GBC_1e05e082c6d244b78c6039fa8487f7ee ) "/>
    <m:precondition id="CON_fe2045c3dae54f6f952250ad0db5d7ef" desc="报告期内以套期保值为目的的衍生品投资明细条件" test="not (  $_GBC_8b9ad74bbe824d6a8c3025f775222171 ==  $_GBC_52e449231e3e4e8886270f85bbf32087 +  $_GBC_bebf86190d8e4b83a2bdd3e0911064c2 +  $_GBC_c630c1d39abc447dadae0c3b67925458 -  $_GBC_805a86893c654071adcdacb0ea56dbb7 ) "/>
  </m:conditions>
</m:mapping>
</file>

<file path=customXml/itemProps1.xml><?xml version="1.0" encoding="utf-8"?>
<ds:datastoreItem xmlns:ds="http://schemas.openxmlformats.org/officeDocument/2006/customXml" ds:itemID="{2A23ABCA-2918-4610-92AC-2FC03788136A}">
  <ds:schemaRefs/>
</ds:datastoreItem>
</file>

<file path=customXml/itemProps2.xml><?xml version="1.0" encoding="utf-8"?>
<ds:datastoreItem xmlns:ds="http://schemas.openxmlformats.org/officeDocument/2006/customXml" ds:itemID="{1F37729E-89F6-4D70-BC0B-8EF77515B409}">
  <ds:schemaRefs/>
</ds:datastoreItem>
</file>

<file path=customXml/itemProps3.xml><?xml version="1.0" encoding="utf-8"?>
<ds:datastoreItem xmlns:ds="http://schemas.openxmlformats.org/officeDocument/2006/customXml" ds:itemID="{A9B20AD9-F38B-4FD3-B10C-042EB4AA12BE}">
  <ds:schemaRefs/>
</ds:datastoreItem>
</file>

<file path=customXml/itemProps4.xml><?xml version="1.0" encoding="utf-8"?>
<ds:datastoreItem xmlns:ds="http://schemas.openxmlformats.org/officeDocument/2006/customXml" ds:itemID="{89EBAB94-44A0-46A2-B712-30D997D04A6D}">
  <ds:schemaRefs/>
</ds:datastoreItem>
</file>

<file path=customXml/itemProps5.xml><?xml version="1.0" encoding="utf-8"?>
<ds:datastoreItem xmlns:ds="http://schemas.openxmlformats.org/officeDocument/2006/customXml" ds:itemID="{0D0A81DC-3C67-4316-B8AF-4A0B153F267C}">
  <ds:schemaRefs/>
</ds:datastoreItem>
</file>

<file path=docProps/app.xml><?xml version="1.0" encoding="utf-8"?>
<Properties xmlns="http://schemas.openxmlformats.org/officeDocument/2006/extended-properties" xmlns:vt="http://schemas.openxmlformats.org/officeDocument/2006/docPropsVTypes">
  <Template>SSEReport</Template>
  <Company>Sky123.Org</Company>
  <Pages>186</Pages>
  <Words>101315</Words>
  <Characters>135152</Characters>
  <Lines>13348</Lines>
  <Paragraphs>14030</Paragraphs>
  <TotalTime>489</TotalTime>
  <ScaleCrop>false</ScaleCrop>
  <LinksUpToDate>false</LinksUpToDate>
  <CharactersWithSpaces>142005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2026-08-20T09:01:00Z</dcterms:created>
  <dc:creator>BJB-ZB-009-lwy</dc:creator>
  <cp:lastModifiedBy>雯亦</cp:lastModifiedBy>
  <dcterms:modified xsi:type="dcterms:W3CDTF">2026-09-24T03:12:45Z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eyJoZGlkIjoiM2U3YjdlMjkwMmE1MzhlMWE0YzZjZmQ3MTE5Nzc5ZDgiLCJ1c2VySWQiOiIxNzg3Mzc1MzIxIn0=</vt:lpwstr>
  </property>
  <property fmtid="{D5CDD505-2E9C-101B-9397-08002B2CF9AE}" pid="3" name="KSOProductBuildVer">
    <vt:lpwstr>2052-11.1.0.12165</vt:lpwstr>
  </property>
  <property fmtid="{D5CDD505-2E9C-101B-9397-08002B2CF9AE}" pid="4" name="ICV">
    <vt:lpwstr>089167A7C97E4BD89F4C330A3625FA14</vt:lpwstr>
  </property>
</Properties>
</file>