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val="0"/>
        <w:autoSpaceDN w:val="0"/>
        <w:bidi w:val="0"/>
        <w:adjustRightInd/>
        <w:snapToGrid/>
        <w:spacing w:before="64" w:line="560" w:lineRule="exact"/>
        <w:ind w:left="0" w:right="2145"/>
        <w:jc w:val="both"/>
        <w:textAlignment w:val="auto"/>
        <w:rPr>
          <w:highlight w:val="none"/>
        </w:rPr>
      </w:pPr>
      <w:r>
        <w:rPr>
          <w:rFonts w:hint="eastAsia"/>
          <w:highlight w:val="none"/>
          <w:lang w:val="en-US"/>
        </w:rPr>
        <w:t xml:space="preserve">                </w:t>
      </w:r>
      <w:r>
        <w:rPr>
          <w:rFonts w:hint="eastAsia"/>
          <w:highlight w:val="none"/>
          <w:lang w:val="en-US" w:eastAsia="zh-CN"/>
        </w:rPr>
        <w:t xml:space="preserve">    </w:t>
      </w:r>
      <w:r>
        <w:rPr>
          <w:rFonts w:hint="eastAsia"/>
          <w:highlight w:val="none"/>
          <w:lang w:val="en-US"/>
        </w:rPr>
        <w:t xml:space="preserve"> 重庆望变电气（集团）</w:t>
      </w:r>
      <w:r>
        <w:rPr>
          <w:highlight w:val="none"/>
        </w:rPr>
        <w:t>股份有限公司</w:t>
      </w:r>
    </w:p>
    <w:p>
      <w:pPr>
        <w:keepNext w:val="0"/>
        <w:keepLines w:val="0"/>
        <w:pageBreakBefore w:val="0"/>
        <w:widowControl w:val="0"/>
        <w:kinsoku/>
        <w:wordWrap/>
        <w:overflowPunct/>
        <w:topLinePunct w:val="0"/>
        <w:autoSpaceDE w:val="0"/>
        <w:autoSpaceDN w:val="0"/>
        <w:bidi w:val="0"/>
        <w:adjustRightInd/>
        <w:snapToGrid/>
        <w:spacing w:before="1" w:line="560" w:lineRule="exact"/>
        <w:ind w:right="3640"/>
        <w:jc w:val="both"/>
        <w:textAlignment w:val="auto"/>
        <w:rPr>
          <w:b/>
          <w:sz w:val="24"/>
          <w:highlight w:val="none"/>
          <w:lang w:val="en-US"/>
        </w:rPr>
      </w:pPr>
      <w:r>
        <w:rPr>
          <w:rFonts w:hint="eastAsia" w:ascii="Times New Roman"/>
          <w:b/>
          <w:sz w:val="24"/>
          <w:highlight w:val="none"/>
          <w:lang w:val="en-US"/>
        </w:rPr>
        <w:t xml:space="preserve">                                             </w:t>
      </w:r>
      <w:r>
        <w:rPr>
          <w:rFonts w:hint="eastAsia" w:ascii="Times New Roman"/>
          <w:b/>
          <w:sz w:val="24"/>
          <w:highlight w:val="none"/>
          <w:lang w:val="en-US" w:eastAsia="zh-CN"/>
        </w:rPr>
        <w:t xml:space="preserve">     </w:t>
      </w:r>
      <w:r>
        <w:rPr>
          <w:rFonts w:hint="eastAsia" w:ascii="Times New Roman"/>
          <w:b/>
          <w:sz w:val="24"/>
          <w:highlight w:val="none"/>
          <w:lang w:val="en-US"/>
        </w:rPr>
        <w:t xml:space="preserve">        </w:t>
      </w:r>
      <w:r>
        <w:rPr>
          <w:rFonts w:ascii="Times New Roman" w:eastAsia="Times New Roman"/>
          <w:b/>
          <w:sz w:val="24"/>
          <w:highlight w:val="none"/>
        </w:rPr>
        <w:t>ESG</w:t>
      </w:r>
      <w:r>
        <w:rPr>
          <w:b/>
          <w:sz w:val="24"/>
          <w:highlight w:val="none"/>
        </w:rPr>
        <w:t>管理制</w:t>
      </w:r>
      <w:bookmarkStart w:id="0" w:name="第一章_总则"/>
      <w:bookmarkEnd w:id="0"/>
      <w:r>
        <w:rPr>
          <w:rFonts w:hint="eastAsia"/>
          <w:b/>
          <w:sz w:val="24"/>
          <w:highlight w:val="none"/>
          <w:lang w:val="en-US"/>
        </w:rPr>
        <w:t>度</w:t>
      </w:r>
    </w:p>
    <w:p>
      <w:pPr>
        <w:keepNext w:val="0"/>
        <w:keepLines w:val="0"/>
        <w:pageBreakBefore w:val="0"/>
        <w:widowControl w:val="0"/>
        <w:kinsoku/>
        <w:wordWrap/>
        <w:overflowPunct/>
        <w:topLinePunct w:val="0"/>
        <w:autoSpaceDE w:val="0"/>
        <w:autoSpaceDN w:val="0"/>
        <w:bidi w:val="0"/>
        <w:adjustRightInd/>
        <w:snapToGrid/>
        <w:spacing w:before="1" w:line="560" w:lineRule="exact"/>
        <w:ind w:right="3640" w:firstLine="3373" w:firstLineChars="1400"/>
        <w:jc w:val="both"/>
        <w:textAlignment w:val="auto"/>
        <w:rPr>
          <w:b/>
          <w:sz w:val="24"/>
          <w:highlight w:val="none"/>
        </w:rPr>
      </w:pPr>
      <w:r>
        <w:rPr>
          <w:b/>
          <w:sz w:val="24"/>
          <w:highlight w:val="none"/>
        </w:rPr>
        <w:t>第一章</w:t>
      </w:r>
      <w:r>
        <w:rPr>
          <w:rFonts w:hint="eastAsia"/>
          <w:b/>
          <w:sz w:val="24"/>
          <w:highlight w:val="none"/>
          <w:lang w:val="en-US"/>
        </w:rPr>
        <w:t xml:space="preserve">  </w:t>
      </w:r>
      <w:r>
        <w:rPr>
          <w:b/>
          <w:sz w:val="24"/>
          <w:highlight w:val="none"/>
        </w:rPr>
        <w:t>总则</w:t>
      </w:r>
    </w:p>
    <w:p>
      <w:pPr>
        <w:pStyle w:val="4"/>
        <w:keepNext w:val="0"/>
        <w:keepLines w:val="0"/>
        <w:pageBreakBefore w:val="0"/>
        <w:widowControl w:val="0"/>
        <w:tabs>
          <w:tab w:val="left" w:pos="1562"/>
        </w:tabs>
        <w:kinsoku/>
        <w:wordWrap/>
        <w:overflowPunct/>
        <w:topLinePunct w:val="0"/>
        <w:autoSpaceDE w:val="0"/>
        <w:autoSpaceDN w:val="0"/>
        <w:bidi w:val="0"/>
        <w:adjustRightInd/>
        <w:snapToGrid/>
        <w:spacing w:before="0" w:line="560" w:lineRule="exact"/>
        <w:ind w:right="117" w:firstLine="480"/>
        <w:jc w:val="both"/>
        <w:textAlignment w:val="auto"/>
        <w:rPr>
          <w:highlight w:val="none"/>
        </w:rPr>
      </w:pPr>
      <w:r>
        <w:rPr>
          <w:b/>
          <w:highlight w:val="none"/>
        </w:rPr>
        <w:t>第一条</w:t>
      </w:r>
      <w:r>
        <w:rPr>
          <w:b/>
          <w:highlight w:val="none"/>
        </w:rPr>
        <w:tab/>
      </w:r>
      <w:r>
        <w:rPr>
          <w:highlight w:val="none"/>
        </w:rPr>
        <w:t>为进一步加强</w:t>
      </w:r>
      <w:r>
        <w:rPr>
          <w:rFonts w:hint="eastAsia"/>
          <w:highlight w:val="none"/>
        </w:rPr>
        <w:t>重庆望变电气（集团）股份有限公司</w:t>
      </w:r>
      <w:r>
        <w:rPr>
          <w:highlight w:val="none"/>
        </w:rPr>
        <w:t>（以下简称“公司</w:t>
      </w:r>
      <w:r>
        <w:rPr>
          <w:spacing w:val="-32"/>
          <w:highlight w:val="none"/>
        </w:rPr>
        <w:t>”）</w:t>
      </w:r>
      <w:r>
        <w:rPr>
          <w:highlight w:val="none"/>
        </w:rPr>
        <w:t>社会责任管理</w:t>
      </w:r>
      <w:r>
        <w:rPr>
          <w:spacing w:val="-63"/>
          <w:highlight w:val="none"/>
        </w:rPr>
        <w:t>，</w:t>
      </w:r>
      <w:r>
        <w:rPr>
          <w:highlight w:val="none"/>
        </w:rPr>
        <w:t>推动经济社会和环境的可持续发展</w:t>
      </w:r>
      <w:r>
        <w:rPr>
          <w:spacing w:val="-63"/>
          <w:highlight w:val="none"/>
        </w:rPr>
        <w:t>，</w:t>
      </w:r>
      <w:r>
        <w:rPr>
          <w:highlight w:val="none"/>
        </w:rPr>
        <w:t>积极履行</w:t>
      </w:r>
      <w:r>
        <w:rPr>
          <w:rFonts w:ascii="Times New Roman" w:hAnsi="Times New Roman" w:eastAsia="Times New Roman"/>
          <w:spacing w:val="-16"/>
          <w:highlight w:val="none"/>
        </w:rPr>
        <w:t>ESG</w:t>
      </w:r>
      <w:r>
        <w:rPr>
          <w:spacing w:val="-16"/>
          <w:highlight w:val="none"/>
        </w:rPr>
        <w:t>（</w:t>
      </w:r>
      <w:r>
        <w:rPr>
          <w:highlight w:val="none"/>
        </w:rPr>
        <w:t>环境</w:t>
      </w:r>
      <w:r>
        <w:rPr>
          <w:spacing w:val="-14"/>
          <w:highlight w:val="none"/>
        </w:rPr>
        <w:t>、</w:t>
      </w:r>
      <w:r>
        <w:rPr>
          <w:rFonts w:hint="eastAsia"/>
          <w:highlight w:val="none"/>
        </w:rPr>
        <w:t>社会和公司治理）职责，根据《中华人民共和国公司法》《上市公司治理准则》</w:t>
      </w:r>
    </w:p>
    <w:p>
      <w:pPr>
        <w:pStyle w:val="4"/>
        <w:keepNext w:val="0"/>
        <w:keepLines w:val="0"/>
        <w:pageBreakBefore w:val="0"/>
        <w:widowControl w:val="0"/>
        <w:tabs>
          <w:tab w:val="left" w:pos="1562"/>
        </w:tabs>
        <w:kinsoku/>
        <w:wordWrap/>
        <w:overflowPunct/>
        <w:topLinePunct w:val="0"/>
        <w:autoSpaceDE w:val="0"/>
        <w:autoSpaceDN w:val="0"/>
        <w:bidi w:val="0"/>
        <w:adjustRightInd/>
        <w:snapToGrid/>
        <w:spacing w:before="0" w:line="560" w:lineRule="exact"/>
        <w:ind w:right="117"/>
        <w:jc w:val="both"/>
        <w:textAlignment w:val="auto"/>
        <w:rPr>
          <w:highlight w:val="none"/>
        </w:rPr>
      </w:pPr>
      <w:r>
        <w:rPr>
          <w:rFonts w:hint="eastAsia"/>
          <w:highlight w:val="none"/>
        </w:rPr>
        <w:t>《上海证券交易所上市公司自律监管指引第1号--规范运作》</w:t>
      </w:r>
      <w:r>
        <w:rPr>
          <w:highlight w:val="none"/>
        </w:rPr>
        <w:t>《上海证券交易所上市公司自律监管指引第14号——可持续发展报告（试行）》</w:t>
      </w:r>
      <w:r>
        <w:rPr>
          <w:rFonts w:hint="eastAsia"/>
          <w:highlight w:val="none"/>
        </w:rPr>
        <w:t>等有关法律法规、规范性文件及《重庆望变电气（集团）股份有限公司公司章程》（以下简称“《公司章程》”）的相关规定，结合公司实际情况，制定本制度。</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spacing w:val="5"/>
          <w:highlight w:val="none"/>
        </w:rPr>
        <w:t>第二条</w:t>
      </w:r>
      <w:r>
        <w:rPr>
          <w:rFonts w:hint="eastAsia"/>
          <w:b/>
          <w:spacing w:val="5"/>
          <w:highlight w:val="none"/>
          <w:lang w:val="en-US"/>
        </w:rPr>
        <w:t xml:space="preserve">  </w:t>
      </w:r>
      <w:r>
        <w:rPr>
          <w:spacing w:val="-8"/>
          <w:highlight w:val="none"/>
        </w:rPr>
        <w:t>本制度所称的</w:t>
      </w:r>
      <w:r>
        <w:rPr>
          <w:rFonts w:ascii="Times New Roman" w:eastAsia="Times New Roman"/>
          <w:highlight w:val="none"/>
        </w:rPr>
        <w:t>ESG</w:t>
      </w:r>
      <w:r>
        <w:rPr>
          <w:highlight w:val="none"/>
        </w:rPr>
        <w:t>职责，是指公司在经营发展过程中应当履行的</w:t>
      </w:r>
      <w:r>
        <w:rPr>
          <w:spacing w:val="-4"/>
          <w:highlight w:val="none"/>
        </w:rPr>
        <w:t>环境</w:t>
      </w:r>
      <w:r>
        <w:rPr>
          <w:highlight w:val="none"/>
        </w:rPr>
        <w:t>（</w:t>
      </w:r>
      <w:r>
        <w:rPr>
          <w:rFonts w:ascii="Times New Roman" w:eastAsia="Times New Roman"/>
          <w:spacing w:val="-1"/>
          <w:highlight w:val="none"/>
        </w:rPr>
        <w:t>E</w:t>
      </w:r>
      <w:r>
        <w:rPr>
          <w:rFonts w:ascii="Times New Roman" w:eastAsia="Times New Roman"/>
          <w:highlight w:val="none"/>
        </w:rPr>
        <w:t>nv</w:t>
      </w:r>
      <w:r>
        <w:rPr>
          <w:rFonts w:ascii="Times New Roman" w:eastAsia="Times New Roman"/>
          <w:spacing w:val="-2"/>
          <w:highlight w:val="none"/>
        </w:rPr>
        <w:t>i</w:t>
      </w:r>
      <w:r>
        <w:rPr>
          <w:rFonts w:ascii="Times New Roman" w:eastAsia="Times New Roman"/>
          <w:spacing w:val="1"/>
          <w:highlight w:val="none"/>
        </w:rPr>
        <w:t>r</w:t>
      </w:r>
      <w:r>
        <w:rPr>
          <w:rFonts w:ascii="Times New Roman" w:eastAsia="Times New Roman"/>
          <w:highlight w:val="none"/>
        </w:rPr>
        <w:t>on</w:t>
      </w:r>
      <w:r>
        <w:rPr>
          <w:rFonts w:ascii="Times New Roman" w:eastAsia="Times New Roman"/>
          <w:spacing w:val="-2"/>
          <w:highlight w:val="none"/>
        </w:rPr>
        <w:t>m</w:t>
      </w:r>
      <w:r>
        <w:rPr>
          <w:rFonts w:ascii="Times New Roman" w:eastAsia="Times New Roman"/>
          <w:spacing w:val="1"/>
          <w:highlight w:val="none"/>
        </w:rPr>
        <w:t>e</w:t>
      </w:r>
      <w:r>
        <w:rPr>
          <w:rFonts w:ascii="Times New Roman" w:eastAsia="Times New Roman"/>
          <w:highlight w:val="none"/>
        </w:rPr>
        <w:t>nt</w:t>
      </w:r>
      <w:r>
        <w:rPr>
          <w:rFonts w:ascii="Times New Roman" w:eastAsia="Times New Roman"/>
          <w:spacing w:val="-1"/>
          <w:highlight w:val="none"/>
        </w:rPr>
        <w:t>a</w:t>
      </w:r>
      <w:r>
        <w:rPr>
          <w:rFonts w:ascii="Times New Roman" w:eastAsia="Times New Roman"/>
          <w:highlight w:val="none"/>
        </w:rPr>
        <w:t>l</w:t>
      </w:r>
      <w:r>
        <w:rPr>
          <w:spacing w:val="-120"/>
          <w:highlight w:val="none"/>
        </w:rPr>
        <w:t>）</w:t>
      </w:r>
      <w:r>
        <w:rPr>
          <w:spacing w:val="-5"/>
          <w:highlight w:val="none"/>
        </w:rPr>
        <w:t>、社会</w:t>
      </w:r>
      <w:r>
        <w:rPr>
          <w:highlight w:val="none"/>
        </w:rPr>
        <w:t>（</w:t>
      </w:r>
      <w:r>
        <w:rPr>
          <w:rFonts w:ascii="Times New Roman" w:eastAsia="Times New Roman"/>
          <w:spacing w:val="-2"/>
          <w:highlight w:val="none"/>
        </w:rPr>
        <w:t>S</w:t>
      </w:r>
      <w:r>
        <w:rPr>
          <w:rFonts w:ascii="Times New Roman" w:eastAsia="Times New Roman"/>
          <w:highlight w:val="none"/>
        </w:rPr>
        <w:t>o</w:t>
      </w:r>
      <w:r>
        <w:rPr>
          <w:rFonts w:ascii="Times New Roman" w:eastAsia="Times New Roman"/>
          <w:spacing w:val="-1"/>
          <w:highlight w:val="none"/>
        </w:rPr>
        <w:t>c</w:t>
      </w:r>
      <w:r>
        <w:rPr>
          <w:rFonts w:ascii="Times New Roman" w:eastAsia="Times New Roman"/>
          <w:highlight w:val="none"/>
        </w:rPr>
        <w:t>i</w:t>
      </w:r>
      <w:r>
        <w:rPr>
          <w:rFonts w:ascii="Times New Roman" w:eastAsia="Times New Roman"/>
          <w:spacing w:val="1"/>
          <w:highlight w:val="none"/>
        </w:rPr>
        <w:t>a</w:t>
      </w:r>
      <w:r>
        <w:rPr>
          <w:rFonts w:ascii="Times New Roman" w:eastAsia="Times New Roman"/>
          <w:highlight w:val="none"/>
        </w:rPr>
        <w:t>l</w:t>
      </w:r>
      <w:r>
        <w:rPr>
          <w:spacing w:val="-8"/>
          <w:highlight w:val="none"/>
        </w:rPr>
        <w:t>）</w:t>
      </w:r>
      <w:r>
        <w:rPr>
          <w:spacing w:val="-2"/>
          <w:highlight w:val="none"/>
        </w:rPr>
        <w:t>和公司治理</w:t>
      </w:r>
      <w:r>
        <w:rPr>
          <w:highlight w:val="none"/>
        </w:rPr>
        <w:t>（</w:t>
      </w:r>
      <w:r>
        <w:rPr>
          <w:rFonts w:ascii="Times New Roman" w:eastAsia="Times New Roman"/>
          <w:spacing w:val="-1"/>
          <w:highlight w:val="none"/>
        </w:rPr>
        <w:t>G</w:t>
      </w:r>
      <w:r>
        <w:rPr>
          <w:rFonts w:ascii="Times New Roman" w:eastAsia="Times New Roman"/>
          <w:highlight w:val="none"/>
        </w:rPr>
        <w:t>ov</w:t>
      </w:r>
      <w:r>
        <w:rPr>
          <w:rFonts w:ascii="Times New Roman" w:eastAsia="Times New Roman"/>
          <w:spacing w:val="-1"/>
          <w:highlight w:val="none"/>
        </w:rPr>
        <w:t>er</w:t>
      </w:r>
      <w:r>
        <w:rPr>
          <w:rFonts w:ascii="Times New Roman" w:eastAsia="Times New Roman"/>
          <w:highlight w:val="none"/>
        </w:rPr>
        <w:t>n</w:t>
      </w:r>
      <w:r>
        <w:rPr>
          <w:rFonts w:ascii="Times New Roman" w:eastAsia="Times New Roman"/>
          <w:spacing w:val="1"/>
          <w:highlight w:val="none"/>
        </w:rPr>
        <w:t>a</w:t>
      </w:r>
      <w:r>
        <w:rPr>
          <w:rFonts w:ascii="Times New Roman" w:eastAsia="Times New Roman"/>
          <w:highlight w:val="none"/>
        </w:rPr>
        <w:t>n</w:t>
      </w:r>
      <w:r>
        <w:rPr>
          <w:rFonts w:ascii="Times New Roman" w:eastAsia="Times New Roman"/>
          <w:spacing w:val="-1"/>
          <w:highlight w:val="none"/>
        </w:rPr>
        <w:t>c</w:t>
      </w:r>
      <w:r>
        <w:rPr>
          <w:rFonts w:ascii="Times New Roman" w:eastAsia="Times New Roman"/>
          <w:spacing w:val="1"/>
          <w:highlight w:val="none"/>
        </w:rPr>
        <w:t>e</w:t>
      </w:r>
      <w:r>
        <w:rPr>
          <w:spacing w:val="-5"/>
          <w:highlight w:val="none"/>
        </w:rPr>
        <w:t>）</w:t>
      </w:r>
      <w:r>
        <w:rPr>
          <w:highlight w:val="none"/>
        </w:rPr>
        <w:t>方面的责任和</w:t>
      </w:r>
      <w:r>
        <w:rPr>
          <w:spacing w:val="-11"/>
          <w:highlight w:val="none"/>
        </w:rPr>
        <w:t>义务，主要包括对自然环境和资源的保护、社会责任的承担以及公司治理的健全</w:t>
      </w:r>
      <w:r>
        <w:rPr>
          <w:highlight w:val="none"/>
        </w:rPr>
        <w:t>和透明。</w:t>
      </w:r>
    </w:p>
    <w:p>
      <w:pPr>
        <w:pStyle w:val="4"/>
        <w:keepNext w:val="0"/>
        <w:keepLines w:val="0"/>
        <w:pageBreakBefore w:val="0"/>
        <w:widowControl w:val="0"/>
        <w:kinsoku/>
        <w:wordWrap/>
        <w:overflowPunct/>
        <w:topLinePunct w:val="0"/>
        <w:autoSpaceDE w:val="0"/>
        <w:autoSpaceDN w:val="0"/>
        <w:bidi w:val="0"/>
        <w:adjustRightInd/>
        <w:snapToGrid/>
        <w:spacing w:before="3" w:line="560" w:lineRule="exact"/>
        <w:ind w:right="237" w:firstLine="480"/>
        <w:jc w:val="both"/>
        <w:textAlignment w:val="auto"/>
        <w:rPr>
          <w:highlight w:val="none"/>
        </w:rPr>
      </w:pPr>
      <w:r>
        <w:rPr>
          <w:b/>
          <w:spacing w:val="29"/>
          <w:highlight w:val="none"/>
        </w:rPr>
        <w:t>第三条</w:t>
      </w:r>
      <w:r>
        <w:rPr>
          <w:rFonts w:hint="eastAsia"/>
          <w:b/>
          <w:spacing w:val="29"/>
          <w:highlight w:val="none"/>
          <w:lang w:val="en-US"/>
        </w:rPr>
        <w:t xml:space="preserve"> </w:t>
      </w:r>
      <w:r>
        <w:rPr>
          <w:spacing w:val="-10"/>
          <w:highlight w:val="none"/>
        </w:rPr>
        <w:t>本制度所称利益相关方，是指其利益可能受到公司决策或经营活动</w:t>
      </w:r>
      <w:r>
        <w:rPr>
          <w:highlight w:val="none"/>
        </w:rPr>
        <w:t>影响的组织或个人，包括股东（投资者</w:t>
      </w:r>
      <w:r>
        <w:rPr>
          <w:spacing w:val="-120"/>
          <w:highlight w:val="none"/>
        </w:rPr>
        <w:t>）</w:t>
      </w:r>
      <w:r>
        <w:rPr>
          <w:spacing w:val="-1"/>
          <w:highlight w:val="none"/>
        </w:rPr>
        <w:t>、债权人、职工、合作伙伴、客户、供</w:t>
      </w:r>
      <w:r>
        <w:rPr>
          <w:highlight w:val="none"/>
        </w:rPr>
        <w:t>应商、社区组织和相关政府部门等。</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29"/>
          <w:highlight w:val="none"/>
        </w:rPr>
        <w:t>第四条</w:t>
      </w:r>
      <w:r>
        <w:rPr>
          <w:rFonts w:hint="eastAsia"/>
          <w:b/>
          <w:spacing w:val="29"/>
          <w:highlight w:val="none"/>
          <w:lang w:val="en-US"/>
        </w:rPr>
        <w:t xml:space="preserve"> </w:t>
      </w:r>
      <w:r>
        <w:rPr>
          <w:spacing w:val="-4"/>
          <w:highlight w:val="none"/>
        </w:rPr>
        <w:t>本制度适用于公司及纳入公司合并报表范围内的控股子公司</w:t>
      </w:r>
      <w:r>
        <w:rPr>
          <w:highlight w:val="none"/>
        </w:rPr>
        <w:t>（</w:t>
      </w:r>
      <w:r>
        <w:rPr>
          <w:spacing w:val="-8"/>
          <w:highlight w:val="none"/>
        </w:rPr>
        <w:t>以下</w:t>
      </w:r>
      <w:r>
        <w:rPr>
          <w:highlight w:val="none"/>
        </w:rPr>
        <w:t>简称“子公司</w:t>
      </w:r>
      <w:r>
        <w:rPr>
          <w:spacing w:val="-120"/>
          <w:highlight w:val="none"/>
        </w:rPr>
        <w:t>”）</w:t>
      </w:r>
      <w:r>
        <w:rPr>
          <w:highlight w:val="none"/>
        </w:rPr>
        <w:t>。</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第五条</w:t>
      </w:r>
      <w:r>
        <w:rPr>
          <w:rFonts w:hint="eastAsia"/>
          <w:b/>
          <w:highlight w:val="none"/>
          <w:lang w:val="en-US"/>
        </w:rPr>
        <w:t xml:space="preserve">  </w:t>
      </w:r>
      <w:r>
        <w:rPr>
          <w:highlight w:val="none"/>
        </w:rPr>
        <w:t>公司应当按照本制度的要求，积极履行</w:t>
      </w:r>
      <w:r>
        <w:rPr>
          <w:rFonts w:ascii="Times New Roman" w:eastAsia="Times New Roman"/>
          <w:highlight w:val="none"/>
        </w:rPr>
        <w:t>ESG</w:t>
      </w:r>
      <w:r>
        <w:rPr>
          <w:highlight w:val="none"/>
        </w:rPr>
        <w:t>职责，不定期评估公司</w:t>
      </w:r>
      <w:r>
        <w:rPr>
          <w:rFonts w:ascii="Times New Roman" w:eastAsia="Times New Roman"/>
          <w:highlight w:val="none"/>
        </w:rPr>
        <w:t>ESG</w:t>
      </w:r>
      <w:r>
        <w:rPr>
          <w:highlight w:val="none"/>
        </w:rPr>
        <w:t>职责的履行情况，自愿披露公司</w:t>
      </w:r>
      <w:r>
        <w:rPr>
          <w:rFonts w:ascii="Times New Roman" w:eastAsia="Times New Roman"/>
          <w:highlight w:val="none"/>
        </w:rPr>
        <w:t>ESG</w:t>
      </w:r>
      <w:r>
        <w:rPr>
          <w:highlight w:val="none"/>
        </w:rPr>
        <w:t>报告。</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17" w:firstLine="480"/>
        <w:jc w:val="both"/>
        <w:textAlignment w:val="auto"/>
        <w:rPr>
          <w:highlight w:val="none"/>
        </w:rPr>
      </w:pPr>
      <w:r>
        <w:rPr>
          <w:b/>
          <w:spacing w:val="29"/>
          <w:highlight w:val="none"/>
        </w:rPr>
        <w:t>第六条</w:t>
      </w:r>
      <w:r>
        <w:rPr>
          <w:rFonts w:hint="eastAsia"/>
          <w:b/>
          <w:spacing w:val="29"/>
          <w:highlight w:val="none"/>
          <w:lang w:val="en-US"/>
        </w:rPr>
        <w:t xml:space="preserve"> </w:t>
      </w:r>
      <w:r>
        <w:rPr>
          <w:spacing w:val="-9"/>
          <w:highlight w:val="none"/>
        </w:rPr>
        <w:t>公司必须确保</w:t>
      </w:r>
      <w:r>
        <w:rPr>
          <w:rFonts w:ascii="Times New Roman" w:eastAsia="Times New Roman"/>
          <w:highlight w:val="none"/>
        </w:rPr>
        <w:t>ESG</w:t>
      </w:r>
      <w:r>
        <w:rPr>
          <w:spacing w:val="-7"/>
          <w:highlight w:val="none"/>
        </w:rPr>
        <w:t>信息披露的实质性、真实性、准确性、完整性、</w:t>
      </w:r>
      <w:r>
        <w:rPr>
          <w:highlight w:val="none"/>
        </w:rPr>
        <w:t>一致性。</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highlight w:val="none"/>
        </w:rPr>
        <w:t>（一</w:t>
      </w:r>
      <w:r>
        <w:rPr>
          <w:spacing w:val="-32"/>
          <w:highlight w:val="none"/>
        </w:rPr>
        <w:t>）</w:t>
      </w:r>
      <w:r>
        <w:rPr>
          <w:spacing w:val="-9"/>
          <w:highlight w:val="none"/>
        </w:rPr>
        <w:t>实质性：披露的信息能对企业、利益相关方的决策和价值创造能力产</w:t>
      </w:r>
      <w:r>
        <w:rPr>
          <w:highlight w:val="none"/>
        </w:rPr>
        <w:t>生重要影响。</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17" w:firstLine="480"/>
        <w:jc w:val="both"/>
        <w:textAlignment w:val="auto"/>
        <w:rPr>
          <w:highlight w:val="none"/>
        </w:rPr>
      </w:pPr>
      <w:r>
        <w:rPr>
          <w:highlight w:val="none"/>
        </w:rPr>
        <w:t>（二）真实性：以客观事实或具有事实基础的判断和意见为依据进行披露，如实反映企业客观情况。</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600"/>
        <w:jc w:val="both"/>
        <w:textAlignment w:val="auto"/>
        <w:rPr>
          <w:highlight w:val="none"/>
        </w:rPr>
      </w:pPr>
      <w:r>
        <w:rPr>
          <w:highlight w:val="none"/>
        </w:rPr>
        <w:t>（三）准确性：以利益相关方的判断能力作为准确理解披露信息的标准，内</w:t>
      </w:r>
    </w:p>
    <w:p>
      <w:pPr>
        <w:pStyle w:val="4"/>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highlight w:val="none"/>
        </w:rPr>
      </w:pPr>
      <w:r>
        <w:rPr>
          <w:highlight w:val="none"/>
        </w:rPr>
        <w:t>容不含有误导性陈述，</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highlight w:val="none"/>
        </w:rPr>
      </w:pPr>
      <w:r>
        <w:rPr>
          <w:highlight w:val="none"/>
        </w:rPr>
        <w:t>（四</w:t>
      </w:r>
      <w:r>
        <w:rPr>
          <w:spacing w:val="-48"/>
          <w:highlight w:val="none"/>
        </w:rPr>
        <w:t>）</w:t>
      </w:r>
      <w:r>
        <w:rPr>
          <w:spacing w:val="-8"/>
          <w:highlight w:val="none"/>
        </w:rPr>
        <w:t>完整性：应披露对利益相关方做出价值判断和决策有重大影响的所有</w:t>
      </w:r>
      <w:r>
        <w:rPr>
          <w:highlight w:val="none"/>
        </w:rPr>
        <w:t>信息，信息内容完整、全面具体。</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highlight w:val="none"/>
        </w:rPr>
        <w:t>（五</w:t>
      </w:r>
      <w:r>
        <w:rPr>
          <w:spacing w:val="-32"/>
          <w:highlight w:val="none"/>
        </w:rPr>
        <w:t>）</w:t>
      </w:r>
      <w:r>
        <w:rPr>
          <w:spacing w:val="-9"/>
          <w:highlight w:val="none"/>
        </w:rPr>
        <w:t>一致性：使用一致的披露统计方法，使披露的信息能为利益相关方进</w:t>
      </w:r>
      <w:r>
        <w:rPr>
          <w:highlight w:val="none"/>
        </w:rPr>
        <w:t>行有意义的比较。</w:t>
      </w:r>
    </w:p>
    <w:p>
      <w:pPr>
        <w:pStyle w:val="2"/>
        <w:keepNext w:val="0"/>
        <w:keepLines w:val="0"/>
        <w:pageBreakBefore w:val="0"/>
        <w:widowControl w:val="0"/>
        <w:kinsoku/>
        <w:wordWrap/>
        <w:overflowPunct/>
        <w:topLinePunct w:val="0"/>
        <w:autoSpaceDE w:val="0"/>
        <w:autoSpaceDN w:val="0"/>
        <w:bidi w:val="0"/>
        <w:adjustRightInd/>
        <w:snapToGrid/>
        <w:spacing w:before="166" w:line="560" w:lineRule="exact"/>
        <w:ind w:right="2145"/>
        <w:jc w:val="both"/>
        <w:textAlignment w:val="auto"/>
        <w:rPr>
          <w:highlight w:val="none"/>
        </w:rPr>
      </w:pPr>
      <w:bookmarkStart w:id="1" w:name="第二章_ESG职责理念与原则"/>
      <w:bookmarkEnd w:id="1"/>
      <w:r>
        <w:rPr>
          <w:highlight w:val="none"/>
        </w:rPr>
        <w:t>第二章</w:t>
      </w:r>
      <w:r>
        <w:rPr>
          <w:rFonts w:hint="eastAsia"/>
          <w:highlight w:val="none"/>
          <w:lang w:val="en-US"/>
        </w:rPr>
        <w:t xml:space="preserve">  </w:t>
      </w:r>
      <w:r>
        <w:rPr>
          <w:rFonts w:ascii="Times New Roman" w:eastAsia="Times New Roman"/>
          <w:highlight w:val="none"/>
        </w:rPr>
        <w:t>ESG</w:t>
      </w:r>
      <w:r>
        <w:rPr>
          <w:highlight w:val="none"/>
        </w:rPr>
        <w:t>职责理念与原则</w:t>
      </w:r>
    </w:p>
    <w:p>
      <w:pPr>
        <w:pStyle w:val="4"/>
        <w:keepNext w:val="0"/>
        <w:keepLines w:val="0"/>
        <w:pageBreakBefore w:val="0"/>
        <w:widowControl w:val="0"/>
        <w:tabs>
          <w:tab w:val="left" w:pos="1562"/>
        </w:tabs>
        <w:kinsoku/>
        <w:wordWrap/>
        <w:overflowPunct/>
        <w:topLinePunct w:val="0"/>
        <w:autoSpaceDE w:val="0"/>
        <w:autoSpaceDN w:val="0"/>
        <w:bidi w:val="0"/>
        <w:adjustRightInd/>
        <w:snapToGrid/>
        <w:spacing w:before="0" w:line="560" w:lineRule="exact"/>
        <w:ind w:right="117" w:firstLine="480"/>
        <w:jc w:val="both"/>
        <w:textAlignment w:val="auto"/>
        <w:rPr>
          <w:highlight w:val="none"/>
        </w:rPr>
      </w:pPr>
      <w:r>
        <w:rPr>
          <w:b/>
          <w:highlight w:val="none"/>
        </w:rPr>
        <w:t>第七条</w:t>
      </w:r>
      <w:r>
        <w:rPr>
          <w:b/>
          <w:highlight w:val="none"/>
        </w:rPr>
        <w:tab/>
      </w:r>
      <w:r>
        <w:rPr>
          <w:highlight w:val="none"/>
        </w:rPr>
        <w:t>公司</w:t>
      </w:r>
      <w:r>
        <w:rPr>
          <w:rFonts w:ascii="Times New Roman" w:eastAsia="Times New Roman"/>
          <w:highlight w:val="none"/>
        </w:rPr>
        <w:t>ESG</w:t>
      </w:r>
      <w:r>
        <w:rPr>
          <w:highlight w:val="none"/>
        </w:rPr>
        <w:t>管理工作紧紧围绕公司战略目标和要求</w:t>
      </w:r>
      <w:r>
        <w:rPr>
          <w:spacing w:val="-44"/>
          <w:highlight w:val="none"/>
        </w:rPr>
        <w:t>，</w:t>
      </w:r>
      <w:r>
        <w:rPr>
          <w:highlight w:val="none"/>
        </w:rPr>
        <w:t>将</w:t>
      </w:r>
      <w:r>
        <w:rPr>
          <w:rFonts w:ascii="Times New Roman" w:eastAsia="Times New Roman"/>
          <w:highlight w:val="none"/>
        </w:rPr>
        <w:t>ESG</w:t>
      </w:r>
      <w:r>
        <w:rPr>
          <w:highlight w:val="none"/>
        </w:rPr>
        <w:t>理念融入公司发展战略</w:t>
      </w:r>
      <w:r>
        <w:rPr>
          <w:spacing w:val="-44"/>
          <w:highlight w:val="none"/>
        </w:rPr>
        <w:t>，</w:t>
      </w:r>
      <w:r>
        <w:rPr>
          <w:highlight w:val="none"/>
        </w:rPr>
        <w:t>系统设计</w:t>
      </w:r>
      <w:r>
        <w:rPr>
          <w:spacing w:val="-44"/>
          <w:highlight w:val="none"/>
        </w:rPr>
        <w:t>，</w:t>
      </w:r>
      <w:r>
        <w:rPr>
          <w:highlight w:val="none"/>
        </w:rPr>
        <w:t>整体布局</w:t>
      </w:r>
      <w:r>
        <w:rPr>
          <w:spacing w:val="-44"/>
          <w:highlight w:val="none"/>
        </w:rPr>
        <w:t>，</w:t>
      </w:r>
      <w:r>
        <w:rPr>
          <w:highlight w:val="none"/>
        </w:rPr>
        <w:t>实现经济</w:t>
      </w:r>
      <w:r>
        <w:rPr>
          <w:spacing w:val="-44"/>
          <w:highlight w:val="none"/>
        </w:rPr>
        <w:t>、</w:t>
      </w:r>
      <w:r>
        <w:rPr>
          <w:highlight w:val="none"/>
        </w:rPr>
        <w:t>社会</w:t>
      </w:r>
      <w:r>
        <w:rPr>
          <w:spacing w:val="-41"/>
          <w:highlight w:val="none"/>
        </w:rPr>
        <w:t>、</w:t>
      </w:r>
      <w:r>
        <w:rPr>
          <w:highlight w:val="none"/>
        </w:rPr>
        <w:t>环境综合效益最大化</w:t>
      </w:r>
      <w:r>
        <w:rPr>
          <w:spacing w:val="-13"/>
          <w:highlight w:val="none"/>
        </w:rPr>
        <w:t>，</w:t>
      </w:r>
      <w:r>
        <w:rPr>
          <w:highlight w:val="none"/>
        </w:rPr>
        <w:t>推动公司可持续发展。</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spacing w:val="5"/>
          <w:highlight w:val="none"/>
        </w:rPr>
        <w:t>第八条</w:t>
      </w:r>
      <w:r>
        <w:rPr>
          <w:rFonts w:hint="eastAsia"/>
          <w:b/>
          <w:spacing w:val="5"/>
          <w:highlight w:val="none"/>
        </w:rPr>
        <w:t xml:space="preserve">  </w:t>
      </w:r>
      <w:r>
        <w:rPr>
          <w:spacing w:val="-3"/>
          <w:highlight w:val="none"/>
        </w:rPr>
        <w:t>公司始终坚持把社会效益摆在首位，积极践行</w:t>
      </w:r>
      <w:r>
        <w:rPr>
          <w:rFonts w:ascii="Times New Roman" w:eastAsia="Times New Roman"/>
          <w:highlight w:val="none"/>
        </w:rPr>
        <w:t>ESG</w:t>
      </w:r>
      <w:r>
        <w:rPr>
          <w:highlight w:val="none"/>
        </w:rPr>
        <w:t>职责努力实现</w:t>
      </w:r>
      <w:r>
        <w:rPr>
          <w:spacing w:val="-7"/>
          <w:highlight w:val="none"/>
        </w:rPr>
        <w:t>社会效益和经济效益相统一。在注重公司可持续经营与盈利的同时，关注对公司</w:t>
      </w:r>
      <w:r>
        <w:rPr>
          <w:highlight w:val="none"/>
        </w:rPr>
        <w:t>治理、社会责任、环境保护等方面的促进，带动公司高质量发展。</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40" w:firstLine="480"/>
        <w:jc w:val="both"/>
        <w:textAlignment w:val="auto"/>
        <w:rPr>
          <w:highlight w:val="none"/>
        </w:rPr>
      </w:pPr>
      <w:r>
        <w:rPr>
          <w:b/>
          <w:highlight w:val="none"/>
        </w:rPr>
        <w:t>第九条</w:t>
      </w:r>
      <w:r>
        <w:rPr>
          <w:rFonts w:hint="eastAsia"/>
          <w:b/>
          <w:highlight w:val="none"/>
        </w:rPr>
        <w:t xml:space="preserve">  </w:t>
      </w:r>
      <w:r>
        <w:rPr>
          <w:highlight w:val="none"/>
        </w:rPr>
        <w:t>根据实际情况，加快公司</w:t>
      </w:r>
      <w:r>
        <w:rPr>
          <w:rFonts w:ascii="Times New Roman" w:eastAsia="Times New Roman"/>
          <w:highlight w:val="none"/>
        </w:rPr>
        <w:t>ESG</w:t>
      </w:r>
      <w:r>
        <w:rPr>
          <w:highlight w:val="none"/>
        </w:rPr>
        <w:t>体系建设，强化实践推广树立品牌形象，满足监管要求</w:t>
      </w:r>
      <w:r>
        <w:rPr>
          <w:rFonts w:ascii="Times New Roman" w:eastAsia="Times New Roman"/>
          <w:highlight w:val="none"/>
        </w:rPr>
        <w:t>,</w:t>
      </w:r>
      <w:r>
        <w:rPr>
          <w:highlight w:val="none"/>
        </w:rPr>
        <w:t>分阶段逐步提高治理水平，稳步提升</w:t>
      </w:r>
      <w:r>
        <w:rPr>
          <w:rFonts w:ascii="Times New Roman" w:eastAsia="Times New Roman"/>
          <w:highlight w:val="none"/>
        </w:rPr>
        <w:t>ESG</w:t>
      </w:r>
      <w:r>
        <w:rPr>
          <w:highlight w:val="none"/>
        </w:rPr>
        <w:t>表现水平。</w:t>
      </w:r>
    </w:p>
    <w:p>
      <w:pPr>
        <w:pStyle w:val="4"/>
        <w:keepNext w:val="0"/>
        <w:keepLines w:val="0"/>
        <w:pageBreakBefore w:val="0"/>
        <w:widowControl w:val="0"/>
        <w:tabs>
          <w:tab w:val="left" w:pos="1562"/>
        </w:tabs>
        <w:kinsoku/>
        <w:wordWrap/>
        <w:overflowPunct/>
        <w:topLinePunct w:val="0"/>
        <w:autoSpaceDE w:val="0"/>
        <w:autoSpaceDN w:val="0"/>
        <w:bidi w:val="0"/>
        <w:adjustRightInd/>
        <w:snapToGrid/>
        <w:spacing w:line="560" w:lineRule="exact"/>
        <w:ind w:right="117" w:firstLine="480"/>
        <w:jc w:val="both"/>
        <w:textAlignment w:val="auto"/>
        <w:rPr>
          <w:highlight w:val="none"/>
        </w:rPr>
      </w:pPr>
      <w:r>
        <w:rPr>
          <w:b/>
          <w:highlight w:val="none"/>
        </w:rPr>
        <w:t>第十条</w:t>
      </w:r>
      <w:r>
        <w:rPr>
          <w:b/>
          <w:highlight w:val="none"/>
        </w:rPr>
        <w:tab/>
      </w:r>
      <w:r>
        <w:rPr>
          <w:highlight w:val="none"/>
        </w:rPr>
        <w:t>公司将</w:t>
      </w:r>
      <w:r>
        <w:rPr>
          <w:rFonts w:ascii="Times New Roman" w:hAnsi="Times New Roman" w:eastAsia="Times New Roman"/>
          <w:highlight w:val="none"/>
        </w:rPr>
        <w:t>ESG</w:t>
      </w:r>
      <w:r>
        <w:rPr>
          <w:highlight w:val="none"/>
        </w:rPr>
        <w:t>实践贯彻落实到公司的生产经营管理活动中</w:t>
      </w:r>
      <w:r>
        <w:rPr>
          <w:rFonts w:hint="eastAsia"/>
          <w:highlight w:val="none"/>
        </w:rPr>
        <w:t>，</w:t>
      </w:r>
      <w:r>
        <w:rPr>
          <w:highlight w:val="none"/>
        </w:rPr>
        <w:t>理清工作流程</w:t>
      </w:r>
      <w:r>
        <w:rPr>
          <w:spacing w:val="-82"/>
          <w:highlight w:val="none"/>
        </w:rPr>
        <w:t>，</w:t>
      </w:r>
      <w:r>
        <w:rPr>
          <w:highlight w:val="none"/>
        </w:rPr>
        <w:t>建立顺畅的</w:t>
      </w:r>
      <w:r>
        <w:rPr>
          <w:rFonts w:ascii="Times New Roman" w:hAnsi="Times New Roman" w:eastAsia="Times New Roman"/>
          <w:highlight w:val="none"/>
        </w:rPr>
        <w:t>ESG</w:t>
      </w:r>
      <w:r>
        <w:rPr>
          <w:highlight w:val="none"/>
        </w:rPr>
        <w:t>管理机制</w:t>
      </w:r>
      <w:r>
        <w:rPr>
          <w:rFonts w:ascii="Times New Roman" w:hAnsi="Times New Roman" w:eastAsia="Times New Roman"/>
          <w:highlight w:val="none"/>
        </w:rPr>
        <w:t>,</w:t>
      </w:r>
      <w:r>
        <w:rPr>
          <w:highlight w:val="none"/>
        </w:rPr>
        <w:t>建立</w:t>
      </w:r>
      <w:r>
        <w:rPr>
          <w:rFonts w:ascii="Times New Roman" w:hAnsi="Times New Roman" w:eastAsia="Times New Roman"/>
          <w:highlight w:val="none"/>
        </w:rPr>
        <w:t>ESG</w:t>
      </w:r>
      <w:r>
        <w:rPr>
          <w:highlight w:val="none"/>
        </w:rPr>
        <w:t>管理部门联动机制</w:t>
      </w:r>
      <w:r>
        <w:rPr>
          <w:spacing w:val="-80"/>
          <w:highlight w:val="none"/>
        </w:rPr>
        <w:t>，</w:t>
      </w:r>
      <w:r>
        <w:rPr>
          <w:highlight w:val="none"/>
        </w:rPr>
        <w:t>明确工作流程</w:t>
      </w:r>
      <w:r>
        <w:rPr>
          <w:spacing w:val="-11"/>
          <w:highlight w:val="none"/>
        </w:rPr>
        <w:t>，</w:t>
      </w:r>
      <w:r>
        <w:rPr>
          <w:highlight w:val="none"/>
        </w:rPr>
        <w:t>提升针对性与沟通力</w:t>
      </w:r>
      <w:r>
        <w:rPr>
          <w:spacing w:val="-3"/>
          <w:highlight w:val="none"/>
        </w:rPr>
        <w:t>，</w:t>
      </w:r>
      <w:r>
        <w:rPr>
          <w:highlight w:val="none"/>
        </w:rPr>
        <w:t>逐步形</w:t>
      </w:r>
      <w:r>
        <w:rPr>
          <w:spacing w:val="-3"/>
          <w:highlight w:val="none"/>
        </w:rPr>
        <w:t>成</w:t>
      </w:r>
      <w:r>
        <w:rPr>
          <w:highlight w:val="none"/>
        </w:rPr>
        <w:t>“公司董事会审核决策</w:t>
      </w:r>
      <w:r>
        <w:rPr>
          <w:spacing w:val="-3"/>
          <w:highlight w:val="none"/>
        </w:rPr>
        <w:t>、</w:t>
      </w:r>
      <w:bookmarkStart w:id="2" w:name="OLE_LINK1"/>
      <w:r>
        <w:rPr>
          <w:rFonts w:hint="eastAsia"/>
          <w:spacing w:val="-3"/>
          <w:highlight w:val="none"/>
          <w:lang w:val="en-US"/>
        </w:rPr>
        <w:t>战略与可持续发展（ESG）</w:t>
      </w:r>
      <w:r>
        <w:rPr>
          <w:highlight w:val="none"/>
        </w:rPr>
        <w:t>委员会</w:t>
      </w:r>
      <w:bookmarkEnd w:id="2"/>
      <w:r>
        <w:rPr>
          <w:highlight w:val="none"/>
        </w:rPr>
        <w:t>统筹管理</w:t>
      </w:r>
      <w:r>
        <w:rPr>
          <w:spacing w:val="-13"/>
          <w:highlight w:val="none"/>
        </w:rPr>
        <w:t>、</w:t>
      </w:r>
      <w:r>
        <w:rPr>
          <w:rFonts w:ascii="Times New Roman" w:hAnsi="Times New Roman" w:eastAsia="Times New Roman"/>
          <w:highlight w:val="none"/>
        </w:rPr>
        <w:t>ESG</w:t>
      </w:r>
      <w:r>
        <w:rPr>
          <w:highlight w:val="none"/>
        </w:rPr>
        <w:t>工作小组及各部门落实实践</w:t>
      </w:r>
      <w:r>
        <w:rPr>
          <w:spacing w:val="-84"/>
          <w:highlight w:val="none"/>
        </w:rPr>
        <w:t>、</w:t>
      </w:r>
      <w:r>
        <w:rPr>
          <w:highlight w:val="none"/>
        </w:rPr>
        <w:t>所属各单位积极参与</w:t>
      </w:r>
      <w:r>
        <w:rPr>
          <w:spacing w:val="-82"/>
          <w:highlight w:val="none"/>
        </w:rPr>
        <w:t>”</w:t>
      </w:r>
      <w:r>
        <w:rPr>
          <w:highlight w:val="none"/>
        </w:rPr>
        <w:t>的权责明晰</w:t>
      </w:r>
      <w:r>
        <w:rPr>
          <w:spacing w:val="-82"/>
          <w:highlight w:val="none"/>
        </w:rPr>
        <w:t>、</w:t>
      </w:r>
      <w:r>
        <w:rPr>
          <w:highlight w:val="none"/>
        </w:rPr>
        <w:t>流程规范</w:t>
      </w:r>
      <w:r>
        <w:rPr>
          <w:spacing w:val="-14"/>
          <w:highlight w:val="none"/>
        </w:rPr>
        <w:t>、</w:t>
      </w:r>
      <w:r>
        <w:rPr>
          <w:highlight w:val="none"/>
        </w:rPr>
        <w:t>上下联动的工作机制。</w:t>
      </w:r>
    </w:p>
    <w:p>
      <w:pPr>
        <w:pStyle w:val="2"/>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highlight w:val="none"/>
        </w:rPr>
      </w:pPr>
      <w:bookmarkStart w:id="3" w:name="第三章_管理机构与职责及工作措施"/>
      <w:bookmarkEnd w:id="3"/>
      <w:r>
        <w:rPr>
          <w:highlight w:val="none"/>
        </w:rPr>
        <w:t>第三章</w:t>
      </w:r>
      <w:r>
        <w:rPr>
          <w:rFonts w:hint="eastAsia"/>
          <w:highlight w:val="none"/>
          <w:lang w:val="en-US"/>
        </w:rPr>
        <w:t xml:space="preserve">  </w:t>
      </w:r>
      <w:r>
        <w:rPr>
          <w:highlight w:val="none"/>
        </w:rPr>
        <w:t>管理机构与职责及工作措施</w:t>
      </w:r>
    </w:p>
    <w:p>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237" w:firstLine="480"/>
        <w:jc w:val="both"/>
        <w:textAlignment w:val="auto"/>
        <w:rPr>
          <w:highlight w:val="none"/>
        </w:rPr>
      </w:pPr>
      <w:r>
        <w:rPr>
          <w:b/>
          <w:highlight w:val="none"/>
        </w:rPr>
        <w:t>第十一条</w:t>
      </w:r>
      <w:r>
        <w:rPr>
          <w:rFonts w:hint="eastAsia"/>
          <w:b/>
          <w:highlight w:val="none"/>
          <w:lang w:val="en-US"/>
        </w:rPr>
        <w:t xml:space="preserve">  </w:t>
      </w:r>
      <w:r>
        <w:rPr>
          <w:highlight w:val="none"/>
        </w:rPr>
        <w:t>公司建立</w:t>
      </w:r>
      <w:r>
        <w:rPr>
          <w:rFonts w:ascii="Times New Roman" w:eastAsia="Times New Roman"/>
          <w:highlight w:val="none"/>
        </w:rPr>
        <w:t>ESG</w:t>
      </w:r>
      <w:r>
        <w:rPr>
          <w:highlight w:val="none"/>
        </w:rPr>
        <w:t>管理体系，对相关工作进行统一领导、决策并组织实施。</w:t>
      </w:r>
    </w:p>
    <w:p>
      <w:pPr>
        <w:pStyle w:val="4"/>
        <w:keepNext w:val="0"/>
        <w:keepLines w:val="0"/>
        <w:pageBreakBefore w:val="0"/>
        <w:widowControl w:val="0"/>
        <w:kinsoku/>
        <w:wordWrap/>
        <w:overflowPunct/>
        <w:topLinePunct w:val="0"/>
        <w:autoSpaceDE w:val="0"/>
        <w:autoSpaceDN w:val="0"/>
        <w:bidi w:val="0"/>
        <w:adjustRightInd/>
        <w:snapToGrid/>
        <w:spacing w:line="560" w:lineRule="exact"/>
        <w:ind w:left="600"/>
        <w:jc w:val="both"/>
        <w:textAlignment w:val="auto"/>
        <w:rPr>
          <w:highlight w:val="none"/>
        </w:rPr>
      </w:pPr>
      <w:r>
        <w:rPr>
          <w:highlight w:val="none"/>
        </w:rPr>
        <w:t>公司的</w:t>
      </w:r>
      <w:r>
        <w:rPr>
          <w:rFonts w:ascii="Times New Roman" w:eastAsia="Times New Roman"/>
          <w:highlight w:val="none"/>
        </w:rPr>
        <w:t>ESG</w:t>
      </w:r>
      <w:r>
        <w:rPr>
          <w:highlight w:val="none"/>
        </w:rPr>
        <w:t>管理体系为：</w:t>
      </w:r>
    </w:p>
    <w:p>
      <w:pPr>
        <w:pStyle w:val="4"/>
        <w:keepNext w:val="0"/>
        <w:keepLines w:val="0"/>
        <w:pageBreakBefore w:val="0"/>
        <w:widowControl w:val="0"/>
        <w:kinsoku/>
        <w:wordWrap/>
        <w:overflowPunct/>
        <w:topLinePunct w:val="0"/>
        <w:autoSpaceDE w:val="0"/>
        <w:autoSpaceDN w:val="0"/>
        <w:bidi w:val="0"/>
        <w:adjustRightInd/>
        <w:snapToGrid/>
        <w:spacing w:before="161" w:line="560" w:lineRule="exact"/>
        <w:ind w:left="600"/>
        <w:jc w:val="both"/>
        <w:textAlignment w:val="auto"/>
        <w:rPr>
          <w:highlight w:val="none"/>
        </w:rPr>
      </w:pPr>
      <w:r>
        <w:rPr>
          <w:highlight w:val="none"/>
        </w:rPr>
        <w:t>（一）董事会是</w:t>
      </w:r>
      <w:r>
        <w:rPr>
          <w:rFonts w:ascii="Times New Roman" w:eastAsia="Times New Roman"/>
          <w:highlight w:val="none"/>
        </w:rPr>
        <w:t>ESG</w:t>
      </w:r>
      <w:r>
        <w:rPr>
          <w:highlight w:val="none"/>
        </w:rPr>
        <w:t>工作的领导和决策机构；</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highlight w:val="none"/>
        </w:rPr>
      </w:pPr>
      <w:r>
        <w:rPr>
          <w:highlight w:val="none"/>
        </w:rPr>
        <w:t>（二</w:t>
      </w:r>
      <w:r>
        <w:rPr>
          <w:spacing w:val="-8"/>
          <w:highlight w:val="none"/>
        </w:rPr>
        <w:t>）</w:t>
      </w:r>
      <w:r>
        <w:rPr>
          <w:rFonts w:hint="eastAsia"/>
          <w:spacing w:val="-3"/>
          <w:highlight w:val="none"/>
          <w:lang w:val="en-US"/>
        </w:rPr>
        <w:t>战略与可持续发展（ESG）</w:t>
      </w:r>
      <w:r>
        <w:rPr>
          <w:spacing w:val="-12"/>
          <w:highlight w:val="none"/>
        </w:rPr>
        <w:t>委员会是</w:t>
      </w:r>
      <w:r>
        <w:rPr>
          <w:rFonts w:ascii="Times New Roman" w:eastAsia="Times New Roman"/>
          <w:highlight w:val="none"/>
        </w:rPr>
        <w:t>ESG</w:t>
      </w:r>
      <w:r>
        <w:rPr>
          <w:spacing w:val="-8"/>
          <w:highlight w:val="none"/>
        </w:rPr>
        <w:t>工作的研究和指导机构，下设</w:t>
      </w:r>
      <w:r>
        <w:rPr>
          <w:rFonts w:ascii="Times New Roman" w:eastAsia="Times New Roman"/>
          <w:highlight w:val="none"/>
        </w:rPr>
        <w:t>ESG</w:t>
      </w:r>
      <w:r>
        <w:rPr>
          <w:spacing w:val="-6"/>
          <w:highlight w:val="none"/>
        </w:rPr>
        <w:t>工作小组，负</w:t>
      </w:r>
      <w:r>
        <w:rPr>
          <w:spacing w:val="-22"/>
          <w:highlight w:val="none"/>
        </w:rPr>
        <w:t>责</w:t>
      </w:r>
      <w:r>
        <w:rPr>
          <w:rFonts w:ascii="Times New Roman" w:eastAsia="Times New Roman"/>
          <w:highlight w:val="none"/>
        </w:rPr>
        <w:t>ESG</w:t>
      </w:r>
      <w:r>
        <w:rPr>
          <w:highlight w:val="none"/>
        </w:rPr>
        <w:t>工作的开展，公司</w:t>
      </w:r>
      <w:r>
        <w:rPr>
          <w:rFonts w:hint="eastAsia"/>
          <w:highlight w:val="none"/>
          <w:lang w:val="en-US"/>
        </w:rPr>
        <w:t>总经理</w:t>
      </w:r>
      <w:r>
        <w:rPr>
          <w:highlight w:val="none"/>
        </w:rPr>
        <w:t>任小组组长，公司各业务板块</w:t>
      </w:r>
      <w:r>
        <w:rPr>
          <w:rFonts w:hint="eastAsia"/>
          <w:highlight w:val="none"/>
          <w:lang w:val="en-US"/>
        </w:rPr>
        <w:t>分管领导</w:t>
      </w:r>
      <w:r>
        <w:rPr>
          <w:highlight w:val="none"/>
        </w:rPr>
        <w:t>、各职能部门负责人为小组组员；</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spacing w:val="-3"/>
          <w:highlight w:val="none"/>
          <w:lang w:val="en-US"/>
        </w:rPr>
      </w:pPr>
      <w:r>
        <w:rPr>
          <w:rFonts w:hint="eastAsia"/>
          <w:spacing w:val="-3"/>
          <w:highlight w:val="none"/>
          <w:lang w:val="en-US"/>
        </w:rPr>
        <w:t>（三）公司各职能部门、分子公司（以下简称“各单位”）是ESG工作的执行单位；</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spacing w:val="-3"/>
          <w:highlight w:val="none"/>
          <w:lang w:val="en-US"/>
        </w:rPr>
      </w:pPr>
      <w:r>
        <w:rPr>
          <w:rFonts w:hint="eastAsia"/>
          <w:spacing w:val="-3"/>
          <w:highlight w:val="none"/>
          <w:lang w:val="en-US"/>
        </w:rPr>
        <w:t>（四）证券管理部门是负责ESG职责相关日常工作的机构。</w:t>
      </w:r>
    </w:p>
    <w:p>
      <w:pPr>
        <w:pStyle w:val="4"/>
        <w:keepNext w:val="0"/>
        <w:keepLines w:val="0"/>
        <w:pageBreakBefore w:val="0"/>
        <w:widowControl w:val="0"/>
        <w:tabs>
          <w:tab w:val="left" w:pos="1802"/>
        </w:tabs>
        <w:kinsoku/>
        <w:wordWrap/>
        <w:overflowPunct/>
        <w:topLinePunct w:val="0"/>
        <w:autoSpaceDE w:val="0"/>
        <w:autoSpaceDN w:val="0"/>
        <w:bidi w:val="0"/>
        <w:adjustRightInd/>
        <w:snapToGrid/>
        <w:spacing w:line="560" w:lineRule="exact"/>
        <w:ind w:left="600" w:right="2450"/>
        <w:jc w:val="both"/>
        <w:textAlignment w:val="auto"/>
        <w:rPr>
          <w:highlight w:val="none"/>
        </w:rPr>
      </w:pPr>
      <w:r>
        <w:rPr>
          <w:b/>
          <w:highlight w:val="none"/>
        </w:rPr>
        <w:t>第十二条</w:t>
      </w:r>
      <w:r>
        <w:rPr>
          <w:b/>
          <w:highlight w:val="none"/>
        </w:rPr>
        <w:tab/>
      </w:r>
      <w:r>
        <w:rPr>
          <w:rFonts w:ascii="Times New Roman" w:eastAsia="Times New Roman"/>
          <w:highlight w:val="none"/>
        </w:rPr>
        <w:t>ESG</w:t>
      </w:r>
      <w:r>
        <w:rPr>
          <w:highlight w:val="none"/>
        </w:rPr>
        <w:t>工作相关各方责任为：</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17" w:firstLine="480"/>
        <w:jc w:val="both"/>
        <w:textAlignment w:val="auto"/>
        <w:rPr>
          <w:highlight w:val="none"/>
        </w:rPr>
      </w:pPr>
      <w:r>
        <w:rPr>
          <w:highlight w:val="none"/>
        </w:rPr>
        <w:t>（一</w:t>
      </w:r>
      <w:r>
        <w:rPr>
          <w:spacing w:val="-82"/>
          <w:highlight w:val="none"/>
        </w:rPr>
        <w:t>）</w:t>
      </w:r>
      <w:r>
        <w:rPr>
          <w:spacing w:val="-5"/>
          <w:highlight w:val="none"/>
        </w:rPr>
        <w:t>董事会负责审议和批准公司的</w:t>
      </w:r>
      <w:r>
        <w:rPr>
          <w:rFonts w:ascii="Times New Roman" w:eastAsia="Times New Roman"/>
          <w:highlight w:val="none"/>
        </w:rPr>
        <w:t>ESG</w:t>
      </w:r>
      <w:r>
        <w:rPr>
          <w:spacing w:val="-14"/>
          <w:highlight w:val="none"/>
        </w:rPr>
        <w:t>管理制度，审定公司的</w:t>
      </w:r>
      <w:r>
        <w:rPr>
          <w:rFonts w:ascii="Times New Roman" w:eastAsia="Times New Roman"/>
          <w:highlight w:val="none"/>
        </w:rPr>
        <w:t>ESG</w:t>
      </w:r>
      <w:r>
        <w:rPr>
          <w:spacing w:val="-4"/>
          <w:highlight w:val="none"/>
        </w:rPr>
        <w:t>报告，</w:t>
      </w:r>
      <w:r>
        <w:rPr>
          <w:spacing w:val="-26"/>
          <w:highlight w:val="none"/>
        </w:rPr>
        <w:t>对</w:t>
      </w:r>
      <w:r>
        <w:rPr>
          <w:rFonts w:ascii="Times New Roman" w:eastAsia="Times New Roman"/>
          <w:highlight w:val="none"/>
        </w:rPr>
        <w:t>ESG</w:t>
      </w:r>
      <w:r>
        <w:rPr>
          <w:highlight w:val="none"/>
        </w:rPr>
        <w:t>公布工作中的重大议题、工作目标、信息披露、对外报告等进行讨论、评估、审批；</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181" w:firstLine="480"/>
        <w:jc w:val="both"/>
        <w:textAlignment w:val="auto"/>
        <w:rPr>
          <w:highlight w:val="none"/>
        </w:rPr>
      </w:pPr>
      <w:r>
        <w:rPr>
          <w:highlight w:val="none"/>
        </w:rPr>
        <w:t>（二）</w:t>
      </w:r>
      <w:r>
        <w:rPr>
          <w:rFonts w:hint="eastAsia"/>
          <w:spacing w:val="-3"/>
          <w:highlight w:val="none"/>
          <w:lang w:val="en-US"/>
        </w:rPr>
        <w:t>战略与可持续发展（ESG）</w:t>
      </w:r>
      <w:r>
        <w:rPr>
          <w:spacing w:val="-12"/>
          <w:highlight w:val="none"/>
        </w:rPr>
        <w:t>委员会</w:t>
      </w:r>
      <w:r>
        <w:rPr>
          <w:highlight w:val="none"/>
        </w:rPr>
        <w:t>及</w:t>
      </w:r>
      <w:r>
        <w:rPr>
          <w:rFonts w:ascii="Times New Roman" w:eastAsia="Times New Roman"/>
          <w:highlight w:val="none"/>
        </w:rPr>
        <w:t>ESG</w:t>
      </w:r>
      <w:r>
        <w:rPr>
          <w:highlight w:val="none"/>
        </w:rPr>
        <w:t>工作小组负责统筹协调相关内外部工作，研究实质性议题，指导</w:t>
      </w:r>
      <w:r>
        <w:rPr>
          <w:rFonts w:ascii="Times New Roman" w:eastAsia="Times New Roman"/>
          <w:highlight w:val="none"/>
        </w:rPr>
        <w:t>ESG</w:t>
      </w:r>
      <w:r>
        <w:rPr>
          <w:highlight w:val="none"/>
        </w:rPr>
        <w:t>工作的日常开展及</w:t>
      </w:r>
      <w:r>
        <w:rPr>
          <w:rFonts w:ascii="Times New Roman" w:eastAsia="Times New Roman"/>
          <w:highlight w:val="none"/>
        </w:rPr>
        <w:t>ESG</w:t>
      </w:r>
      <w:r>
        <w:rPr>
          <w:highlight w:val="none"/>
        </w:rPr>
        <w:t>报告的编制工作；</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98" w:firstLine="480"/>
        <w:jc w:val="both"/>
        <w:textAlignment w:val="auto"/>
        <w:rPr>
          <w:highlight w:val="none"/>
        </w:rPr>
      </w:pPr>
      <w:r>
        <w:rPr>
          <w:highlight w:val="none"/>
        </w:rPr>
        <w:t>（三）各单位、各部门为</w:t>
      </w:r>
      <w:r>
        <w:rPr>
          <w:rFonts w:ascii="Times New Roman" w:eastAsia="Times New Roman"/>
          <w:highlight w:val="none"/>
        </w:rPr>
        <w:t>ESG</w:t>
      </w:r>
      <w:r>
        <w:rPr>
          <w:highlight w:val="none"/>
        </w:rPr>
        <w:t>信息披露的义务人，承担职责范围内的主体责任，负责按照公司整体规划，落实</w:t>
      </w:r>
      <w:r>
        <w:rPr>
          <w:rFonts w:ascii="Times New Roman" w:eastAsia="Times New Roman"/>
          <w:highlight w:val="none"/>
        </w:rPr>
        <w:t>ESG</w:t>
      </w:r>
      <w:r>
        <w:rPr>
          <w:highlight w:val="none"/>
        </w:rPr>
        <w:t>工作任务并定期汇报执行情况；</w:t>
      </w:r>
    </w:p>
    <w:p>
      <w:pPr>
        <w:pStyle w:val="4"/>
        <w:keepNext w:val="0"/>
        <w:keepLines w:val="0"/>
        <w:pageBreakBefore w:val="0"/>
        <w:widowControl w:val="0"/>
        <w:tabs>
          <w:tab w:val="left" w:pos="1322"/>
        </w:tabs>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highlight w:val="none"/>
        </w:rPr>
        <w:t>（四）</w:t>
      </w:r>
      <w:r>
        <w:rPr>
          <w:rFonts w:hint="eastAsia"/>
          <w:spacing w:val="-3"/>
          <w:highlight w:val="none"/>
          <w:lang w:val="en-US"/>
        </w:rPr>
        <w:t>证券管理部门</w:t>
      </w:r>
      <w:r>
        <w:rPr>
          <w:highlight w:val="none"/>
        </w:rPr>
        <w:t>为</w:t>
      </w:r>
      <w:r>
        <w:rPr>
          <w:rFonts w:ascii="Times New Roman" w:eastAsia="Times New Roman"/>
          <w:highlight w:val="none"/>
        </w:rPr>
        <w:t>ESG</w:t>
      </w:r>
      <w:r>
        <w:rPr>
          <w:highlight w:val="none"/>
        </w:rPr>
        <w:t>信息披露的管理部门，负责了解利益相关方的诉求、意见和建议，分析实质性议题，执行</w:t>
      </w:r>
      <w:r>
        <w:rPr>
          <w:rFonts w:ascii="Times New Roman" w:eastAsia="Times New Roman"/>
          <w:highlight w:val="none"/>
        </w:rPr>
        <w:t>ESG</w:t>
      </w:r>
      <w:r>
        <w:rPr>
          <w:highlight w:val="none"/>
        </w:rPr>
        <w:t>报告的信息采集、编制和披露工作。</w:t>
      </w:r>
    </w:p>
    <w:p>
      <w:pPr>
        <w:pStyle w:val="4"/>
        <w:keepNext w:val="0"/>
        <w:keepLines w:val="0"/>
        <w:pageBreakBefore w:val="0"/>
        <w:widowControl w:val="0"/>
        <w:tabs>
          <w:tab w:val="left" w:pos="1322"/>
        </w:tabs>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第十三条</w:t>
      </w:r>
      <w:r>
        <w:rPr>
          <w:rFonts w:hint="eastAsia"/>
          <w:b/>
          <w:highlight w:val="none"/>
          <w:lang w:val="en-US"/>
        </w:rPr>
        <w:t xml:space="preserve">  </w:t>
      </w:r>
      <w:r>
        <w:rPr>
          <w:highlight w:val="none"/>
        </w:rPr>
        <w:t>根据工作需要</w:t>
      </w:r>
      <w:r>
        <w:rPr>
          <w:spacing w:val="-48"/>
          <w:highlight w:val="none"/>
        </w:rPr>
        <w:t>，</w:t>
      </w:r>
      <w:r>
        <w:rPr>
          <w:highlight w:val="none"/>
        </w:rPr>
        <w:t>公司可聘请相关领域的专家顾问或专业机构</w:t>
      </w:r>
      <w:r>
        <w:rPr>
          <w:spacing w:val="-49"/>
          <w:highlight w:val="none"/>
        </w:rPr>
        <w:t>，</w:t>
      </w:r>
      <w:r>
        <w:rPr>
          <w:highlight w:val="none"/>
        </w:rPr>
        <w:t>为</w:t>
      </w:r>
    </w:p>
    <w:p>
      <w:pPr>
        <w:pStyle w:val="4"/>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highlight w:val="none"/>
        </w:rPr>
      </w:pPr>
      <w:r>
        <w:rPr>
          <w:highlight w:val="none"/>
        </w:rPr>
        <w:t>推进</w:t>
      </w:r>
      <w:r>
        <w:rPr>
          <w:rFonts w:ascii="Times New Roman" w:eastAsia="Times New Roman"/>
          <w:highlight w:val="none"/>
        </w:rPr>
        <w:t>ESG</w:t>
      </w:r>
      <w:r>
        <w:rPr>
          <w:highlight w:val="none"/>
        </w:rPr>
        <w:t>工作提供专业化建议。</w:t>
      </w:r>
    </w:p>
    <w:p>
      <w:pPr>
        <w:pStyle w:val="4"/>
        <w:keepNext w:val="0"/>
        <w:keepLines w:val="0"/>
        <w:pageBreakBefore w:val="0"/>
        <w:widowControl w:val="0"/>
        <w:tabs>
          <w:tab w:val="left" w:pos="1322"/>
        </w:tabs>
        <w:kinsoku/>
        <w:wordWrap/>
        <w:overflowPunct/>
        <w:topLinePunct w:val="0"/>
        <w:autoSpaceDE w:val="0"/>
        <w:autoSpaceDN w:val="0"/>
        <w:bidi w:val="0"/>
        <w:adjustRightInd/>
        <w:snapToGrid/>
        <w:spacing w:before="2" w:line="560" w:lineRule="exact"/>
        <w:ind w:right="237" w:firstLine="480"/>
        <w:jc w:val="both"/>
        <w:textAlignment w:val="auto"/>
        <w:rPr>
          <w:b/>
          <w:highlight w:val="none"/>
        </w:rPr>
      </w:pPr>
      <w:r>
        <w:rPr>
          <w:b/>
          <w:highlight w:val="none"/>
        </w:rPr>
        <w:t>第十四条</w:t>
      </w:r>
      <w:r>
        <w:rPr>
          <w:rFonts w:hint="eastAsia"/>
          <w:b/>
          <w:highlight w:val="none"/>
          <w:lang w:val="en-US"/>
        </w:rPr>
        <w:t xml:space="preserve">  </w:t>
      </w:r>
      <w:r>
        <w:rPr>
          <w:bCs/>
          <w:highlight w:val="none"/>
        </w:rPr>
        <w:t>公司董事有权对公司履行ESG职责的情况提出意见和建议。证券</w:t>
      </w:r>
      <w:r>
        <w:rPr>
          <w:rFonts w:hint="eastAsia"/>
          <w:bCs/>
          <w:highlight w:val="none"/>
          <w:lang w:val="en-US"/>
        </w:rPr>
        <w:t>管理部门</w:t>
      </w:r>
      <w:r>
        <w:rPr>
          <w:bCs/>
          <w:highlight w:val="none"/>
        </w:rPr>
        <w:t>应汇总相关意见，提请</w:t>
      </w:r>
      <w:r>
        <w:rPr>
          <w:rFonts w:hint="eastAsia"/>
          <w:bCs/>
          <w:highlight w:val="none"/>
        </w:rPr>
        <w:t>战略与可持续发展（ESG）委员会</w:t>
      </w:r>
      <w:r>
        <w:rPr>
          <w:bCs/>
          <w:highlight w:val="none"/>
        </w:rPr>
        <w:t>研究讨论并将形成的议案提交董事会审议。</w:t>
      </w:r>
    </w:p>
    <w:p>
      <w:pPr>
        <w:pStyle w:val="4"/>
        <w:keepNext w:val="0"/>
        <w:keepLines w:val="0"/>
        <w:pageBreakBefore w:val="0"/>
        <w:widowControl w:val="0"/>
        <w:tabs>
          <w:tab w:val="left" w:pos="1802"/>
        </w:tabs>
        <w:kinsoku/>
        <w:wordWrap/>
        <w:overflowPunct/>
        <w:topLinePunct w:val="0"/>
        <w:autoSpaceDE w:val="0"/>
        <w:autoSpaceDN w:val="0"/>
        <w:bidi w:val="0"/>
        <w:adjustRightInd/>
        <w:snapToGrid/>
        <w:spacing w:before="161" w:line="560" w:lineRule="exact"/>
        <w:ind w:right="121" w:firstLine="480"/>
        <w:jc w:val="both"/>
        <w:textAlignment w:val="auto"/>
        <w:rPr>
          <w:highlight w:val="none"/>
        </w:rPr>
      </w:pPr>
      <w:r>
        <w:rPr>
          <w:b/>
          <w:highlight w:val="none"/>
        </w:rPr>
        <w:t>第十五条</w:t>
      </w:r>
      <w:r>
        <w:rPr>
          <w:b/>
          <w:highlight w:val="none"/>
        </w:rPr>
        <w:tab/>
      </w:r>
      <w:r>
        <w:rPr>
          <w:highlight w:val="none"/>
        </w:rPr>
        <w:t>公司将履行</w:t>
      </w:r>
      <w:r>
        <w:rPr>
          <w:rFonts w:ascii="Times New Roman" w:eastAsia="Times New Roman"/>
          <w:highlight w:val="none"/>
        </w:rPr>
        <w:t>ESG</w:t>
      </w:r>
      <w:r>
        <w:rPr>
          <w:highlight w:val="none"/>
        </w:rPr>
        <w:t>职责纳入经营管理决策体系。涉及重大项目投资决策事项的，社会效益评估应作为公司董事会、经营管理层决策的重要依</w:t>
      </w:r>
      <w:r>
        <w:rPr>
          <w:spacing w:val="-3"/>
          <w:highlight w:val="none"/>
        </w:rPr>
        <w:t>据</w:t>
      </w:r>
      <w:r>
        <w:rPr>
          <w:spacing w:val="-14"/>
          <w:highlight w:val="none"/>
        </w:rPr>
        <w:t>。</w:t>
      </w:r>
      <w:r>
        <w:rPr>
          <w:highlight w:val="none"/>
        </w:rPr>
        <w:t>公司鼓励投资人员在进行财务预测及估值时</w:t>
      </w:r>
      <w:r>
        <w:rPr>
          <w:spacing w:val="-8"/>
          <w:highlight w:val="none"/>
        </w:rPr>
        <w:t>，</w:t>
      </w:r>
      <w:r>
        <w:rPr>
          <w:highlight w:val="none"/>
        </w:rPr>
        <w:t>将</w:t>
      </w:r>
      <w:r>
        <w:rPr>
          <w:rFonts w:ascii="Times New Roman" w:eastAsia="Times New Roman"/>
          <w:highlight w:val="none"/>
        </w:rPr>
        <w:t>ESG</w:t>
      </w:r>
      <w:r>
        <w:rPr>
          <w:highlight w:val="none"/>
        </w:rPr>
        <w:t>因素与其他重要因素进行整合，综合考虑调整各类变量，进行投资决策。</w:t>
      </w:r>
    </w:p>
    <w:p>
      <w:pPr>
        <w:pStyle w:val="4"/>
        <w:keepNext w:val="0"/>
        <w:keepLines w:val="0"/>
        <w:pageBreakBefore w:val="0"/>
        <w:widowControl w:val="0"/>
        <w:tabs>
          <w:tab w:val="left" w:pos="1802"/>
        </w:tabs>
        <w:kinsoku/>
        <w:wordWrap/>
        <w:overflowPunct/>
        <w:topLinePunct w:val="0"/>
        <w:autoSpaceDE w:val="0"/>
        <w:autoSpaceDN w:val="0"/>
        <w:bidi w:val="0"/>
        <w:adjustRightInd/>
        <w:snapToGrid/>
        <w:spacing w:before="2" w:line="560" w:lineRule="exact"/>
        <w:ind w:right="117" w:firstLine="480"/>
        <w:jc w:val="both"/>
        <w:textAlignment w:val="auto"/>
        <w:rPr>
          <w:highlight w:val="none"/>
        </w:rPr>
      </w:pPr>
      <w:r>
        <w:rPr>
          <w:b/>
          <w:highlight w:val="none"/>
        </w:rPr>
        <w:t>第十六条</w:t>
      </w:r>
      <w:r>
        <w:rPr>
          <w:b/>
          <w:highlight w:val="none"/>
        </w:rPr>
        <w:tab/>
      </w:r>
      <w:r>
        <w:rPr>
          <w:highlight w:val="none"/>
        </w:rPr>
        <w:t>公司应建立信息沟通机制</w:t>
      </w:r>
      <w:r>
        <w:rPr>
          <w:spacing w:val="-48"/>
          <w:highlight w:val="none"/>
        </w:rPr>
        <w:t>，</w:t>
      </w:r>
      <w:r>
        <w:rPr>
          <w:highlight w:val="none"/>
        </w:rPr>
        <w:t>确保与利益相关方保持信息畅通</w:t>
      </w:r>
      <w:r>
        <w:rPr>
          <w:spacing w:val="-49"/>
          <w:highlight w:val="none"/>
        </w:rPr>
        <w:t>。</w:t>
      </w:r>
      <w:r>
        <w:rPr>
          <w:highlight w:val="none"/>
        </w:rPr>
        <w:t>必要时</w:t>
      </w:r>
      <w:r>
        <w:rPr>
          <w:spacing w:val="-56"/>
          <w:highlight w:val="none"/>
        </w:rPr>
        <w:t>，</w:t>
      </w:r>
      <w:r>
        <w:rPr>
          <w:highlight w:val="none"/>
        </w:rPr>
        <w:t>可通过访谈</w:t>
      </w:r>
      <w:r>
        <w:rPr>
          <w:spacing w:val="-53"/>
          <w:highlight w:val="none"/>
        </w:rPr>
        <w:t>、</w:t>
      </w:r>
      <w:r>
        <w:rPr>
          <w:highlight w:val="none"/>
        </w:rPr>
        <w:t>座谈</w:t>
      </w:r>
      <w:r>
        <w:rPr>
          <w:spacing w:val="-53"/>
          <w:highlight w:val="none"/>
        </w:rPr>
        <w:t>、</w:t>
      </w:r>
      <w:r>
        <w:rPr>
          <w:highlight w:val="none"/>
        </w:rPr>
        <w:t>问卷调查等方式</w:t>
      </w:r>
      <w:r>
        <w:rPr>
          <w:spacing w:val="-53"/>
          <w:highlight w:val="none"/>
        </w:rPr>
        <w:t>，</w:t>
      </w:r>
      <w:r>
        <w:rPr>
          <w:highlight w:val="none"/>
        </w:rPr>
        <w:t>听取利益相关方的反馈意见和建议</w:t>
      </w:r>
      <w:r>
        <w:rPr>
          <w:spacing w:val="-15"/>
          <w:highlight w:val="none"/>
        </w:rPr>
        <w:t>，</w:t>
      </w:r>
      <w:r>
        <w:rPr>
          <w:highlight w:val="none"/>
        </w:rPr>
        <w:t>以便持续改进工作成效。</w:t>
      </w:r>
    </w:p>
    <w:p>
      <w:pPr>
        <w:pStyle w:val="2"/>
        <w:keepNext w:val="0"/>
        <w:keepLines w:val="0"/>
        <w:pageBreakBefore w:val="0"/>
        <w:widowControl w:val="0"/>
        <w:kinsoku/>
        <w:wordWrap/>
        <w:overflowPunct/>
        <w:topLinePunct w:val="0"/>
        <w:autoSpaceDE w:val="0"/>
        <w:autoSpaceDN w:val="0"/>
        <w:bidi w:val="0"/>
        <w:adjustRightInd/>
        <w:snapToGrid/>
        <w:spacing w:line="560" w:lineRule="exact"/>
        <w:ind w:right="2142"/>
        <w:jc w:val="both"/>
        <w:textAlignment w:val="auto"/>
        <w:rPr>
          <w:highlight w:val="none"/>
        </w:rPr>
      </w:pPr>
      <w:bookmarkStart w:id="4" w:name="第四章_股东和债权人权益保护"/>
      <w:bookmarkEnd w:id="4"/>
      <w:r>
        <w:rPr>
          <w:highlight w:val="none"/>
        </w:rPr>
        <w:t>第四章</w:t>
      </w:r>
      <w:r>
        <w:rPr>
          <w:rFonts w:hint="eastAsia"/>
          <w:highlight w:val="none"/>
          <w:lang w:val="en-US"/>
        </w:rPr>
        <w:t xml:space="preserve">  </w:t>
      </w:r>
      <w:r>
        <w:rPr>
          <w:highlight w:val="none"/>
        </w:rPr>
        <w:t>股东和债权人权益保护</w:t>
      </w:r>
    </w:p>
    <w:p>
      <w:pPr>
        <w:pStyle w:val="4"/>
        <w:keepNext w:val="0"/>
        <w:keepLines w:val="0"/>
        <w:pageBreakBefore w:val="0"/>
        <w:widowControl w:val="0"/>
        <w:tabs>
          <w:tab w:val="left" w:pos="1802"/>
        </w:tabs>
        <w:kinsoku/>
        <w:wordWrap/>
        <w:overflowPunct/>
        <w:topLinePunct w:val="0"/>
        <w:autoSpaceDE w:val="0"/>
        <w:autoSpaceDN w:val="0"/>
        <w:bidi w:val="0"/>
        <w:adjustRightInd/>
        <w:snapToGrid/>
        <w:spacing w:before="2" w:line="560" w:lineRule="exact"/>
        <w:ind w:right="117" w:firstLine="480"/>
        <w:jc w:val="both"/>
        <w:textAlignment w:val="auto"/>
        <w:rPr>
          <w:bCs/>
          <w:highlight w:val="none"/>
        </w:rPr>
      </w:pPr>
      <w:r>
        <w:rPr>
          <w:b/>
          <w:highlight w:val="none"/>
        </w:rPr>
        <w:t>第十七条</w:t>
      </w:r>
      <w:r>
        <w:rPr>
          <w:b/>
          <w:highlight w:val="none"/>
        </w:rPr>
        <w:tab/>
      </w:r>
      <w:r>
        <w:rPr>
          <w:bCs/>
          <w:highlight w:val="none"/>
        </w:rPr>
        <w:t>公司应当完善公司治理结构，公平对待所有股东，确保股东充分享有法律、法规和公司各项制度所规定的合法权益。</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highlight w:val="none"/>
        </w:rPr>
      </w:pPr>
      <w:r>
        <w:rPr>
          <w:b/>
          <w:highlight w:val="none"/>
        </w:rPr>
        <w:t>第十八条</w:t>
      </w:r>
      <w:r>
        <w:rPr>
          <w:rFonts w:hint="eastAsia"/>
          <w:b/>
          <w:highlight w:val="none"/>
          <w:lang w:val="en-US"/>
        </w:rPr>
        <w:t xml:space="preserve">  </w:t>
      </w:r>
      <w:r>
        <w:rPr>
          <w:highlight w:val="none"/>
        </w:rPr>
        <w:t>公司应根据《公司章程》选择合适的时间、地点召开股东会，并按照规定提供网络投票方式，为股东参加股东会提供便利。</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23"/>
          <w:highlight w:val="none"/>
        </w:rPr>
        <w:t>第十九条</w:t>
      </w:r>
      <w:r>
        <w:rPr>
          <w:rFonts w:hint="eastAsia"/>
          <w:b/>
          <w:spacing w:val="23"/>
          <w:highlight w:val="none"/>
          <w:lang w:val="en-US"/>
        </w:rPr>
        <w:t xml:space="preserve"> </w:t>
      </w:r>
      <w:r>
        <w:rPr>
          <w:spacing w:val="-9"/>
          <w:highlight w:val="none"/>
        </w:rPr>
        <w:t>公司应当严格按照有关法律、法规和上海证券交易所有关业务规</w:t>
      </w:r>
      <w:r>
        <w:rPr>
          <w:spacing w:val="-7"/>
          <w:highlight w:val="none"/>
        </w:rPr>
        <w:t>则的规定履行信息披露义务。对可能影响股东和其他投资者投资决策的信息，应</w:t>
      </w:r>
      <w:r>
        <w:rPr>
          <w:highlight w:val="none"/>
        </w:rPr>
        <w:t>当积极披露，并公平对待所有投资者，不得进行选择性信息披露。</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第二十条</w:t>
      </w:r>
      <w:r>
        <w:rPr>
          <w:rFonts w:hint="eastAsia"/>
          <w:b/>
          <w:highlight w:val="none"/>
          <w:lang w:val="en-US"/>
        </w:rPr>
        <w:t xml:space="preserve">  </w:t>
      </w:r>
      <w:r>
        <w:rPr>
          <w:highlight w:val="none"/>
        </w:rPr>
        <w:t>公司应当制定长期和相对稳定的利润分配政策和办法，制定切实合理的利润分配方案，积极回报股东。</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19"/>
          <w:highlight w:val="none"/>
        </w:rPr>
        <w:t>第二十一条</w:t>
      </w:r>
      <w:r>
        <w:rPr>
          <w:rFonts w:hint="eastAsia"/>
          <w:b/>
          <w:spacing w:val="19"/>
          <w:highlight w:val="none"/>
          <w:lang w:val="en-US"/>
        </w:rPr>
        <w:t xml:space="preserve">  </w:t>
      </w:r>
      <w:r>
        <w:rPr>
          <w:spacing w:val="-8"/>
          <w:highlight w:val="none"/>
        </w:rPr>
        <w:t>公司应当确保公司财务稳健，保障公司资产、资金安全，在追</w:t>
      </w:r>
      <w:r>
        <w:rPr>
          <w:spacing w:val="-6"/>
          <w:highlight w:val="none"/>
        </w:rPr>
        <w:t>求股东利益最大化的同时兼顾债权人的利益，不得为了股东的利益而损害债权人</w:t>
      </w:r>
      <w:r>
        <w:rPr>
          <w:highlight w:val="none"/>
        </w:rPr>
        <w:t>的利益。</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left="600"/>
        <w:jc w:val="both"/>
        <w:textAlignment w:val="auto"/>
        <w:rPr>
          <w:highlight w:val="none"/>
        </w:rPr>
      </w:pPr>
      <w:r>
        <w:rPr>
          <w:b/>
          <w:highlight w:val="none"/>
        </w:rPr>
        <w:t>第二十二条</w:t>
      </w:r>
      <w:r>
        <w:rPr>
          <w:rFonts w:hint="eastAsia"/>
          <w:b/>
          <w:highlight w:val="none"/>
          <w:lang w:val="en-US"/>
        </w:rPr>
        <w:t xml:space="preserve">  </w:t>
      </w:r>
      <w:r>
        <w:rPr>
          <w:highlight w:val="none"/>
        </w:rPr>
        <w:t>公司在经营决策过程中，应充分考虑债权人的合法权益。</w:t>
      </w:r>
    </w:p>
    <w:p>
      <w:pPr>
        <w:pStyle w:val="2"/>
        <w:keepNext w:val="0"/>
        <w:keepLines w:val="0"/>
        <w:pageBreakBefore w:val="0"/>
        <w:widowControl w:val="0"/>
        <w:kinsoku/>
        <w:wordWrap/>
        <w:overflowPunct/>
        <w:topLinePunct w:val="0"/>
        <w:autoSpaceDE w:val="0"/>
        <w:autoSpaceDN w:val="0"/>
        <w:bidi w:val="0"/>
        <w:adjustRightInd/>
        <w:snapToGrid/>
        <w:spacing w:before="170" w:line="560" w:lineRule="exact"/>
        <w:ind w:right="2142"/>
        <w:jc w:val="both"/>
        <w:textAlignment w:val="auto"/>
        <w:rPr>
          <w:highlight w:val="none"/>
        </w:rPr>
      </w:pPr>
      <w:bookmarkStart w:id="5" w:name="第五章_职工权益保护"/>
      <w:bookmarkEnd w:id="5"/>
      <w:r>
        <w:rPr>
          <w:highlight w:val="none"/>
        </w:rPr>
        <w:t>第五章</w:t>
      </w:r>
      <w:r>
        <w:rPr>
          <w:rFonts w:hint="eastAsia"/>
          <w:highlight w:val="none"/>
          <w:lang w:val="en-US"/>
        </w:rPr>
        <w:t xml:space="preserve">  </w:t>
      </w:r>
      <w:r>
        <w:rPr>
          <w:highlight w:val="none"/>
        </w:rPr>
        <w:t>职工权益保护</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right="117" w:firstLine="480"/>
        <w:jc w:val="both"/>
        <w:textAlignment w:val="auto"/>
        <w:rPr>
          <w:highlight w:val="none"/>
        </w:rPr>
      </w:pPr>
      <w:r>
        <w:rPr>
          <w:b/>
          <w:highlight w:val="none"/>
        </w:rPr>
        <w:t>第二十三条</w:t>
      </w:r>
      <w:r>
        <w:rPr>
          <w:b/>
          <w:highlight w:val="none"/>
        </w:rPr>
        <w:tab/>
      </w:r>
      <w:r>
        <w:rPr>
          <w:highlight w:val="none"/>
        </w:rPr>
        <w:t>公司应当严格遵守《中华人民共和国劳动法</w:t>
      </w:r>
      <w:r>
        <w:rPr>
          <w:spacing w:val="-120"/>
          <w:highlight w:val="none"/>
        </w:rPr>
        <w:t>》</w:t>
      </w:r>
      <w:r>
        <w:rPr>
          <w:highlight w:val="none"/>
        </w:rPr>
        <w:t>《中华人民共和国劳动合同法</w:t>
      </w:r>
      <w:r>
        <w:rPr>
          <w:spacing w:val="-72"/>
          <w:highlight w:val="none"/>
        </w:rPr>
        <w:t>》</w:t>
      </w:r>
      <w:r>
        <w:rPr>
          <w:highlight w:val="none"/>
        </w:rPr>
        <w:t>等劳动和社会保障方面的法律</w:t>
      </w:r>
      <w:r>
        <w:rPr>
          <w:spacing w:val="-72"/>
          <w:highlight w:val="none"/>
        </w:rPr>
        <w:t>、</w:t>
      </w:r>
      <w:r>
        <w:rPr>
          <w:highlight w:val="none"/>
        </w:rPr>
        <w:t>法规</w:t>
      </w:r>
      <w:r>
        <w:rPr>
          <w:spacing w:val="-70"/>
          <w:highlight w:val="none"/>
        </w:rPr>
        <w:t>，</w:t>
      </w:r>
      <w:r>
        <w:rPr>
          <w:highlight w:val="none"/>
        </w:rPr>
        <w:t>依法保护职工的合法权益</w:t>
      </w:r>
      <w:r>
        <w:rPr>
          <w:spacing w:val="-16"/>
          <w:highlight w:val="none"/>
        </w:rPr>
        <w:t>，</w:t>
      </w:r>
      <w:r>
        <w:rPr>
          <w:highlight w:val="none"/>
        </w:rPr>
        <w:t>建立和完善包括薪酬体系</w:t>
      </w:r>
      <w:r>
        <w:rPr>
          <w:spacing w:val="-48"/>
          <w:highlight w:val="none"/>
        </w:rPr>
        <w:t>、</w:t>
      </w:r>
      <w:r>
        <w:rPr>
          <w:highlight w:val="none"/>
        </w:rPr>
        <w:t>激励机制等在内的人力资源管理制度</w:t>
      </w:r>
      <w:r>
        <w:rPr>
          <w:spacing w:val="-46"/>
          <w:highlight w:val="none"/>
        </w:rPr>
        <w:t>，</w:t>
      </w:r>
      <w:r>
        <w:rPr>
          <w:highlight w:val="none"/>
        </w:rPr>
        <w:t>保障职工依法享有劳动权利和履行劳动义务。</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spacing w:val="19"/>
          <w:highlight w:val="none"/>
        </w:rPr>
        <w:t>第二十四条</w:t>
      </w:r>
      <w:r>
        <w:rPr>
          <w:rFonts w:hint="eastAsia"/>
          <w:b/>
          <w:spacing w:val="19"/>
          <w:highlight w:val="none"/>
          <w:lang w:val="en-US"/>
        </w:rPr>
        <w:t xml:space="preserve">  </w:t>
      </w:r>
      <w:r>
        <w:rPr>
          <w:spacing w:val="-6"/>
          <w:highlight w:val="none"/>
        </w:rPr>
        <w:t>公司应当尊重职工人格和保障职工合法权益，关爱职工，促进</w:t>
      </w:r>
      <w:r>
        <w:rPr>
          <w:spacing w:val="-8"/>
          <w:highlight w:val="none"/>
        </w:rPr>
        <w:t>劳资关系的和谐稳定，按照国家有关规定对女职工实行特殊劳动保护。公司不得</w:t>
      </w:r>
      <w:r>
        <w:rPr>
          <w:spacing w:val="-7"/>
          <w:highlight w:val="none"/>
        </w:rPr>
        <w:t>非法强迫职工进行劳动，不得对职工进行体罚、精神或肉体胁迫、言语侮辱及其</w:t>
      </w:r>
      <w:r>
        <w:rPr>
          <w:highlight w:val="none"/>
        </w:rPr>
        <w:t>他任何形式的虐待，并禁止任何形式的职场霸凌行为。</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spacing w:val="19"/>
          <w:highlight w:val="none"/>
        </w:rPr>
        <w:t>第二十五条</w:t>
      </w:r>
      <w:r>
        <w:rPr>
          <w:rFonts w:hint="eastAsia"/>
          <w:b/>
          <w:spacing w:val="19"/>
          <w:highlight w:val="none"/>
          <w:lang w:val="en-US"/>
        </w:rPr>
        <w:t xml:space="preserve">  </w:t>
      </w:r>
      <w:r>
        <w:rPr>
          <w:spacing w:val="-6"/>
          <w:highlight w:val="none"/>
        </w:rPr>
        <w:t>公司应当严格执行国家劳动安全卫生规程和标准，对职工进行</w:t>
      </w:r>
      <w:r>
        <w:rPr>
          <w:spacing w:val="-8"/>
          <w:highlight w:val="none"/>
        </w:rPr>
        <w:t>劳动安全卫生教育，为职工提供健康、安全的工作环境和生活环境，最大限度地</w:t>
      </w:r>
      <w:r>
        <w:rPr>
          <w:highlight w:val="none"/>
        </w:rPr>
        <w:t>防止劳动过程中的事故，减少职业危害。</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spacing w:val="19"/>
          <w:highlight w:val="none"/>
        </w:rPr>
        <w:t>第二十六条</w:t>
      </w:r>
      <w:r>
        <w:rPr>
          <w:rFonts w:hint="eastAsia"/>
          <w:b/>
          <w:spacing w:val="19"/>
          <w:highlight w:val="none"/>
          <w:lang w:val="en-US"/>
        </w:rPr>
        <w:t xml:space="preserve">  </w:t>
      </w:r>
      <w:r>
        <w:rPr>
          <w:spacing w:val="-7"/>
          <w:highlight w:val="none"/>
        </w:rPr>
        <w:t>公司应与职工签订并履行劳动合同，遵循按劳分配、同工同酬</w:t>
      </w:r>
      <w:r>
        <w:rPr>
          <w:spacing w:val="-10"/>
          <w:highlight w:val="none"/>
        </w:rPr>
        <w:t>的原则，不得克扣或者无故拖欠劳动者的工资，不得采取纯劳务性质的合约安排</w:t>
      </w:r>
      <w:r>
        <w:rPr>
          <w:highlight w:val="none"/>
        </w:rPr>
        <w:t>或变相试用等形式降低对职工的工资支付和社会保障。</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bCs/>
          <w:spacing w:val="19"/>
          <w:highlight w:val="none"/>
        </w:rPr>
      </w:pPr>
      <w:r>
        <w:rPr>
          <w:b/>
          <w:spacing w:val="19"/>
          <w:highlight w:val="none"/>
        </w:rPr>
        <w:t>第二十七条</w:t>
      </w:r>
      <w:r>
        <w:rPr>
          <w:rFonts w:hint="eastAsia"/>
          <w:b/>
          <w:spacing w:val="19"/>
          <w:highlight w:val="none"/>
          <w:lang w:val="en-US"/>
        </w:rPr>
        <w:t xml:space="preserve">  </w:t>
      </w:r>
      <w:r>
        <w:rPr>
          <w:bCs/>
          <w:spacing w:val="19"/>
          <w:highlight w:val="none"/>
        </w:rPr>
        <w:t>公司应及时办理员工社会保险，缴纳社会保险费，保障员工依法享受社会保险待遇。</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right="237" w:firstLine="480"/>
        <w:jc w:val="both"/>
        <w:textAlignment w:val="auto"/>
        <w:rPr>
          <w:highlight w:val="none"/>
        </w:rPr>
      </w:pPr>
      <w:r>
        <w:rPr>
          <w:b/>
          <w:highlight w:val="none"/>
        </w:rPr>
        <w:t>第二十八条</w:t>
      </w:r>
      <w:r>
        <w:rPr>
          <w:rFonts w:hint="eastAsia"/>
          <w:highlight w:val="none"/>
          <w:lang w:val="en-US"/>
        </w:rPr>
        <w:t xml:space="preserve">  </w:t>
      </w:r>
      <w:r>
        <w:rPr>
          <w:highlight w:val="none"/>
        </w:rPr>
        <w:t>应遵守法定的劳动时间和休息休假制度，确保员工的休息休假权利。</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19"/>
          <w:highlight w:val="none"/>
        </w:rPr>
        <w:t>第二十九条</w:t>
      </w:r>
      <w:r>
        <w:rPr>
          <w:rFonts w:hint="eastAsia"/>
          <w:b/>
          <w:spacing w:val="19"/>
          <w:highlight w:val="none"/>
          <w:lang w:val="en-US"/>
        </w:rPr>
        <w:t xml:space="preserve">  </w:t>
      </w:r>
      <w:r>
        <w:rPr>
          <w:spacing w:val="-7"/>
          <w:highlight w:val="none"/>
        </w:rPr>
        <w:t>公司不得干涉职工的信仰自由，不得因民族、种族、国籍、宗</w:t>
      </w:r>
      <w:r>
        <w:rPr>
          <w:spacing w:val="-11"/>
          <w:highlight w:val="none"/>
        </w:rPr>
        <w:t>教信仰、性别、年龄等对职工在聘用、报酬、培训机会、升迁解职或退休等方面</w:t>
      </w:r>
      <w:r>
        <w:rPr>
          <w:highlight w:val="none"/>
        </w:rPr>
        <w:t>采取歧视行为。</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第三十条</w:t>
      </w:r>
      <w:r>
        <w:rPr>
          <w:rFonts w:hint="eastAsia"/>
          <w:b/>
          <w:highlight w:val="none"/>
          <w:lang w:val="en-US"/>
        </w:rPr>
        <w:t xml:space="preserve">  </w:t>
      </w:r>
      <w:r>
        <w:rPr>
          <w:highlight w:val="none"/>
        </w:rPr>
        <w:t>公司应按照国家有关规定提取和使用职业培训经费，积极开展职工培训，并鼓励和支持职工参加业余进修培训，为职工发展提供更多的机会。</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2"/>
          <w:highlight w:val="none"/>
        </w:rPr>
        <w:t>第三十一条</w:t>
      </w:r>
      <w:r>
        <w:rPr>
          <w:rFonts w:hint="eastAsia"/>
          <w:b/>
          <w:spacing w:val="2"/>
          <w:highlight w:val="none"/>
          <w:lang w:val="en-US"/>
        </w:rPr>
        <w:t xml:space="preserve">  </w:t>
      </w:r>
      <w:r>
        <w:rPr>
          <w:spacing w:val="-9"/>
          <w:highlight w:val="none"/>
        </w:rPr>
        <w:t>公司应当依据《中华人民共和国公司法》《公司章程》等相关规定选任职工董事，确保职工在公司治理中享有充分的权利；支持工会依法开展</w:t>
      </w:r>
      <w:r>
        <w:rPr>
          <w:spacing w:val="-12"/>
          <w:highlight w:val="none"/>
        </w:rPr>
        <w:t>工作，对工资、福利、劳动安全卫生、社会保险等涉及职工切身利益的事项，通</w:t>
      </w:r>
      <w:r>
        <w:rPr>
          <w:spacing w:val="-9"/>
          <w:highlight w:val="none"/>
        </w:rPr>
        <w:t>过职工代表大会、职工大会、工会会议等民主形式听取职工的意见，关心和重视</w:t>
      </w:r>
      <w:r>
        <w:rPr>
          <w:highlight w:val="none"/>
        </w:rPr>
        <w:t>职工的合理需求。</w:t>
      </w:r>
    </w:p>
    <w:p>
      <w:pPr>
        <w:pStyle w:val="2"/>
        <w:keepNext w:val="0"/>
        <w:keepLines w:val="0"/>
        <w:pageBreakBefore w:val="0"/>
        <w:widowControl w:val="0"/>
        <w:kinsoku/>
        <w:wordWrap/>
        <w:overflowPunct/>
        <w:topLinePunct w:val="0"/>
        <w:autoSpaceDE w:val="0"/>
        <w:autoSpaceDN w:val="0"/>
        <w:bidi w:val="0"/>
        <w:adjustRightInd/>
        <w:snapToGrid/>
        <w:spacing w:line="560" w:lineRule="exact"/>
        <w:ind w:left="0" w:firstLine="1928" w:firstLineChars="800"/>
        <w:jc w:val="both"/>
        <w:textAlignment w:val="auto"/>
        <w:rPr>
          <w:highlight w:val="none"/>
        </w:rPr>
      </w:pPr>
      <w:bookmarkStart w:id="6" w:name="第六章_供应商、客户和合作伙伴权益保护"/>
      <w:bookmarkEnd w:id="6"/>
      <w:r>
        <w:rPr>
          <w:highlight w:val="none"/>
        </w:rPr>
        <w:t>第六章</w:t>
      </w:r>
      <w:r>
        <w:rPr>
          <w:rFonts w:hint="eastAsia"/>
          <w:highlight w:val="none"/>
          <w:lang w:val="en-US"/>
        </w:rPr>
        <w:t xml:space="preserve">  </w:t>
      </w:r>
      <w:r>
        <w:rPr>
          <w:highlight w:val="none"/>
        </w:rPr>
        <w:t>供应商、客户和合作伙伴权益保护</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0" w:line="560" w:lineRule="exact"/>
        <w:ind w:right="121" w:firstLine="480"/>
        <w:jc w:val="both"/>
        <w:textAlignment w:val="auto"/>
        <w:rPr>
          <w:highlight w:val="none"/>
        </w:rPr>
      </w:pPr>
      <w:r>
        <w:rPr>
          <w:b/>
          <w:highlight w:val="none"/>
        </w:rPr>
        <w:t>第三十二条</w:t>
      </w:r>
      <w:r>
        <w:rPr>
          <w:b/>
          <w:highlight w:val="none"/>
        </w:rPr>
        <w:tab/>
      </w:r>
      <w:r>
        <w:rPr>
          <w:highlight w:val="none"/>
        </w:rPr>
        <w:t>公司应当对供应商</w:t>
      </w:r>
      <w:r>
        <w:rPr>
          <w:spacing w:val="-51"/>
          <w:highlight w:val="none"/>
        </w:rPr>
        <w:t>、</w:t>
      </w:r>
      <w:r>
        <w:rPr>
          <w:highlight w:val="none"/>
        </w:rPr>
        <w:t>客户和合作伙伴诚实守信</w:t>
      </w:r>
      <w:r>
        <w:rPr>
          <w:spacing w:val="-48"/>
          <w:highlight w:val="none"/>
        </w:rPr>
        <w:t>，</w:t>
      </w:r>
      <w:r>
        <w:rPr>
          <w:highlight w:val="none"/>
        </w:rPr>
        <w:t>不得依靠夸大宣传、虚假广告等不当方式牟利，不得侵犯供应商、客户和合作伙伴的著作</w:t>
      </w:r>
      <w:r>
        <w:rPr>
          <w:spacing w:val="-3"/>
          <w:highlight w:val="none"/>
        </w:rPr>
        <w:t>权</w:t>
      </w:r>
      <w:r>
        <w:rPr>
          <w:spacing w:val="-14"/>
          <w:highlight w:val="none"/>
        </w:rPr>
        <w:t>、</w:t>
      </w:r>
      <w:r>
        <w:rPr>
          <w:highlight w:val="none"/>
        </w:rPr>
        <w:t>商标权、专利权等知识产权。</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第三十三条</w:t>
      </w:r>
      <w:r>
        <w:rPr>
          <w:b/>
          <w:highlight w:val="none"/>
        </w:rPr>
        <w:tab/>
      </w:r>
      <w:r>
        <w:rPr>
          <w:highlight w:val="none"/>
        </w:rPr>
        <w:t>公司应当切实提高产品质量和服务水平</w:t>
      </w:r>
      <w:r>
        <w:rPr>
          <w:spacing w:val="-99"/>
          <w:highlight w:val="none"/>
        </w:rPr>
        <w:t>，</w:t>
      </w:r>
      <w:r>
        <w:rPr>
          <w:highlight w:val="none"/>
        </w:rPr>
        <w:t>保证提供的各种产</w:t>
      </w:r>
      <w:r>
        <w:rPr>
          <w:spacing w:val="-16"/>
          <w:highlight w:val="none"/>
        </w:rPr>
        <w:t>品</w:t>
      </w:r>
      <w:r>
        <w:rPr>
          <w:highlight w:val="none"/>
        </w:rPr>
        <w:t>或者服务符合国家相关质量标准或经过国家相关质检部门认证。</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right="237" w:firstLine="480"/>
        <w:jc w:val="both"/>
        <w:textAlignment w:val="auto"/>
        <w:rPr>
          <w:highlight w:val="none"/>
        </w:rPr>
      </w:pPr>
      <w:r>
        <w:rPr>
          <w:b/>
          <w:highlight w:val="none"/>
        </w:rPr>
        <w:t>第三十四条</w:t>
      </w:r>
      <w:r>
        <w:rPr>
          <w:b/>
          <w:highlight w:val="none"/>
        </w:rPr>
        <w:tab/>
      </w:r>
      <w:r>
        <w:rPr>
          <w:highlight w:val="none"/>
        </w:rPr>
        <w:t>公司应当敦促客户和供应商遵守商业道德和社会公德</w:t>
      </w:r>
      <w:r>
        <w:rPr>
          <w:spacing w:val="-99"/>
          <w:highlight w:val="none"/>
        </w:rPr>
        <w:t>，</w:t>
      </w:r>
      <w:r>
        <w:rPr>
          <w:highlight w:val="none"/>
        </w:rPr>
        <w:t>对拒</w:t>
      </w:r>
      <w:r>
        <w:rPr>
          <w:spacing w:val="-16"/>
          <w:highlight w:val="none"/>
        </w:rPr>
        <w:t>不</w:t>
      </w:r>
      <w:r>
        <w:rPr>
          <w:highlight w:val="none"/>
        </w:rPr>
        <w:t>改进的客户或供应商应当拒绝向其出售产品或使用其产品及服务。</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right="237" w:firstLine="480"/>
        <w:jc w:val="both"/>
        <w:textAlignment w:val="auto"/>
        <w:rPr>
          <w:highlight w:val="none"/>
        </w:rPr>
      </w:pPr>
      <w:r>
        <w:rPr>
          <w:b/>
          <w:highlight w:val="none"/>
        </w:rPr>
        <w:t>第三十五条</w:t>
      </w:r>
      <w:r>
        <w:rPr>
          <w:b/>
          <w:highlight w:val="none"/>
        </w:rPr>
        <w:tab/>
      </w:r>
      <w:r>
        <w:rPr>
          <w:highlight w:val="none"/>
        </w:rPr>
        <w:t>公司应建立相应程序</w:t>
      </w:r>
      <w:r>
        <w:rPr>
          <w:spacing w:val="-51"/>
          <w:highlight w:val="none"/>
        </w:rPr>
        <w:t>，</w:t>
      </w:r>
      <w:r>
        <w:rPr>
          <w:highlight w:val="none"/>
        </w:rPr>
        <w:t>严格监控和防范公司或职工与客户</w:t>
      </w:r>
      <w:r>
        <w:rPr>
          <w:spacing w:val="-49"/>
          <w:highlight w:val="none"/>
        </w:rPr>
        <w:t>、</w:t>
      </w:r>
      <w:r>
        <w:rPr>
          <w:spacing w:val="-15"/>
          <w:highlight w:val="none"/>
        </w:rPr>
        <w:t>供</w:t>
      </w:r>
      <w:r>
        <w:rPr>
          <w:highlight w:val="none"/>
        </w:rPr>
        <w:t>应商进行的各类非法商业贿赂活动。</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第三十六条</w:t>
      </w:r>
      <w:r>
        <w:rPr>
          <w:b/>
          <w:highlight w:val="none"/>
        </w:rPr>
        <w:tab/>
      </w:r>
      <w:r>
        <w:rPr>
          <w:highlight w:val="none"/>
        </w:rPr>
        <w:t>公司应妥善保管供应商和客户的个人信息</w:t>
      </w:r>
      <w:r>
        <w:rPr>
          <w:spacing w:val="-99"/>
          <w:highlight w:val="none"/>
        </w:rPr>
        <w:t>，</w:t>
      </w:r>
      <w:r>
        <w:rPr>
          <w:highlight w:val="none"/>
        </w:rPr>
        <w:t>未经授权许可或</w:t>
      </w:r>
      <w:r>
        <w:rPr>
          <w:spacing w:val="-16"/>
          <w:highlight w:val="none"/>
        </w:rPr>
        <w:t>未</w:t>
      </w:r>
      <w:r>
        <w:rPr>
          <w:highlight w:val="none"/>
        </w:rPr>
        <w:t>按照法律法规、规范性文件要求，不得使用或转售上述信息牟利。</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right="237" w:firstLine="480"/>
        <w:jc w:val="both"/>
        <w:textAlignment w:val="auto"/>
        <w:rPr>
          <w:highlight w:val="none"/>
        </w:rPr>
      </w:pPr>
      <w:r>
        <w:rPr>
          <w:b/>
          <w:highlight w:val="none"/>
        </w:rPr>
        <w:t>第三十七条</w:t>
      </w:r>
      <w:r>
        <w:rPr>
          <w:b/>
          <w:highlight w:val="none"/>
        </w:rPr>
        <w:tab/>
      </w:r>
      <w:r>
        <w:rPr>
          <w:highlight w:val="none"/>
        </w:rPr>
        <w:t>公司应提供良好的售后服务</w:t>
      </w:r>
      <w:r>
        <w:rPr>
          <w:spacing w:val="-99"/>
          <w:highlight w:val="none"/>
        </w:rPr>
        <w:t>，</w:t>
      </w:r>
      <w:r>
        <w:rPr>
          <w:highlight w:val="none"/>
        </w:rPr>
        <w:t>妥善处理供应商和客户等提出</w:t>
      </w:r>
      <w:r>
        <w:rPr>
          <w:spacing w:val="-16"/>
          <w:highlight w:val="none"/>
        </w:rPr>
        <w:t>的</w:t>
      </w:r>
      <w:r>
        <w:rPr>
          <w:highlight w:val="none"/>
        </w:rPr>
        <w:t>投诉和建议。</w:t>
      </w:r>
    </w:p>
    <w:p>
      <w:pPr>
        <w:pStyle w:val="2"/>
        <w:keepNext w:val="0"/>
        <w:keepLines w:val="0"/>
        <w:pageBreakBefore w:val="0"/>
        <w:widowControl w:val="0"/>
        <w:kinsoku/>
        <w:wordWrap/>
        <w:overflowPunct/>
        <w:topLinePunct w:val="0"/>
        <w:autoSpaceDE w:val="0"/>
        <w:autoSpaceDN w:val="0"/>
        <w:bidi w:val="0"/>
        <w:adjustRightInd/>
        <w:snapToGrid/>
        <w:spacing w:before="64" w:line="560" w:lineRule="exact"/>
        <w:ind w:right="2142"/>
        <w:jc w:val="both"/>
        <w:textAlignment w:val="auto"/>
        <w:rPr>
          <w:highlight w:val="none"/>
        </w:rPr>
      </w:pPr>
      <w:bookmarkStart w:id="7" w:name="第七章_环境保护与可持续发展"/>
      <w:bookmarkEnd w:id="7"/>
      <w:r>
        <w:rPr>
          <w:highlight w:val="none"/>
        </w:rPr>
        <w:t>第七章</w:t>
      </w:r>
      <w:r>
        <w:rPr>
          <w:rFonts w:hint="eastAsia"/>
          <w:highlight w:val="none"/>
          <w:lang w:val="en-US"/>
        </w:rPr>
        <w:t xml:space="preserve">  </w:t>
      </w:r>
      <w:r>
        <w:rPr>
          <w:highlight w:val="none"/>
        </w:rPr>
        <w:t>环境保护与可持续发展</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highlight w:val="none"/>
        </w:rPr>
        <w:t>第三十八条</w:t>
      </w:r>
      <w:r>
        <w:rPr>
          <w:rFonts w:hint="eastAsia"/>
          <w:b/>
          <w:highlight w:val="none"/>
          <w:lang w:val="en-US"/>
        </w:rPr>
        <w:t xml:space="preserve">  </w:t>
      </w:r>
      <w:r>
        <w:rPr>
          <w:highlight w:val="none"/>
        </w:rPr>
        <w:t>公司应遵守环境保护法律法规，执行国家、行业标准并加强污染治理和资源节约，推进清洁生产和绿色发展。</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145" w:firstLine="480"/>
        <w:jc w:val="both"/>
        <w:textAlignment w:val="auto"/>
        <w:rPr>
          <w:highlight w:val="none"/>
        </w:rPr>
      </w:pPr>
      <w:r>
        <w:rPr>
          <w:b/>
          <w:highlight w:val="none"/>
        </w:rPr>
        <w:t>第三十九条</w:t>
      </w:r>
      <w:r>
        <w:rPr>
          <w:rFonts w:hint="eastAsia"/>
          <w:b/>
          <w:highlight w:val="none"/>
          <w:lang w:val="en-US"/>
        </w:rPr>
        <w:t xml:space="preserve">  </w:t>
      </w:r>
      <w:r>
        <w:rPr>
          <w:highlight w:val="none"/>
        </w:rPr>
        <w:t>公司应依照国家环保部门的规定申报登记污染物排放，污染物排放超过国家或者地方规定的，应依照国家规定缴纳</w:t>
      </w:r>
      <w:r>
        <w:rPr>
          <w:rFonts w:hint="eastAsia"/>
          <w:highlight w:val="none"/>
        </w:rPr>
        <w:t>环境保护税</w:t>
      </w:r>
      <w:r>
        <w:rPr>
          <w:highlight w:val="none"/>
        </w:rPr>
        <w:t>并负责治理。</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highlight w:val="none"/>
        </w:rPr>
        <w:t>第四十条</w:t>
      </w:r>
      <w:r>
        <w:rPr>
          <w:rFonts w:hint="eastAsia"/>
          <w:b/>
          <w:highlight w:val="none"/>
          <w:lang w:val="en-US"/>
        </w:rPr>
        <w:t xml:space="preserve">  </w:t>
      </w:r>
      <w:r>
        <w:rPr>
          <w:highlight w:val="none"/>
        </w:rPr>
        <w:t>公司应定期对环保政策实施情况进行检查监督，对不符合环境保护政策的行为应予以纠正，并督促其采取相应补救措施。</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19"/>
          <w:highlight w:val="none"/>
        </w:rPr>
        <w:t>第四十一条</w:t>
      </w:r>
      <w:r>
        <w:rPr>
          <w:rFonts w:hint="eastAsia"/>
          <w:b/>
          <w:spacing w:val="19"/>
          <w:highlight w:val="none"/>
          <w:lang w:val="en-US"/>
        </w:rPr>
        <w:t xml:space="preserve">  </w:t>
      </w:r>
      <w:r>
        <w:rPr>
          <w:spacing w:val="-10"/>
          <w:highlight w:val="none"/>
        </w:rPr>
        <w:t>发生紧急、重大环境污染事件时，应当立即启动应急机制，同</w:t>
      </w:r>
      <w:r>
        <w:rPr>
          <w:spacing w:val="-7"/>
          <w:highlight w:val="none"/>
        </w:rPr>
        <w:t>时根据国家法律法规的规定，及时上报，不得迟报、谎报和瞒报，并依法追究相</w:t>
      </w:r>
      <w:r>
        <w:rPr>
          <w:highlight w:val="none"/>
        </w:rPr>
        <w:t>关责任人的责任。</w:t>
      </w:r>
    </w:p>
    <w:p>
      <w:pPr>
        <w:pStyle w:val="4"/>
        <w:keepNext w:val="0"/>
        <w:keepLines w:val="0"/>
        <w:pageBreakBefore w:val="0"/>
        <w:widowControl w:val="0"/>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第四十二条</w:t>
      </w:r>
      <w:r>
        <w:rPr>
          <w:rFonts w:hint="eastAsia"/>
          <w:b/>
          <w:highlight w:val="none"/>
          <w:lang w:val="en-US"/>
        </w:rPr>
        <w:t xml:space="preserve">  </w:t>
      </w:r>
      <w:r>
        <w:rPr>
          <w:highlight w:val="none"/>
        </w:rPr>
        <w:t>出现重大环境污染问题时，公司应当根据有关规定及时披露相关情况及其对公司的影响等。</w:t>
      </w:r>
    </w:p>
    <w:p>
      <w:pPr>
        <w:pStyle w:val="2"/>
        <w:keepNext w:val="0"/>
        <w:keepLines w:val="0"/>
        <w:pageBreakBefore w:val="0"/>
        <w:widowControl w:val="0"/>
        <w:kinsoku/>
        <w:wordWrap/>
        <w:overflowPunct/>
        <w:topLinePunct w:val="0"/>
        <w:autoSpaceDE w:val="0"/>
        <w:autoSpaceDN w:val="0"/>
        <w:bidi w:val="0"/>
        <w:adjustRightInd/>
        <w:snapToGrid/>
        <w:spacing w:before="166" w:line="560" w:lineRule="exact"/>
        <w:jc w:val="both"/>
        <w:textAlignment w:val="auto"/>
        <w:rPr>
          <w:highlight w:val="none"/>
        </w:rPr>
      </w:pPr>
      <w:bookmarkStart w:id="8" w:name="第八章_公共关系和社会公益事业"/>
      <w:bookmarkEnd w:id="8"/>
      <w:r>
        <w:rPr>
          <w:highlight w:val="none"/>
        </w:rPr>
        <w:t>第八章</w:t>
      </w:r>
      <w:r>
        <w:rPr>
          <w:rFonts w:hint="eastAsia"/>
          <w:highlight w:val="none"/>
          <w:lang w:val="en-US"/>
        </w:rPr>
        <w:t xml:space="preserve">  </w:t>
      </w:r>
      <w:r>
        <w:rPr>
          <w:highlight w:val="none"/>
        </w:rPr>
        <w:t>公共关系和社会公益事业</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0" w:line="560" w:lineRule="exact"/>
        <w:ind w:right="237" w:firstLine="480"/>
        <w:jc w:val="both"/>
        <w:textAlignment w:val="auto"/>
        <w:rPr>
          <w:highlight w:val="none"/>
        </w:rPr>
      </w:pPr>
      <w:r>
        <w:rPr>
          <w:b/>
          <w:highlight w:val="none"/>
        </w:rPr>
        <w:t>第四十三条</w:t>
      </w:r>
      <w:r>
        <w:rPr>
          <w:b/>
          <w:highlight w:val="none"/>
        </w:rPr>
        <w:tab/>
      </w:r>
      <w:r>
        <w:rPr>
          <w:highlight w:val="none"/>
        </w:rPr>
        <w:t>公司在经营活动中应当充分考虑社区的利益</w:t>
      </w:r>
      <w:r>
        <w:rPr>
          <w:spacing w:val="-99"/>
          <w:highlight w:val="none"/>
        </w:rPr>
        <w:t>，</w:t>
      </w:r>
      <w:r>
        <w:rPr>
          <w:highlight w:val="none"/>
        </w:rPr>
        <w:t>公司公共事务</w:t>
      </w:r>
      <w:r>
        <w:rPr>
          <w:spacing w:val="-16"/>
          <w:highlight w:val="none"/>
        </w:rPr>
        <w:t>中</w:t>
      </w:r>
      <w:r>
        <w:rPr>
          <w:highlight w:val="none"/>
        </w:rPr>
        <w:t>心负责协调公司与社区的关系。</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right="121" w:firstLine="480"/>
        <w:jc w:val="both"/>
        <w:textAlignment w:val="auto"/>
        <w:rPr>
          <w:highlight w:val="none"/>
        </w:rPr>
      </w:pPr>
      <w:r>
        <w:rPr>
          <w:b/>
          <w:highlight w:val="none"/>
        </w:rPr>
        <w:t>第四十四条</w:t>
      </w:r>
      <w:r>
        <w:rPr>
          <w:b/>
          <w:highlight w:val="none"/>
        </w:rPr>
        <w:tab/>
      </w:r>
      <w:r>
        <w:rPr>
          <w:highlight w:val="none"/>
        </w:rPr>
        <w:t>公司应当在力所能及的范围内积极参加所在地区的环境保</w:t>
      </w:r>
      <w:r>
        <w:rPr>
          <w:spacing w:val="-3"/>
          <w:highlight w:val="none"/>
        </w:rPr>
        <w:t>护</w:t>
      </w:r>
      <w:r>
        <w:rPr>
          <w:spacing w:val="-14"/>
          <w:highlight w:val="none"/>
        </w:rPr>
        <w:t>、</w:t>
      </w:r>
      <w:r>
        <w:rPr>
          <w:highlight w:val="none"/>
        </w:rPr>
        <w:t>教育</w:t>
      </w:r>
      <w:r>
        <w:rPr>
          <w:spacing w:val="-17"/>
          <w:highlight w:val="none"/>
        </w:rPr>
        <w:t>、</w:t>
      </w:r>
      <w:r>
        <w:rPr>
          <w:highlight w:val="none"/>
        </w:rPr>
        <w:t>科学</w:t>
      </w:r>
      <w:r>
        <w:rPr>
          <w:spacing w:val="-15"/>
          <w:highlight w:val="none"/>
        </w:rPr>
        <w:t>、</w:t>
      </w:r>
      <w:r>
        <w:rPr>
          <w:highlight w:val="none"/>
        </w:rPr>
        <w:t>文化</w:t>
      </w:r>
      <w:r>
        <w:rPr>
          <w:spacing w:val="-17"/>
          <w:highlight w:val="none"/>
        </w:rPr>
        <w:t>、</w:t>
      </w:r>
      <w:r>
        <w:rPr>
          <w:highlight w:val="none"/>
        </w:rPr>
        <w:t>卫生</w:t>
      </w:r>
      <w:r>
        <w:rPr>
          <w:spacing w:val="-15"/>
          <w:highlight w:val="none"/>
        </w:rPr>
        <w:t>、</w:t>
      </w:r>
      <w:r>
        <w:rPr>
          <w:highlight w:val="none"/>
        </w:rPr>
        <w:t>社区建设</w:t>
      </w:r>
      <w:r>
        <w:rPr>
          <w:spacing w:val="-17"/>
          <w:highlight w:val="none"/>
        </w:rPr>
        <w:t>、</w:t>
      </w:r>
      <w:r>
        <w:rPr>
          <w:highlight w:val="none"/>
        </w:rPr>
        <w:t>扶贫济困等社会公益活动</w:t>
      </w:r>
      <w:r>
        <w:rPr>
          <w:spacing w:val="-15"/>
          <w:highlight w:val="none"/>
        </w:rPr>
        <w:t>，</w:t>
      </w:r>
      <w:r>
        <w:rPr>
          <w:highlight w:val="none"/>
        </w:rPr>
        <w:t>促进公司所在地区的发展。</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2" w:line="560" w:lineRule="exact"/>
        <w:ind w:right="237" w:firstLine="480"/>
        <w:jc w:val="both"/>
        <w:textAlignment w:val="auto"/>
        <w:rPr>
          <w:highlight w:val="none"/>
        </w:rPr>
      </w:pPr>
      <w:r>
        <w:rPr>
          <w:b/>
          <w:highlight w:val="none"/>
        </w:rPr>
        <w:t>第四十五条</w:t>
      </w:r>
      <w:r>
        <w:rPr>
          <w:b/>
          <w:highlight w:val="none"/>
        </w:rPr>
        <w:tab/>
      </w:r>
      <w:r>
        <w:rPr>
          <w:highlight w:val="none"/>
        </w:rPr>
        <w:t>公司主动接受政府部门和监管机关的监督和检查</w:t>
      </w:r>
      <w:r>
        <w:rPr>
          <w:spacing w:val="-99"/>
          <w:highlight w:val="none"/>
        </w:rPr>
        <w:t>，</w:t>
      </w:r>
      <w:r>
        <w:rPr>
          <w:highlight w:val="none"/>
        </w:rPr>
        <w:t>关注社会</w:t>
      </w:r>
      <w:r>
        <w:rPr>
          <w:spacing w:val="-16"/>
          <w:highlight w:val="none"/>
        </w:rPr>
        <w:t>公</w:t>
      </w:r>
      <w:r>
        <w:rPr>
          <w:highlight w:val="none"/>
        </w:rPr>
        <w:t>众及新闻媒体对公司的评论。</w:t>
      </w:r>
    </w:p>
    <w:p>
      <w:pPr>
        <w:pStyle w:val="2"/>
        <w:keepNext w:val="0"/>
        <w:keepLines w:val="0"/>
        <w:pageBreakBefore w:val="0"/>
        <w:widowControl w:val="0"/>
        <w:kinsoku/>
        <w:wordWrap/>
        <w:overflowPunct/>
        <w:topLinePunct w:val="0"/>
        <w:autoSpaceDE w:val="0"/>
        <w:autoSpaceDN w:val="0"/>
        <w:bidi w:val="0"/>
        <w:adjustRightInd/>
        <w:snapToGrid/>
        <w:spacing w:before="166" w:line="560" w:lineRule="exact"/>
        <w:ind w:right="2145"/>
        <w:jc w:val="both"/>
        <w:textAlignment w:val="auto"/>
        <w:rPr>
          <w:highlight w:val="none"/>
        </w:rPr>
      </w:pPr>
      <w:bookmarkStart w:id="9" w:name="第九章_ESG报告与信息披露"/>
      <w:bookmarkEnd w:id="9"/>
      <w:r>
        <w:rPr>
          <w:highlight w:val="none"/>
        </w:rPr>
        <w:t>第九章</w:t>
      </w:r>
      <w:r>
        <w:rPr>
          <w:rFonts w:hint="eastAsia"/>
          <w:highlight w:val="none"/>
          <w:lang w:val="en-US"/>
        </w:rPr>
        <w:t xml:space="preserve">  </w:t>
      </w:r>
      <w:r>
        <w:rPr>
          <w:rFonts w:ascii="Times New Roman" w:eastAsia="Times New Roman"/>
          <w:highlight w:val="none"/>
        </w:rPr>
        <w:t>ESG</w:t>
      </w:r>
      <w:r>
        <w:rPr>
          <w:highlight w:val="none"/>
        </w:rPr>
        <w:t>报告与信息披露</w:t>
      </w:r>
    </w:p>
    <w:p>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237" w:firstLine="480"/>
        <w:jc w:val="both"/>
        <w:textAlignment w:val="auto"/>
        <w:rPr>
          <w:highlight w:val="none"/>
        </w:rPr>
      </w:pPr>
      <w:r>
        <w:rPr>
          <w:b/>
          <w:spacing w:val="3"/>
          <w:highlight w:val="none"/>
        </w:rPr>
        <w:t>第四十六条</w:t>
      </w:r>
      <w:r>
        <w:rPr>
          <w:rFonts w:hint="eastAsia"/>
          <w:b/>
          <w:spacing w:val="3"/>
          <w:highlight w:val="none"/>
          <w:lang w:val="en-US"/>
        </w:rPr>
        <w:t xml:space="preserve">  </w:t>
      </w:r>
      <w:r>
        <w:rPr>
          <w:spacing w:val="-3"/>
          <w:highlight w:val="none"/>
        </w:rPr>
        <w:t>公司应当按照本制度的要求，积极履行</w:t>
      </w:r>
      <w:r>
        <w:rPr>
          <w:rFonts w:ascii="Times New Roman" w:eastAsia="Times New Roman"/>
          <w:highlight w:val="none"/>
        </w:rPr>
        <w:t>ESG</w:t>
      </w:r>
      <w:r>
        <w:rPr>
          <w:highlight w:val="none"/>
        </w:rPr>
        <w:t>职责，根据实际</w:t>
      </w:r>
      <w:r>
        <w:rPr>
          <w:spacing w:val="-14"/>
          <w:highlight w:val="none"/>
        </w:rPr>
        <w:t>情况及</w:t>
      </w:r>
      <w:r>
        <w:rPr>
          <w:rFonts w:ascii="Times New Roman" w:eastAsia="Times New Roman"/>
          <w:highlight w:val="none"/>
        </w:rPr>
        <w:t>ESG</w:t>
      </w:r>
      <w:r>
        <w:rPr>
          <w:spacing w:val="-7"/>
          <w:highlight w:val="none"/>
        </w:rPr>
        <w:t>工作需要评估公司</w:t>
      </w:r>
      <w:r>
        <w:rPr>
          <w:rFonts w:ascii="Times New Roman" w:eastAsia="Times New Roman"/>
          <w:highlight w:val="none"/>
        </w:rPr>
        <w:t>ESG</w:t>
      </w:r>
      <w:r>
        <w:rPr>
          <w:spacing w:val="-6"/>
          <w:highlight w:val="none"/>
        </w:rPr>
        <w:t>职责的履行情况，形成</w:t>
      </w:r>
      <w:r>
        <w:rPr>
          <w:rFonts w:ascii="Times New Roman" w:eastAsia="Times New Roman"/>
          <w:highlight w:val="none"/>
        </w:rPr>
        <w:t>ESG</w:t>
      </w:r>
      <w:r>
        <w:rPr>
          <w:highlight w:val="none"/>
        </w:rPr>
        <w:t>报告，并根据有关规定自愿披露。</w:t>
      </w:r>
    </w:p>
    <w:p>
      <w:pPr>
        <w:pStyle w:val="4"/>
        <w:keepNext w:val="0"/>
        <w:keepLines w:val="0"/>
        <w:pageBreakBefore w:val="0"/>
        <w:widowControl w:val="0"/>
        <w:kinsoku/>
        <w:wordWrap/>
        <w:overflowPunct/>
        <w:topLinePunct w:val="0"/>
        <w:autoSpaceDE w:val="0"/>
        <w:autoSpaceDN w:val="0"/>
        <w:bidi w:val="0"/>
        <w:adjustRightInd/>
        <w:snapToGrid/>
        <w:spacing w:before="0" w:line="560" w:lineRule="exact"/>
        <w:ind w:right="237" w:firstLine="480"/>
        <w:jc w:val="both"/>
        <w:textAlignment w:val="auto"/>
        <w:rPr>
          <w:bCs/>
          <w:spacing w:val="3"/>
          <w:highlight w:val="none"/>
        </w:rPr>
      </w:pPr>
      <w:r>
        <w:rPr>
          <w:b/>
          <w:spacing w:val="3"/>
          <w:highlight w:val="none"/>
        </w:rPr>
        <w:t>第四十七条</w:t>
      </w:r>
      <w:r>
        <w:rPr>
          <w:rFonts w:hint="eastAsia"/>
          <w:b/>
          <w:spacing w:val="3"/>
          <w:highlight w:val="none"/>
          <w:lang w:val="en-US"/>
        </w:rPr>
        <w:t xml:space="preserve">  </w:t>
      </w:r>
      <w:r>
        <w:rPr>
          <w:bCs/>
          <w:spacing w:val="3"/>
          <w:highlight w:val="none"/>
        </w:rPr>
        <w:t>ESG报告的编制和发布工作应遵守上海证券交易所及公司信息披露管理制度的相关规定。报告应经公司董事会审议通过，自愿披露ESG报告的，应在上海证券交易所网站及相关指定媒体上公开披露。</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highlight w:val="none"/>
        </w:rPr>
      </w:pPr>
      <w:r>
        <w:rPr>
          <w:b/>
          <w:spacing w:val="19"/>
          <w:highlight w:val="none"/>
        </w:rPr>
        <w:t>第四十八条</w:t>
      </w:r>
      <w:r>
        <w:rPr>
          <w:rFonts w:hint="eastAsia"/>
          <w:b/>
          <w:spacing w:val="19"/>
          <w:highlight w:val="none"/>
          <w:lang w:val="en-US"/>
        </w:rPr>
        <w:t xml:space="preserve">  </w:t>
      </w:r>
      <w:r>
        <w:rPr>
          <w:spacing w:val="-11"/>
          <w:highlight w:val="none"/>
        </w:rPr>
        <w:t>因涉及公共安全、生态安全、生产安全、公众健康安全等领域</w:t>
      </w:r>
      <w:r>
        <w:rPr>
          <w:spacing w:val="-13"/>
          <w:highlight w:val="none"/>
        </w:rPr>
        <w:t>的重大违法行为，导致公司受到行政处罚的，或公司发生与环境保护及其他</w:t>
      </w:r>
      <w:r>
        <w:rPr>
          <w:rFonts w:ascii="Times New Roman" w:eastAsia="Times New Roman"/>
          <w:spacing w:val="-6"/>
          <w:highlight w:val="none"/>
        </w:rPr>
        <w:t>ESG</w:t>
      </w:r>
      <w:r>
        <w:rPr>
          <w:spacing w:val="-11"/>
          <w:highlight w:val="none"/>
        </w:rPr>
        <w:t>职责相关的重大事项，可能对公司业绩或股票及其衍生品种交易价格产生重大影</w:t>
      </w:r>
      <w:r>
        <w:rPr>
          <w:spacing w:val="-12"/>
          <w:highlight w:val="none"/>
        </w:rPr>
        <w:t>响的，公司应按照上海证券交易所及公司信息披露管理制度的规定及时履行信息</w:t>
      </w:r>
      <w:r>
        <w:rPr>
          <w:highlight w:val="none"/>
        </w:rPr>
        <w:t>披露义务。</w:t>
      </w:r>
    </w:p>
    <w:p>
      <w:pPr>
        <w:pStyle w:val="4"/>
        <w:keepNext w:val="0"/>
        <w:keepLines w:val="0"/>
        <w:pageBreakBefore w:val="0"/>
        <w:widowControl w:val="0"/>
        <w:kinsoku/>
        <w:wordWrap/>
        <w:overflowPunct/>
        <w:topLinePunct w:val="0"/>
        <w:autoSpaceDE w:val="0"/>
        <w:autoSpaceDN w:val="0"/>
        <w:bidi w:val="0"/>
        <w:adjustRightInd/>
        <w:snapToGrid/>
        <w:spacing w:line="560" w:lineRule="exact"/>
        <w:ind w:right="237" w:firstLine="480"/>
        <w:jc w:val="both"/>
        <w:textAlignment w:val="auto"/>
        <w:rPr>
          <w:b/>
          <w:spacing w:val="19"/>
          <w:highlight w:val="none"/>
          <w:lang w:val="en-US"/>
        </w:rPr>
      </w:pPr>
      <w:r>
        <w:rPr>
          <w:b/>
          <w:spacing w:val="19"/>
          <w:highlight w:val="none"/>
        </w:rPr>
        <w:t>第四十九条</w:t>
      </w:r>
      <w:r>
        <w:rPr>
          <w:rFonts w:hint="eastAsia"/>
          <w:b/>
          <w:spacing w:val="19"/>
          <w:highlight w:val="none"/>
          <w:lang w:val="en-US"/>
        </w:rPr>
        <w:t xml:space="preserve"> </w:t>
      </w:r>
      <w:r>
        <w:rPr>
          <w:rFonts w:hint="eastAsia"/>
          <w:bCs/>
          <w:spacing w:val="19"/>
          <w:highlight w:val="none"/>
          <w:lang w:val="en-US"/>
        </w:rPr>
        <w:t xml:space="preserve"> </w:t>
      </w:r>
      <w:r>
        <w:rPr>
          <w:bCs/>
          <w:spacing w:val="19"/>
          <w:highlight w:val="none"/>
        </w:rPr>
        <w:t>ESG报告期原则要求为一个会计年</w:t>
      </w:r>
      <w:r>
        <w:rPr>
          <w:rFonts w:hint="eastAsia"/>
          <w:bCs/>
          <w:spacing w:val="19"/>
          <w:highlight w:val="none"/>
        </w:rPr>
        <w:t>度</w:t>
      </w:r>
      <w:r>
        <w:rPr>
          <w:bCs/>
          <w:spacing w:val="19"/>
          <w:highlight w:val="none"/>
        </w:rPr>
        <w:t>，即每年1月1日至12月31日。ESG年度报告披露</w:t>
      </w:r>
      <w:r>
        <w:rPr>
          <w:rFonts w:hint="eastAsia"/>
          <w:bCs/>
          <w:spacing w:val="19"/>
          <w:highlight w:val="none"/>
          <w:lang w:val="en-US"/>
        </w:rPr>
        <w:t>原则上</w:t>
      </w:r>
      <w:r>
        <w:rPr>
          <w:bCs/>
          <w:spacing w:val="19"/>
          <w:highlight w:val="none"/>
        </w:rPr>
        <w:t>在每个会计年度结束之日起4个月内完成</w:t>
      </w:r>
      <w:r>
        <w:rPr>
          <w:rFonts w:hint="eastAsia"/>
          <w:bCs/>
          <w:spacing w:val="19"/>
          <w:highlight w:val="none"/>
        </w:rPr>
        <w:t>，</w:t>
      </w:r>
      <w:r>
        <w:rPr>
          <w:bCs/>
          <w:spacing w:val="19"/>
          <w:highlight w:val="none"/>
        </w:rPr>
        <w:t>披露时间不早于年度报告</w:t>
      </w:r>
      <w:r>
        <w:rPr>
          <w:rFonts w:hint="eastAsia"/>
          <w:bCs/>
          <w:spacing w:val="19"/>
          <w:highlight w:val="none"/>
          <w:lang w:val="en-US"/>
        </w:rPr>
        <w:t>。</w:t>
      </w:r>
    </w:p>
    <w:p>
      <w:pPr>
        <w:pStyle w:val="4"/>
        <w:keepNext w:val="0"/>
        <w:keepLines w:val="0"/>
        <w:pageBreakBefore w:val="0"/>
        <w:widowControl w:val="0"/>
        <w:tabs>
          <w:tab w:val="left" w:pos="1802"/>
        </w:tabs>
        <w:kinsoku/>
        <w:wordWrap/>
        <w:overflowPunct/>
        <w:topLinePunct w:val="0"/>
        <w:autoSpaceDE w:val="0"/>
        <w:autoSpaceDN w:val="0"/>
        <w:bidi w:val="0"/>
        <w:adjustRightInd/>
        <w:snapToGrid/>
        <w:spacing w:before="161" w:line="560" w:lineRule="exact"/>
        <w:ind w:right="237" w:firstLine="480"/>
        <w:jc w:val="both"/>
        <w:textAlignment w:val="auto"/>
        <w:rPr>
          <w:highlight w:val="none"/>
        </w:rPr>
      </w:pPr>
      <w:r>
        <w:rPr>
          <w:b/>
          <w:highlight w:val="none"/>
        </w:rPr>
        <w:t>第五十条</w:t>
      </w:r>
      <w:r>
        <w:rPr>
          <w:b/>
          <w:highlight w:val="none"/>
        </w:rPr>
        <w:tab/>
      </w:r>
      <w:r>
        <w:rPr>
          <w:rFonts w:ascii="Times New Roman" w:eastAsia="Times New Roman"/>
          <w:highlight w:val="none"/>
        </w:rPr>
        <w:t>ESG</w:t>
      </w:r>
      <w:r>
        <w:rPr>
          <w:spacing w:val="4"/>
          <w:highlight w:val="none"/>
        </w:rPr>
        <w:t>报告</w:t>
      </w:r>
      <w:r>
        <w:rPr>
          <w:highlight w:val="none"/>
        </w:rPr>
        <w:t>覆</w:t>
      </w:r>
      <w:r>
        <w:rPr>
          <w:spacing w:val="4"/>
          <w:highlight w:val="none"/>
        </w:rPr>
        <w:t>盖对公司有</w:t>
      </w:r>
      <w:r>
        <w:rPr>
          <w:highlight w:val="none"/>
        </w:rPr>
        <w:t>实</w:t>
      </w:r>
      <w:r>
        <w:rPr>
          <w:spacing w:val="4"/>
          <w:highlight w:val="none"/>
        </w:rPr>
        <w:t>质性影响的</w:t>
      </w:r>
      <w:r>
        <w:rPr>
          <w:highlight w:val="none"/>
        </w:rPr>
        <w:t>环</w:t>
      </w:r>
      <w:r>
        <w:rPr>
          <w:spacing w:val="4"/>
          <w:highlight w:val="none"/>
        </w:rPr>
        <w:t>境、社会和</w:t>
      </w:r>
      <w:r>
        <w:rPr>
          <w:highlight w:val="none"/>
        </w:rPr>
        <w:t>治</w:t>
      </w:r>
      <w:r>
        <w:rPr>
          <w:spacing w:val="4"/>
          <w:highlight w:val="none"/>
        </w:rPr>
        <w:t>理方面</w:t>
      </w:r>
      <w:r>
        <w:rPr>
          <w:highlight w:val="none"/>
        </w:rPr>
        <w:t>的活动，所确定的报告范围适合公司整体的规模和性质。</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left="600"/>
        <w:jc w:val="both"/>
        <w:textAlignment w:val="auto"/>
        <w:rPr>
          <w:highlight w:val="none"/>
        </w:rPr>
      </w:pPr>
      <w:r>
        <w:rPr>
          <w:b/>
          <w:highlight w:val="none"/>
        </w:rPr>
        <w:t>第五十一条</w:t>
      </w:r>
      <w:r>
        <w:rPr>
          <w:b/>
          <w:highlight w:val="none"/>
        </w:rPr>
        <w:tab/>
      </w:r>
      <w:r>
        <w:rPr>
          <w:highlight w:val="none"/>
        </w:rPr>
        <w:t>公司建立完善与利益相关方沟通和参与的机制</w:t>
      </w:r>
      <w:r>
        <w:rPr>
          <w:spacing w:val="-99"/>
          <w:highlight w:val="none"/>
        </w:rPr>
        <w:t>，</w:t>
      </w:r>
      <w:r>
        <w:rPr>
          <w:highlight w:val="none"/>
        </w:rPr>
        <w:t>有效传播公司</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jc w:val="both"/>
        <w:textAlignment w:val="auto"/>
        <w:rPr>
          <w:highlight w:val="none"/>
        </w:rPr>
      </w:pPr>
      <w:r>
        <w:rPr>
          <w:rFonts w:ascii="Times New Roman" w:eastAsia="Times New Roman"/>
          <w:highlight w:val="none"/>
        </w:rPr>
        <w:t>ESG</w:t>
      </w:r>
      <w:r>
        <w:rPr>
          <w:highlight w:val="none"/>
        </w:rPr>
        <w:t>实践，提升品牌传播度和影响力。</w:t>
      </w:r>
    </w:p>
    <w:p>
      <w:pPr>
        <w:pStyle w:val="4"/>
        <w:keepNext w:val="0"/>
        <w:keepLines w:val="0"/>
        <w:pageBreakBefore w:val="0"/>
        <w:widowControl w:val="0"/>
        <w:kinsoku/>
        <w:wordWrap/>
        <w:overflowPunct/>
        <w:topLinePunct w:val="0"/>
        <w:autoSpaceDE w:val="0"/>
        <w:autoSpaceDN w:val="0"/>
        <w:bidi w:val="0"/>
        <w:adjustRightInd/>
        <w:snapToGrid/>
        <w:spacing w:before="161" w:line="560" w:lineRule="exact"/>
        <w:ind w:left="600"/>
        <w:jc w:val="both"/>
        <w:textAlignment w:val="auto"/>
        <w:rPr>
          <w:highlight w:val="none"/>
        </w:rPr>
      </w:pPr>
      <w:r>
        <w:rPr>
          <w:highlight w:val="none"/>
        </w:rPr>
        <w:t>（一</w:t>
      </w:r>
      <w:r>
        <w:rPr>
          <w:spacing w:val="-17"/>
          <w:highlight w:val="none"/>
        </w:rPr>
        <w:t>）</w:t>
      </w:r>
      <w:r>
        <w:rPr>
          <w:spacing w:val="-8"/>
          <w:highlight w:val="none"/>
        </w:rPr>
        <w:t>利用官网、官微等及时报道公司</w:t>
      </w:r>
      <w:r>
        <w:rPr>
          <w:rFonts w:ascii="Times New Roman" w:eastAsia="Times New Roman"/>
          <w:highlight w:val="none"/>
        </w:rPr>
        <w:t>ESG</w:t>
      </w:r>
      <w:r>
        <w:rPr>
          <w:spacing w:val="-6"/>
          <w:highlight w:val="none"/>
        </w:rPr>
        <w:t>实践行动、经验、荣誉等信息；</w:t>
      </w:r>
    </w:p>
    <w:p>
      <w:pPr>
        <w:pStyle w:val="4"/>
        <w:keepNext w:val="0"/>
        <w:keepLines w:val="0"/>
        <w:pageBreakBefore w:val="0"/>
        <w:widowControl w:val="0"/>
        <w:kinsoku/>
        <w:wordWrap/>
        <w:overflowPunct/>
        <w:topLinePunct w:val="0"/>
        <w:autoSpaceDE w:val="0"/>
        <w:autoSpaceDN w:val="0"/>
        <w:bidi w:val="0"/>
        <w:adjustRightInd/>
        <w:snapToGrid/>
        <w:spacing w:before="160" w:line="560" w:lineRule="exact"/>
        <w:ind w:left="600" w:right="117"/>
        <w:jc w:val="both"/>
        <w:textAlignment w:val="auto"/>
        <w:rPr>
          <w:highlight w:val="none"/>
        </w:rPr>
      </w:pPr>
      <w:r>
        <w:rPr>
          <w:highlight w:val="none"/>
        </w:rPr>
        <w:t>（二）加强与上级单位、主管部门和权威机构的沟通，积极参与专业机构、论坛和协会等相关活动，增加话语权与影响力</w:t>
      </w:r>
      <w:r>
        <w:rPr>
          <w:rFonts w:hint="eastAsia"/>
          <w:highlight w:val="none"/>
        </w:rPr>
        <w:t>。</w:t>
      </w:r>
    </w:p>
    <w:p>
      <w:pPr>
        <w:pStyle w:val="2"/>
        <w:keepNext w:val="0"/>
        <w:keepLines w:val="0"/>
        <w:pageBreakBefore w:val="0"/>
        <w:widowControl w:val="0"/>
        <w:kinsoku/>
        <w:wordWrap/>
        <w:overflowPunct/>
        <w:topLinePunct w:val="0"/>
        <w:autoSpaceDE w:val="0"/>
        <w:autoSpaceDN w:val="0"/>
        <w:bidi w:val="0"/>
        <w:adjustRightInd/>
        <w:snapToGrid/>
        <w:spacing w:before="1" w:line="560" w:lineRule="exact"/>
        <w:ind w:left="0" w:leftChars="0" w:firstLine="0" w:firstLineChars="0"/>
        <w:jc w:val="center"/>
        <w:textAlignment w:val="auto"/>
        <w:rPr>
          <w:highlight w:val="none"/>
        </w:rPr>
      </w:pPr>
      <w:bookmarkStart w:id="11" w:name="_GoBack"/>
      <w:bookmarkEnd w:id="11"/>
      <w:bookmarkStart w:id="10" w:name="第十章_附则"/>
      <w:bookmarkEnd w:id="10"/>
      <w:r>
        <w:rPr>
          <w:highlight w:val="none"/>
        </w:rPr>
        <w:t>第十章</w:t>
      </w:r>
      <w:r>
        <w:rPr>
          <w:rFonts w:hint="eastAsia"/>
          <w:highlight w:val="none"/>
          <w:lang w:val="en-US"/>
        </w:rPr>
        <w:t xml:space="preserve">  </w:t>
      </w:r>
      <w:r>
        <w:rPr>
          <w:highlight w:val="none"/>
        </w:rPr>
        <w:t>附则</w:t>
      </w:r>
    </w:p>
    <w:p>
      <w:pPr>
        <w:pStyle w:val="4"/>
        <w:keepNext w:val="0"/>
        <w:keepLines w:val="0"/>
        <w:pageBreakBefore w:val="0"/>
        <w:widowControl w:val="0"/>
        <w:kinsoku/>
        <w:wordWrap/>
        <w:overflowPunct/>
        <w:topLinePunct w:val="0"/>
        <w:autoSpaceDE w:val="0"/>
        <w:autoSpaceDN w:val="0"/>
        <w:bidi w:val="0"/>
        <w:adjustRightInd/>
        <w:snapToGrid/>
        <w:spacing w:before="8" w:line="560" w:lineRule="exact"/>
        <w:ind w:left="0"/>
        <w:jc w:val="both"/>
        <w:textAlignment w:val="auto"/>
        <w:rPr>
          <w:b/>
          <w:highlight w:val="none"/>
        </w:rPr>
      </w:pP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line="560" w:lineRule="exact"/>
        <w:ind w:left="600"/>
        <w:jc w:val="both"/>
        <w:textAlignment w:val="auto"/>
        <w:rPr>
          <w:highlight w:val="none"/>
        </w:rPr>
      </w:pPr>
      <w:r>
        <w:rPr>
          <w:b/>
          <w:highlight w:val="none"/>
        </w:rPr>
        <w:t>第五十二条</w:t>
      </w:r>
      <w:r>
        <w:rPr>
          <w:b/>
          <w:highlight w:val="none"/>
        </w:rPr>
        <w:tab/>
      </w:r>
      <w:r>
        <w:rPr>
          <w:highlight w:val="none"/>
        </w:rPr>
        <w:t>本制度未尽事宜或与本制度生效后颁布</w:t>
      </w:r>
      <w:r>
        <w:rPr>
          <w:spacing w:val="-51"/>
          <w:highlight w:val="none"/>
        </w:rPr>
        <w:t>、</w:t>
      </w:r>
      <w:r>
        <w:rPr>
          <w:highlight w:val="none"/>
        </w:rPr>
        <w:t>修订的法律</w:t>
      </w:r>
      <w:r>
        <w:rPr>
          <w:spacing w:val="-49"/>
          <w:highlight w:val="none"/>
        </w:rPr>
        <w:t>、</w:t>
      </w:r>
      <w:r>
        <w:rPr>
          <w:highlight w:val="none"/>
        </w:rPr>
        <w:t>法规或</w:t>
      </w:r>
    </w:p>
    <w:p>
      <w:pPr>
        <w:pStyle w:val="4"/>
        <w:keepNext w:val="0"/>
        <w:keepLines w:val="0"/>
        <w:pageBreakBefore w:val="0"/>
        <w:widowControl w:val="0"/>
        <w:tabs>
          <w:tab w:val="left" w:pos="2044"/>
        </w:tabs>
        <w:kinsoku/>
        <w:wordWrap/>
        <w:overflowPunct/>
        <w:topLinePunct w:val="0"/>
        <w:autoSpaceDE w:val="0"/>
        <w:autoSpaceDN w:val="0"/>
        <w:bidi w:val="0"/>
        <w:adjustRightInd/>
        <w:snapToGrid/>
        <w:spacing w:before="160" w:line="560" w:lineRule="exact"/>
        <w:ind w:left="600" w:right="385" w:hanging="480"/>
        <w:jc w:val="both"/>
        <w:textAlignment w:val="auto"/>
        <w:rPr>
          <w:highlight w:val="none"/>
        </w:rPr>
      </w:pPr>
      <w:r>
        <w:rPr>
          <w:highlight w:val="none"/>
        </w:rPr>
        <w:t>《公司章程》的规定相冲突的，按照法律、法规和《公司章程》的规定执行</w:t>
      </w:r>
      <w:r>
        <w:rPr>
          <w:spacing w:val="-19"/>
          <w:highlight w:val="none"/>
        </w:rPr>
        <w:t>。</w:t>
      </w:r>
      <w:r>
        <w:rPr>
          <w:b/>
          <w:highlight w:val="none"/>
        </w:rPr>
        <w:t>第五十三条</w:t>
      </w:r>
      <w:r>
        <w:rPr>
          <w:b/>
          <w:highlight w:val="none"/>
        </w:rPr>
        <w:tab/>
      </w:r>
      <w:r>
        <w:rPr>
          <w:highlight w:val="none"/>
        </w:rPr>
        <w:t>本制度由公司董事会负责解释和修订。</w:t>
      </w:r>
    </w:p>
    <w:p>
      <w:pPr>
        <w:keepNext w:val="0"/>
        <w:keepLines w:val="0"/>
        <w:pageBreakBefore w:val="0"/>
        <w:widowControl w:val="0"/>
        <w:tabs>
          <w:tab w:val="left" w:pos="2044"/>
        </w:tabs>
        <w:kinsoku/>
        <w:wordWrap/>
        <w:overflowPunct/>
        <w:topLinePunct w:val="0"/>
        <w:autoSpaceDE w:val="0"/>
        <w:autoSpaceDN w:val="0"/>
        <w:bidi w:val="0"/>
        <w:adjustRightInd/>
        <w:snapToGrid/>
        <w:spacing w:before="1" w:line="560" w:lineRule="exact"/>
        <w:ind w:left="600"/>
        <w:jc w:val="both"/>
        <w:textAlignment w:val="auto"/>
        <w:rPr>
          <w:sz w:val="24"/>
          <w:highlight w:val="none"/>
        </w:rPr>
      </w:pPr>
      <w:r>
        <w:rPr>
          <w:b/>
          <w:sz w:val="24"/>
          <w:highlight w:val="none"/>
        </w:rPr>
        <w:t>第五十四条</w:t>
      </w:r>
      <w:r>
        <w:rPr>
          <w:b/>
          <w:sz w:val="24"/>
          <w:highlight w:val="none"/>
        </w:rPr>
        <w:tab/>
      </w:r>
      <w:r>
        <w:rPr>
          <w:sz w:val="24"/>
          <w:highlight w:val="none"/>
        </w:rPr>
        <w:t>本制度经董事会审议通过之日起实施。</w:t>
      </w:r>
    </w:p>
    <w:p>
      <w:pPr>
        <w:pStyle w:val="4"/>
        <w:spacing w:before="0" w:line="560" w:lineRule="exact"/>
        <w:ind w:left="0"/>
        <w:jc w:val="both"/>
        <w:rPr>
          <w:highlight w:val="none"/>
        </w:rPr>
      </w:pPr>
    </w:p>
    <w:p>
      <w:pPr>
        <w:pStyle w:val="4"/>
        <w:spacing w:before="0" w:line="560" w:lineRule="exact"/>
        <w:ind w:left="0"/>
        <w:jc w:val="both"/>
        <w:rPr>
          <w:highlight w:val="none"/>
        </w:rPr>
      </w:pPr>
    </w:p>
    <w:p>
      <w:pPr>
        <w:pStyle w:val="4"/>
        <w:spacing w:before="0" w:line="560" w:lineRule="exact"/>
        <w:ind w:left="0"/>
        <w:jc w:val="both"/>
        <w:rPr>
          <w:highlight w:val="none"/>
        </w:rPr>
      </w:pPr>
    </w:p>
    <w:p>
      <w:pPr>
        <w:pStyle w:val="4"/>
        <w:spacing w:before="0" w:line="560" w:lineRule="exact"/>
        <w:ind w:left="0"/>
        <w:jc w:val="both"/>
        <w:rPr>
          <w:highlight w:val="none"/>
        </w:rPr>
      </w:pPr>
    </w:p>
    <w:p>
      <w:pPr>
        <w:pStyle w:val="4"/>
        <w:spacing w:before="2" w:line="560" w:lineRule="exact"/>
        <w:ind w:left="0"/>
        <w:jc w:val="right"/>
        <w:rPr>
          <w:sz w:val="26"/>
          <w:highlight w:val="none"/>
        </w:rPr>
      </w:pPr>
    </w:p>
    <w:p>
      <w:pPr>
        <w:pStyle w:val="4"/>
        <w:spacing w:before="0" w:line="560" w:lineRule="exact"/>
        <w:ind w:left="4586"/>
        <w:jc w:val="right"/>
        <w:rPr>
          <w:highlight w:val="none"/>
        </w:rPr>
      </w:pPr>
      <w:r>
        <w:rPr>
          <w:rFonts w:hint="eastAsia"/>
          <w:highlight w:val="none"/>
          <w:lang w:val="en-US"/>
        </w:rPr>
        <w:t>重庆望变电气（集团）</w:t>
      </w:r>
      <w:r>
        <w:rPr>
          <w:highlight w:val="none"/>
        </w:rPr>
        <w:t>股份有限公司</w:t>
      </w:r>
    </w:p>
    <w:p>
      <w:pPr>
        <w:pStyle w:val="4"/>
        <w:spacing w:before="160" w:line="560" w:lineRule="exact"/>
        <w:ind w:left="0" w:right="237"/>
        <w:jc w:val="right"/>
        <w:rPr>
          <w:highlight w:val="none"/>
          <w:lang w:val="en-US"/>
        </w:rPr>
      </w:pPr>
      <w:r>
        <w:rPr>
          <w:rFonts w:hint="eastAsia" w:ascii="Times New Roman"/>
          <w:highlight w:val="none"/>
          <w:lang w:val="en-US"/>
        </w:rPr>
        <w:t>2026年8月</w:t>
      </w:r>
    </w:p>
    <w:sectPr>
      <w:headerReference r:id="rId3" w:type="default"/>
      <w:pgSz w:w="11910" w:h="16840"/>
      <w:pgMar w:top="1440" w:right="1560" w:bottom="280" w:left="1680" w:header="878"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0" w:line="14" w:lineRule="auto"/>
      <w:ind w:left="0"/>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ODMxYTE0ZTc0ZGU3Y2QwODc3MzYzN2Q1YmNiM2EifQ=="/>
  </w:docVars>
  <w:rsids>
    <w:rsidRoot w:val="00076EDC"/>
    <w:rsid w:val="00076EDC"/>
    <w:rsid w:val="00204C4C"/>
    <w:rsid w:val="00260235"/>
    <w:rsid w:val="00431A7E"/>
    <w:rsid w:val="005652E5"/>
    <w:rsid w:val="006741EC"/>
    <w:rsid w:val="006D49F3"/>
    <w:rsid w:val="00705D0C"/>
    <w:rsid w:val="007A37DF"/>
    <w:rsid w:val="0090171C"/>
    <w:rsid w:val="00A665C6"/>
    <w:rsid w:val="00BB75E7"/>
    <w:rsid w:val="00C4379F"/>
    <w:rsid w:val="00CA42D5"/>
    <w:rsid w:val="00F323A6"/>
    <w:rsid w:val="17B5090A"/>
    <w:rsid w:val="46CF5F05"/>
    <w:rsid w:val="52B01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ind w:left="2025" w:right="2147"/>
      <w:jc w:val="center"/>
      <w:outlineLvl w:val="0"/>
    </w:pPr>
    <w:rPr>
      <w:b/>
      <w:bCs/>
      <w:sz w:val="24"/>
      <w:szCs w:val="24"/>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7"/>
    <w:uiPriority w:val="0"/>
  </w:style>
  <w:style w:type="paragraph" w:styleId="4">
    <w:name w:val="Body Text"/>
    <w:basedOn w:val="1"/>
    <w:qFormat/>
    <w:uiPriority w:val="1"/>
    <w:pPr>
      <w:spacing w:before="1"/>
      <w:ind w:left="120"/>
    </w:pPr>
    <w:rPr>
      <w:sz w:val="24"/>
      <w:szCs w:val="24"/>
    </w:rPr>
  </w:style>
  <w:style w:type="paragraph" w:styleId="5">
    <w:name w:val="footer"/>
    <w:basedOn w:val="1"/>
    <w:uiPriority w:val="0"/>
    <w:pPr>
      <w:tabs>
        <w:tab w:val="center" w:pos="4153"/>
        <w:tab w:val="right" w:pos="8306"/>
      </w:tabs>
      <w:snapToGrid w:val="0"/>
    </w:pPr>
    <w:rPr>
      <w:sz w:val="18"/>
    </w:rPr>
  </w:style>
  <w:style w:type="paragraph" w:styleId="6">
    <w:name w:val="header"/>
    <w:basedOn w:val="1"/>
    <w:link w:val="15"/>
    <w:uiPriority w:val="0"/>
    <w:pPr>
      <w:tabs>
        <w:tab w:val="center" w:pos="4153"/>
        <w:tab w:val="right" w:pos="8306"/>
      </w:tabs>
      <w:snapToGrid w:val="0"/>
      <w:jc w:val="center"/>
    </w:pPr>
    <w:rPr>
      <w:sz w:val="18"/>
      <w:szCs w:val="18"/>
    </w:rPr>
  </w:style>
  <w:style w:type="paragraph" w:styleId="7">
    <w:name w:val="annotation subject"/>
    <w:basedOn w:val="3"/>
    <w:next w:val="3"/>
    <w:link w:val="18"/>
    <w:uiPriority w:val="0"/>
    <w:rPr>
      <w:b/>
      <w:bCs/>
    </w:rPr>
  </w:style>
  <w:style w:type="character" w:styleId="10">
    <w:name w:val="Hyperlink"/>
    <w:basedOn w:val="9"/>
    <w:uiPriority w:val="0"/>
    <w:rPr>
      <w:color w:val="0000FF" w:themeColor="hyperlink"/>
      <w:u w:val="single"/>
      <w14:textFill>
        <w14:solidFill>
          <w14:schemeClr w14:val="hlink"/>
        </w14:solidFill>
      </w14:textFill>
    </w:rPr>
  </w:style>
  <w:style w:type="character" w:styleId="11">
    <w:name w:val="annotation reference"/>
    <w:basedOn w:val="9"/>
    <w:uiPriority w:val="0"/>
    <w:rPr>
      <w:sz w:val="21"/>
      <w:szCs w:val="21"/>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style>
  <w:style w:type="paragraph" w:customStyle="1" w:styleId="14">
    <w:name w:val="Table Paragraph"/>
    <w:basedOn w:val="1"/>
    <w:qFormat/>
    <w:uiPriority w:val="1"/>
  </w:style>
  <w:style w:type="character" w:customStyle="1" w:styleId="15">
    <w:name w:val="页眉 字符"/>
    <w:basedOn w:val="9"/>
    <w:link w:val="6"/>
    <w:qFormat/>
    <w:uiPriority w:val="0"/>
    <w:rPr>
      <w:rFonts w:ascii="宋体" w:hAnsi="宋体" w:eastAsia="宋体" w:cs="宋体"/>
      <w:sz w:val="18"/>
      <w:szCs w:val="18"/>
      <w:lang w:val="zh-CN" w:bidi="zh-CN"/>
    </w:rPr>
  </w:style>
  <w:style w:type="paragraph" w:customStyle="1" w:styleId="16">
    <w:name w:val="Revision"/>
    <w:hidden/>
    <w:unhideWhenUsed/>
    <w:uiPriority w:val="99"/>
    <w:rPr>
      <w:rFonts w:ascii="宋体" w:hAnsi="宋体" w:eastAsia="宋体" w:cs="宋体"/>
      <w:sz w:val="22"/>
      <w:szCs w:val="22"/>
      <w:lang w:val="zh-CN" w:eastAsia="zh-CN" w:bidi="zh-CN"/>
    </w:rPr>
  </w:style>
  <w:style w:type="character" w:customStyle="1" w:styleId="17">
    <w:name w:val="批注文字 字符"/>
    <w:basedOn w:val="9"/>
    <w:link w:val="3"/>
    <w:uiPriority w:val="0"/>
    <w:rPr>
      <w:rFonts w:ascii="宋体" w:hAnsi="宋体" w:eastAsia="宋体" w:cs="宋体"/>
      <w:sz w:val="22"/>
      <w:szCs w:val="22"/>
      <w:lang w:val="zh-CN" w:bidi="zh-CN"/>
    </w:rPr>
  </w:style>
  <w:style w:type="character" w:customStyle="1" w:styleId="18">
    <w:name w:val="批注主题 字符"/>
    <w:basedOn w:val="17"/>
    <w:link w:val="7"/>
    <w:uiPriority w:val="0"/>
    <w:rPr>
      <w:rFonts w:ascii="宋体" w:hAnsi="宋体" w:eastAsia="宋体" w:cs="宋体"/>
      <w:b/>
      <w:bCs/>
      <w:sz w:val="22"/>
      <w:szCs w:val="22"/>
      <w:lang w:val="zh-CN" w:bidi="zh-CN"/>
    </w:rPr>
  </w:style>
  <w:style w:type="character" w:customStyle="1" w:styleId="19">
    <w:name w:val="Unresolved Mention"/>
    <w:basedOn w:val="9"/>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4750</Words>
  <Characters>4897</Characters>
  <Lines>36</Lines>
  <Paragraphs>10</Paragraphs>
  <TotalTime>85</TotalTime>
  <ScaleCrop>false</ScaleCrop>
  <LinksUpToDate>false</LinksUpToDate>
  <CharactersWithSpaces>5069</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2026-08-07T06:07:00Z</dcterms:created>
  <dc:creator>ZL</dc:creator>
  <cp:lastModifiedBy>雯亦</cp:lastModifiedBy>
  <dcterms:modified xsi:type="dcterms:W3CDTF">2026-08-26T02:19:03Z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2026-06-12T00:00:00Z</vt:filetime>
  </property>
  <property fmtid="{D5CDD505-2E9C-101B-9397-08002B2CF9AE}" pid="3" name="Creator">
    <vt:lpwstr>WPS Office WWO_wpscloud_20260116152007-ff62b28dcd</vt:lpwstr>
  </property>
  <property fmtid="{D5CDD505-2E9C-101B-9397-08002B2CF9AE}" pid="4" name="LastSaved">
    <vt:filetime>2026-08-07T00:00:00Z</vt:filetime>
  </property>
  <property fmtid="{D5CDD505-2E9C-101B-9397-08002B2CF9AE}" pid="5" name="KSOProductBuildVer">
    <vt:lpwstr>2052-11.1.0.12165</vt:lpwstr>
  </property>
  <property fmtid="{D5CDD505-2E9C-101B-9397-08002B2CF9AE}" pid="6" name="ICV">
    <vt:lpwstr>8F4AF93F6AF047E1BD0F3F8C0A215876</vt:lpwstr>
  </property>
</Properties>
</file>