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181507">
      <w:pPr>
        <w:spacing w:after="0" w:line="240" w:lineRule="auto"/>
        <w:jc w:val="center"/>
        <w:rPr>
          <w:rFonts w:hint="eastAsia" w:ascii="黑体" w:hAnsi="黑体" w:eastAsia="黑体" w:cs="Times New Roman"/>
          <w:bCs/>
          <w:sz w:val="36"/>
          <w:szCs w:val="36"/>
          <w14:ligatures w14:val="none"/>
        </w:rPr>
      </w:pPr>
      <w:r>
        <w:rPr>
          <w:rFonts w:ascii="黑体" w:hAnsi="黑体" w:eastAsia="黑体" w:cs="Times New Roman"/>
          <w:bCs/>
          <w:sz w:val="36"/>
          <w:szCs w:val="36"/>
          <w14:ligatures w14:val="none"/>
        </w:rPr>
        <w:t>中信证券股份有限公司</w:t>
      </w:r>
    </w:p>
    <w:p w14:paraId="112360E5">
      <w:pPr>
        <w:spacing w:after="0" w:line="240" w:lineRule="auto"/>
        <w:jc w:val="center"/>
        <w:rPr>
          <w:rFonts w:hint="eastAsia" w:ascii="黑体" w:hAnsi="黑体" w:eastAsia="黑体" w:cs="Times New Roman"/>
          <w:bCs/>
          <w:sz w:val="36"/>
          <w:szCs w:val="36"/>
          <w14:ligatures w14:val="none"/>
        </w:rPr>
      </w:pPr>
      <w:r>
        <w:rPr>
          <w:rFonts w:hint="eastAsia" w:ascii="黑体" w:hAnsi="黑体" w:eastAsia="黑体" w:cs="Times New Roman"/>
          <w:bCs/>
          <w:sz w:val="36"/>
          <w:szCs w:val="36"/>
          <w14:ligatures w14:val="none"/>
        </w:rPr>
        <w:t>关于</w:t>
      </w:r>
      <w:r>
        <w:rPr>
          <w:rFonts w:ascii="黑体" w:hAnsi="黑体" w:eastAsia="黑体" w:cs="Times New Roman"/>
          <w:bCs/>
          <w:sz w:val="36"/>
          <w:szCs w:val="36"/>
          <w14:ligatures w14:val="none"/>
        </w:rPr>
        <w:t>重庆望变电气（集团）股份有限公司</w:t>
      </w:r>
    </w:p>
    <w:p w14:paraId="16EC2316">
      <w:pPr>
        <w:spacing w:after="0" w:line="240" w:lineRule="auto"/>
        <w:jc w:val="center"/>
        <w:rPr>
          <w:rFonts w:hint="eastAsia" w:ascii="黑体" w:hAnsi="黑体" w:eastAsia="黑体" w:cs="Times New Roman"/>
          <w:bCs/>
          <w:sz w:val="36"/>
          <w:szCs w:val="36"/>
          <w14:ligatures w14:val="none"/>
        </w:rPr>
      </w:pPr>
      <w:r>
        <w:rPr>
          <w:rFonts w:hint="eastAsia" w:ascii="黑体" w:hAnsi="黑体" w:eastAsia="黑体" w:cs="Times New Roman"/>
          <w:bCs/>
          <w:sz w:val="36"/>
          <w:szCs w:val="36"/>
          <w14:ligatures w14:val="none"/>
        </w:rPr>
        <w:t>开展2026年度</w:t>
      </w:r>
      <w:r>
        <w:rPr>
          <w:rFonts w:ascii="黑体" w:hAnsi="黑体" w:eastAsia="黑体" w:cs="Times New Roman"/>
          <w:bCs/>
          <w:sz w:val="36"/>
          <w:szCs w:val="36"/>
          <w14:ligatures w14:val="none"/>
        </w:rPr>
        <w:t>商品期货套期保值业务</w:t>
      </w:r>
      <w:r>
        <w:rPr>
          <w:rFonts w:hint="eastAsia" w:ascii="黑体" w:hAnsi="黑体" w:eastAsia="黑体" w:cs="Times New Roman"/>
          <w:bCs/>
          <w:sz w:val="36"/>
          <w:szCs w:val="36"/>
          <w14:ligatures w14:val="none"/>
        </w:rPr>
        <w:t>的核查意见</w:t>
      </w:r>
    </w:p>
    <w:p w14:paraId="716247C7">
      <w:pPr>
        <w:spacing w:after="0" w:line="240" w:lineRule="auto"/>
        <w:jc w:val="center"/>
        <w:rPr>
          <w:rFonts w:hint="eastAsia" w:ascii="黑体" w:hAnsi="黑体" w:eastAsia="黑体" w:cs="Times New Roman"/>
          <w:bCs/>
          <w:sz w:val="36"/>
          <w:szCs w:val="36"/>
          <w14:ligatures w14:val="none"/>
        </w:rPr>
      </w:pPr>
    </w:p>
    <w:p w14:paraId="13C56AAD">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中信证券股份有限公司（以下简称“中信证券”或“保荐人”）作为</w:t>
      </w:r>
      <w:r>
        <w:rPr>
          <w:rFonts w:ascii="Times New Roman" w:hAnsi="Times New Roman" w:eastAsia="宋体" w:cs="Times New Roman"/>
          <w:sz w:val="24"/>
          <w:szCs w:val="22"/>
        </w:rPr>
        <w:t>重庆望变电气（集团）股份有限公司</w:t>
      </w:r>
      <w:r>
        <w:rPr>
          <w:rFonts w:hint="eastAsia" w:ascii="Times New Roman" w:hAnsi="Times New Roman" w:eastAsia="宋体" w:cs="Times New Roman"/>
          <w:sz w:val="24"/>
          <w:szCs w:val="22"/>
        </w:rPr>
        <w:t>（以下简称“望变电气”或“公司”）向特定对象发行股票的保荐人，根据《证券发行上市保荐业务管理办法》《上海证券交易所股票上市规则》及《上海证券交易所上市公司自律监管指引第1号——规范运作》《上海证券交易所上市公司自律监管指引第5号——交易与关联交易》《上海证券交易所上市公司自律监管指引第11号——持续督导》等法律法规的要求，对望变电气开展2026年度商品期货套期保值业务事项进行了</w:t>
      </w:r>
      <w:r>
        <w:rPr>
          <w:rFonts w:ascii="Times New Roman" w:hAnsi="Times New Roman" w:eastAsia="宋体" w:cs="Times New Roman"/>
          <w:sz w:val="24"/>
          <w:szCs w:val="22"/>
        </w:rPr>
        <w:t>审慎</w:t>
      </w:r>
      <w:r>
        <w:rPr>
          <w:rFonts w:hint="eastAsia" w:ascii="Times New Roman" w:hAnsi="Times New Roman" w:eastAsia="宋体" w:cs="Times New Roman"/>
          <w:sz w:val="24"/>
          <w:szCs w:val="22"/>
        </w:rPr>
        <w:t>核查，</w:t>
      </w:r>
      <w:r>
        <w:rPr>
          <w:rFonts w:ascii="Times New Roman" w:hAnsi="Times New Roman" w:eastAsia="宋体" w:cs="Times New Roman"/>
          <w:sz w:val="24"/>
          <w:szCs w:val="22"/>
        </w:rPr>
        <w:t>核查情况及核查意见如下：</w:t>
      </w:r>
    </w:p>
    <w:p w14:paraId="7C0AC2C1">
      <w:pPr>
        <w:pStyle w:val="50"/>
        <w:spacing w:before="156" w:after="156"/>
        <w:ind w:firstLine="482"/>
        <w:outlineLvl w:val="0"/>
      </w:pPr>
      <w:r>
        <w:rPr>
          <w:rFonts w:hint="eastAsia"/>
        </w:rPr>
        <w:t>一、套期保值情况概述</w:t>
      </w:r>
    </w:p>
    <w:p w14:paraId="0D32671B">
      <w:pPr>
        <w:pStyle w:val="50"/>
        <w:spacing w:before="156" w:after="156"/>
        <w:ind w:firstLine="482"/>
        <w:outlineLvl w:val="1"/>
      </w:pPr>
      <w:r>
        <w:rPr>
          <w:rFonts w:hint="eastAsia"/>
        </w:rPr>
        <w:t>（一）</w:t>
      </w:r>
      <w:r>
        <w:t>套期保值的目的</w:t>
      </w:r>
    </w:p>
    <w:p w14:paraId="010FE57D">
      <w:pPr>
        <w:spacing w:before="156" w:beforeLines="50" w:line="360" w:lineRule="auto"/>
        <w:ind w:firstLine="480" w:firstLineChars="200"/>
        <w:jc w:val="both"/>
        <w:rPr>
          <w:rFonts w:ascii="Times New Roman" w:hAnsi="Times New Roman" w:eastAsia="宋体" w:cs="Times New Roman"/>
          <w:sz w:val="24"/>
          <w:szCs w:val="22"/>
        </w:rPr>
      </w:pPr>
      <w:r>
        <w:rPr>
          <w:rFonts w:ascii="Times New Roman" w:hAnsi="Times New Roman" w:eastAsia="宋体" w:cs="Times New Roman"/>
          <w:sz w:val="24"/>
          <w:szCs w:val="22"/>
        </w:rPr>
        <w:t>公司从事商品期货交易，目的是充分利用期货市场的套期保值功能，规避生产、经营中使用的原材料价格涨价风险，减少因原材料价格波动造成的产品成本波动，保证产品成本的相对稳定，降低原材料价格波动对公司正常经营的影响。</w:t>
      </w:r>
    </w:p>
    <w:p w14:paraId="46AF765B">
      <w:pPr>
        <w:pStyle w:val="50"/>
        <w:spacing w:before="156" w:after="156"/>
        <w:ind w:firstLine="482"/>
        <w:outlineLvl w:val="1"/>
      </w:pPr>
      <w:r>
        <w:rPr>
          <w:rFonts w:hint="eastAsia"/>
        </w:rPr>
        <w:t>（二）</w:t>
      </w:r>
      <w:r>
        <w:t>2026年度预计开展的期货套期保值交易情况</w:t>
      </w:r>
    </w:p>
    <w:p w14:paraId="35390D1E">
      <w:pPr>
        <w:spacing w:before="156" w:beforeLines="50" w:line="360" w:lineRule="auto"/>
        <w:ind w:firstLine="480" w:firstLineChars="200"/>
        <w:jc w:val="both"/>
        <w:rPr>
          <w:rFonts w:ascii="Times New Roman" w:hAnsi="Times New Roman" w:eastAsia="宋体" w:cs="Times New Roman"/>
          <w:sz w:val="24"/>
          <w:szCs w:val="22"/>
        </w:rPr>
      </w:pPr>
      <w:r>
        <w:rPr>
          <w:rFonts w:ascii="Times New Roman" w:hAnsi="Times New Roman" w:eastAsia="宋体" w:cs="Times New Roman"/>
          <w:sz w:val="24"/>
          <w:szCs w:val="22"/>
        </w:rPr>
        <w:t>业务开展主体为公司及下属子公司（包含全资及控股子公司等），根据现货需要开展套期保值业务主要为公司经营产品所对应的商品期货品种，目前交易品种主要涉及铜材。交易标的为铜期货标准合约，交易场所为上海期货交易所。</w:t>
      </w:r>
    </w:p>
    <w:p w14:paraId="68B8FF61">
      <w:pPr>
        <w:spacing w:before="156" w:beforeLines="50" w:line="360" w:lineRule="auto"/>
        <w:ind w:firstLine="480" w:firstLineChars="200"/>
        <w:jc w:val="both"/>
        <w:rPr>
          <w:rFonts w:ascii="Times New Roman" w:hAnsi="Times New Roman" w:eastAsia="宋体" w:cs="Times New Roman"/>
          <w:sz w:val="24"/>
          <w:szCs w:val="22"/>
        </w:rPr>
      </w:pPr>
      <w:r>
        <w:rPr>
          <w:rFonts w:ascii="Times New Roman" w:hAnsi="Times New Roman" w:eastAsia="宋体" w:cs="Times New Roman"/>
          <w:sz w:val="24"/>
          <w:szCs w:val="22"/>
        </w:rPr>
        <w:t>根据生产产品原材料需求测算，2026年度拟对不超过3,000吨铜期货套期保值，根据原材料需求量进行等值期货套保，授权期限内任一时点保证金最高余额不超过人民币10,000万元，且任一交易日持有的最高合约价值不超过</w:t>
      </w:r>
      <w:r>
        <w:rPr>
          <w:rFonts w:hint="eastAsia" w:ascii="Times New Roman" w:hAnsi="Times New Roman" w:eastAsia="宋体" w:cs="Times New Roman"/>
          <w:sz w:val="24"/>
          <w:szCs w:val="22"/>
        </w:rPr>
        <w:t>45,</w:t>
      </w:r>
      <w:r>
        <w:rPr>
          <w:rFonts w:ascii="Times New Roman" w:hAnsi="Times New Roman" w:eastAsia="宋体" w:cs="Times New Roman"/>
          <w:sz w:val="24"/>
          <w:szCs w:val="22"/>
        </w:rPr>
        <w:t>000万元，有效期内额度可循环使用。根据生产、经营情况以及客户订单周期作为期货操作期。</w:t>
      </w:r>
      <w:bookmarkStart w:id="0" w:name="_GoBack"/>
      <w:bookmarkEnd w:id="0"/>
    </w:p>
    <w:tbl>
      <w:tblPr>
        <w:tblStyle w:val="53"/>
        <w:tblW w:w="5000" w:type="pct"/>
        <w:tblInd w:w="2" w:type="dxa"/>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Layout w:type="autofit"/>
        <w:tblCellMar>
          <w:top w:w="0" w:type="dxa"/>
          <w:left w:w="0" w:type="dxa"/>
          <w:bottom w:w="0" w:type="dxa"/>
          <w:right w:w="0" w:type="dxa"/>
        </w:tblCellMar>
      </w:tblPr>
      <w:tblGrid>
        <w:gridCol w:w="1508"/>
        <w:gridCol w:w="1504"/>
        <w:gridCol w:w="1534"/>
        <w:gridCol w:w="1849"/>
        <w:gridCol w:w="1941"/>
      </w:tblGrid>
      <w:tr w14:paraId="5B1776C0">
        <w:trPr>
          <w:trHeight w:val="397" w:hRule="atLeast"/>
          <w:tblHeader/>
        </w:trPr>
        <w:tc>
          <w:tcPr>
            <w:tcW w:w="1498" w:type="dxa"/>
            <w:vAlign w:val="center"/>
          </w:tcPr>
          <w:p w14:paraId="1C2A1105">
            <w:pPr>
              <w:widowControl/>
              <w:kinsoku w:val="0"/>
              <w:autoSpaceDE w:val="0"/>
              <w:autoSpaceDN w:val="0"/>
              <w:adjustRightInd w:val="0"/>
              <w:snapToGrid w:val="0"/>
              <w:spacing w:after="0" w:line="240" w:lineRule="auto"/>
              <w:jc w:val="center"/>
              <w:rPr>
                <w:rFonts w:ascii="Times New Roman" w:hAnsi="Times New Roman" w:eastAsia="宋体" w:cs="Times New Roman"/>
                <w:b/>
                <w:bCs/>
                <w:color w:val="000000"/>
                <w:spacing w:val="-2"/>
                <w:kern w:val="0"/>
                <w:sz w:val="21"/>
                <w:szCs w:val="21"/>
                <w14:ligatures w14:val="none"/>
              </w:rPr>
            </w:pPr>
            <w:r>
              <w:rPr>
                <w:rFonts w:ascii="Times New Roman" w:hAnsi="Times New Roman" w:eastAsia="宋体" w:cs="Times New Roman"/>
                <w:b/>
                <w:bCs/>
                <w:color w:val="000000"/>
                <w:spacing w:val="-2"/>
                <w:kern w:val="0"/>
                <w:sz w:val="21"/>
                <w:szCs w:val="21"/>
                <w14:ligatures w14:val="none"/>
              </w:rPr>
              <w:t>单位</w:t>
            </w:r>
          </w:p>
        </w:tc>
        <w:tc>
          <w:tcPr>
            <w:tcW w:w="1493" w:type="dxa"/>
            <w:vAlign w:val="center"/>
          </w:tcPr>
          <w:p w14:paraId="14DBAC0F">
            <w:pPr>
              <w:widowControl/>
              <w:kinsoku w:val="0"/>
              <w:autoSpaceDE w:val="0"/>
              <w:autoSpaceDN w:val="0"/>
              <w:adjustRightInd w:val="0"/>
              <w:snapToGrid w:val="0"/>
              <w:spacing w:after="0" w:line="240" w:lineRule="auto"/>
              <w:jc w:val="center"/>
              <w:rPr>
                <w:rFonts w:ascii="Times New Roman" w:hAnsi="Times New Roman" w:eastAsia="宋体" w:cs="Times New Roman"/>
                <w:b/>
                <w:bCs/>
                <w:color w:val="000000"/>
                <w:kern w:val="0"/>
                <w:sz w:val="21"/>
                <w:szCs w:val="21"/>
                <w14:ligatures w14:val="none"/>
              </w:rPr>
            </w:pPr>
            <w:r>
              <w:rPr>
                <w:rFonts w:ascii="Times New Roman" w:hAnsi="Times New Roman" w:eastAsia="宋体" w:cs="Times New Roman"/>
                <w:b/>
                <w:bCs/>
                <w:color w:val="000000"/>
                <w:spacing w:val="-2"/>
                <w:kern w:val="0"/>
                <w:sz w:val="21"/>
                <w:szCs w:val="21"/>
                <w14:ligatures w14:val="none"/>
              </w:rPr>
              <w:t>套期保值期货品种</w:t>
            </w:r>
          </w:p>
        </w:tc>
        <w:tc>
          <w:tcPr>
            <w:tcW w:w="1523" w:type="dxa"/>
            <w:vAlign w:val="center"/>
          </w:tcPr>
          <w:p w14:paraId="4A647A9D">
            <w:pPr>
              <w:widowControl/>
              <w:kinsoku w:val="0"/>
              <w:autoSpaceDE w:val="0"/>
              <w:autoSpaceDN w:val="0"/>
              <w:adjustRightInd w:val="0"/>
              <w:snapToGrid w:val="0"/>
              <w:spacing w:after="0" w:line="240" w:lineRule="auto"/>
              <w:jc w:val="center"/>
              <w:rPr>
                <w:rFonts w:hint="eastAsia" w:ascii="Times New Roman" w:hAnsi="Times New Roman" w:eastAsia="宋体" w:cs="Times New Roman"/>
                <w:b/>
                <w:bCs/>
                <w:color w:val="000000"/>
                <w:kern w:val="0"/>
                <w:sz w:val="21"/>
                <w:szCs w:val="21"/>
                <w:lang w:eastAsia="zh-CN"/>
                <w14:ligatures w14:val="none"/>
              </w:rPr>
            </w:pPr>
            <w:r>
              <w:rPr>
                <w:rFonts w:ascii="Times New Roman" w:hAnsi="Times New Roman" w:eastAsia="宋体" w:cs="Times New Roman"/>
                <w:b/>
                <w:bCs/>
                <w:color w:val="000000"/>
                <w:spacing w:val="-2"/>
                <w:kern w:val="0"/>
                <w:sz w:val="21"/>
                <w:szCs w:val="21"/>
                <w:lang w:eastAsia="en-US"/>
                <w14:ligatures w14:val="none"/>
              </w:rPr>
              <w:t>预计最高持仓数量</w:t>
            </w:r>
            <w:r>
              <w:rPr>
                <w:rFonts w:hint="eastAsia" w:ascii="Times New Roman" w:hAnsi="Times New Roman" w:eastAsia="宋体" w:cs="Times New Roman"/>
                <w:b/>
                <w:bCs/>
                <w:color w:val="000000"/>
                <w:spacing w:val="-2"/>
                <w:kern w:val="0"/>
                <w:sz w:val="21"/>
                <w:szCs w:val="21"/>
                <w:lang w:eastAsia="zh-CN"/>
                <w14:ligatures w14:val="none"/>
              </w:rPr>
              <w:t>（</w:t>
            </w:r>
            <w:r>
              <w:rPr>
                <w:rFonts w:hint="eastAsia" w:ascii="Times New Roman" w:hAnsi="Times New Roman" w:eastAsia="宋体" w:cs="Times New Roman"/>
                <w:b/>
                <w:bCs/>
                <w:color w:val="000000"/>
                <w:spacing w:val="-2"/>
                <w:kern w:val="0"/>
                <w:sz w:val="21"/>
                <w:szCs w:val="21"/>
                <w:lang w:val="en-US" w:eastAsia="zh-CN"/>
                <w14:ligatures w14:val="none"/>
              </w:rPr>
              <w:t>吨</w:t>
            </w:r>
            <w:r>
              <w:rPr>
                <w:rFonts w:hint="eastAsia" w:ascii="Times New Roman" w:hAnsi="Times New Roman" w:eastAsia="宋体" w:cs="Times New Roman"/>
                <w:b/>
                <w:bCs/>
                <w:color w:val="000000"/>
                <w:spacing w:val="-2"/>
                <w:kern w:val="0"/>
                <w:sz w:val="21"/>
                <w:szCs w:val="21"/>
                <w:lang w:eastAsia="zh-CN"/>
                <w14:ligatures w14:val="none"/>
              </w:rPr>
              <w:t>）</w:t>
            </w:r>
          </w:p>
        </w:tc>
        <w:tc>
          <w:tcPr>
            <w:tcW w:w="1836" w:type="dxa"/>
            <w:vAlign w:val="center"/>
          </w:tcPr>
          <w:p w14:paraId="7B5024E5">
            <w:pPr>
              <w:widowControl/>
              <w:kinsoku w:val="0"/>
              <w:autoSpaceDE w:val="0"/>
              <w:autoSpaceDN w:val="0"/>
              <w:adjustRightInd w:val="0"/>
              <w:snapToGrid w:val="0"/>
              <w:spacing w:after="0" w:line="240" w:lineRule="auto"/>
              <w:jc w:val="center"/>
              <w:rPr>
                <w:rFonts w:ascii="Times New Roman" w:hAnsi="Times New Roman" w:eastAsia="宋体" w:cs="Times New Roman"/>
                <w:b/>
                <w:bCs/>
                <w:color w:val="000000"/>
                <w:spacing w:val="-2"/>
                <w:kern w:val="0"/>
                <w:sz w:val="21"/>
                <w:szCs w:val="21"/>
                <w14:ligatures w14:val="none"/>
              </w:rPr>
            </w:pPr>
            <w:r>
              <w:rPr>
                <w:rFonts w:ascii="Times New Roman" w:hAnsi="Times New Roman" w:eastAsia="宋体" w:cs="Times New Roman"/>
                <w:b/>
                <w:bCs/>
                <w:color w:val="000000"/>
                <w:spacing w:val="-2"/>
                <w:kern w:val="0"/>
                <w:sz w:val="21"/>
                <w:szCs w:val="21"/>
                <w14:ligatures w14:val="none"/>
              </w:rPr>
              <w:t>预计最高保证金余额（人民币</w:t>
            </w:r>
            <w:r>
              <w:rPr>
                <w:rFonts w:hint="eastAsia" w:ascii="Times New Roman" w:hAnsi="Times New Roman" w:eastAsia="宋体" w:cs="Times New Roman"/>
                <w:b/>
                <w:bCs/>
                <w:color w:val="000000"/>
                <w:spacing w:val="-2"/>
                <w:kern w:val="0"/>
                <w:sz w:val="21"/>
                <w:szCs w:val="21"/>
                <w:lang w:eastAsia="zh-CN"/>
                <w14:ligatures w14:val="none"/>
              </w:rPr>
              <w:t>，</w:t>
            </w:r>
            <w:r>
              <w:rPr>
                <w:rFonts w:hint="eastAsia" w:ascii="Times New Roman" w:hAnsi="Times New Roman" w:eastAsia="宋体" w:cs="Times New Roman"/>
                <w:b/>
                <w:bCs/>
                <w:color w:val="000000"/>
                <w:spacing w:val="-2"/>
                <w:kern w:val="0"/>
                <w:sz w:val="21"/>
                <w:szCs w:val="21"/>
                <w:lang w:val="en-US" w:eastAsia="zh-CN"/>
                <w14:ligatures w14:val="none"/>
              </w:rPr>
              <w:t>万元</w:t>
            </w:r>
            <w:r>
              <w:rPr>
                <w:rFonts w:ascii="Times New Roman" w:hAnsi="Times New Roman" w:eastAsia="宋体" w:cs="Times New Roman"/>
                <w:b/>
                <w:bCs/>
                <w:color w:val="000000"/>
                <w:spacing w:val="-2"/>
                <w:kern w:val="0"/>
                <w:sz w:val="21"/>
                <w:szCs w:val="21"/>
                <w14:ligatures w14:val="none"/>
              </w:rPr>
              <w:t>）</w:t>
            </w:r>
          </w:p>
        </w:tc>
        <w:tc>
          <w:tcPr>
            <w:tcW w:w="1927" w:type="dxa"/>
            <w:vAlign w:val="center"/>
          </w:tcPr>
          <w:p w14:paraId="4CA46DDC">
            <w:pPr>
              <w:widowControl/>
              <w:kinsoku w:val="0"/>
              <w:autoSpaceDE w:val="0"/>
              <w:autoSpaceDN w:val="0"/>
              <w:adjustRightInd w:val="0"/>
              <w:snapToGrid w:val="0"/>
              <w:spacing w:after="0" w:line="240" w:lineRule="auto"/>
              <w:jc w:val="center"/>
              <w:rPr>
                <w:rFonts w:ascii="Times New Roman" w:hAnsi="Times New Roman" w:eastAsia="宋体" w:cs="Times New Roman"/>
                <w:b/>
                <w:bCs/>
                <w:color w:val="000000"/>
                <w:spacing w:val="-2"/>
                <w:kern w:val="0"/>
                <w:sz w:val="21"/>
                <w:szCs w:val="21"/>
                <w14:ligatures w14:val="none"/>
              </w:rPr>
            </w:pPr>
            <w:r>
              <w:rPr>
                <w:rFonts w:ascii="Times New Roman" w:hAnsi="Times New Roman" w:eastAsia="宋体" w:cs="Times New Roman"/>
                <w:b/>
                <w:bCs/>
                <w:color w:val="000000"/>
                <w:spacing w:val="-2"/>
                <w:kern w:val="0"/>
                <w:sz w:val="21"/>
                <w:szCs w:val="21"/>
                <w14:ligatures w14:val="none"/>
              </w:rPr>
              <w:t>预计最高持</w:t>
            </w:r>
            <w:r>
              <w:rPr>
                <w:rFonts w:hint="eastAsia" w:ascii="Times New Roman" w:hAnsi="Times New Roman" w:eastAsia="宋体" w:cs="Times New Roman"/>
                <w:b/>
                <w:bCs/>
                <w:color w:val="000000"/>
                <w:spacing w:val="-2"/>
                <w:kern w:val="0"/>
                <w:sz w:val="21"/>
                <w:szCs w:val="21"/>
                <w14:ligatures w14:val="none"/>
              </w:rPr>
              <w:t>有</w:t>
            </w:r>
            <w:r>
              <w:rPr>
                <w:rFonts w:ascii="Times New Roman" w:hAnsi="Times New Roman" w:eastAsia="宋体" w:cs="Times New Roman"/>
                <w:b/>
                <w:bCs/>
                <w:color w:val="000000"/>
                <w:spacing w:val="-2"/>
                <w:kern w:val="0"/>
                <w:sz w:val="21"/>
                <w:szCs w:val="21"/>
                <w14:ligatures w14:val="none"/>
              </w:rPr>
              <w:t>合约价值（人民币</w:t>
            </w:r>
            <w:r>
              <w:rPr>
                <w:rFonts w:hint="eastAsia" w:ascii="Times New Roman" w:hAnsi="Times New Roman" w:eastAsia="宋体" w:cs="Times New Roman"/>
                <w:b/>
                <w:bCs/>
                <w:color w:val="000000"/>
                <w:spacing w:val="-2"/>
                <w:kern w:val="0"/>
                <w:sz w:val="21"/>
                <w:szCs w:val="21"/>
                <w:lang w:eastAsia="zh-CN"/>
                <w14:ligatures w14:val="none"/>
              </w:rPr>
              <w:t>，</w:t>
            </w:r>
            <w:r>
              <w:rPr>
                <w:rFonts w:hint="eastAsia" w:ascii="Times New Roman" w:hAnsi="Times New Roman" w:eastAsia="宋体" w:cs="Times New Roman"/>
                <w:b/>
                <w:bCs/>
                <w:color w:val="000000"/>
                <w:spacing w:val="-2"/>
                <w:kern w:val="0"/>
                <w:sz w:val="21"/>
                <w:szCs w:val="21"/>
                <w:lang w:val="en-US" w:eastAsia="zh-CN"/>
                <w14:ligatures w14:val="none"/>
              </w:rPr>
              <w:t>万元</w:t>
            </w:r>
            <w:r>
              <w:rPr>
                <w:rFonts w:ascii="Times New Roman" w:hAnsi="Times New Roman" w:eastAsia="宋体" w:cs="Times New Roman"/>
                <w:b/>
                <w:bCs/>
                <w:color w:val="000000"/>
                <w:spacing w:val="-2"/>
                <w:kern w:val="0"/>
                <w:sz w:val="21"/>
                <w:szCs w:val="21"/>
                <w14:ligatures w14:val="none"/>
              </w:rPr>
              <w:t>）</w:t>
            </w:r>
          </w:p>
        </w:tc>
      </w:tr>
      <w:tr w14:paraId="6021FE00">
        <w:trPr>
          <w:trHeight w:val="397" w:hRule="atLeast"/>
        </w:trPr>
        <w:tc>
          <w:tcPr>
            <w:tcW w:w="1498" w:type="dxa"/>
            <w:vAlign w:val="center"/>
          </w:tcPr>
          <w:p w14:paraId="2E3377D2">
            <w:pPr>
              <w:widowControl/>
              <w:kinsoku w:val="0"/>
              <w:autoSpaceDE w:val="0"/>
              <w:autoSpaceDN w:val="0"/>
              <w:adjustRightInd w:val="0"/>
              <w:snapToGrid w:val="0"/>
              <w:spacing w:after="0" w:line="240" w:lineRule="auto"/>
              <w:jc w:val="center"/>
              <w:rPr>
                <w:rFonts w:ascii="Times New Roman" w:hAnsi="Times New Roman" w:eastAsia="宋体" w:cs="Times New Roman"/>
                <w:color w:val="000000"/>
                <w:kern w:val="0"/>
                <w:sz w:val="21"/>
                <w:szCs w:val="21"/>
                <w14:ligatures w14:val="none"/>
              </w:rPr>
            </w:pPr>
            <w:r>
              <w:rPr>
                <w:rFonts w:ascii="Times New Roman" w:hAnsi="Times New Roman" w:eastAsia="宋体" w:cs="Times New Roman"/>
                <w:color w:val="000000"/>
                <w:kern w:val="0"/>
                <w:sz w:val="21"/>
                <w:szCs w:val="21"/>
                <w14:ligatures w14:val="none"/>
              </w:rPr>
              <w:t>望变电气及下属子公司</w:t>
            </w:r>
          </w:p>
        </w:tc>
        <w:tc>
          <w:tcPr>
            <w:tcW w:w="1493" w:type="dxa"/>
            <w:vAlign w:val="center"/>
          </w:tcPr>
          <w:p w14:paraId="0788857D">
            <w:pPr>
              <w:widowControl/>
              <w:kinsoku w:val="0"/>
              <w:autoSpaceDE w:val="0"/>
              <w:autoSpaceDN w:val="0"/>
              <w:adjustRightInd w:val="0"/>
              <w:snapToGrid w:val="0"/>
              <w:spacing w:after="0" w:line="240" w:lineRule="auto"/>
              <w:jc w:val="center"/>
              <w:rPr>
                <w:rFonts w:ascii="Times New Roman" w:hAnsi="Times New Roman" w:eastAsia="宋体" w:cs="Times New Roman"/>
                <w:color w:val="000000"/>
                <w:kern w:val="0"/>
                <w:sz w:val="21"/>
                <w:szCs w:val="21"/>
                <w:lang w:eastAsia="en-US"/>
                <w14:ligatures w14:val="none"/>
              </w:rPr>
            </w:pPr>
            <w:r>
              <w:rPr>
                <w:rFonts w:ascii="Times New Roman" w:hAnsi="Times New Roman" w:eastAsia="宋体" w:cs="Times New Roman"/>
                <w:color w:val="000000"/>
                <w:kern w:val="0"/>
                <w:sz w:val="21"/>
                <w:szCs w:val="21"/>
                <w:lang w:eastAsia="en-US"/>
                <w14:ligatures w14:val="none"/>
              </w:rPr>
              <w:t>铜</w:t>
            </w:r>
          </w:p>
        </w:tc>
        <w:tc>
          <w:tcPr>
            <w:tcW w:w="1523" w:type="dxa"/>
            <w:vAlign w:val="center"/>
          </w:tcPr>
          <w:p w14:paraId="1B75C9DB">
            <w:pPr>
              <w:widowControl/>
              <w:kinsoku w:val="0"/>
              <w:autoSpaceDE w:val="0"/>
              <w:autoSpaceDN w:val="0"/>
              <w:adjustRightInd w:val="0"/>
              <w:snapToGrid w:val="0"/>
              <w:spacing w:after="0" w:line="240" w:lineRule="auto"/>
              <w:jc w:val="right"/>
              <w:rPr>
                <w:rFonts w:ascii="Times New Roman" w:hAnsi="Times New Roman" w:eastAsia="宋体" w:cs="Times New Roman"/>
                <w:color w:val="000000"/>
                <w:kern w:val="0"/>
                <w:sz w:val="21"/>
                <w:szCs w:val="21"/>
                <w:lang w:eastAsia="en-US"/>
                <w14:ligatures w14:val="none"/>
              </w:rPr>
            </w:pPr>
            <w:r>
              <w:rPr>
                <w:rFonts w:ascii="Times New Roman" w:hAnsi="Times New Roman" w:eastAsia="宋体" w:cs="Times New Roman"/>
                <w:color w:val="000000"/>
                <w:spacing w:val="-3"/>
                <w:kern w:val="0"/>
                <w:position w:val="3"/>
                <w:sz w:val="21"/>
                <w:szCs w:val="21"/>
                <w14:ligatures w14:val="none"/>
              </w:rPr>
              <w:t>3</w:t>
            </w:r>
            <w:r>
              <w:rPr>
                <w:rFonts w:hint="eastAsia" w:ascii="Times New Roman" w:hAnsi="Times New Roman" w:eastAsia="宋体" w:cs="Times New Roman"/>
                <w:color w:val="000000"/>
                <w:spacing w:val="-3"/>
                <w:kern w:val="0"/>
                <w:position w:val="3"/>
                <w:sz w:val="21"/>
                <w:szCs w:val="21"/>
                <w14:ligatures w14:val="none"/>
              </w:rPr>
              <w:t>,</w:t>
            </w:r>
            <w:r>
              <w:rPr>
                <w:rFonts w:ascii="Times New Roman" w:hAnsi="Times New Roman" w:eastAsia="宋体" w:cs="Times New Roman"/>
                <w:color w:val="000000"/>
                <w:spacing w:val="-3"/>
                <w:kern w:val="0"/>
                <w:position w:val="3"/>
                <w:sz w:val="21"/>
                <w:szCs w:val="21"/>
                <w14:ligatures w14:val="none"/>
              </w:rPr>
              <w:t>000</w:t>
            </w:r>
          </w:p>
        </w:tc>
        <w:tc>
          <w:tcPr>
            <w:tcW w:w="1836" w:type="dxa"/>
            <w:vAlign w:val="center"/>
          </w:tcPr>
          <w:p w14:paraId="10CD87F1">
            <w:pPr>
              <w:widowControl/>
              <w:kinsoku w:val="0"/>
              <w:autoSpaceDE w:val="0"/>
              <w:autoSpaceDN w:val="0"/>
              <w:adjustRightInd w:val="0"/>
              <w:snapToGrid w:val="0"/>
              <w:spacing w:after="0" w:line="240" w:lineRule="auto"/>
              <w:jc w:val="right"/>
              <w:rPr>
                <w:rFonts w:ascii="Times New Roman" w:hAnsi="Times New Roman" w:eastAsia="宋体" w:cs="Times New Roman"/>
                <w:color w:val="000000"/>
                <w:kern w:val="0"/>
                <w:sz w:val="21"/>
                <w:szCs w:val="21"/>
                <w14:ligatures w14:val="none"/>
              </w:rPr>
            </w:pPr>
            <w:r>
              <w:rPr>
                <w:rFonts w:ascii="Times New Roman" w:hAnsi="Times New Roman" w:eastAsia="宋体" w:cs="Times New Roman"/>
                <w:color w:val="000000"/>
                <w:kern w:val="0"/>
                <w:sz w:val="21"/>
                <w:szCs w:val="21"/>
                <w14:ligatures w14:val="none"/>
              </w:rPr>
              <w:t>10,000</w:t>
            </w:r>
          </w:p>
        </w:tc>
        <w:tc>
          <w:tcPr>
            <w:tcW w:w="1927" w:type="dxa"/>
            <w:vAlign w:val="center"/>
          </w:tcPr>
          <w:p w14:paraId="37E4D090">
            <w:pPr>
              <w:widowControl/>
              <w:kinsoku w:val="0"/>
              <w:autoSpaceDE w:val="0"/>
              <w:autoSpaceDN w:val="0"/>
              <w:adjustRightInd w:val="0"/>
              <w:snapToGrid w:val="0"/>
              <w:spacing w:after="0" w:line="240" w:lineRule="auto"/>
              <w:jc w:val="right"/>
              <w:rPr>
                <w:rFonts w:ascii="Times New Roman" w:hAnsi="Times New Roman" w:eastAsia="宋体" w:cs="Times New Roman"/>
                <w:color w:val="000000"/>
                <w:kern w:val="0"/>
                <w:sz w:val="21"/>
                <w:szCs w:val="21"/>
                <w14:ligatures w14:val="none"/>
              </w:rPr>
            </w:pPr>
            <w:r>
              <w:rPr>
                <w:rFonts w:hint="eastAsia" w:ascii="Times New Roman" w:hAnsi="Times New Roman" w:eastAsia="宋体" w:cs="Times New Roman"/>
                <w:color w:val="000000"/>
                <w:kern w:val="0"/>
                <w:sz w:val="21"/>
                <w:szCs w:val="21"/>
                <w14:ligatures w14:val="none"/>
              </w:rPr>
              <w:t>45</w:t>
            </w:r>
            <w:r>
              <w:rPr>
                <w:rFonts w:ascii="Times New Roman" w:hAnsi="Times New Roman" w:eastAsia="宋体" w:cs="Times New Roman"/>
                <w:color w:val="000000"/>
                <w:kern w:val="0"/>
                <w:sz w:val="21"/>
                <w:szCs w:val="21"/>
                <w14:ligatures w14:val="none"/>
              </w:rPr>
              <w:t>,000</w:t>
            </w:r>
          </w:p>
        </w:tc>
      </w:tr>
    </w:tbl>
    <w:p w14:paraId="131A301A">
      <w:pPr>
        <w:pStyle w:val="50"/>
        <w:spacing w:before="156" w:after="156"/>
        <w:ind w:firstLine="482"/>
        <w:outlineLvl w:val="1"/>
      </w:pPr>
      <w:r>
        <w:t>（三）期货品种</w:t>
      </w:r>
    </w:p>
    <w:p w14:paraId="6EB410B6">
      <w:pPr>
        <w:spacing w:before="156" w:beforeLines="50" w:line="360" w:lineRule="auto"/>
        <w:ind w:firstLine="480" w:firstLineChars="200"/>
        <w:jc w:val="both"/>
        <w:rPr>
          <w:rFonts w:ascii="Times New Roman" w:hAnsi="Times New Roman" w:eastAsia="宋体" w:cs="Times New Roman"/>
          <w:sz w:val="24"/>
          <w:szCs w:val="22"/>
        </w:rPr>
      </w:pPr>
      <w:r>
        <w:rPr>
          <w:rFonts w:ascii="Times New Roman" w:hAnsi="Times New Roman" w:eastAsia="宋体" w:cs="Times New Roman"/>
          <w:sz w:val="24"/>
          <w:szCs w:val="22"/>
        </w:rPr>
        <w:t>公司的期货套期保值业务，只限于从事与公司生产、经营所需原材料相同的铜期货品种。</w:t>
      </w:r>
    </w:p>
    <w:p w14:paraId="0CF209F6">
      <w:pPr>
        <w:pStyle w:val="50"/>
        <w:spacing w:before="156" w:after="156"/>
        <w:ind w:firstLine="482"/>
        <w:outlineLvl w:val="1"/>
      </w:pPr>
      <w:r>
        <w:t>（四）资金来源</w:t>
      </w:r>
    </w:p>
    <w:p w14:paraId="3C74CEF3">
      <w:pPr>
        <w:spacing w:before="156" w:beforeLines="50" w:line="360" w:lineRule="auto"/>
        <w:ind w:firstLine="480" w:firstLineChars="200"/>
        <w:jc w:val="both"/>
        <w:rPr>
          <w:rFonts w:ascii="Times New Roman" w:hAnsi="Times New Roman" w:eastAsia="宋体" w:cs="Times New Roman"/>
          <w:sz w:val="24"/>
          <w:szCs w:val="22"/>
        </w:rPr>
      </w:pPr>
      <w:r>
        <w:rPr>
          <w:rFonts w:ascii="Times New Roman" w:hAnsi="Times New Roman" w:eastAsia="宋体" w:cs="Times New Roman"/>
          <w:sz w:val="24"/>
          <w:szCs w:val="22"/>
        </w:rPr>
        <w:t>公司将利用自有资金开展套期保值业务，不涉及募集资金、银行信贷资金。</w:t>
      </w:r>
    </w:p>
    <w:p w14:paraId="68341D09">
      <w:pPr>
        <w:pStyle w:val="50"/>
        <w:spacing w:before="156" w:after="156"/>
        <w:ind w:firstLine="482"/>
        <w:outlineLvl w:val="1"/>
      </w:pPr>
      <w:r>
        <w:t>（五）套保授权</w:t>
      </w:r>
    </w:p>
    <w:p w14:paraId="324ADD87">
      <w:pPr>
        <w:spacing w:before="156" w:beforeLines="50" w:line="360" w:lineRule="auto"/>
        <w:ind w:firstLine="480" w:firstLineChars="200"/>
        <w:jc w:val="both"/>
        <w:rPr>
          <w:rFonts w:ascii="Times New Roman" w:hAnsi="Times New Roman" w:eastAsia="宋体" w:cs="Times New Roman"/>
          <w:sz w:val="24"/>
          <w:szCs w:val="22"/>
        </w:rPr>
      </w:pPr>
      <w:r>
        <w:rPr>
          <w:rFonts w:ascii="Times New Roman" w:hAnsi="Times New Roman" w:eastAsia="宋体" w:cs="Times New Roman"/>
          <w:sz w:val="24"/>
          <w:szCs w:val="22"/>
        </w:rPr>
        <w:t>鉴于商品期货套期保值业务与公司的生产经营密切相关，公司董事会授权套期保值管理委员会在授权额度内审批日常商品套期保值业务方案及签署商品套期保值业务相关合同，并由公司总经理牵头，成立各产业分管领导、销售、供应链、产业采购部门、财务等负责人或代表，以及套保专业人员共同参与的套期保值管理委员会及套期保值操作小组，操作小组作为日常执行机构，负责与商品期货套保业务相关计划制订、资金筹集、业务操作及使用监督，对控股子公司的商品期货套保业务进行督导，行使商品套期保值业务具体执行职责。</w:t>
      </w:r>
    </w:p>
    <w:p w14:paraId="7B8EE34C">
      <w:pPr>
        <w:spacing w:before="156" w:beforeLines="50" w:line="360" w:lineRule="auto"/>
        <w:ind w:firstLine="480" w:firstLineChars="200"/>
        <w:jc w:val="both"/>
        <w:rPr>
          <w:rFonts w:ascii="Times New Roman" w:hAnsi="Times New Roman" w:eastAsia="宋体" w:cs="Times New Roman"/>
          <w:sz w:val="24"/>
          <w:szCs w:val="22"/>
        </w:rPr>
      </w:pPr>
      <w:r>
        <w:rPr>
          <w:rFonts w:ascii="Times New Roman" w:hAnsi="Times New Roman" w:eastAsia="宋体" w:cs="Times New Roman"/>
          <w:sz w:val="24"/>
          <w:szCs w:val="22"/>
        </w:rPr>
        <w:t>授权期限自股东会审议通过之日起，至2026年12月31日有效。</w:t>
      </w:r>
    </w:p>
    <w:p w14:paraId="6F7F6E7D">
      <w:pPr>
        <w:pStyle w:val="50"/>
        <w:spacing w:before="156" w:after="156"/>
        <w:ind w:firstLine="482"/>
        <w:outlineLvl w:val="0"/>
      </w:pPr>
      <w:r>
        <w:rPr>
          <w:rFonts w:hint="eastAsia"/>
        </w:rPr>
        <w:t>二、</w:t>
      </w:r>
      <w:r>
        <w:t>套期保值的风险分析</w:t>
      </w:r>
    </w:p>
    <w:p w14:paraId="3C2F4E8C">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公司进行的商品期货套期保值业务遵循的是锁定原材料价格风险、套期保值的原则，不做投机性、套利性的交易操作，因此在交易期货合约及平仓时进行严格的风险控制，依据公司生产、经营状况以及与客户锁定的材料价格和数量情况，使用自有资金适时购入相应的期货合约，在现货采购合同生效时，做相应数量的期货平仓。</w:t>
      </w:r>
    </w:p>
    <w:p w14:paraId="7DE5369C">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商品期货套期保值操作一定程度上可以规避材料价格波动对公司的影响，但同时也会存在一定风险：</w:t>
      </w:r>
    </w:p>
    <w:p w14:paraId="5D6CF223">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（一）价格波动风险：铜期货行情变动较大，可能产生价格波动风险，导致期货与现货价格背离，保值效果不及预期。</w:t>
      </w:r>
    </w:p>
    <w:p w14:paraId="3791FF1C">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（二）资金风险：期货交易采取保证金和逐日盯市制度，如果套期保值过程中出现浮亏需要补足保证金时，可能面临因未能及时补足保证金而强行平仓带来的损失。</w:t>
      </w:r>
    </w:p>
    <w:p w14:paraId="76F49934">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（三）内部控制风险：期货交易专业性较强，复杂程度较高，可能会产生由于内控体系不完善造成的风险。</w:t>
      </w:r>
    </w:p>
    <w:p w14:paraId="4E6C0AF0">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（四）政策风险：若期货市场法律法规等政策发生重大变化，可能引起市场波动或无法交易，从而带来的风险。</w:t>
      </w:r>
    </w:p>
    <w:p w14:paraId="38F9C4C1">
      <w:pPr>
        <w:pStyle w:val="50"/>
        <w:spacing w:before="156" w:after="156"/>
        <w:ind w:firstLine="482"/>
        <w:outlineLvl w:val="0"/>
      </w:pPr>
      <w:r>
        <w:rPr>
          <w:rFonts w:hint="eastAsia"/>
        </w:rPr>
        <w:t>三、</w:t>
      </w:r>
      <w:r>
        <w:t>公司采取的风险控制措施</w:t>
      </w:r>
    </w:p>
    <w:p w14:paraId="53FF9915">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（一）将套期保值业务与公司生产、经营相匹配，且只限于在期货交易所交易，最大程度对冲价格波动风险。</w:t>
      </w:r>
    </w:p>
    <w:p w14:paraId="0FA0961F">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二）严格控制套期保值的资金规模，合理计划和使用保证金，严格按照公司期货交易管理制度中规定权限下达操作指令，根据规定进行审批后，方可进行操作。公司将合理调度自有资金用于套期保值业务，不使用募集资金直接或间接进行套期保值。</w:t>
      </w:r>
    </w:p>
    <w:p w14:paraId="1EABCE6C">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（三）根据生产、经营所需及客户订单周期作为期货操作期，降低期货价格波动风险。</w:t>
      </w:r>
    </w:p>
    <w:p w14:paraId="401AD0B0">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（四）公司建立风险测算系统对资金风险、保值头寸价格变动风险进行把控；同时建立内部风险报告制度和风险处理程序防范风险。</w:t>
      </w:r>
    </w:p>
    <w:p w14:paraId="60FDF335">
      <w:pPr>
        <w:spacing w:before="156" w:beforeLines="50" w:line="360" w:lineRule="auto"/>
        <w:ind w:firstLine="480" w:firstLineChars="200"/>
        <w:jc w:val="both"/>
        <w:rPr>
          <w:rFonts w:ascii="Times New Roman" w:hAnsi="Times New Roman" w:eastAsia="宋体" w:cs="Times New Roman"/>
          <w:sz w:val="24"/>
          <w:szCs w:val="22"/>
        </w:rPr>
      </w:pPr>
      <w:r>
        <w:rPr>
          <w:rFonts w:hint="eastAsia" w:ascii="Times New Roman" w:hAnsi="Times New Roman" w:eastAsia="宋体" w:cs="Times New Roman"/>
          <w:sz w:val="24"/>
          <w:szCs w:val="22"/>
        </w:rPr>
        <w:t>（五）根据《上海证券交易所股票上市规则》《公司章程》等有关规定，公司制定了《商品期货套期保值制度》等内控管理制度，对套期保值额度、品种、审批权限、管理流程、责任部门及责任人、信息隔离措施、内部风险报告制度及风险处理程序、信息披露等做出明确规定。公司将严格按照《商品期货套期保值制度》规定安排计划、审批、指令下达、操作等环节进行控制。</w:t>
      </w:r>
    </w:p>
    <w:p w14:paraId="096822F5">
      <w:pPr>
        <w:pStyle w:val="50"/>
        <w:spacing w:before="156" w:after="156"/>
        <w:ind w:firstLine="482"/>
        <w:outlineLvl w:val="0"/>
      </w:pPr>
      <w:r>
        <w:rPr>
          <w:rFonts w:hint="eastAsia"/>
        </w:rPr>
        <w:t>四、</w:t>
      </w:r>
      <w:r>
        <w:t>会计政策及核算原则</w:t>
      </w:r>
    </w:p>
    <w:p w14:paraId="7B11B74A">
      <w:pPr>
        <w:spacing w:before="156" w:beforeLines="50" w:line="360" w:lineRule="auto"/>
        <w:ind w:firstLine="480" w:firstLineChars="200"/>
        <w:jc w:val="both"/>
        <w:rPr>
          <w:rFonts w:ascii="Times New Roman" w:hAnsi="Times New Roman" w:eastAsia="宋体" w:cs="Times New Roman"/>
          <w:sz w:val="24"/>
          <w:szCs w:val="22"/>
        </w:rPr>
      </w:pPr>
      <w:r>
        <w:rPr>
          <w:rFonts w:ascii="Times New Roman" w:hAnsi="Times New Roman" w:eastAsia="宋体" w:cs="Times New Roman"/>
          <w:sz w:val="24"/>
          <w:szCs w:val="22"/>
        </w:rPr>
        <w:t>公司将根据财政部《企业会计准则第22号——金融工具确认和计量》《企业会计准则第24号——套期会计》《企业会计准则第37号——金融工具列报》相关规定及指南，对已开展的商品期货套期保值业务进行相应的核算处理，并在财务报告中正确列报。</w:t>
      </w:r>
    </w:p>
    <w:p w14:paraId="200B6794">
      <w:pPr>
        <w:pStyle w:val="50"/>
        <w:spacing w:before="156" w:after="156"/>
        <w:ind w:firstLine="482"/>
        <w:outlineLvl w:val="0"/>
      </w:pPr>
      <w:r>
        <w:rPr>
          <w:rFonts w:hint="eastAsia"/>
        </w:rPr>
        <w:t>五、审议程序</w:t>
      </w:r>
    </w:p>
    <w:p w14:paraId="369C2A31">
      <w:pPr>
        <w:spacing w:before="156" w:beforeLines="50" w:line="360" w:lineRule="auto"/>
        <w:ind w:firstLine="480" w:firstLineChars="200"/>
        <w:jc w:val="both"/>
        <w:rPr>
          <w:rFonts w:ascii="Times New Roman" w:hAnsi="Times New Roman" w:eastAsia="宋体" w:cs="Times New Roman"/>
          <w:sz w:val="24"/>
          <w:szCs w:val="22"/>
        </w:rPr>
      </w:pPr>
      <w:r>
        <w:rPr>
          <w:rFonts w:ascii="Times New Roman" w:hAnsi="Times New Roman" w:eastAsia="宋体" w:cs="Times New Roman"/>
          <w:sz w:val="24"/>
          <w:szCs w:val="22"/>
        </w:rPr>
        <w:t>公司于2026年</w:t>
      </w:r>
      <w:r>
        <w:rPr>
          <w:rFonts w:hint="eastAsia" w:ascii="Times New Roman" w:hAnsi="Times New Roman" w:eastAsia="宋体" w:cs="Times New Roman"/>
          <w:sz w:val="24"/>
          <w:szCs w:val="22"/>
        </w:rPr>
        <w:t>8</w:t>
      </w:r>
      <w:r>
        <w:rPr>
          <w:rFonts w:ascii="Times New Roman" w:hAnsi="Times New Roman" w:eastAsia="宋体" w:cs="Times New Roman"/>
          <w:sz w:val="24"/>
          <w:szCs w:val="22"/>
        </w:rPr>
        <w:t>月</w:t>
      </w:r>
      <w:r>
        <w:rPr>
          <w:rFonts w:hint="eastAsia" w:ascii="Times New Roman" w:hAnsi="Times New Roman" w:eastAsia="宋体" w:cs="Times New Roman"/>
          <w:sz w:val="24"/>
          <w:szCs w:val="22"/>
        </w:rPr>
        <w:t>25</w:t>
      </w:r>
      <w:r>
        <w:rPr>
          <w:rFonts w:ascii="Times New Roman" w:hAnsi="Times New Roman" w:eastAsia="宋体" w:cs="Times New Roman"/>
          <w:sz w:val="24"/>
          <w:szCs w:val="22"/>
        </w:rPr>
        <w:t>日召开第四届董事会审计委员会第十六次会议、第四届董事会第</w:t>
      </w:r>
      <w:r>
        <w:rPr>
          <w:rFonts w:hint="eastAsia" w:ascii="Times New Roman" w:hAnsi="Times New Roman" w:eastAsia="宋体" w:cs="Times New Roman"/>
          <w:sz w:val="24"/>
          <w:szCs w:val="22"/>
        </w:rPr>
        <w:t>二</w:t>
      </w:r>
      <w:r>
        <w:rPr>
          <w:rFonts w:ascii="Times New Roman" w:hAnsi="Times New Roman" w:eastAsia="宋体" w:cs="Times New Roman"/>
          <w:sz w:val="24"/>
          <w:szCs w:val="22"/>
        </w:rPr>
        <w:t>十二次会议，审议通过了《关于开展2026年度商品期货套期保值业务的议案》，同意公司根据日常业务需要，在2026年度开展期货套期保值业务。该议案尚需提交公司股东会审议。</w:t>
      </w:r>
    </w:p>
    <w:p w14:paraId="1F60FC93">
      <w:pPr>
        <w:pStyle w:val="50"/>
        <w:spacing w:before="156" w:after="156"/>
        <w:ind w:firstLine="482"/>
        <w:outlineLvl w:val="0"/>
      </w:pPr>
      <w:r>
        <w:rPr>
          <w:rFonts w:hint="eastAsia"/>
        </w:rPr>
        <w:t>六、</w:t>
      </w:r>
      <w:r>
        <w:t>保荐人核查意见</w:t>
      </w:r>
    </w:p>
    <w:p w14:paraId="25B73309">
      <w:pPr>
        <w:spacing w:before="156" w:beforeLines="50" w:line="360" w:lineRule="auto"/>
        <w:ind w:firstLine="480" w:firstLineChars="200"/>
        <w:jc w:val="both"/>
        <w:rPr>
          <w:rFonts w:ascii="Times New Roman" w:hAnsi="Times New Roman" w:eastAsia="宋体" w:cs="Times New Roman"/>
          <w:sz w:val="24"/>
          <w:szCs w:val="22"/>
        </w:rPr>
      </w:pPr>
      <w:r>
        <w:rPr>
          <w:rFonts w:ascii="Times New Roman" w:hAnsi="Times New Roman" w:eastAsia="宋体" w:cs="Times New Roman"/>
          <w:sz w:val="24"/>
          <w:szCs w:val="22"/>
        </w:rPr>
        <w:t>经核查，中信证券认为：公司开展商品期货套期保值业务可以充分利用金融工具的套期保值功能，降低原材料价格波动风险及其对公司生产经营的影响，公司已制定相关风险控制措施。公司开展商品期货套期保值业务已经董事会审议通过，尚需提交公司股东会审议，相关事项不存在损害公司及全体股东，尤其是中小股东利益的情形。</w:t>
      </w:r>
    </w:p>
    <w:p w14:paraId="7F9F78D7">
      <w:pPr>
        <w:spacing w:before="156" w:beforeLines="50" w:line="360" w:lineRule="auto"/>
        <w:ind w:firstLine="480" w:firstLineChars="200"/>
        <w:jc w:val="both"/>
        <w:rPr>
          <w:rFonts w:ascii="Times New Roman" w:hAnsi="Times New Roman" w:eastAsia="宋体" w:cs="Times New Roman"/>
          <w:sz w:val="24"/>
          <w:szCs w:val="22"/>
        </w:rPr>
      </w:pPr>
      <w:r>
        <w:rPr>
          <w:rFonts w:ascii="Times New Roman" w:hAnsi="Times New Roman" w:eastAsia="宋体" w:cs="Times New Roman"/>
          <w:sz w:val="24"/>
          <w:szCs w:val="22"/>
        </w:rPr>
        <w:t>综上，</w:t>
      </w:r>
      <w:r>
        <w:rPr>
          <w:rFonts w:hint="eastAsia" w:ascii="Times New Roman" w:hAnsi="Times New Roman" w:eastAsia="宋体" w:cs="Times New Roman"/>
          <w:sz w:val="24"/>
          <w:szCs w:val="22"/>
        </w:rPr>
        <w:t>保荐人对公司在上述额度和期限范围内开展期货套期保值业务事项无异议。</w:t>
      </w:r>
    </w:p>
    <w:p w14:paraId="7B9468EA">
      <w:pPr>
        <w:spacing w:before="156" w:beforeLines="50" w:line="360" w:lineRule="auto"/>
        <w:ind w:firstLine="480" w:firstLineChars="200"/>
        <w:jc w:val="both"/>
        <w:rPr>
          <w:rFonts w:ascii="Times New Roman" w:hAnsi="Times New Roman" w:eastAsia="宋体" w:cs="Times New Roman"/>
          <w:sz w:val="24"/>
          <w:szCs w:val="22"/>
        </w:rPr>
      </w:pPr>
      <w:r>
        <w:rPr>
          <w:rFonts w:ascii="Times New Roman" w:hAnsi="Times New Roman" w:eastAsia="宋体" w:cs="Times New Roman"/>
          <w:sz w:val="24"/>
          <w:szCs w:val="22"/>
        </w:rPr>
        <w:br w:type="page"/>
      </w:r>
    </w:p>
    <w:p w14:paraId="7B5827FD">
      <w:pPr>
        <w:widowControl/>
        <w:spacing w:before="62" w:beforeLines="20" w:after="62" w:afterLines="20" w:line="360" w:lineRule="auto"/>
        <w:jc w:val="both"/>
        <w:rPr>
          <w:rFonts w:ascii="Times New Roman" w:hAnsi="Times New Roman" w:eastAsia="宋体" w:cs="Times New Roman"/>
          <w:color w:val="000000"/>
          <w:kern w:val="0"/>
          <w:sz w:val="24"/>
          <w:szCs w:val="23"/>
          <w14:ligatures w14:val="none"/>
        </w:rPr>
      </w:pPr>
      <w:r>
        <w:rPr>
          <w:rFonts w:ascii="Times New Roman" w:hAnsi="Times New Roman" w:eastAsia="宋体" w:cs="Times New Roman"/>
          <w:color w:val="000000"/>
          <w:kern w:val="0"/>
          <w:sz w:val="24"/>
          <w:szCs w:val="23"/>
          <w14:ligatures w14:val="none"/>
        </w:rPr>
        <w:t>（本页无正文，为《中信证券股份有限公司关于重庆望变电气（集团）股份有限公司开展2026年度商品期货套期保值业务的核查意见》之签章页）</w:t>
      </w:r>
    </w:p>
    <w:p w14:paraId="000319D6">
      <w:pPr>
        <w:spacing w:after="0" w:line="240" w:lineRule="auto"/>
        <w:jc w:val="both"/>
        <w:rPr>
          <w:rFonts w:ascii="Calibri" w:hAnsi="Calibri" w:eastAsia="宋体" w:cs="Times New Roman"/>
          <w:sz w:val="21"/>
          <w:szCs w:val="22"/>
          <w14:ligatures w14:val="none"/>
        </w:rPr>
      </w:pPr>
    </w:p>
    <w:p w14:paraId="1202E336">
      <w:pPr>
        <w:spacing w:after="0" w:line="240" w:lineRule="auto"/>
        <w:jc w:val="both"/>
        <w:rPr>
          <w:rFonts w:ascii="Calibri" w:hAnsi="Calibri" w:eastAsia="宋体" w:cs="Times New Roman"/>
          <w:sz w:val="21"/>
          <w:szCs w:val="22"/>
          <w14:ligatures w14:val="none"/>
        </w:rPr>
      </w:pPr>
    </w:p>
    <w:p w14:paraId="13D35880">
      <w:pPr>
        <w:spacing w:after="0" w:line="240" w:lineRule="auto"/>
        <w:jc w:val="both"/>
        <w:rPr>
          <w:rFonts w:ascii="Calibri" w:hAnsi="Calibri" w:eastAsia="宋体" w:cs="Times New Roman"/>
          <w:sz w:val="21"/>
          <w:szCs w:val="22"/>
          <w14:ligatures w14:val="none"/>
        </w:rPr>
      </w:pPr>
    </w:p>
    <w:p w14:paraId="2DF6EB8C">
      <w:pPr>
        <w:spacing w:after="0" w:line="240" w:lineRule="auto"/>
        <w:jc w:val="both"/>
        <w:rPr>
          <w:rFonts w:ascii="Calibri" w:hAnsi="Calibri" w:eastAsia="宋体" w:cs="Times New Roman"/>
          <w:sz w:val="21"/>
          <w:szCs w:val="22"/>
          <w14:ligatures w14:val="none"/>
        </w:rPr>
      </w:pPr>
    </w:p>
    <w:p w14:paraId="74B72F2A">
      <w:pPr>
        <w:spacing w:after="0" w:line="240" w:lineRule="auto"/>
        <w:jc w:val="both"/>
        <w:rPr>
          <w:rFonts w:ascii="Calibri" w:hAnsi="Calibri" w:eastAsia="宋体" w:cs="Times New Roman"/>
          <w:sz w:val="21"/>
          <w:szCs w:val="22"/>
          <w14:ligatures w14:val="none"/>
        </w:rPr>
      </w:pPr>
    </w:p>
    <w:p w14:paraId="32994386">
      <w:pPr>
        <w:spacing w:after="0" w:line="240" w:lineRule="auto"/>
        <w:jc w:val="both"/>
        <w:rPr>
          <w:rFonts w:ascii="Calibri" w:hAnsi="Calibri" w:eastAsia="宋体" w:cs="Times New Roman"/>
          <w:sz w:val="21"/>
          <w:szCs w:val="22"/>
          <w14:ligatures w14:val="none"/>
        </w:rPr>
      </w:pPr>
    </w:p>
    <w:p w14:paraId="3CC04512">
      <w:pPr>
        <w:spacing w:after="0" w:line="240" w:lineRule="auto"/>
        <w:jc w:val="both"/>
        <w:rPr>
          <w:rFonts w:ascii="Calibri" w:hAnsi="Calibri" w:eastAsia="宋体" w:cs="Times New Roman"/>
          <w:sz w:val="21"/>
          <w:szCs w:val="22"/>
          <w14:ligatures w14:val="none"/>
        </w:rPr>
      </w:pPr>
    </w:p>
    <w:p w14:paraId="372691C4">
      <w:pPr>
        <w:spacing w:after="0" w:line="240" w:lineRule="auto"/>
        <w:jc w:val="both"/>
        <w:rPr>
          <w:rFonts w:ascii="Calibri" w:hAnsi="Calibri" w:eastAsia="宋体" w:cs="Times New Roman"/>
          <w:sz w:val="21"/>
          <w:szCs w:val="22"/>
          <w14:ligatures w14:val="none"/>
        </w:rPr>
      </w:pPr>
    </w:p>
    <w:tbl>
      <w:tblPr>
        <w:tblStyle w:val="5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85"/>
        <w:gridCol w:w="2076"/>
        <w:gridCol w:w="22"/>
        <w:gridCol w:w="1771"/>
        <w:gridCol w:w="22"/>
        <w:gridCol w:w="2098"/>
        <w:gridCol w:w="232"/>
      </w:tblGrid>
      <w:tr w14:paraId="0AB26150">
        <w:trPr>
          <w:gridAfter w:val="1"/>
          <w:wAfter w:w="232" w:type="dxa"/>
        </w:trPr>
        <w:tc>
          <w:tcPr>
            <w:tcW w:w="2085" w:type="dxa"/>
          </w:tcPr>
          <w:p w14:paraId="5DB2D7F4">
            <w:pPr>
              <w:spacing w:before="156" w:beforeLines="50" w:after="0" w:line="360" w:lineRule="auto"/>
              <w:jc w:val="both"/>
              <w:rPr>
                <w:rFonts w:ascii="Calibri" w:hAnsi="Calibri" w:eastAsia="宋体" w:cs="Times New Roman"/>
                <w:sz w:val="24"/>
                <w14:ligatures w14:val="none"/>
              </w:rPr>
            </w:pPr>
            <w:r>
              <w:rPr>
                <w:rFonts w:ascii="Calibri" w:hAnsi="Calibri" w:eastAsia="宋体" w:cs="Times New Roman"/>
                <w:sz w:val="24"/>
                <w14:ligatures w14:val="none"/>
              </w:rPr>
              <w:t>保荐代表人：</w:t>
            </w:r>
          </w:p>
        </w:tc>
        <w:tc>
          <w:tcPr>
            <w:tcW w:w="2098" w:type="dxa"/>
            <w:gridSpan w:val="2"/>
            <w:tcBorders>
              <w:top w:val="nil"/>
              <w:left w:val="nil"/>
              <w:bottom w:val="single" w:color="auto" w:sz="4" w:space="0"/>
              <w:right w:val="nil"/>
            </w:tcBorders>
          </w:tcPr>
          <w:p w14:paraId="31139DFC">
            <w:pPr>
              <w:spacing w:before="156" w:beforeLines="50" w:after="0" w:line="360" w:lineRule="auto"/>
              <w:jc w:val="both"/>
              <w:rPr>
                <w:rFonts w:ascii="Calibri" w:hAnsi="Calibri" w:eastAsia="宋体" w:cs="Times New Roman"/>
                <w:sz w:val="24"/>
                <w14:ligatures w14:val="none"/>
              </w:rPr>
            </w:pPr>
          </w:p>
        </w:tc>
        <w:tc>
          <w:tcPr>
            <w:tcW w:w="1793" w:type="dxa"/>
            <w:gridSpan w:val="2"/>
          </w:tcPr>
          <w:p w14:paraId="58A08711">
            <w:pPr>
              <w:spacing w:before="156" w:beforeLines="50" w:after="0" w:line="360" w:lineRule="auto"/>
              <w:jc w:val="both"/>
              <w:rPr>
                <w:rFonts w:ascii="Calibri" w:hAnsi="Calibri" w:eastAsia="宋体" w:cs="Times New Roman"/>
                <w:sz w:val="24"/>
                <w14:ligatures w14:val="none"/>
              </w:rPr>
            </w:pPr>
          </w:p>
        </w:tc>
        <w:tc>
          <w:tcPr>
            <w:tcW w:w="2098" w:type="dxa"/>
            <w:tcBorders>
              <w:top w:val="nil"/>
              <w:left w:val="nil"/>
              <w:bottom w:val="single" w:color="auto" w:sz="4" w:space="0"/>
              <w:right w:val="nil"/>
            </w:tcBorders>
          </w:tcPr>
          <w:p w14:paraId="216A6BB2">
            <w:pPr>
              <w:spacing w:before="156" w:beforeLines="50" w:after="0" w:line="360" w:lineRule="auto"/>
              <w:jc w:val="both"/>
              <w:rPr>
                <w:rFonts w:ascii="Calibri" w:hAnsi="Calibri" w:eastAsia="宋体" w:cs="Times New Roman"/>
                <w:sz w:val="24"/>
                <w14:ligatures w14:val="none"/>
              </w:rPr>
            </w:pPr>
          </w:p>
        </w:tc>
      </w:tr>
      <w:tr w14:paraId="1DA47090">
        <w:trPr>
          <w:gridAfter w:val="1"/>
          <w:wAfter w:w="232" w:type="dxa"/>
        </w:trPr>
        <w:tc>
          <w:tcPr>
            <w:tcW w:w="2085" w:type="dxa"/>
          </w:tcPr>
          <w:p w14:paraId="784BDEC6">
            <w:pPr>
              <w:spacing w:before="156" w:beforeLines="50" w:after="0" w:line="360" w:lineRule="auto"/>
              <w:jc w:val="both"/>
              <w:rPr>
                <w:rFonts w:ascii="Calibri" w:hAnsi="Calibri" w:eastAsia="宋体" w:cs="Times New Roman"/>
                <w:sz w:val="24"/>
                <w14:ligatures w14:val="none"/>
              </w:rPr>
            </w:pPr>
          </w:p>
        </w:tc>
        <w:tc>
          <w:tcPr>
            <w:tcW w:w="2098" w:type="dxa"/>
            <w:gridSpan w:val="2"/>
            <w:tcBorders>
              <w:top w:val="single" w:color="auto" w:sz="4" w:space="0"/>
              <w:left w:val="nil"/>
              <w:bottom w:val="nil"/>
              <w:right w:val="nil"/>
            </w:tcBorders>
            <w:vAlign w:val="center"/>
          </w:tcPr>
          <w:p w14:paraId="11AE5249">
            <w:pPr>
              <w:spacing w:before="156" w:beforeLines="50" w:after="0" w:line="360" w:lineRule="auto"/>
              <w:jc w:val="center"/>
              <w:rPr>
                <w:rFonts w:ascii="Calibri" w:hAnsi="Calibri" w:eastAsia="宋体" w:cs="Times New Roman"/>
                <w:sz w:val="24"/>
                <w14:ligatures w14:val="none"/>
              </w:rPr>
            </w:pPr>
            <w:r>
              <w:rPr>
                <w:rFonts w:ascii="Calibri" w:hAnsi="Calibri" w:eastAsia="宋体" w:cs="Times New Roman"/>
                <w:sz w:val="24"/>
                <w14:ligatures w14:val="none"/>
              </w:rPr>
              <w:t>李艳萍</w:t>
            </w:r>
          </w:p>
        </w:tc>
        <w:tc>
          <w:tcPr>
            <w:tcW w:w="1793" w:type="dxa"/>
            <w:gridSpan w:val="2"/>
            <w:vAlign w:val="center"/>
          </w:tcPr>
          <w:p w14:paraId="679773D6">
            <w:pPr>
              <w:spacing w:before="156" w:beforeLines="50" w:after="0" w:line="360" w:lineRule="auto"/>
              <w:jc w:val="center"/>
              <w:rPr>
                <w:rFonts w:ascii="Calibri" w:hAnsi="Calibri" w:eastAsia="宋体" w:cs="Times New Roman"/>
                <w:sz w:val="24"/>
                <w14:ligatures w14:val="none"/>
              </w:rPr>
            </w:pPr>
          </w:p>
        </w:tc>
        <w:tc>
          <w:tcPr>
            <w:tcW w:w="2098" w:type="dxa"/>
            <w:tcBorders>
              <w:top w:val="single" w:color="auto" w:sz="4" w:space="0"/>
              <w:left w:val="nil"/>
              <w:bottom w:val="nil"/>
              <w:right w:val="nil"/>
            </w:tcBorders>
            <w:vAlign w:val="center"/>
          </w:tcPr>
          <w:p w14:paraId="3843D739">
            <w:pPr>
              <w:spacing w:before="156" w:beforeLines="50" w:after="0" w:line="360" w:lineRule="auto"/>
              <w:jc w:val="center"/>
              <w:rPr>
                <w:rFonts w:ascii="Calibri" w:hAnsi="Calibri" w:eastAsia="宋体" w:cs="Times New Roman"/>
                <w:sz w:val="24"/>
                <w14:ligatures w14:val="none"/>
              </w:rPr>
            </w:pPr>
            <w:r>
              <w:rPr>
                <w:rFonts w:ascii="Calibri" w:hAnsi="Calibri" w:eastAsia="宋体" w:cs="Times New Roman"/>
                <w:sz w:val="24"/>
                <w14:ligatures w14:val="none"/>
              </w:rPr>
              <w:t>杨家旗</w:t>
            </w:r>
          </w:p>
        </w:tc>
      </w:tr>
      <w:tr w14:paraId="49949453">
        <w:tc>
          <w:tcPr>
            <w:tcW w:w="2085" w:type="dxa"/>
          </w:tcPr>
          <w:p w14:paraId="487F0965">
            <w:pPr>
              <w:spacing w:before="156" w:beforeLines="50" w:after="0" w:line="360" w:lineRule="auto"/>
              <w:jc w:val="both"/>
              <w:rPr>
                <w:rFonts w:ascii="Calibri" w:hAnsi="Calibri" w:eastAsia="宋体" w:cs="Times New Roman"/>
                <w:sz w:val="24"/>
                <w14:ligatures w14:val="none"/>
              </w:rPr>
            </w:pPr>
          </w:p>
        </w:tc>
        <w:tc>
          <w:tcPr>
            <w:tcW w:w="2076" w:type="dxa"/>
            <w:vAlign w:val="center"/>
          </w:tcPr>
          <w:p w14:paraId="4C9853AA">
            <w:pPr>
              <w:spacing w:before="156" w:beforeLines="50" w:after="0" w:line="360" w:lineRule="auto"/>
              <w:jc w:val="center"/>
              <w:rPr>
                <w:rFonts w:ascii="Calibri" w:hAnsi="Calibri" w:eastAsia="宋体" w:cs="Times New Roman"/>
                <w:sz w:val="24"/>
                <w14:ligatures w14:val="none"/>
              </w:rPr>
            </w:pPr>
          </w:p>
        </w:tc>
        <w:tc>
          <w:tcPr>
            <w:tcW w:w="1793" w:type="dxa"/>
            <w:gridSpan w:val="2"/>
            <w:vAlign w:val="center"/>
          </w:tcPr>
          <w:p w14:paraId="0ACE70C9">
            <w:pPr>
              <w:spacing w:before="156" w:beforeLines="50" w:after="0" w:line="360" w:lineRule="auto"/>
              <w:jc w:val="center"/>
              <w:rPr>
                <w:rFonts w:ascii="Calibri" w:hAnsi="Calibri" w:eastAsia="宋体" w:cs="Times New Roman"/>
                <w:sz w:val="24"/>
                <w14:ligatures w14:val="none"/>
              </w:rPr>
            </w:pPr>
          </w:p>
        </w:tc>
        <w:tc>
          <w:tcPr>
            <w:tcW w:w="2352" w:type="dxa"/>
            <w:gridSpan w:val="3"/>
            <w:vAlign w:val="center"/>
          </w:tcPr>
          <w:p w14:paraId="2CC98232">
            <w:pPr>
              <w:spacing w:before="156" w:beforeLines="50" w:after="0" w:line="360" w:lineRule="auto"/>
              <w:jc w:val="center"/>
              <w:rPr>
                <w:rFonts w:ascii="Calibri" w:hAnsi="Calibri" w:eastAsia="宋体" w:cs="Times New Roman"/>
                <w:sz w:val="24"/>
                <w14:ligatures w14:val="none"/>
              </w:rPr>
            </w:pPr>
          </w:p>
        </w:tc>
      </w:tr>
    </w:tbl>
    <w:p w14:paraId="640B1E06">
      <w:pPr>
        <w:spacing w:before="156" w:beforeLines="50" w:after="0" w:line="360" w:lineRule="auto"/>
        <w:jc w:val="both"/>
        <w:rPr>
          <w:rFonts w:ascii="Times New Roman" w:hAnsi="Times New Roman" w:eastAsia="宋体" w:cs="Times New Roman"/>
          <w:sz w:val="24"/>
          <w14:ligatures w14:val="none"/>
        </w:rPr>
      </w:pPr>
    </w:p>
    <w:p w14:paraId="198BBF46">
      <w:pPr>
        <w:spacing w:before="156" w:beforeLines="50" w:after="0" w:line="360" w:lineRule="auto"/>
        <w:jc w:val="both"/>
        <w:rPr>
          <w:rFonts w:ascii="Times New Roman" w:hAnsi="Times New Roman" w:eastAsia="宋体" w:cs="Times New Roman"/>
          <w:sz w:val="24"/>
          <w14:ligatures w14:val="none"/>
        </w:rPr>
      </w:pPr>
    </w:p>
    <w:p w14:paraId="213593E8">
      <w:pPr>
        <w:spacing w:before="156" w:beforeLines="50" w:after="0" w:line="360" w:lineRule="auto"/>
        <w:jc w:val="both"/>
        <w:rPr>
          <w:rFonts w:ascii="Times New Roman" w:hAnsi="Times New Roman" w:eastAsia="宋体" w:cs="Times New Roman"/>
          <w:sz w:val="24"/>
          <w14:ligatures w14:val="none"/>
        </w:rPr>
      </w:pPr>
    </w:p>
    <w:p w14:paraId="1F77FCF5">
      <w:pPr>
        <w:spacing w:before="156" w:beforeLines="50" w:after="0" w:line="360" w:lineRule="auto"/>
        <w:ind w:firstLine="480" w:firstLineChars="200"/>
        <w:jc w:val="right"/>
        <w:rPr>
          <w:rFonts w:hint="eastAsia" w:ascii="宋体" w:hAnsi="宋体" w:eastAsia="宋体" w:cs="Times New Roman"/>
          <w:sz w:val="24"/>
          <w14:ligatures w14:val="none"/>
        </w:rPr>
      </w:pPr>
      <w:r>
        <w:rPr>
          <w:rFonts w:ascii="宋体" w:hAnsi="宋体" w:eastAsia="宋体" w:cs="Times New Roman"/>
          <w:sz w:val="24"/>
          <w14:ligatures w14:val="none"/>
        </w:rPr>
        <w:t>中信证券股份有限公司</w:t>
      </w:r>
    </w:p>
    <w:p w14:paraId="592FF607">
      <w:pPr>
        <w:spacing w:before="156" w:beforeLines="50" w:after="0" w:line="360" w:lineRule="auto"/>
        <w:ind w:firstLine="480" w:firstLineChars="200"/>
        <w:jc w:val="right"/>
        <w:rPr>
          <w:rFonts w:hint="eastAsia" w:ascii="宋体" w:hAnsi="宋体" w:eastAsia="宋体" w:cs="Times New Roman"/>
          <w:sz w:val="24"/>
          <w14:ligatures w14:val="none"/>
        </w:rPr>
      </w:pPr>
      <w:r>
        <w:rPr>
          <w:rFonts w:ascii="宋体" w:hAnsi="宋体" w:eastAsia="宋体" w:cs="Times New Roman"/>
          <w:sz w:val="24"/>
          <w14:ligatures w14:val="none"/>
        </w:rPr>
        <w:t>年    月     日</w:t>
      </w:r>
    </w:p>
    <w:p w14:paraId="5AC3D343">
      <w:pPr>
        <w:spacing w:before="156" w:beforeLines="50" w:line="360" w:lineRule="auto"/>
        <w:jc w:val="both"/>
        <w:rPr>
          <w:rFonts w:ascii="Times New Roman" w:hAnsi="Times New Roman" w:eastAsia="宋体" w:cs="Times New Roman"/>
          <w:sz w:val="24"/>
          <w:szCs w:val="22"/>
        </w:rPr>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Light">
    <w:altName w:val="汉仪中等线KW"/>
    <w:panose1 w:val="02010600030101010101"/>
    <w:charset w:val="86"/>
    <w:family w:val="auto"/>
    <w:pitch w:val="default"/>
    <w:sig w:usb0="00000000" w:usb1="00000000" w:usb2="00000016" w:usb3="00000000" w:csb0="0004000F"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冬青黑体简体中文">
    <w:panose1 w:val="020B0300000000000000"/>
    <w:charset w:val="86"/>
    <w:family w:val="auto"/>
    <w:pitch w:val="default"/>
    <w:sig w:usb0="A00002BF" w:usb1="1ACF7CFA" w:usb2="00000016" w:usb3="00000000" w:csb0="00060007" w:csb1="00000000"/>
  </w:font>
  <w:font w:name="等线 Light">
    <w:altName w:val="汉仪中等线KW"/>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74743366"/>
    </w:sdtPr>
    <w:sdtEndPr>
      <w:rPr>
        <w:rFonts w:ascii="Times New Roman" w:hAnsi="Times New Roman" w:cs="Times New Roman"/>
      </w:rPr>
    </w:sdtEndPr>
    <w:sdtContent>
      <w:p w14:paraId="1CADFF9C">
        <w:pPr>
          <w:pStyle w:val="13"/>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bordersDoNotSurroundHeader w:val="1"/>
  <w:bordersDoNotSurroundFooter w:val="1"/>
  <w:trackRevisions w:val="1"/>
  <w:documentProtection w:enforcement="0"/>
  <w:defaultTabStop w:val="420"/>
  <w:drawingGridHorizontalSpacing w:val="110"/>
  <w:drawingGridVerticalSpacing w:val="156"/>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8CF"/>
    <w:rsid w:val="000133DB"/>
    <w:rsid w:val="00013F0C"/>
    <w:rsid w:val="00020153"/>
    <w:rsid w:val="00037F12"/>
    <w:rsid w:val="00056901"/>
    <w:rsid w:val="00080FA3"/>
    <w:rsid w:val="000B7C20"/>
    <w:rsid w:val="000C371F"/>
    <w:rsid w:val="000D1A4F"/>
    <w:rsid w:val="000D1BAC"/>
    <w:rsid w:val="00103613"/>
    <w:rsid w:val="00114D02"/>
    <w:rsid w:val="00151AE6"/>
    <w:rsid w:val="00153488"/>
    <w:rsid w:val="001628CF"/>
    <w:rsid w:val="00187E1F"/>
    <w:rsid w:val="001B7D0F"/>
    <w:rsid w:val="00213D93"/>
    <w:rsid w:val="00231D3F"/>
    <w:rsid w:val="0023615B"/>
    <w:rsid w:val="00252A52"/>
    <w:rsid w:val="00257D58"/>
    <w:rsid w:val="00263BC8"/>
    <w:rsid w:val="0026478B"/>
    <w:rsid w:val="002C07BF"/>
    <w:rsid w:val="002C6DBC"/>
    <w:rsid w:val="003028CA"/>
    <w:rsid w:val="0031770A"/>
    <w:rsid w:val="00393A33"/>
    <w:rsid w:val="003957EF"/>
    <w:rsid w:val="00396972"/>
    <w:rsid w:val="00473318"/>
    <w:rsid w:val="00490511"/>
    <w:rsid w:val="00493622"/>
    <w:rsid w:val="004B332B"/>
    <w:rsid w:val="004C0C00"/>
    <w:rsid w:val="004E773E"/>
    <w:rsid w:val="004F089D"/>
    <w:rsid w:val="0054659A"/>
    <w:rsid w:val="00553F37"/>
    <w:rsid w:val="00555CE4"/>
    <w:rsid w:val="005670C2"/>
    <w:rsid w:val="00587858"/>
    <w:rsid w:val="005B785C"/>
    <w:rsid w:val="005C55A8"/>
    <w:rsid w:val="005F1E73"/>
    <w:rsid w:val="005F5F72"/>
    <w:rsid w:val="0061058F"/>
    <w:rsid w:val="00662B9A"/>
    <w:rsid w:val="00670984"/>
    <w:rsid w:val="00697038"/>
    <w:rsid w:val="006E0C30"/>
    <w:rsid w:val="006E243E"/>
    <w:rsid w:val="006F2932"/>
    <w:rsid w:val="007012B8"/>
    <w:rsid w:val="00714FB5"/>
    <w:rsid w:val="007170BF"/>
    <w:rsid w:val="007235B8"/>
    <w:rsid w:val="007520C9"/>
    <w:rsid w:val="007A7F8F"/>
    <w:rsid w:val="007B48ED"/>
    <w:rsid w:val="007C3CAF"/>
    <w:rsid w:val="007E1A54"/>
    <w:rsid w:val="008106D8"/>
    <w:rsid w:val="00814B3F"/>
    <w:rsid w:val="008303C6"/>
    <w:rsid w:val="008503E3"/>
    <w:rsid w:val="008A3D45"/>
    <w:rsid w:val="008C7BE0"/>
    <w:rsid w:val="008D10F9"/>
    <w:rsid w:val="008D3A7F"/>
    <w:rsid w:val="00961C54"/>
    <w:rsid w:val="00963276"/>
    <w:rsid w:val="009D0D5A"/>
    <w:rsid w:val="009E1CE3"/>
    <w:rsid w:val="00A0059A"/>
    <w:rsid w:val="00A02BC8"/>
    <w:rsid w:val="00A413B8"/>
    <w:rsid w:val="00A519AC"/>
    <w:rsid w:val="00A96B18"/>
    <w:rsid w:val="00AA0800"/>
    <w:rsid w:val="00AA5C54"/>
    <w:rsid w:val="00AB365A"/>
    <w:rsid w:val="00AC0F15"/>
    <w:rsid w:val="00AC19BA"/>
    <w:rsid w:val="00B04997"/>
    <w:rsid w:val="00B1180C"/>
    <w:rsid w:val="00B304A8"/>
    <w:rsid w:val="00B3511B"/>
    <w:rsid w:val="00C22FAF"/>
    <w:rsid w:val="00C32675"/>
    <w:rsid w:val="00C35F72"/>
    <w:rsid w:val="00C551F2"/>
    <w:rsid w:val="00C62BE1"/>
    <w:rsid w:val="00C64737"/>
    <w:rsid w:val="00C96C07"/>
    <w:rsid w:val="00CB2E55"/>
    <w:rsid w:val="00CC05F0"/>
    <w:rsid w:val="00CD757C"/>
    <w:rsid w:val="00CF4ACD"/>
    <w:rsid w:val="00D05AA3"/>
    <w:rsid w:val="00D56A6F"/>
    <w:rsid w:val="00D627E6"/>
    <w:rsid w:val="00D81768"/>
    <w:rsid w:val="00DA6EA8"/>
    <w:rsid w:val="00DB7C87"/>
    <w:rsid w:val="00DD4541"/>
    <w:rsid w:val="00DF12DB"/>
    <w:rsid w:val="00E43342"/>
    <w:rsid w:val="00E54602"/>
    <w:rsid w:val="00E55F40"/>
    <w:rsid w:val="00E63DB1"/>
    <w:rsid w:val="00E90946"/>
    <w:rsid w:val="00EA0432"/>
    <w:rsid w:val="00EE322C"/>
    <w:rsid w:val="00F0505B"/>
    <w:rsid w:val="00F06C7D"/>
    <w:rsid w:val="00F346C7"/>
    <w:rsid w:val="00F51E63"/>
    <w:rsid w:val="00F769DA"/>
    <w:rsid w:val="00FB6B65"/>
    <w:rsid w:val="00FC455D"/>
    <w:rsid w:val="2FFCBCA1"/>
    <w:rsid w:val="3D17028E"/>
    <w:rsid w:val="4CF9EBBF"/>
    <w:rsid w:val="59C917EF"/>
    <w:rsid w:val="5F6BB275"/>
    <w:rsid w:val="6371A93B"/>
    <w:rsid w:val="6CEF48EB"/>
    <w:rsid w:val="6D73CACF"/>
    <w:rsid w:val="77F7845D"/>
    <w:rsid w:val="7DE404EF"/>
    <w:rsid w:val="7F920024"/>
    <w:rsid w:val="7FE6505D"/>
    <w:rsid w:val="7FF3BA2F"/>
    <w:rsid w:val="7FFF5519"/>
    <w:rsid w:val="ADFC4782"/>
    <w:rsid w:val="B7D74094"/>
    <w:rsid w:val="DBFADDC5"/>
    <w:rsid w:val="DFEB4010"/>
    <w:rsid w:val="EFFBD50A"/>
    <w:rsid w:val="EFFBEE8F"/>
    <w:rsid w:val="FEB37D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2"/>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5"/>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6"/>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7"/>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8"/>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0"/>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42"/>
    <w:unhideWhenUsed/>
    <w:uiPriority w:val="99"/>
  </w:style>
  <w:style w:type="paragraph" w:styleId="12">
    <w:name w:val="Body Text"/>
    <w:basedOn w:val="1"/>
    <w:semiHidden/>
    <w:qFormat/>
    <w:uiPriority w:val="0"/>
    <w:rPr>
      <w:rFonts w:ascii="仿宋" w:hAnsi="仿宋" w:eastAsia="仿宋" w:cs="仿宋"/>
      <w:sz w:val="30"/>
      <w:szCs w:val="30"/>
    </w:rPr>
  </w:style>
  <w:style w:type="paragraph" w:styleId="13">
    <w:name w:val="footer"/>
    <w:basedOn w:val="1"/>
    <w:link w:val="41"/>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40"/>
    <w:unhideWhenUsed/>
    <w:qFormat/>
    <w:uiPriority w:val="99"/>
    <w:pPr>
      <w:tabs>
        <w:tab w:val="center" w:pos="4153"/>
        <w:tab w:val="right" w:pos="8306"/>
      </w:tabs>
      <w:snapToGrid w:val="0"/>
      <w:spacing w:line="240" w:lineRule="auto"/>
      <w:jc w:val="center"/>
    </w:pPr>
    <w:rPr>
      <w:sz w:val="18"/>
      <w:szCs w:val="18"/>
    </w:rPr>
  </w:style>
  <w:style w:type="paragraph" w:styleId="15">
    <w:name w:val="Subtitle"/>
    <w:basedOn w:val="1"/>
    <w:next w:val="1"/>
    <w:link w:val="32"/>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31"/>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7">
    <w:name w:val="annotation subject"/>
    <w:basedOn w:val="11"/>
    <w:next w:val="11"/>
    <w:link w:val="43"/>
    <w:semiHidden/>
    <w:unhideWhenUsed/>
    <w:uiPriority w:val="99"/>
    <w:rPr>
      <w:b/>
      <w:bCs/>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annotation reference"/>
    <w:basedOn w:val="20"/>
    <w:semiHidden/>
    <w:unhideWhenUsed/>
    <w:qFormat/>
    <w:uiPriority w:val="99"/>
    <w:rPr>
      <w:sz w:val="21"/>
      <w:szCs w:val="21"/>
    </w:rPr>
  </w:style>
  <w:style w:type="character" w:customStyle="1" w:styleId="22">
    <w:name w:val="标题 1 字符"/>
    <w:basedOn w:val="20"/>
    <w:link w:val="2"/>
    <w:qFormat/>
    <w:uiPriority w:val="9"/>
    <w:rPr>
      <w:rFonts w:asciiTheme="majorHAnsi" w:hAnsiTheme="majorHAnsi" w:eastAsiaTheme="majorEastAsia" w:cstheme="majorBidi"/>
      <w:color w:val="2F5597" w:themeColor="accent1" w:themeShade="BF"/>
      <w:sz w:val="48"/>
      <w:szCs w:val="48"/>
    </w:rPr>
  </w:style>
  <w:style w:type="character" w:customStyle="1" w:styleId="23">
    <w:name w:val="标题 2 字符"/>
    <w:basedOn w:val="20"/>
    <w:link w:val="3"/>
    <w:semiHidden/>
    <w:uiPriority w:val="9"/>
    <w:rPr>
      <w:rFonts w:asciiTheme="majorHAnsi" w:hAnsiTheme="majorHAnsi" w:eastAsiaTheme="majorEastAsia" w:cstheme="majorBidi"/>
      <w:color w:val="2F5597" w:themeColor="accent1" w:themeShade="BF"/>
      <w:sz w:val="40"/>
      <w:szCs w:val="40"/>
    </w:rPr>
  </w:style>
  <w:style w:type="character" w:customStyle="1" w:styleId="24">
    <w:name w:val="标题 3 字符"/>
    <w:basedOn w:val="20"/>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5">
    <w:name w:val="标题 4 字符"/>
    <w:basedOn w:val="20"/>
    <w:link w:val="5"/>
    <w:semiHidden/>
    <w:qFormat/>
    <w:uiPriority w:val="9"/>
    <w:rPr>
      <w:rFonts w:cstheme="majorBidi"/>
      <w:color w:val="2F5597" w:themeColor="accent1" w:themeShade="BF"/>
      <w:sz w:val="28"/>
      <w:szCs w:val="28"/>
    </w:rPr>
  </w:style>
  <w:style w:type="character" w:customStyle="1" w:styleId="26">
    <w:name w:val="标题 5 字符"/>
    <w:basedOn w:val="20"/>
    <w:link w:val="6"/>
    <w:semiHidden/>
    <w:uiPriority w:val="9"/>
    <w:rPr>
      <w:rFonts w:cstheme="majorBidi"/>
      <w:color w:val="2F5597" w:themeColor="accent1" w:themeShade="BF"/>
      <w:sz w:val="24"/>
    </w:rPr>
  </w:style>
  <w:style w:type="character" w:customStyle="1" w:styleId="27">
    <w:name w:val="标题 6 字符"/>
    <w:basedOn w:val="20"/>
    <w:link w:val="7"/>
    <w:semiHidden/>
    <w:uiPriority w:val="9"/>
    <w:rPr>
      <w:rFonts w:cstheme="majorBidi"/>
      <w:b/>
      <w:bCs/>
      <w:color w:val="2F5597" w:themeColor="accent1" w:themeShade="BF"/>
    </w:rPr>
  </w:style>
  <w:style w:type="character" w:customStyle="1" w:styleId="28">
    <w:name w:val="标题 7 字符"/>
    <w:basedOn w:val="20"/>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9">
    <w:name w:val="标题 8 字符"/>
    <w:basedOn w:val="20"/>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0">
    <w:name w:val="标题 9 字符"/>
    <w:basedOn w:val="20"/>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标题 字符"/>
    <w:basedOn w:val="20"/>
    <w:link w:val="16"/>
    <w:qFormat/>
    <w:uiPriority w:val="10"/>
    <w:rPr>
      <w:rFonts w:asciiTheme="majorHAnsi" w:hAnsiTheme="majorHAnsi" w:eastAsiaTheme="majorEastAsia" w:cstheme="majorBidi"/>
      <w:spacing w:val="-10"/>
      <w:kern w:val="28"/>
      <w:sz w:val="56"/>
      <w:szCs w:val="56"/>
    </w:rPr>
  </w:style>
  <w:style w:type="character" w:customStyle="1" w:styleId="32">
    <w:name w:val="副标题 字符"/>
    <w:basedOn w:val="20"/>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引用 字符"/>
    <w:basedOn w:val="20"/>
    <w:link w:val="33"/>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style>
  <w:style w:type="character" w:customStyle="1" w:styleId="36">
    <w:name w:val="明显强调1"/>
    <w:basedOn w:val="20"/>
    <w:qFormat/>
    <w:uiPriority w:val="21"/>
    <w:rPr>
      <w:i/>
      <w:iCs/>
      <w:color w:val="2F5597" w:themeColor="accent1" w:themeShade="BF"/>
    </w:rPr>
  </w:style>
  <w:style w:type="paragraph" w:styleId="37">
    <w:name w:val="Intense Quote"/>
    <w:basedOn w:val="1"/>
    <w:next w:val="1"/>
    <w:link w:val="38"/>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8">
    <w:name w:val="明显引用 字符"/>
    <w:basedOn w:val="20"/>
    <w:link w:val="37"/>
    <w:qFormat/>
    <w:uiPriority w:val="30"/>
    <w:rPr>
      <w:i/>
      <w:iCs/>
      <w:color w:val="2F5597" w:themeColor="accent1" w:themeShade="BF"/>
    </w:rPr>
  </w:style>
  <w:style w:type="character" w:customStyle="1" w:styleId="39">
    <w:name w:val="明显参考1"/>
    <w:basedOn w:val="20"/>
    <w:qFormat/>
    <w:uiPriority w:val="32"/>
    <w:rPr>
      <w:b/>
      <w:bCs/>
      <w:smallCaps/>
      <w:color w:val="2F5597" w:themeColor="accent1" w:themeShade="BF"/>
      <w:spacing w:val="5"/>
    </w:rPr>
  </w:style>
  <w:style w:type="character" w:customStyle="1" w:styleId="40">
    <w:name w:val="页眉 字符"/>
    <w:basedOn w:val="20"/>
    <w:link w:val="14"/>
    <w:qFormat/>
    <w:uiPriority w:val="99"/>
    <w:rPr>
      <w:sz w:val="18"/>
      <w:szCs w:val="18"/>
    </w:rPr>
  </w:style>
  <w:style w:type="character" w:customStyle="1" w:styleId="41">
    <w:name w:val="页脚 字符"/>
    <w:basedOn w:val="20"/>
    <w:link w:val="13"/>
    <w:uiPriority w:val="99"/>
    <w:rPr>
      <w:sz w:val="18"/>
      <w:szCs w:val="18"/>
    </w:rPr>
  </w:style>
  <w:style w:type="character" w:customStyle="1" w:styleId="42">
    <w:name w:val="批注文字 字符"/>
    <w:basedOn w:val="20"/>
    <w:link w:val="11"/>
    <w:uiPriority w:val="99"/>
    <w:rPr>
      <w:rFonts w:asciiTheme="minorHAnsi" w:hAnsiTheme="minorHAnsi" w:eastAsiaTheme="minorEastAsia" w:cstheme="minorBidi"/>
      <w:kern w:val="2"/>
      <w:sz w:val="22"/>
      <w:szCs w:val="24"/>
      <w14:ligatures w14:val="standardContextual"/>
    </w:rPr>
  </w:style>
  <w:style w:type="character" w:customStyle="1" w:styleId="43">
    <w:name w:val="批注主题 字符"/>
    <w:basedOn w:val="42"/>
    <w:link w:val="17"/>
    <w:semiHidden/>
    <w:qFormat/>
    <w:uiPriority w:val="99"/>
    <w:rPr>
      <w:rFonts w:asciiTheme="minorHAnsi" w:hAnsiTheme="minorHAnsi" w:eastAsiaTheme="minorEastAsia" w:cstheme="minorBidi"/>
      <w:b/>
      <w:bCs/>
      <w:kern w:val="2"/>
      <w:sz w:val="22"/>
      <w:szCs w:val="24"/>
      <w14:ligatures w14:val="standardContextual"/>
    </w:rPr>
  </w:style>
  <w:style w:type="paragraph" w:customStyle="1" w:styleId="44">
    <w:name w:val="修订1"/>
    <w:hidden/>
    <w:unhideWhenUsed/>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45">
    <w:name w:val="修订2"/>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46">
    <w:name w:val="修订3"/>
    <w:hidden/>
    <w:unhideWhenUsed/>
    <w:uiPriority w:val="99"/>
    <w:rPr>
      <w:rFonts w:asciiTheme="minorHAnsi" w:hAnsiTheme="minorHAnsi" w:eastAsiaTheme="minorEastAsia" w:cstheme="minorBidi"/>
      <w:kern w:val="2"/>
      <w:sz w:val="22"/>
      <w:szCs w:val="24"/>
      <w:lang w:val="en-US" w:eastAsia="zh-CN" w:bidi="ar-SA"/>
      <w14:ligatures w14:val="standardContextual"/>
    </w:rPr>
  </w:style>
  <w:style w:type="character" w:customStyle="1" w:styleId="47">
    <w:name w:val="font21"/>
    <w:basedOn w:val="20"/>
    <w:qFormat/>
    <w:uiPriority w:val="0"/>
    <w:rPr>
      <w:rFonts w:hint="eastAsia" w:ascii="宋体" w:hAnsi="宋体" w:eastAsia="宋体" w:cs="宋体"/>
      <w:color w:val="000000"/>
      <w:sz w:val="21"/>
      <w:szCs w:val="21"/>
      <w:u w:val="none"/>
    </w:rPr>
  </w:style>
  <w:style w:type="paragraph" w:customStyle="1" w:styleId="48">
    <w:name w:val="修订4"/>
    <w:hidden/>
    <w:unhideWhenUsed/>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49">
    <w:name w:val="Revision"/>
    <w:hidden/>
    <w:unhideWhenUsed/>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50">
    <w:name w:val="003三级标题"/>
    <w:basedOn w:val="1"/>
    <w:link w:val="51"/>
    <w:qFormat/>
    <w:uiPriority w:val="0"/>
    <w:pPr>
      <w:keepNext/>
      <w:keepLines/>
      <w:widowControl/>
      <w:spacing w:before="50" w:beforeLines="50" w:after="50" w:afterLines="50" w:line="360" w:lineRule="auto"/>
      <w:ind w:firstLine="200" w:firstLineChars="200"/>
      <w:jc w:val="both"/>
      <w:outlineLvl w:val="2"/>
    </w:pPr>
    <w:rPr>
      <w:rFonts w:ascii="Times New Roman" w:hAnsi="Times New Roman" w:eastAsia="宋体" w:cs="Times New Roman"/>
      <w:b/>
      <w:bCs/>
      <w:sz w:val="24"/>
      <w:szCs w:val="28"/>
      <w14:ligatures w14:val="none"/>
    </w:rPr>
  </w:style>
  <w:style w:type="character" w:customStyle="1" w:styleId="51">
    <w:name w:val="003三级标题 字符"/>
    <w:link w:val="50"/>
    <w:qFormat/>
    <w:locked/>
    <w:uiPriority w:val="0"/>
    <w:rPr>
      <w:b/>
      <w:bCs/>
      <w:kern w:val="2"/>
      <w:sz w:val="24"/>
      <w:szCs w:val="28"/>
    </w:rPr>
  </w:style>
  <w:style w:type="table" w:customStyle="1" w:styleId="52">
    <w:name w:val="网格型1"/>
    <w:basedOn w:val="18"/>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
    <w:name w:val="Table Normal"/>
    <w:semiHidden/>
    <w:qFormat/>
    <w:uiPriority w:val="0"/>
    <w:tblPr>
      <w:tblCellMar>
        <w:top w:w="0" w:type="dxa"/>
        <w:left w:w="0" w:type="dxa"/>
        <w:bottom w:w="0" w:type="dxa"/>
        <w:right w:w="0" w:type="dxa"/>
      </w:tblCellMar>
    </w:tblPr>
  </w:style>
  <w:style w:type="table" w:customStyle="1" w:styleId="54">
    <w:name w:val="网格型c1"/>
    <w:basedOn w:val="18"/>
    <w:qFormat/>
    <w:uiPriority w:val="39"/>
    <w:pPr>
      <w:widowControl w:val="0"/>
      <w:jc w:val="both"/>
    </w:pPr>
    <w:rPr>
      <w:kern w:val="2"/>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E882C-533B-4AC5-A9BB-746EE6369A0D}">
  <ds:schemaRefs/>
</ds:datastoreItem>
</file>

<file path=docProps/app.xml><?xml version="1.0" encoding="utf-8"?>
<Properties xmlns="http://schemas.openxmlformats.org/officeDocument/2006/extended-properties" xmlns:vt="http://schemas.openxmlformats.org/officeDocument/2006/docPropsVTypes">
  <Template>Normal</Template>
  <Pages>5</Pages>
  <Words>1301</Words>
  <Characters>1328</Characters>
  <Lines>73</Lines>
  <Paragraphs>55</Paragraphs>
  <TotalTime>69</TotalTime>
  <ScaleCrop>false</ScaleCrop>
  <LinksUpToDate>false</LinksUpToDate>
  <CharactersWithSpaces>2574</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2026-08-22T17:43:00Z</dcterms:created>
  <dc:creator>成浩 杨</dc:creator>
  <cp:lastModifiedBy>Citics</cp:lastModifiedBy>
  <dcterms:modified xsi:type="dcterms:W3CDTF">2026-08-26T15:07:05Z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FCB4FAAFB4FA3A11F9172A6AD1EEF92D_43</vt:lpwstr>
  </property>
  <property fmtid="{D5CDD505-2E9C-101B-9397-08002B2CF9AE}" pid="4" name="KSOTemplateDocerSaveRecord">
    <vt:lpwstr>eyJoZGlkIjoiMzEwNTM5NzYwMDRjMzkwZTVkZjY2ODkwMGIxNGU0OTUiLCJ1c2VySWQiOiI0MzM1NTM4MDUifQ==</vt:lpwstr>
  </property>
</Properties>
</file>