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left"/>
        <w:rPr>
          <w:rFonts w:hint="default" w:ascii="宋体" w:hAnsi="宋体" w:eastAsia="宋体"/>
          <w:b/>
          <w:bCs/>
          <w:szCs w:val="21"/>
          <w:lang w:val="en-US" w:eastAsia="zh-CN"/>
        </w:rPr>
      </w:pPr>
      <w:r>
        <w:rPr>
          <w:rFonts w:hint="eastAsia" w:ascii="宋体" w:hAnsi="宋体"/>
          <w:b/>
          <w:bCs/>
          <w:szCs w:val="21"/>
        </w:rPr>
        <w:t>证券代码：603191</w:t>
      </w:r>
      <w:r>
        <w:rPr>
          <w:rFonts w:ascii="宋体" w:hAnsi="宋体"/>
          <w:b/>
          <w:bCs/>
          <w:szCs w:val="21"/>
        </w:rPr>
        <w:t xml:space="preserve">          </w:t>
      </w:r>
      <w:r>
        <w:rPr>
          <w:rFonts w:hint="eastAsia" w:ascii="宋体" w:hAnsi="宋体"/>
          <w:b/>
          <w:bCs/>
          <w:szCs w:val="21"/>
          <w:lang w:val="en-US" w:eastAsia="zh-CN"/>
        </w:rPr>
        <w:t xml:space="preserve"> </w:t>
      </w:r>
      <w:r>
        <w:rPr>
          <w:rFonts w:ascii="宋体" w:hAnsi="宋体"/>
          <w:b/>
          <w:bCs/>
          <w:szCs w:val="21"/>
        </w:rPr>
        <w:t xml:space="preserve">   </w:t>
      </w:r>
      <w:r>
        <w:rPr>
          <w:rFonts w:hint="eastAsia" w:ascii="宋体" w:hAnsi="宋体"/>
          <w:b/>
          <w:bCs/>
          <w:szCs w:val="21"/>
        </w:rPr>
        <w:t>证券简称：望变电气</w:t>
      </w:r>
      <w:r>
        <w:rPr>
          <w:rFonts w:ascii="宋体" w:hAnsi="宋体"/>
          <w:b/>
          <w:bCs/>
          <w:szCs w:val="21"/>
        </w:rPr>
        <w:t xml:space="preserve">      </w:t>
      </w:r>
      <w:r>
        <w:rPr>
          <w:rFonts w:hint="eastAsia" w:ascii="宋体" w:hAnsi="宋体"/>
          <w:b/>
          <w:bCs/>
          <w:szCs w:val="21"/>
          <w:lang w:val="en-US" w:eastAsia="zh-CN"/>
        </w:rPr>
        <w:t xml:space="preserve"> </w:t>
      </w:r>
      <w:r>
        <w:rPr>
          <w:rFonts w:ascii="宋体" w:hAnsi="宋体"/>
          <w:b/>
          <w:bCs/>
          <w:szCs w:val="21"/>
        </w:rPr>
        <w:t xml:space="preserve">    </w:t>
      </w:r>
      <w:r>
        <w:rPr>
          <w:rFonts w:hint="eastAsia" w:ascii="宋体" w:hAnsi="宋体"/>
          <w:b/>
          <w:bCs/>
          <w:szCs w:val="21"/>
        </w:rPr>
        <w:t>公告编号：</w:t>
      </w:r>
      <w:r>
        <w:rPr>
          <w:rFonts w:hint="eastAsia" w:asciiTheme="minorEastAsia" w:hAnsiTheme="minorEastAsia"/>
          <w:b/>
          <w:bCs/>
          <w:szCs w:val="21"/>
          <w:lang w:val="en-US" w:eastAsia="zh-CN"/>
        </w:rPr>
        <w:t>2026-065</w:t>
      </w:r>
    </w:p>
    <w:p>
      <w:pPr>
        <w:adjustRightInd w:val="0"/>
        <w:snapToGrid w:val="0"/>
        <w:spacing w:line="360" w:lineRule="auto"/>
        <w:jc w:val="center"/>
        <w:rPr>
          <w:rFonts w:hint="eastAsia" w:ascii="仿宋_GB2312" w:hAnsi="宋体" w:eastAsia="仿宋_GB2312"/>
          <w:bCs/>
          <w:color w:val="000000"/>
          <w:sz w:val="30"/>
          <w:szCs w:val="30"/>
        </w:rPr>
      </w:pPr>
    </w:p>
    <w:p>
      <w:pPr>
        <w:adjustRightInd w:val="0"/>
        <w:snapToGrid w:val="0"/>
        <w:spacing w:before="156" w:beforeLines="50" w:line="560" w:lineRule="exact"/>
        <w:jc w:val="center"/>
        <w:rPr>
          <w:rFonts w:ascii="宋体" w:hAnsi="宋体" w:eastAsia="宋体" w:cs="仿宋_GB2312"/>
          <w:b/>
          <w:bCs/>
          <w:color w:val="FF0000"/>
          <w:sz w:val="36"/>
          <w:szCs w:val="36"/>
        </w:rPr>
      </w:pPr>
      <w:r>
        <w:rPr>
          <w:rFonts w:hint="eastAsia" w:ascii="宋体" w:hAnsi="宋体" w:cs="宋体"/>
          <w:b/>
          <w:color w:val="000000"/>
          <w:sz w:val="32"/>
          <w:szCs w:val="32"/>
        </w:rPr>
        <w:t xml:space="preserve"> </w:t>
      </w:r>
      <w:r>
        <w:rPr>
          <w:rFonts w:hint="eastAsia" w:ascii="宋体" w:hAnsi="宋体" w:eastAsia="宋体" w:cs="仿宋_GB2312"/>
          <w:b/>
          <w:bCs/>
          <w:color w:val="FF0000"/>
          <w:sz w:val="36"/>
          <w:szCs w:val="36"/>
        </w:rPr>
        <w:t>重庆望变电气（集团）股份有限公司</w:t>
      </w:r>
    </w:p>
    <w:p>
      <w:pPr>
        <w:adjustRightInd w:val="0"/>
        <w:snapToGrid w:val="0"/>
        <w:spacing w:before="156" w:beforeLines="50" w:line="560" w:lineRule="exact"/>
        <w:jc w:val="center"/>
        <w:rPr>
          <w:rFonts w:hint="eastAsia" w:ascii="宋体" w:hAnsi="宋体" w:eastAsia="宋体" w:cs="仿宋_GB2312"/>
          <w:b/>
          <w:bCs/>
          <w:color w:val="FF0000"/>
          <w:sz w:val="36"/>
          <w:szCs w:val="36"/>
        </w:rPr>
      </w:pPr>
      <w:r>
        <w:rPr>
          <w:rFonts w:hint="eastAsia" w:ascii="宋体" w:hAnsi="宋体" w:eastAsia="宋体" w:cs="仿宋_GB2312"/>
          <w:b/>
          <w:bCs/>
          <w:color w:val="FF0000"/>
          <w:sz w:val="36"/>
          <w:szCs w:val="36"/>
        </w:rPr>
        <w:t>关于向特定对象发行股票发行结果暨股本变动公告</w:t>
      </w:r>
    </w:p>
    <w:p>
      <w:pPr>
        <w:adjustRightInd w:val="0"/>
        <w:snapToGrid w:val="0"/>
        <w:spacing w:line="360" w:lineRule="auto"/>
        <w:jc w:val="center"/>
        <w:rPr>
          <w:rFonts w:hint="eastAsia" w:ascii="宋体" w:hAnsi="宋体" w:cs="宋体"/>
          <w:b/>
          <w:color w:val="000000"/>
          <w:sz w:val="32"/>
          <w:szCs w:val="32"/>
        </w:rPr>
      </w:pPr>
    </w:p>
    <w:p>
      <w:pPr>
        <w:pBdr>
          <w:top w:val="single" w:color="auto" w:sz="4" w:space="1"/>
          <w:left w:val="single" w:color="auto" w:sz="4" w:space="4"/>
          <w:bottom w:val="single" w:color="auto" w:sz="4" w:space="1"/>
          <w:right w:val="single" w:color="auto" w:sz="4" w:space="4"/>
        </w:pBdr>
        <w:adjustRightInd w:val="0"/>
        <w:snapToGrid w:val="0"/>
        <w:spacing w:line="360" w:lineRule="auto"/>
        <w:ind w:firstLine="420" w:firstLineChars="200"/>
        <w:rPr>
          <w:rFonts w:hint="eastAsia" w:ascii="宋体" w:hAnsi="宋体" w:cs="宋体"/>
          <w:color w:val="000000"/>
          <w:szCs w:val="21"/>
        </w:rPr>
      </w:pPr>
      <w:r>
        <w:rPr>
          <w:rFonts w:hint="eastAsia" w:ascii="宋体" w:hAnsi="宋体" w:cs="宋体"/>
          <w:color w:val="000000"/>
          <w:szCs w:val="21"/>
        </w:rPr>
        <w:t>本公司董事会及全体董事保证本公告内容不存在任何虚假记载、误导性陈述或者重大遗漏，并对其内容的真实性、准确性和完整性承担法律责任。</w:t>
      </w:r>
    </w:p>
    <w:p>
      <w:pPr>
        <w:autoSpaceDE w:val="0"/>
        <w:autoSpaceDN w:val="0"/>
        <w:adjustRightInd w:val="0"/>
        <w:snapToGrid w:val="0"/>
        <w:spacing w:line="360" w:lineRule="auto"/>
        <w:rPr>
          <w:rFonts w:hint="eastAsia" w:ascii="宋体" w:hAnsi="宋体" w:cs="宋体"/>
          <w:b/>
          <w:kern w:val="0"/>
          <w:sz w:val="24"/>
          <w:szCs w:val="24"/>
        </w:rPr>
      </w:pPr>
    </w:p>
    <w:p>
      <w:pPr>
        <w:adjustRightInd w:val="0"/>
        <w:snapToGrid w:val="0"/>
        <w:spacing w:line="560" w:lineRule="exact"/>
        <w:ind w:firstLine="482" w:firstLineChars="200"/>
        <w:rPr>
          <w:rFonts w:eastAsiaTheme="majorEastAsia"/>
          <w:b/>
          <w:bCs/>
          <w:sz w:val="24"/>
          <w:szCs w:val="24"/>
        </w:rPr>
      </w:pPr>
      <w:r>
        <w:rPr>
          <w:rFonts w:eastAsiaTheme="majorEastAsia"/>
          <w:b/>
          <w:bCs/>
          <w:sz w:val="24"/>
          <w:szCs w:val="24"/>
        </w:rPr>
        <w:t>重要内容提示:</w:t>
      </w:r>
    </w:p>
    <w:p>
      <w:pPr>
        <w:numPr>
          <w:ilvl w:val="0"/>
          <w:numId w:val="1"/>
        </w:numPr>
        <w:adjustRightInd w:val="0"/>
        <w:snapToGrid w:val="0"/>
        <w:spacing w:line="560" w:lineRule="exact"/>
        <w:ind w:left="0" w:firstLine="480" w:firstLineChars="200"/>
        <w:rPr>
          <w:rFonts w:eastAsiaTheme="majorEastAsia"/>
          <w:sz w:val="24"/>
          <w:szCs w:val="24"/>
        </w:rPr>
      </w:pPr>
      <w:r>
        <w:rPr>
          <w:rFonts w:eastAsiaTheme="majorEastAsia"/>
          <w:sz w:val="24"/>
          <w:szCs w:val="24"/>
        </w:rPr>
        <w:t>发行数量及价格</w:t>
      </w:r>
    </w:p>
    <w:p>
      <w:pPr>
        <w:adjustRightInd w:val="0"/>
        <w:snapToGrid w:val="0"/>
        <w:spacing w:line="560" w:lineRule="exact"/>
        <w:ind w:left="600"/>
        <w:rPr>
          <w:rFonts w:eastAsiaTheme="majorEastAsia"/>
          <w:sz w:val="24"/>
          <w:szCs w:val="24"/>
        </w:rPr>
      </w:pPr>
      <w:r>
        <w:rPr>
          <w:rFonts w:eastAsiaTheme="majorEastAsia"/>
          <w:sz w:val="24"/>
          <w:szCs w:val="24"/>
        </w:rPr>
        <w:t>1、发行数量：</w:t>
      </w:r>
      <w:r>
        <w:rPr>
          <w:rFonts w:hint="eastAsia" w:eastAsiaTheme="majorEastAsia"/>
          <w:sz w:val="24"/>
          <w:szCs w:val="24"/>
        </w:rPr>
        <w:t>19,493,177股</w:t>
      </w:r>
    </w:p>
    <w:p>
      <w:pPr>
        <w:adjustRightInd w:val="0"/>
        <w:snapToGrid w:val="0"/>
        <w:spacing w:line="560" w:lineRule="exact"/>
        <w:ind w:left="600"/>
        <w:rPr>
          <w:rFonts w:eastAsiaTheme="majorEastAsia"/>
          <w:sz w:val="24"/>
          <w:szCs w:val="24"/>
        </w:rPr>
      </w:pPr>
      <w:r>
        <w:rPr>
          <w:rFonts w:hint="eastAsia" w:eastAsiaTheme="majorEastAsia"/>
          <w:sz w:val="24"/>
          <w:szCs w:val="24"/>
        </w:rPr>
        <w:t>2、发行价格：11.71</w:t>
      </w:r>
      <w:r>
        <w:rPr>
          <w:sz w:val="24"/>
          <w:szCs w:val="24"/>
        </w:rPr>
        <w:t>元/股</w:t>
      </w:r>
    </w:p>
    <w:p>
      <w:pPr>
        <w:numPr>
          <w:ilvl w:val="0"/>
          <w:numId w:val="1"/>
        </w:numPr>
        <w:adjustRightInd w:val="0"/>
        <w:snapToGrid w:val="0"/>
        <w:spacing w:line="560" w:lineRule="exact"/>
        <w:ind w:left="0" w:firstLine="480" w:firstLineChars="200"/>
        <w:rPr>
          <w:rFonts w:eastAsiaTheme="majorEastAsia"/>
          <w:sz w:val="24"/>
          <w:szCs w:val="24"/>
        </w:rPr>
      </w:pPr>
      <w:r>
        <w:rPr>
          <w:rFonts w:hint="eastAsia" w:eastAsiaTheme="majorEastAsia"/>
          <w:sz w:val="24"/>
          <w:szCs w:val="24"/>
        </w:rPr>
        <w:t>预计上市时间</w:t>
      </w:r>
    </w:p>
    <w:p>
      <w:pPr>
        <w:adjustRightInd w:val="0"/>
        <w:snapToGrid w:val="0"/>
        <w:spacing w:before="156" w:beforeLines="50" w:line="360" w:lineRule="auto"/>
        <w:ind w:firstLine="480" w:firstLineChars="200"/>
        <w:rPr>
          <w:rFonts w:cs="宋体"/>
          <w:sz w:val="24"/>
          <w:szCs w:val="24"/>
        </w:rPr>
      </w:pPr>
      <w:r>
        <w:rPr>
          <w:rFonts w:hint="eastAsia" w:cs="宋体"/>
          <w:sz w:val="24"/>
          <w:szCs w:val="24"/>
        </w:rPr>
        <w:t>重庆望变电气（集团）股份有限公司</w:t>
      </w:r>
      <w:r>
        <w:rPr>
          <w:rFonts w:cs="宋体"/>
          <w:sz w:val="24"/>
          <w:szCs w:val="24"/>
        </w:rPr>
        <w:t>（以下简称</w:t>
      </w:r>
      <w:r>
        <w:rPr>
          <w:rFonts w:hint="eastAsia" w:cs="宋体"/>
          <w:sz w:val="24"/>
          <w:szCs w:val="24"/>
        </w:rPr>
        <w:t>“</w:t>
      </w:r>
      <w:r>
        <w:rPr>
          <w:rFonts w:cs="宋体"/>
          <w:sz w:val="24"/>
          <w:szCs w:val="24"/>
        </w:rPr>
        <w:t>公司</w:t>
      </w:r>
      <w:r>
        <w:rPr>
          <w:rFonts w:hint="eastAsia" w:cs="宋体"/>
          <w:sz w:val="24"/>
          <w:szCs w:val="24"/>
        </w:rPr>
        <w:t>”</w:t>
      </w:r>
      <w:r>
        <w:rPr>
          <w:rFonts w:cs="宋体"/>
          <w:sz w:val="24"/>
          <w:szCs w:val="24"/>
        </w:rPr>
        <w:t>、</w:t>
      </w:r>
      <w:r>
        <w:rPr>
          <w:rFonts w:hint="eastAsia" w:cs="宋体"/>
          <w:sz w:val="24"/>
          <w:szCs w:val="24"/>
        </w:rPr>
        <w:t>“望变电气”</w:t>
      </w:r>
      <w:r>
        <w:rPr>
          <w:rFonts w:cs="宋体"/>
          <w:sz w:val="24"/>
          <w:szCs w:val="24"/>
        </w:rPr>
        <w:t>或</w:t>
      </w:r>
      <w:r>
        <w:rPr>
          <w:rFonts w:hint="eastAsia" w:cs="宋体"/>
          <w:sz w:val="24"/>
          <w:szCs w:val="24"/>
        </w:rPr>
        <w:t>“</w:t>
      </w:r>
      <w:r>
        <w:rPr>
          <w:rFonts w:cs="宋体"/>
          <w:sz w:val="24"/>
          <w:szCs w:val="24"/>
        </w:rPr>
        <w:t>发行人</w:t>
      </w:r>
      <w:r>
        <w:rPr>
          <w:rFonts w:hint="eastAsia" w:cs="宋体"/>
          <w:sz w:val="24"/>
          <w:szCs w:val="24"/>
        </w:rPr>
        <w:t>”</w:t>
      </w:r>
      <w:r>
        <w:rPr>
          <w:rFonts w:cs="宋体"/>
          <w:sz w:val="24"/>
          <w:szCs w:val="24"/>
        </w:rPr>
        <w:t>）本次发行新增股份</w:t>
      </w:r>
      <w:r>
        <w:rPr>
          <w:rFonts w:hint="eastAsia" w:cs="宋体"/>
          <w:sz w:val="24"/>
          <w:szCs w:val="24"/>
        </w:rPr>
        <w:t>19,493,177</w:t>
      </w:r>
      <w:r>
        <w:rPr>
          <w:rFonts w:cs="宋体"/>
          <w:sz w:val="24"/>
          <w:szCs w:val="24"/>
        </w:rPr>
        <w:t>股已于202</w:t>
      </w:r>
      <w:r>
        <w:rPr>
          <w:rFonts w:hint="eastAsia" w:cs="宋体"/>
          <w:sz w:val="24"/>
          <w:szCs w:val="24"/>
        </w:rPr>
        <w:t>6</w:t>
      </w:r>
      <w:r>
        <w:rPr>
          <w:rFonts w:cs="宋体"/>
          <w:sz w:val="24"/>
          <w:szCs w:val="24"/>
        </w:rPr>
        <w:t>年</w:t>
      </w:r>
      <w:r>
        <w:rPr>
          <w:rFonts w:hint="eastAsia" w:cs="宋体"/>
          <w:sz w:val="24"/>
          <w:szCs w:val="24"/>
        </w:rPr>
        <w:t>8</w:t>
      </w:r>
      <w:r>
        <w:rPr>
          <w:rFonts w:cs="宋体"/>
          <w:sz w:val="24"/>
          <w:szCs w:val="24"/>
        </w:rPr>
        <w:t>月</w:t>
      </w:r>
      <w:r>
        <w:rPr>
          <w:rFonts w:hint="eastAsia" w:cs="宋体"/>
          <w:sz w:val="24"/>
          <w:szCs w:val="24"/>
        </w:rPr>
        <w:t>31</w:t>
      </w:r>
      <w:r>
        <w:rPr>
          <w:rFonts w:cs="宋体"/>
          <w:sz w:val="24"/>
          <w:szCs w:val="24"/>
        </w:rPr>
        <w:t>日在中国证券登记结算有限责任公司上海分公司办理完毕股份登记手续。本次发行新增股份为有限售条件流通股，</w:t>
      </w:r>
      <w:r>
        <w:rPr>
          <w:rFonts w:hint="eastAsia"/>
          <w:sz w:val="24"/>
          <w:szCs w:val="24"/>
        </w:rPr>
        <w:t>自</w:t>
      </w:r>
      <w:r>
        <w:rPr>
          <w:sz w:val="24"/>
          <w:szCs w:val="24"/>
        </w:rPr>
        <w:t>相关股份发行结束之日起36个月内不转让</w:t>
      </w:r>
      <w:r>
        <w:rPr>
          <w:rFonts w:hint="eastAsia"/>
          <w:sz w:val="24"/>
          <w:szCs w:val="24"/>
        </w:rPr>
        <w:t>，</w:t>
      </w:r>
      <w:r>
        <w:rPr>
          <w:rFonts w:cs="宋体"/>
          <w:sz w:val="24"/>
          <w:szCs w:val="24"/>
        </w:rPr>
        <w:t>本次发行新增股份在其限售期届满的次一交易日起在上海证券交易所</w:t>
      </w:r>
      <w:r>
        <w:rPr>
          <w:rFonts w:hint="eastAsia" w:cs="宋体"/>
          <w:sz w:val="24"/>
          <w:szCs w:val="24"/>
        </w:rPr>
        <w:t>主板</w:t>
      </w:r>
      <w:r>
        <w:rPr>
          <w:rFonts w:cs="宋体"/>
          <w:sz w:val="24"/>
          <w:szCs w:val="24"/>
        </w:rPr>
        <w:t>上市交易（预计上市时间如遇法定节假日或休息日，则顺延至其后的第一个交易日）。</w:t>
      </w:r>
    </w:p>
    <w:p>
      <w:pPr>
        <w:numPr>
          <w:ilvl w:val="0"/>
          <w:numId w:val="1"/>
        </w:numPr>
        <w:adjustRightInd w:val="0"/>
        <w:snapToGrid w:val="0"/>
        <w:spacing w:line="560" w:lineRule="exact"/>
        <w:ind w:left="0" w:firstLine="480" w:firstLineChars="200"/>
        <w:rPr>
          <w:rFonts w:eastAsiaTheme="majorEastAsia"/>
          <w:sz w:val="24"/>
          <w:szCs w:val="24"/>
        </w:rPr>
      </w:pPr>
      <w:r>
        <w:rPr>
          <w:rFonts w:hint="eastAsia" w:eastAsiaTheme="majorEastAsia"/>
          <w:sz w:val="24"/>
          <w:szCs w:val="24"/>
        </w:rPr>
        <w:t>资产过户情况</w:t>
      </w:r>
    </w:p>
    <w:p>
      <w:pPr>
        <w:adjustRightInd w:val="0"/>
        <w:snapToGrid w:val="0"/>
        <w:spacing w:before="156" w:beforeLines="50" w:line="360" w:lineRule="auto"/>
        <w:ind w:firstLine="480" w:firstLineChars="200"/>
        <w:rPr>
          <w:rFonts w:cs="宋体"/>
          <w:sz w:val="24"/>
          <w:szCs w:val="24"/>
        </w:rPr>
      </w:pPr>
      <w:r>
        <w:rPr>
          <w:rFonts w:cs="宋体"/>
          <w:sz w:val="24"/>
          <w:szCs w:val="24"/>
        </w:rPr>
        <w:t>本次发行的股票全部以现金认购，不涉及资产过户情况。</w:t>
      </w:r>
    </w:p>
    <w:p>
      <w:pPr>
        <w:adjustRightInd w:val="0"/>
        <w:snapToGrid w:val="0"/>
        <w:spacing w:before="156" w:beforeLines="50" w:line="360" w:lineRule="auto"/>
        <w:ind w:firstLine="600" w:firstLineChars="200"/>
        <w:rPr>
          <w:rFonts w:hint="eastAsia" w:ascii="仿宋" w:hAnsi="仿宋" w:eastAsia="仿宋_GB2312"/>
          <w:sz w:val="30"/>
          <w:szCs w:val="30"/>
        </w:rPr>
      </w:pPr>
    </w:p>
    <w:p>
      <w:pPr>
        <w:adjustRightInd w:val="0"/>
        <w:snapToGrid w:val="0"/>
        <w:spacing w:before="156" w:beforeLines="50" w:line="360" w:lineRule="auto"/>
        <w:ind w:firstLine="482" w:firstLineChars="200"/>
        <w:outlineLvl w:val="0"/>
        <w:rPr>
          <w:rFonts w:hint="eastAsia" w:ascii="宋体" w:hAnsi="宋体" w:cs="宋体"/>
          <w:b/>
          <w:bCs/>
          <w:sz w:val="24"/>
          <w:szCs w:val="24"/>
        </w:rPr>
      </w:pPr>
      <w:r>
        <w:rPr>
          <w:rFonts w:hint="eastAsia" w:ascii="宋体" w:hAnsi="宋体" w:cs="宋体"/>
          <w:b/>
          <w:bCs/>
          <w:sz w:val="24"/>
          <w:szCs w:val="24"/>
        </w:rPr>
        <w:t>一、本次发行概况</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hint="eastAsia" w:ascii="宋体" w:hAnsi="宋体" w:cs="宋体"/>
          <w:b/>
          <w:bCs/>
          <w:sz w:val="24"/>
          <w:szCs w:val="24"/>
        </w:rPr>
        <w:t>（一）</w:t>
      </w:r>
      <w:r>
        <w:rPr>
          <w:rFonts w:ascii="宋体" w:hAnsi="宋体" w:cs="宋体"/>
          <w:b/>
          <w:bCs/>
          <w:sz w:val="24"/>
          <w:szCs w:val="24"/>
        </w:rPr>
        <w:t>本次发行履行的内部决策程序</w:t>
      </w:r>
    </w:p>
    <w:p>
      <w:pPr>
        <w:spacing w:before="156" w:beforeLines="50" w:line="360" w:lineRule="auto"/>
        <w:ind w:firstLine="480" w:firstLineChars="200"/>
        <w:rPr>
          <w:sz w:val="24"/>
        </w:rPr>
      </w:pPr>
      <w:r>
        <w:rPr>
          <w:rFonts w:hint="eastAsia"/>
          <w:sz w:val="24"/>
        </w:rPr>
        <w:t>2026年2月6日，公司召开第四届董事会第十七次会议，审议通过了《关于公司符合向特定对象发行股票条件的议案》《关于公司向特定对象发行股票方案的议案》等与本次发行相关的议案。</w:t>
      </w:r>
    </w:p>
    <w:p>
      <w:pPr>
        <w:spacing w:before="156" w:beforeLines="50" w:line="360" w:lineRule="auto"/>
        <w:ind w:firstLine="480" w:firstLineChars="200"/>
        <w:rPr>
          <w:sz w:val="24"/>
        </w:rPr>
      </w:pPr>
      <w:r>
        <w:rPr>
          <w:rFonts w:hint="eastAsia"/>
          <w:sz w:val="24"/>
        </w:rPr>
        <w:t>2026年4月3日，公司召开第四届董事会第十九次会议，审议通过了《关于公司向特定对象发行股票方案（修订稿）的议案》等与本次发行相关的议案，进一步明确本次向特定对象发行股票的发行对象为</w:t>
      </w:r>
      <w:r>
        <w:rPr>
          <w:sz w:val="24"/>
        </w:rPr>
        <w:t>重庆耀泽商业管理有限公司（以下简称为</w:t>
      </w:r>
      <w:r>
        <w:rPr>
          <w:rFonts w:hint="eastAsia"/>
          <w:sz w:val="24"/>
        </w:rPr>
        <w:t>“</w:t>
      </w:r>
      <w:r>
        <w:rPr>
          <w:sz w:val="24"/>
        </w:rPr>
        <w:t>耀泽商管</w:t>
      </w:r>
      <w:r>
        <w:rPr>
          <w:rFonts w:hint="eastAsia"/>
          <w:sz w:val="24"/>
        </w:rPr>
        <w:t>”</w:t>
      </w:r>
      <w:r>
        <w:rPr>
          <w:sz w:val="24"/>
        </w:rPr>
        <w:t>）</w:t>
      </w:r>
      <w:r>
        <w:rPr>
          <w:rFonts w:hint="eastAsia"/>
          <w:sz w:val="24"/>
        </w:rPr>
        <w:t>。</w:t>
      </w:r>
    </w:p>
    <w:p>
      <w:pPr>
        <w:spacing w:before="156" w:beforeLines="50" w:line="360" w:lineRule="auto"/>
        <w:ind w:firstLine="480" w:firstLineChars="200"/>
        <w:rPr>
          <w:sz w:val="24"/>
        </w:rPr>
      </w:pPr>
      <w:r>
        <w:rPr>
          <w:rFonts w:hint="eastAsia"/>
          <w:sz w:val="24"/>
        </w:rPr>
        <w:t>2026年4月20日，公司召开2026年第一次临时股东会，审议通过了《关于公司符合向特定对象发行股票条件的议案》《关于公司向特定对象发行股票方案（修订稿）的议案》等与本次发行相关的议案，并授权董事会或董事会授权人士全权办理公司本次向特定对象发行股票相关事宜。</w:t>
      </w:r>
    </w:p>
    <w:p>
      <w:pPr>
        <w:spacing w:before="156" w:beforeLines="50" w:line="360" w:lineRule="auto"/>
        <w:ind w:firstLine="480" w:firstLineChars="200"/>
        <w:rPr>
          <w:sz w:val="24"/>
        </w:rPr>
      </w:pPr>
      <w:r>
        <w:rPr>
          <w:rFonts w:hint="eastAsia"/>
          <w:sz w:val="24"/>
        </w:rPr>
        <w:t>2026年6月5日，公司召开第四届董事会第二十一次会议，审议通过了《关于调整向特定对象发行股票的发行价格、发行数量和募集资金总额的议案》等与本次发行方案调整相关的议案。</w:t>
      </w:r>
    </w:p>
    <w:p>
      <w:pPr>
        <w:spacing w:before="156" w:beforeLines="50" w:line="360" w:lineRule="auto"/>
        <w:ind w:firstLine="480" w:firstLineChars="200"/>
        <w:rPr>
          <w:rFonts w:cs="宋体"/>
          <w:sz w:val="24"/>
          <w:szCs w:val="24"/>
        </w:rPr>
      </w:pPr>
      <w:r>
        <w:rPr>
          <w:rFonts w:hint="eastAsia"/>
          <w:sz w:val="24"/>
        </w:rPr>
        <w:t>2026年6月22日，公司召开2026年第二次临时股东会，审议通过了《关于调整向特定对象发行股票的发行价格、发行数量和募集资金总额的议案》等与本次发行方案调整相关的议案。</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（二）本次发行履行的监管部门核准过程</w:t>
      </w:r>
    </w:p>
    <w:p>
      <w:pPr>
        <w:spacing w:before="156" w:beforeLines="50" w:line="360" w:lineRule="auto"/>
        <w:ind w:firstLine="480" w:firstLineChars="200"/>
        <w:rPr>
          <w:sz w:val="24"/>
        </w:rPr>
      </w:pPr>
      <w:r>
        <w:rPr>
          <w:rFonts w:hint="eastAsia"/>
          <w:sz w:val="24"/>
        </w:rPr>
        <w:t>2026年6月30日，上交所出具《关于重庆望变电气（集团）股份有限公司向特定对象发行股票的交易所审核意见》，认为公司向特定对象发行股票申请符合发行条件、上市条件和信息披露要求。</w:t>
      </w:r>
    </w:p>
    <w:p>
      <w:pPr>
        <w:spacing w:before="156" w:beforeLines="50" w:line="360" w:lineRule="auto"/>
        <w:ind w:firstLine="480" w:firstLineChars="200"/>
        <w:rPr>
          <w:rFonts w:cs="宋体"/>
          <w:sz w:val="24"/>
          <w:szCs w:val="24"/>
        </w:rPr>
      </w:pPr>
      <w:r>
        <w:rPr>
          <w:rFonts w:hint="eastAsia"/>
          <w:sz w:val="24"/>
        </w:rPr>
        <w:t>2026年7月27日，中国证监会出具《关于同意重庆望变电气（集团）股份有限公司向特定对象发行股票注册的批复》（证监许可〔2026〕1834号），批复同意公司向特定对象发行股票的注册申请，批复自同意注册之日起12个月内有效。</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（三）本次发行情况</w:t>
      </w:r>
    </w:p>
    <w:p>
      <w:pPr>
        <w:adjustRightInd w:val="0"/>
        <w:snapToGrid w:val="0"/>
        <w:spacing w:before="156" w:beforeLines="50" w:line="360" w:lineRule="auto"/>
        <w:ind w:firstLine="482" w:firstLineChars="200"/>
        <w:outlineLvl w:val="2"/>
        <w:rPr>
          <w:b/>
          <w:bCs/>
          <w:sz w:val="24"/>
          <w:szCs w:val="24"/>
        </w:rPr>
      </w:pPr>
      <w:r>
        <w:rPr>
          <w:b/>
          <w:bCs/>
          <w:sz w:val="24"/>
          <w:szCs w:val="24"/>
        </w:rPr>
        <w:t>1、发行股票类型和面值</w:t>
      </w:r>
    </w:p>
    <w:p>
      <w:pPr>
        <w:adjustRightInd w:val="0"/>
        <w:snapToGrid w:val="0"/>
        <w:spacing w:before="156" w:beforeLines="50" w:line="360" w:lineRule="auto"/>
        <w:ind w:firstLine="480" w:firstLineChars="200"/>
        <w:rPr>
          <w:rFonts w:cs="宋体"/>
          <w:sz w:val="24"/>
          <w:szCs w:val="24"/>
        </w:rPr>
      </w:pPr>
      <w:r>
        <w:rPr>
          <w:rFonts w:hint="eastAsia" w:cs="宋体"/>
          <w:sz w:val="24"/>
          <w:szCs w:val="24"/>
        </w:rPr>
        <w:t>本次向特定对象发行的股票种类为境内上市人民币普通股（A股），每股面值人民币1.00元。</w:t>
      </w:r>
    </w:p>
    <w:p>
      <w:pPr>
        <w:adjustRightInd w:val="0"/>
        <w:snapToGrid w:val="0"/>
        <w:spacing w:before="156" w:beforeLines="50" w:line="360" w:lineRule="auto"/>
        <w:ind w:firstLine="482" w:firstLineChars="200"/>
        <w:outlineLvl w:val="2"/>
        <w:rPr>
          <w:b/>
          <w:bCs/>
          <w:sz w:val="24"/>
          <w:szCs w:val="24"/>
        </w:rPr>
      </w:pPr>
      <w:r>
        <w:rPr>
          <w:b/>
          <w:bCs/>
          <w:sz w:val="24"/>
          <w:szCs w:val="24"/>
        </w:rPr>
        <w:t>2、发行数量</w:t>
      </w:r>
    </w:p>
    <w:p>
      <w:pPr>
        <w:spacing w:before="156" w:beforeLines="50" w:line="360" w:lineRule="auto"/>
        <w:ind w:firstLine="480" w:firstLineChars="200"/>
        <w:rPr>
          <w:sz w:val="24"/>
          <w:szCs w:val="24"/>
        </w:rPr>
      </w:pPr>
      <w:bookmarkStart w:id="0" w:name="_Hlk201159181"/>
      <w:r>
        <w:rPr>
          <w:rFonts w:hint="eastAsia"/>
          <w:sz w:val="24"/>
          <w:szCs w:val="24"/>
        </w:rPr>
        <w:t>本次向特定对象发行的股票数量为19,493,177股，不超过本次发行前总股本的30%。发行股数未超过本次发行方案中规定的拟发行股票数量上限。</w:t>
      </w:r>
      <w:bookmarkEnd w:id="0"/>
    </w:p>
    <w:p>
      <w:pPr>
        <w:adjustRightInd w:val="0"/>
        <w:snapToGrid w:val="0"/>
        <w:spacing w:before="156" w:beforeLines="50" w:line="360" w:lineRule="auto"/>
        <w:ind w:firstLine="482" w:firstLineChars="200"/>
        <w:outlineLvl w:val="2"/>
        <w:rPr>
          <w:b/>
          <w:bCs/>
          <w:sz w:val="24"/>
          <w:szCs w:val="24"/>
        </w:rPr>
      </w:pPr>
      <w:r>
        <w:rPr>
          <w:b/>
          <w:bCs/>
          <w:sz w:val="24"/>
          <w:szCs w:val="24"/>
        </w:rPr>
        <w:t>3、发行价格和定价方式</w:t>
      </w:r>
    </w:p>
    <w:p>
      <w:pPr>
        <w:spacing w:before="156" w:beforeLines="50" w:line="360" w:lineRule="auto"/>
        <w:ind w:firstLine="480" w:firstLineChars="200"/>
        <w:rPr>
          <w:sz w:val="24"/>
          <w:szCs w:val="24"/>
        </w:rPr>
      </w:pPr>
      <w:bookmarkStart w:id="1" w:name="_Hlk201159159"/>
      <w:r>
        <w:rPr>
          <w:sz w:val="24"/>
          <w:szCs w:val="24"/>
        </w:rPr>
        <w:t>本次向特定对象发行股票的定价基准日为发行期首日。本次发行的发行价格为11.71元/股，不低于定价基准日前20个交易日公司股票交易均价的80%。上述均价的计算公式为：定价基准日前20个交易日股票交易均价=定价基准日前20个交易日股票交易总额/定价基准日前20个交易日股票交易总量</w:t>
      </w:r>
      <w:r>
        <w:rPr>
          <w:rFonts w:hint="eastAsia"/>
          <w:sz w:val="24"/>
        </w:rPr>
        <w:t>。</w:t>
      </w:r>
      <w:bookmarkEnd w:id="1"/>
    </w:p>
    <w:p>
      <w:pPr>
        <w:adjustRightInd w:val="0"/>
        <w:snapToGrid w:val="0"/>
        <w:spacing w:before="156" w:beforeLines="50" w:line="360" w:lineRule="auto"/>
        <w:ind w:firstLine="482" w:firstLineChars="200"/>
        <w:outlineLvl w:val="2"/>
        <w:rPr>
          <w:b/>
          <w:bCs/>
          <w:sz w:val="24"/>
          <w:szCs w:val="24"/>
        </w:rPr>
      </w:pPr>
      <w:r>
        <w:rPr>
          <w:b/>
          <w:bCs/>
          <w:sz w:val="24"/>
          <w:szCs w:val="24"/>
        </w:rPr>
        <w:t>4、募集资金和发行费用</w:t>
      </w:r>
    </w:p>
    <w:p>
      <w:pPr>
        <w:spacing w:before="156" w:beforeLines="50" w:line="360" w:lineRule="auto"/>
        <w:ind w:firstLine="480" w:firstLineChars="200"/>
        <w:rPr>
          <w:sz w:val="24"/>
          <w:szCs w:val="24"/>
        </w:rPr>
      </w:pPr>
      <w:bookmarkStart w:id="2" w:name="_Hlk201159204"/>
      <w:r>
        <w:rPr>
          <w:rFonts w:hint="eastAsia"/>
          <w:sz w:val="24"/>
          <w:szCs w:val="24"/>
        </w:rPr>
        <w:t>本次向特定对象发行股票募集资金总额为人民币228,265,102.67元，未超过募集资金规模上限，扣除各项发行费用（不含增值税）共计人民币2,286,179.43元后，实际募集资金净额为人民币225,978,923.24元。</w:t>
      </w:r>
      <w:bookmarkEnd w:id="2"/>
    </w:p>
    <w:p>
      <w:pPr>
        <w:adjustRightInd w:val="0"/>
        <w:snapToGrid w:val="0"/>
        <w:spacing w:before="156" w:beforeLines="50" w:line="360" w:lineRule="auto"/>
        <w:ind w:firstLine="482" w:firstLineChars="200"/>
        <w:outlineLvl w:val="2"/>
        <w:rPr>
          <w:b/>
          <w:bCs/>
          <w:sz w:val="24"/>
          <w:szCs w:val="24"/>
        </w:rPr>
      </w:pPr>
      <w:r>
        <w:rPr>
          <w:b/>
          <w:bCs/>
          <w:sz w:val="24"/>
          <w:szCs w:val="24"/>
        </w:rPr>
        <w:t>5、保荐人及主承销商</w:t>
      </w:r>
    </w:p>
    <w:p>
      <w:pPr>
        <w:adjustRightInd w:val="0"/>
        <w:snapToGrid w:val="0"/>
        <w:spacing w:before="156" w:beforeLines="50" w:line="360" w:lineRule="auto"/>
        <w:ind w:firstLine="480" w:firstLineChars="200"/>
        <w:rPr>
          <w:rFonts w:hint="eastAsia" w:ascii="宋体" w:hAnsi="宋体" w:cs="宋体"/>
          <w:sz w:val="24"/>
          <w:szCs w:val="24"/>
        </w:rPr>
      </w:pPr>
      <w:r>
        <w:rPr>
          <w:rFonts w:ascii="宋体" w:hAnsi="宋体" w:cs="宋体"/>
          <w:sz w:val="24"/>
          <w:szCs w:val="24"/>
        </w:rPr>
        <w:t>本次发行的保荐人（主承销商）为中信证券股份有限公司</w:t>
      </w:r>
      <w:r>
        <w:rPr>
          <w:rFonts w:hint="eastAsia" w:ascii="宋体" w:hAnsi="宋体" w:cs="宋体"/>
          <w:sz w:val="24"/>
          <w:szCs w:val="24"/>
        </w:rPr>
        <w:t>（以下简称“中信证券”）。</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（四）募集资金验资和股份登记情况</w:t>
      </w:r>
    </w:p>
    <w:p>
      <w:pPr>
        <w:adjustRightInd w:val="0"/>
        <w:snapToGrid w:val="0"/>
        <w:spacing w:before="156" w:beforeLines="50" w:line="360" w:lineRule="auto"/>
        <w:ind w:firstLine="482" w:firstLineChars="200"/>
        <w:outlineLvl w:val="2"/>
        <w:rPr>
          <w:b/>
          <w:bCs/>
          <w:sz w:val="24"/>
          <w:szCs w:val="24"/>
        </w:rPr>
      </w:pPr>
      <w:r>
        <w:rPr>
          <w:b/>
          <w:bCs/>
          <w:sz w:val="24"/>
          <w:szCs w:val="24"/>
        </w:rPr>
        <w:t>1、募集资金验资情况</w:t>
      </w:r>
    </w:p>
    <w:p>
      <w:pPr>
        <w:adjustRightInd w:val="0"/>
        <w:snapToGrid w:val="0"/>
        <w:spacing w:before="156" w:beforeLines="50" w:line="360" w:lineRule="auto"/>
        <w:ind w:firstLine="480" w:firstLineChars="200"/>
        <w:rPr>
          <w:rFonts w:cs="宋体"/>
          <w:sz w:val="24"/>
          <w:szCs w:val="24"/>
        </w:rPr>
      </w:pPr>
      <w:r>
        <w:rPr>
          <w:rFonts w:hint="eastAsia" w:cs="宋体"/>
          <w:sz w:val="24"/>
          <w:szCs w:val="24"/>
        </w:rPr>
        <w:t>2026年8月20日，天健会计师事务所（特殊普通合伙）出具了《验证报告》（天健验〔2026〕8-13号）。经会计师事务所鉴证，截至2026年8月19日17时止，保荐人（主承销商）指定的收款银行账户已收到望变电气本次向特定对象发行股票申购资金人民币228,265,102.67元。</w:t>
      </w:r>
    </w:p>
    <w:p>
      <w:pPr>
        <w:adjustRightInd w:val="0"/>
        <w:snapToGrid w:val="0"/>
        <w:spacing w:before="156" w:beforeLines="50" w:line="360" w:lineRule="auto"/>
        <w:ind w:firstLine="480" w:firstLineChars="200"/>
        <w:rPr>
          <w:rFonts w:cs="宋体"/>
          <w:sz w:val="24"/>
          <w:szCs w:val="24"/>
        </w:rPr>
      </w:pPr>
      <w:r>
        <w:rPr>
          <w:rFonts w:hint="eastAsia" w:cs="宋体"/>
          <w:sz w:val="24"/>
          <w:szCs w:val="24"/>
        </w:rPr>
        <w:t>2026年8月20日，主承销商将扣除主承销商费用后的募集资金余款划转至公司本次向特定对象发行开立的募集资金专项存储账户。</w:t>
      </w:r>
    </w:p>
    <w:p>
      <w:pPr>
        <w:adjustRightInd w:val="0"/>
        <w:snapToGrid w:val="0"/>
        <w:spacing w:before="156" w:beforeLines="50" w:line="360" w:lineRule="auto"/>
        <w:ind w:firstLine="480" w:firstLineChars="200"/>
        <w:rPr>
          <w:rFonts w:cs="宋体"/>
          <w:sz w:val="24"/>
          <w:szCs w:val="24"/>
        </w:rPr>
      </w:pPr>
      <w:r>
        <w:rPr>
          <w:rFonts w:hint="eastAsia" w:cs="宋体"/>
          <w:sz w:val="24"/>
          <w:szCs w:val="24"/>
        </w:rPr>
        <w:t>2026年8月20日，天健会计师事务所（特殊普通合伙）出具了《验资报告》（天健验〔2026〕8-12号）。经会计师事务所审验，截至2026年8月20日17时止，公司实际已发行人民币普通股（A股）19,493,177股，发行价格为11.71元/股，募集资金总额为人民币228,265,102.67元，扣除发行费用人民币（不含增值税）2,286,179.43元，实际募集资金净额为人民币225,978,923.24元，其中：新增注册资本（股本）为人民币19,493,177.00元，资本公积人民币206,485,746.24元。</w:t>
      </w:r>
    </w:p>
    <w:p>
      <w:pPr>
        <w:adjustRightInd w:val="0"/>
        <w:snapToGrid w:val="0"/>
        <w:spacing w:before="156" w:beforeLines="50" w:line="360" w:lineRule="auto"/>
        <w:ind w:firstLine="482" w:firstLineChars="200"/>
        <w:outlineLvl w:val="2"/>
        <w:rPr>
          <w:b/>
          <w:bCs/>
          <w:sz w:val="24"/>
          <w:szCs w:val="24"/>
        </w:rPr>
      </w:pPr>
      <w:r>
        <w:rPr>
          <w:b/>
          <w:bCs/>
          <w:sz w:val="24"/>
          <w:szCs w:val="24"/>
        </w:rPr>
        <w:t>2、股份登记情况</w:t>
      </w:r>
    </w:p>
    <w:p>
      <w:pPr>
        <w:adjustRightInd w:val="0"/>
        <w:snapToGrid w:val="0"/>
        <w:spacing w:before="156" w:beforeLines="50" w:line="360" w:lineRule="auto"/>
        <w:ind w:firstLine="480" w:firstLineChars="200"/>
        <w:rPr>
          <w:rFonts w:cs="宋体"/>
          <w:sz w:val="24"/>
          <w:szCs w:val="24"/>
        </w:rPr>
      </w:pPr>
      <w:r>
        <w:rPr>
          <w:rFonts w:hint="eastAsia" w:cs="宋体"/>
          <w:sz w:val="24"/>
          <w:szCs w:val="24"/>
        </w:rPr>
        <w:t>公司于2026年8月31日在中国证券登记结算有限责任公司上海分公司办理完毕本次发行新增股份登记、托管及股份限售手续。</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（五）资产过户情况</w:t>
      </w:r>
    </w:p>
    <w:p>
      <w:pPr>
        <w:adjustRightInd w:val="0"/>
        <w:snapToGrid w:val="0"/>
        <w:spacing w:before="156" w:beforeLines="50" w:line="360" w:lineRule="auto"/>
        <w:ind w:firstLine="480" w:firstLineChars="200"/>
        <w:rPr>
          <w:rFonts w:hint="eastAsia" w:ascii="宋体" w:hAnsi="宋体" w:cs="宋体"/>
          <w:sz w:val="24"/>
          <w:szCs w:val="24"/>
        </w:rPr>
      </w:pPr>
      <w:r>
        <w:rPr>
          <w:rFonts w:ascii="宋体" w:hAnsi="宋体" w:cs="宋体"/>
          <w:sz w:val="24"/>
          <w:szCs w:val="24"/>
        </w:rPr>
        <w:t>本次发行的股票全部以现金认购，不涉及资产过户情况。</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（六）保荐人关于本次发行过程和发行对象合规性的结论性意见</w:t>
      </w:r>
    </w:p>
    <w:p>
      <w:pPr>
        <w:adjustRightInd w:val="0"/>
        <w:snapToGrid w:val="0"/>
        <w:spacing w:before="156" w:beforeLines="50" w:line="360" w:lineRule="auto"/>
        <w:ind w:firstLine="480" w:firstLineChars="200"/>
        <w:rPr>
          <w:rFonts w:hint="eastAsia" w:ascii="宋体" w:hAnsi="宋体" w:cs="宋体"/>
          <w:sz w:val="24"/>
          <w:szCs w:val="24"/>
        </w:rPr>
      </w:pPr>
      <w:r>
        <w:rPr>
          <w:rFonts w:ascii="宋体" w:hAnsi="宋体" w:cs="宋体"/>
          <w:sz w:val="24"/>
          <w:szCs w:val="24"/>
        </w:rPr>
        <w:t>本次发行的保荐人（主承销商）认为：</w:t>
      </w:r>
    </w:p>
    <w:p>
      <w:pPr>
        <w:spacing w:before="156" w:beforeLines="50" w:line="360" w:lineRule="auto"/>
        <w:ind w:firstLine="480" w:firstLineChars="200"/>
        <w:rPr>
          <w:rFonts w:hint="eastAsia" w:ascii="宋体" w:hAnsi="宋体" w:cs="宋体"/>
          <w:sz w:val="24"/>
          <w:szCs w:val="24"/>
        </w:rPr>
      </w:pPr>
      <w:r>
        <w:rPr>
          <w:rFonts w:hint="eastAsia" w:ascii="宋体" w:hAnsi="宋体" w:cs="宋体"/>
          <w:sz w:val="24"/>
          <w:szCs w:val="24"/>
        </w:rPr>
        <w:t>“本次发行履行了必要的内部决策及外部审批程序；本次发行的发行过程符合相关法律和法规的要求，并获公司董事会、股东会审议通过、上交所审核通过及中国证监会同意注册的批复。</w:t>
      </w:r>
    </w:p>
    <w:p>
      <w:pPr>
        <w:spacing w:before="156" w:beforeLines="50" w:line="360" w:lineRule="auto"/>
        <w:ind w:firstLine="480" w:firstLineChars="200"/>
        <w:rPr>
          <w:rFonts w:hint="eastAsia" w:ascii="宋体" w:hAnsi="宋体" w:cs="宋体"/>
          <w:sz w:val="24"/>
          <w:szCs w:val="24"/>
        </w:rPr>
      </w:pPr>
      <w:r>
        <w:rPr>
          <w:rFonts w:hint="eastAsia" w:ascii="宋体" w:hAnsi="宋体" w:cs="宋体"/>
          <w:sz w:val="24"/>
          <w:szCs w:val="24"/>
        </w:rPr>
        <w:t>发行人本次向特定对象发行股票对认购对象的选择及发行结果公平、公正，符合公司及其全体股东的利益，符合《公司法》《证券法》《承销管理办法》《注册管理办法》《实施细则》等法律、法规及规范性文件的规定，符合发行人关于本次发行的董事会、股东会决议和已向上交所报送的《发行与承销方案》的要求。</w:t>
      </w:r>
    </w:p>
    <w:p>
      <w:pPr>
        <w:spacing w:before="156" w:beforeLines="50" w:line="360" w:lineRule="auto"/>
        <w:ind w:firstLine="480" w:firstLineChars="200"/>
        <w:rPr>
          <w:rFonts w:hint="eastAsia" w:ascii="宋体" w:hAnsi="宋体" w:cs="宋体"/>
          <w:sz w:val="24"/>
          <w:szCs w:val="24"/>
        </w:rPr>
      </w:pPr>
      <w:r>
        <w:rPr>
          <w:rFonts w:hint="eastAsia" w:ascii="宋体" w:hAnsi="宋体" w:cs="宋体"/>
          <w:sz w:val="24"/>
          <w:szCs w:val="24"/>
        </w:rPr>
        <w:t>本次发行对象不属于《中华人民共和国证券投资基金法》《私募投资基金监督管理暂行办法》以及《私募投资基金登记备案办法》等法律法规规定的私募基金，无需进行私募基金产品备案。本次发行对象参与认购本次发行的资金均为合法自有资金或通过合法形式自筹资金，不存在对外募集、代持、结构化安排或者直接/间接使用发行人或利益相关方资金用于本次认购的情形。</w:t>
      </w:r>
    </w:p>
    <w:p>
      <w:pPr>
        <w:spacing w:before="156" w:beforeLines="50" w:line="360" w:lineRule="auto"/>
        <w:ind w:firstLine="480" w:firstLineChars="200"/>
        <w:rPr>
          <w:rFonts w:hint="eastAsia" w:ascii="宋体" w:hAnsi="宋体" w:cs="宋体"/>
          <w:sz w:val="24"/>
          <w:szCs w:val="24"/>
        </w:rPr>
      </w:pPr>
      <w:r>
        <w:rPr>
          <w:rFonts w:hint="eastAsia" w:ascii="宋体" w:hAnsi="宋体" w:cs="宋体"/>
          <w:sz w:val="24"/>
          <w:szCs w:val="24"/>
        </w:rPr>
        <w:t>发行人本次向特定对象发行股票在发行过程和认购对象选择等各个方面，符合发行人关于本次发行的董事会、股东会决议和发行方案的相关规定，充分体现了公平、公正原则，符合上市公司及全体股东的利益。”</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（七）律师关于本次发行过程和发行对象合规性的结论性意见</w:t>
      </w:r>
    </w:p>
    <w:p>
      <w:pPr>
        <w:adjustRightInd w:val="0"/>
        <w:snapToGrid w:val="0"/>
        <w:spacing w:before="156" w:beforeLines="50" w:line="360" w:lineRule="auto"/>
        <w:ind w:firstLine="480" w:firstLineChars="200"/>
        <w:rPr>
          <w:rFonts w:hint="eastAsia" w:ascii="宋体" w:hAnsi="宋体" w:cs="宋体"/>
          <w:sz w:val="24"/>
          <w:szCs w:val="24"/>
        </w:rPr>
      </w:pPr>
      <w:r>
        <w:rPr>
          <w:rFonts w:ascii="宋体" w:hAnsi="宋体" w:cs="宋体"/>
          <w:sz w:val="24"/>
          <w:szCs w:val="24"/>
        </w:rPr>
        <w:t>发行人律师</w:t>
      </w:r>
      <w:r>
        <w:rPr>
          <w:rFonts w:hint="eastAsia" w:ascii="宋体" w:hAnsi="宋体" w:cs="宋体"/>
          <w:sz w:val="24"/>
          <w:szCs w:val="24"/>
        </w:rPr>
        <w:t>北京市嘉源</w:t>
      </w:r>
      <w:r>
        <w:rPr>
          <w:rFonts w:ascii="宋体" w:hAnsi="宋体" w:cs="宋体"/>
          <w:sz w:val="24"/>
          <w:szCs w:val="24"/>
        </w:rPr>
        <w:t>律师事务所关于本次向特定对象发行过程和认购对象合规性的结论意见为：</w:t>
      </w:r>
    </w:p>
    <w:p>
      <w:pPr>
        <w:adjustRightInd w:val="0"/>
        <w:snapToGrid w:val="0"/>
        <w:spacing w:before="156" w:beforeLines="50" w:line="360" w:lineRule="auto"/>
        <w:ind w:firstLine="480" w:firstLineChars="200"/>
        <w:rPr>
          <w:sz w:val="24"/>
          <w:szCs w:val="28"/>
        </w:rPr>
      </w:pPr>
      <w:r>
        <w:rPr>
          <w:rFonts w:hint="eastAsia" w:ascii="宋体" w:hAnsi="宋体" w:cs="宋体"/>
          <w:sz w:val="24"/>
          <w:szCs w:val="24"/>
        </w:rPr>
        <w:t>“</w:t>
      </w:r>
      <w:r>
        <w:rPr>
          <w:rFonts w:hint="eastAsia"/>
          <w:sz w:val="24"/>
          <w:szCs w:val="28"/>
        </w:rPr>
        <w:t>1、发行人本次发行已取得必要的批准和授权，该等批准和授权合法、有效，具备实施的法定条件；</w:t>
      </w:r>
    </w:p>
    <w:p>
      <w:pPr>
        <w:adjustRightInd w:val="0"/>
        <w:snapToGrid w:val="0"/>
        <w:spacing w:before="156" w:beforeLines="50" w:line="360" w:lineRule="auto"/>
        <w:ind w:firstLine="480" w:firstLineChars="200"/>
        <w:rPr>
          <w:sz w:val="24"/>
          <w:szCs w:val="28"/>
        </w:rPr>
      </w:pPr>
      <w:r>
        <w:rPr>
          <w:rFonts w:hint="eastAsia"/>
          <w:sz w:val="24"/>
          <w:szCs w:val="28"/>
        </w:rPr>
        <w:t>2、本次发行的认购对象具备认购本次发行股份的资格，符合《注册管理办法》《实施细则》等相关法律法规的规定；认购对象本次认购的资金来源符合《监管规则适用指引——发行类第6号》等相关规定；</w:t>
      </w:r>
    </w:p>
    <w:p>
      <w:pPr>
        <w:adjustRightInd w:val="0"/>
        <w:snapToGrid w:val="0"/>
        <w:spacing w:before="156" w:beforeLines="50" w:line="360" w:lineRule="auto"/>
        <w:ind w:firstLine="480" w:firstLineChars="200"/>
        <w:rPr>
          <w:sz w:val="24"/>
          <w:szCs w:val="28"/>
        </w:rPr>
      </w:pPr>
      <w:r>
        <w:rPr>
          <w:rFonts w:hint="eastAsia"/>
          <w:sz w:val="24"/>
          <w:szCs w:val="28"/>
        </w:rPr>
        <w:t>3、本次发行相关《股份认购协议》及补充协议中约定的生效条件现已成就，该等协议合法有效；</w:t>
      </w:r>
    </w:p>
    <w:p>
      <w:pPr>
        <w:adjustRightInd w:val="0"/>
        <w:snapToGrid w:val="0"/>
        <w:spacing w:before="156" w:beforeLines="50" w:line="360" w:lineRule="auto"/>
        <w:ind w:firstLine="480" w:firstLineChars="200"/>
        <w:rPr>
          <w:rFonts w:hint="eastAsia" w:ascii="宋体" w:hAnsi="宋体" w:cs="宋体"/>
          <w:sz w:val="24"/>
          <w:szCs w:val="24"/>
        </w:rPr>
      </w:pPr>
      <w:r>
        <w:rPr>
          <w:rFonts w:hint="eastAsia"/>
          <w:sz w:val="24"/>
          <w:szCs w:val="28"/>
        </w:rPr>
        <w:t>4、本次发行涉及的《缴款通知书》等法律文书内容合法、有效；发行人本次发行的过程合法合规，发行结果公平、公正，符合《发行注册管理办法》《证券发行与承销管理办法》《实施细则》的有关规定。</w:t>
      </w:r>
      <w:r>
        <w:rPr>
          <w:rFonts w:hint="eastAsia" w:ascii="宋体" w:hAnsi="宋体" w:cs="宋体"/>
          <w:sz w:val="24"/>
          <w:szCs w:val="24"/>
        </w:rPr>
        <w:t>”</w:t>
      </w:r>
    </w:p>
    <w:p>
      <w:pPr>
        <w:adjustRightInd w:val="0"/>
        <w:snapToGrid w:val="0"/>
        <w:spacing w:before="156" w:beforeLines="50" w:line="360" w:lineRule="auto"/>
        <w:ind w:firstLine="482" w:firstLineChars="200"/>
        <w:outlineLvl w:val="0"/>
        <w:rPr>
          <w:rFonts w:hint="eastAsia" w:ascii="宋体" w:hAnsi="宋体" w:cs="宋体"/>
          <w:b/>
          <w:bCs/>
          <w:sz w:val="24"/>
          <w:szCs w:val="24"/>
        </w:rPr>
      </w:pPr>
      <w:r>
        <w:rPr>
          <w:rFonts w:ascii="宋体" w:hAnsi="宋体" w:cs="宋体"/>
          <w:b/>
          <w:bCs/>
          <w:sz w:val="24"/>
          <w:szCs w:val="24"/>
        </w:rPr>
        <w:t>二、发行结果及对象介绍</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（一）发行结果</w:t>
      </w:r>
    </w:p>
    <w:p>
      <w:pPr>
        <w:adjustRightInd w:val="0"/>
        <w:snapToGrid w:val="0"/>
        <w:spacing w:before="156" w:beforeLines="50" w:line="360" w:lineRule="auto"/>
        <w:ind w:firstLine="480" w:firstLineChars="200"/>
        <w:rPr>
          <w:rFonts w:hint="eastAsia" w:ascii="宋体" w:hAnsi="宋体" w:cs="宋体"/>
          <w:sz w:val="24"/>
          <w:szCs w:val="24"/>
        </w:rPr>
      </w:pPr>
      <w:r>
        <w:rPr>
          <w:rFonts w:hint="eastAsia" w:ascii="宋体" w:hAnsi="宋体" w:cs="宋体"/>
          <w:sz w:val="24"/>
          <w:szCs w:val="24"/>
        </w:rPr>
        <w:t>本次向特定对象发行股票的发行对象为耀泽商管</w:t>
      </w:r>
      <w:r>
        <w:rPr>
          <w:rFonts w:ascii="宋体" w:hAnsi="宋体" w:cs="宋体"/>
          <w:sz w:val="24"/>
          <w:szCs w:val="24"/>
        </w:rPr>
        <w:t>，发行结果如下：</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2"/>
        <w:gridCol w:w="1916"/>
        <w:gridCol w:w="1916"/>
        <w:gridCol w:w="2008"/>
        <w:gridCol w:w="18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506" w:type="pct"/>
            <w:vAlign w:val="center"/>
          </w:tcPr>
          <w:p>
            <w:pPr>
              <w:adjustRightInd w:val="0"/>
              <w:snapToGrid w:val="0"/>
              <w:jc w:val="center"/>
              <w:rPr>
                <w:rFonts w:cs="宋体"/>
                <w:b/>
                <w:szCs w:val="21"/>
              </w:rPr>
            </w:pPr>
            <w:r>
              <w:rPr>
                <w:rFonts w:cs="宋体"/>
                <w:b/>
                <w:szCs w:val="21"/>
              </w:rPr>
              <w:t>序号</w:t>
            </w:r>
          </w:p>
        </w:tc>
        <w:tc>
          <w:tcPr>
            <w:tcW w:w="1124" w:type="pct"/>
            <w:vAlign w:val="center"/>
          </w:tcPr>
          <w:p>
            <w:pPr>
              <w:adjustRightInd w:val="0"/>
              <w:snapToGrid w:val="0"/>
              <w:jc w:val="center"/>
              <w:rPr>
                <w:rFonts w:cs="宋体"/>
                <w:b/>
                <w:szCs w:val="21"/>
              </w:rPr>
            </w:pPr>
            <w:r>
              <w:rPr>
                <w:rFonts w:hint="eastAsia" w:cs="宋体"/>
                <w:b/>
                <w:szCs w:val="21"/>
              </w:rPr>
              <w:t>发行对象</w:t>
            </w:r>
          </w:p>
        </w:tc>
        <w:tc>
          <w:tcPr>
            <w:tcW w:w="1124" w:type="pct"/>
            <w:vAlign w:val="center"/>
          </w:tcPr>
          <w:p>
            <w:pPr>
              <w:adjustRightInd w:val="0"/>
              <w:snapToGrid w:val="0"/>
              <w:jc w:val="center"/>
              <w:rPr>
                <w:rFonts w:cs="宋体"/>
                <w:b/>
                <w:szCs w:val="21"/>
              </w:rPr>
            </w:pPr>
            <w:r>
              <w:rPr>
                <w:rFonts w:cs="宋体"/>
                <w:b/>
                <w:szCs w:val="21"/>
              </w:rPr>
              <w:t>认购股数（股）</w:t>
            </w:r>
          </w:p>
        </w:tc>
        <w:tc>
          <w:tcPr>
            <w:tcW w:w="1178" w:type="pct"/>
            <w:vAlign w:val="center"/>
          </w:tcPr>
          <w:p>
            <w:pPr>
              <w:adjustRightInd w:val="0"/>
              <w:snapToGrid w:val="0"/>
              <w:jc w:val="center"/>
              <w:rPr>
                <w:rFonts w:cs="宋体"/>
                <w:b/>
                <w:szCs w:val="21"/>
              </w:rPr>
            </w:pPr>
            <w:r>
              <w:rPr>
                <w:rFonts w:cs="宋体"/>
                <w:b/>
                <w:szCs w:val="21"/>
              </w:rPr>
              <w:t>认购</w:t>
            </w:r>
            <w:r>
              <w:rPr>
                <w:rFonts w:hint="eastAsia" w:cs="宋体"/>
                <w:b/>
                <w:szCs w:val="21"/>
              </w:rPr>
              <w:t>金额</w:t>
            </w:r>
            <w:r>
              <w:rPr>
                <w:rFonts w:cs="宋体"/>
                <w:b/>
                <w:szCs w:val="21"/>
              </w:rPr>
              <w:t>（</w:t>
            </w:r>
            <w:r>
              <w:rPr>
                <w:rFonts w:hint="eastAsia" w:cs="宋体"/>
                <w:b/>
                <w:szCs w:val="21"/>
              </w:rPr>
              <w:t>元</w:t>
            </w:r>
            <w:r>
              <w:rPr>
                <w:rFonts w:cs="宋体"/>
                <w:b/>
                <w:szCs w:val="21"/>
              </w:rPr>
              <w:t>）</w:t>
            </w:r>
          </w:p>
        </w:tc>
        <w:tc>
          <w:tcPr>
            <w:tcW w:w="1068" w:type="pct"/>
            <w:vAlign w:val="center"/>
          </w:tcPr>
          <w:p>
            <w:pPr>
              <w:adjustRightInd w:val="0"/>
              <w:snapToGrid w:val="0"/>
              <w:jc w:val="center"/>
              <w:rPr>
                <w:rFonts w:cs="宋体"/>
                <w:b/>
                <w:szCs w:val="21"/>
              </w:rPr>
            </w:pPr>
            <w:r>
              <w:rPr>
                <w:rFonts w:hint="eastAsia" w:cs="宋体"/>
                <w:b/>
                <w:szCs w:val="21"/>
              </w:rPr>
              <w:t>限售期（月）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6" w:type="pct"/>
            <w:vAlign w:val="center"/>
          </w:tcPr>
          <w:p>
            <w:pPr>
              <w:adjustRightInd w:val="0"/>
              <w:snapToGrid w:val="0"/>
              <w:jc w:val="center"/>
              <w:rPr>
                <w:rFonts w:cs="宋体"/>
                <w:szCs w:val="21"/>
              </w:rPr>
            </w:pPr>
            <w:r>
              <w:rPr>
                <w:rFonts w:hint="eastAsia" w:cs="宋体"/>
                <w:szCs w:val="21"/>
              </w:rPr>
              <w:t>1</w:t>
            </w:r>
          </w:p>
        </w:tc>
        <w:tc>
          <w:tcPr>
            <w:tcW w:w="1124" w:type="pct"/>
            <w:vAlign w:val="center"/>
          </w:tcPr>
          <w:p>
            <w:pPr>
              <w:adjustRightInd w:val="0"/>
              <w:snapToGrid w:val="0"/>
              <w:jc w:val="center"/>
              <w:rPr>
                <w:rFonts w:cs="宋体"/>
                <w:szCs w:val="21"/>
              </w:rPr>
            </w:pPr>
            <w:r>
              <w:rPr>
                <w:rFonts w:hint="eastAsia" w:ascii="宋体" w:hAnsi="宋体" w:cs="宋体"/>
                <w:szCs w:val="21"/>
              </w:rPr>
              <w:t>耀泽商管</w:t>
            </w:r>
          </w:p>
        </w:tc>
        <w:tc>
          <w:tcPr>
            <w:tcW w:w="1124" w:type="pct"/>
            <w:vAlign w:val="center"/>
          </w:tcPr>
          <w:p>
            <w:pPr>
              <w:adjustRightInd w:val="0"/>
              <w:snapToGrid w:val="0"/>
              <w:jc w:val="right"/>
              <w:rPr>
                <w:rFonts w:cs="宋体"/>
                <w:szCs w:val="21"/>
              </w:rPr>
            </w:pPr>
            <w:r>
              <w:rPr>
                <w:rFonts w:hint="eastAsia" w:cs="宋体"/>
                <w:szCs w:val="21"/>
              </w:rPr>
              <w:t>19,493,177</w:t>
            </w:r>
          </w:p>
        </w:tc>
        <w:tc>
          <w:tcPr>
            <w:tcW w:w="1178" w:type="pct"/>
            <w:vAlign w:val="center"/>
          </w:tcPr>
          <w:p>
            <w:pPr>
              <w:adjustRightInd w:val="0"/>
              <w:snapToGrid w:val="0"/>
              <w:jc w:val="right"/>
              <w:rPr>
                <w:rFonts w:cs="宋体"/>
                <w:szCs w:val="21"/>
              </w:rPr>
            </w:pPr>
            <w:r>
              <w:rPr>
                <w:rFonts w:cs="宋体"/>
                <w:szCs w:val="21"/>
              </w:rPr>
              <w:t>228,265,102.67</w:t>
            </w:r>
          </w:p>
        </w:tc>
        <w:tc>
          <w:tcPr>
            <w:tcW w:w="1068" w:type="pct"/>
            <w:vAlign w:val="center"/>
          </w:tcPr>
          <w:p>
            <w:pPr>
              <w:adjustRightInd w:val="0"/>
              <w:snapToGrid w:val="0"/>
              <w:jc w:val="right"/>
              <w:rPr>
                <w:rFonts w:cs="宋体"/>
                <w:szCs w:val="21"/>
              </w:rPr>
            </w:pPr>
            <w:r>
              <w:rPr>
                <w:rFonts w:hint="eastAsia" w:cs="宋体"/>
                <w:szCs w:val="21"/>
              </w:rPr>
              <w:t>36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30" w:type="pct"/>
            <w:gridSpan w:val="2"/>
            <w:vAlign w:val="center"/>
          </w:tcPr>
          <w:p>
            <w:pPr>
              <w:adjustRightInd w:val="0"/>
              <w:snapToGrid w:val="0"/>
              <w:jc w:val="center"/>
              <w:rPr>
                <w:rFonts w:cs="宋体"/>
                <w:b/>
                <w:bCs/>
                <w:szCs w:val="21"/>
              </w:rPr>
            </w:pPr>
            <w:r>
              <w:rPr>
                <w:rFonts w:hint="eastAsia" w:cs="宋体"/>
                <w:b/>
                <w:bCs/>
                <w:szCs w:val="21"/>
              </w:rPr>
              <w:t>合计</w:t>
            </w:r>
          </w:p>
        </w:tc>
        <w:tc>
          <w:tcPr>
            <w:tcW w:w="1124" w:type="pct"/>
            <w:vAlign w:val="center"/>
          </w:tcPr>
          <w:p>
            <w:pPr>
              <w:adjustRightInd w:val="0"/>
              <w:snapToGrid w:val="0"/>
              <w:jc w:val="right"/>
              <w:rPr>
                <w:rFonts w:cs="宋体"/>
                <w:b/>
                <w:bCs/>
                <w:szCs w:val="21"/>
              </w:rPr>
            </w:pPr>
            <w:r>
              <w:rPr>
                <w:rFonts w:hint="eastAsia" w:cs="宋体"/>
                <w:b/>
                <w:bCs/>
                <w:szCs w:val="21"/>
              </w:rPr>
              <w:t>19,493,177</w:t>
            </w:r>
          </w:p>
        </w:tc>
        <w:tc>
          <w:tcPr>
            <w:tcW w:w="1178" w:type="pct"/>
            <w:vAlign w:val="center"/>
          </w:tcPr>
          <w:p>
            <w:pPr>
              <w:adjustRightInd w:val="0"/>
              <w:snapToGrid w:val="0"/>
              <w:jc w:val="right"/>
              <w:rPr>
                <w:rFonts w:cs="宋体"/>
                <w:b/>
                <w:bCs/>
                <w:szCs w:val="21"/>
              </w:rPr>
            </w:pPr>
            <w:r>
              <w:rPr>
                <w:rFonts w:cs="宋体"/>
                <w:b/>
                <w:bCs/>
                <w:szCs w:val="21"/>
              </w:rPr>
              <w:t>228,265,102.67</w:t>
            </w:r>
          </w:p>
        </w:tc>
        <w:tc>
          <w:tcPr>
            <w:tcW w:w="1068" w:type="pct"/>
            <w:vAlign w:val="center"/>
          </w:tcPr>
          <w:p>
            <w:pPr>
              <w:adjustRightInd w:val="0"/>
              <w:snapToGrid w:val="0"/>
              <w:jc w:val="right"/>
              <w:rPr>
                <w:rFonts w:cs="宋体"/>
                <w:b/>
                <w:bCs/>
                <w:szCs w:val="21"/>
              </w:rPr>
            </w:pPr>
            <w:r>
              <w:rPr>
                <w:rFonts w:hint="eastAsia" w:cs="宋体"/>
                <w:b/>
                <w:bCs/>
                <w:szCs w:val="21"/>
              </w:rPr>
              <w:t>36</w:t>
            </w:r>
          </w:p>
        </w:tc>
      </w:tr>
    </w:tbl>
    <w:p>
      <w:pPr>
        <w:adjustRightInd w:val="0"/>
        <w:snapToGrid w:val="0"/>
        <w:spacing w:before="156" w:beforeLines="50" w:line="360" w:lineRule="auto"/>
        <w:ind w:firstLine="480" w:firstLineChars="200"/>
        <w:rPr>
          <w:rFonts w:hint="eastAsia" w:ascii="宋体" w:hAnsi="宋体" w:cs="宋体"/>
          <w:sz w:val="24"/>
          <w:szCs w:val="24"/>
        </w:rPr>
      </w:pPr>
      <w:r>
        <w:rPr>
          <w:rFonts w:ascii="宋体" w:hAnsi="宋体" w:cs="宋体"/>
          <w:sz w:val="24"/>
          <w:szCs w:val="24"/>
        </w:rPr>
        <w:t>本次发行新增股份将于限售期届满后的次一交易日起在上海证券交易所上市流通交易，如遇法定节假日或休息日，则顺延至其后的第一个交易日。</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（二）发行对象基本情况</w:t>
      </w:r>
    </w:p>
    <w:p>
      <w:pPr>
        <w:spacing w:before="156" w:beforeLines="50" w:line="360" w:lineRule="auto"/>
        <w:ind w:firstLine="480" w:firstLineChars="200"/>
        <w:rPr>
          <w:sz w:val="24"/>
        </w:rPr>
      </w:pPr>
      <w:r>
        <w:rPr>
          <w:rFonts w:hint="eastAsia"/>
          <w:sz w:val="24"/>
        </w:rPr>
        <w:t>本次发行对象为发行人控股股东、实际控制人之一的杨泽民先生控制的耀泽商管，其基本情况如下：</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55"/>
        <w:gridCol w:w="656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0" w:type="dxa"/>
            <w:tcMar>
              <w:top w:w="0" w:type="dxa"/>
              <w:left w:w="108" w:type="dxa"/>
              <w:bottom w:w="0" w:type="dxa"/>
              <w:right w:w="108" w:type="dxa"/>
            </w:tcMar>
            <w:vAlign w:val="center"/>
          </w:tcPr>
          <w:p>
            <w:pPr>
              <w:rPr>
                <w:b/>
                <w:kern w:val="0"/>
                <w:szCs w:val="21"/>
              </w:rPr>
            </w:pPr>
            <w:r>
              <w:rPr>
                <w:b/>
                <w:kern w:val="0"/>
                <w:szCs w:val="21"/>
              </w:rPr>
              <w:t>公司名称</w:t>
            </w:r>
          </w:p>
        </w:tc>
        <w:tc>
          <w:tcPr>
            <w:tcW w:w="6382" w:type="dxa"/>
            <w:tcMar>
              <w:top w:w="0" w:type="dxa"/>
              <w:left w:w="108" w:type="dxa"/>
              <w:bottom w:w="0" w:type="dxa"/>
              <w:right w:w="108" w:type="dxa"/>
            </w:tcMar>
            <w:vAlign w:val="center"/>
          </w:tcPr>
          <w:p>
            <w:pPr>
              <w:rPr>
                <w:kern w:val="0"/>
                <w:szCs w:val="21"/>
              </w:rPr>
            </w:pPr>
            <w:r>
              <w:rPr>
                <w:kern w:val="0"/>
                <w:szCs w:val="21"/>
              </w:rPr>
              <w:t>重庆耀泽商业管理有限公司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0" w:type="dxa"/>
            <w:tcMar>
              <w:top w:w="0" w:type="dxa"/>
              <w:left w:w="108" w:type="dxa"/>
              <w:bottom w:w="0" w:type="dxa"/>
              <w:right w:w="108" w:type="dxa"/>
            </w:tcMar>
            <w:vAlign w:val="center"/>
          </w:tcPr>
          <w:p>
            <w:pPr>
              <w:rPr>
                <w:b/>
                <w:kern w:val="0"/>
                <w:szCs w:val="21"/>
              </w:rPr>
            </w:pPr>
            <w:r>
              <w:rPr>
                <w:rFonts w:hint="eastAsia"/>
                <w:b/>
                <w:kern w:val="0"/>
                <w:szCs w:val="21"/>
              </w:rPr>
              <w:t>企业性质</w:t>
            </w:r>
          </w:p>
        </w:tc>
        <w:tc>
          <w:tcPr>
            <w:tcW w:w="6382" w:type="dxa"/>
            <w:tcMar>
              <w:top w:w="0" w:type="dxa"/>
              <w:left w:w="108" w:type="dxa"/>
              <w:bottom w:w="0" w:type="dxa"/>
              <w:right w:w="108" w:type="dxa"/>
            </w:tcMar>
            <w:vAlign w:val="center"/>
          </w:tcPr>
          <w:p>
            <w:pPr>
              <w:rPr>
                <w:kern w:val="0"/>
                <w:szCs w:val="21"/>
              </w:rPr>
            </w:pPr>
            <w:r>
              <w:rPr>
                <w:rFonts w:hint="eastAsia"/>
                <w:kern w:val="0"/>
                <w:szCs w:val="21"/>
              </w:rPr>
              <w:t>民营企业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0" w:type="dxa"/>
            <w:tcMar>
              <w:top w:w="0" w:type="dxa"/>
              <w:left w:w="108" w:type="dxa"/>
              <w:bottom w:w="0" w:type="dxa"/>
              <w:right w:w="108" w:type="dxa"/>
            </w:tcMar>
            <w:vAlign w:val="center"/>
          </w:tcPr>
          <w:p>
            <w:pPr>
              <w:rPr>
                <w:b/>
                <w:kern w:val="0"/>
                <w:szCs w:val="21"/>
              </w:rPr>
            </w:pPr>
            <w:r>
              <w:rPr>
                <w:b/>
                <w:kern w:val="0"/>
                <w:szCs w:val="21"/>
              </w:rPr>
              <w:t>注册地址</w:t>
            </w:r>
          </w:p>
        </w:tc>
        <w:tc>
          <w:tcPr>
            <w:tcW w:w="6382" w:type="dxa"/>
            <w:tcMar>
              <w:top w:w="0" w:type="dxa"/>
              <w:left w:w="108" w:type="dxa"/>
              <w:bottom w:w="0" w:type="dxa"/>
              <w:right w:w="108" w:type="dxa"/>
            </w:tcMar>
            <w:vAlign w:val="center"/>
          </w:tcPr>
          <w:p>
            <w:pPr>
              <w:rPr>
                <w:kern w:val="0"/>
                <w:szCs w:val="21"/>
              </w:rPr>
            </w:pPr>
            <w:r>
              <w:rPr>
                <w:kern w:val="0"/>
                <w:szCs w:val="21"/>
              </w:rPr>
              <w:t>重庆市两江新区石马河街道盘溪路422号3幢47-15至47-19、48-14至48-17（集群注册）</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0" w:type="dxa"/>
            <w:tcMar>
              <w:top w:w="0" w:type="dxa"/>
              <w:left w:w="108" w:type="dxa"/>
              <w:bottom w:w="0" w:type="dxa"/>
              <w:right w:w="108" w:type="dxa"/>
            </w:tcMar>
            <w:vAlign w:val="center"/>
          </w:tcPr>
          <w:p>
            <w:pPr>
              <w:rPr>
                <w:b/>
                <w:kern w:val="0"/>
                <w:szCs w:val="21"/>
              </w:rPr>
            </w:pPr>
            <w:r>
              <w:rPr>
                <w:rFonts w:hint="eastAsia"/>
                <w:b/>
                <w:kern w:val="0"/>
                <w:szCs w:val="21"/>
              </w:rPr>
              <w:t>办公地址</w:t>
            </w:r>
          </w:p>
        </w:tc>
        <w:tc>
          <w:tcPr>
            <w:tcW w:w="6382" w:type="dxa"/>
            <w:tcMar>
              <w:top w:w="0" w:type="dxa"/>
              <w:left w:w="108" w:type="dxa"/>
              <w:bottom w:w="0" w:type="dxa"/>
              <w:right w:w="108" w:type="dxa"/>
            </w:tcMar>
            <w:vAlign w:val="center"/>
          </w:tcPr>
          <w:p>
            <w:pPr>
              <w:rPr>
                <w:kern w:val="0"/>
                <w:szCs w:val="21"/>
              </w:rPr>
            </w:pPr>
            <w:r>
              <w:rPr>
                <w:kern w:val="0"/>
                <w:szCs w:val="21"/>
              </w:rPr>
              <w:t>重庆市两江新区石马河街道盘溪路422号3幢</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0" w:type="dxa"/>
            <w:tcMar>
              <w:top w:w="0" w:type="dxa"/>
              <w:left w:w="108" w:type="dxa"/>
              <w:bottom w:w="0" w:type="dxa"/>
              <w:right w:w="108" w:type="dxa"/>
            </w:tcMar>
            <w:vAlign w:val="center"/>
          </w:tcPr>
          <w:p>
            <w:pPr>
              <w:rPr>
                <w:b/>
                <w:kern w:val="0"/>
                <w:szCs w:val="21"/>
              </w:rPr>
            </w:pPr>
            <w:r>
              <w:rPr>
                <w:b/>
                <w:kern w:val="0"/>
                <w:szCs w:val="21"/>
              </w:rPr>
              <w:t>注册资本</w:t>
            </w:r>
          </w:p>
        </w:tc>
        <w:tc>
          <w:tcPr>
            <w:tcW w:w="6382" w:type="dxa"/>
            <w:tcMar>
              <w:top w:w="0" w:type="dxa"/>
              <w:left w:w="108" w:type="dxa"/>
              <w:bottom w:w="0" w:type="dxa"/>
              <w:right w:w="108" w:type="dxa"/>
            </w:tcMar>
            <w:vAlign w:val="center"/>
          </w:tcPr>
          <w:p>
            <w:pPr>
              <w:rPr>
                <w:kern w:val="0"/>
                <w:szCs w:val="21"/>
              </w:rPr>
            </w:pPr>
            <w:r>
              <w:rPr>
                <w:kern w:val="0"/>
                <w:szCs w:val="21"/>
              </w:rPr>
              <w:t>6,000</w:t>
            </w:r>
            <w:r>
              <w:rPr>
                <w:rFonts w:hint="eastAsia"/>
                <w:kern w:val="0"/>
                <w:szCs w:val="21"/>
              </w:rPr>
              <w:t>万元人民币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7" w:hRule="atLeast"/>
          <w:jc w:val="center"/>
        </w:trPr>
        <w:tc>
          <w:tcPr>
            <w:tcW w:w="1900" w:type="dxa"/>
            <w:tcMar>
              <w:top w:w="0" w:type="dxa"/>
              <w:left w:w="108" w:type="dxa"/>
              <w:bottom w:w="0" w:type="dxa"/>
              <w:right w:w="108" w:type="dxa"/>
            </w:tcMar>
            <w:vAlign w:val="center"/>
          </w:tcPr>
          <w:p>
            <w:pPr>
              <w:rPr>
                <w:b/>
                <w:kern w:val="0"/>
                <w:szCs w:val="21"/>
              </w:rPr>
            </w:pPr>
            <w:r>
              <w:rPr>
                <w:b/>
                <w:kern w:val="0"/>
                <w:szCs w:val="21"/>
              </w:rPr>
              <w:t>法定代表人</w:t>
            </w:r>
          </w:p>
        </w:tc>
        <w:tc>
          <w:tcPr>
            <w:tcW w:w="6382" w:type="dxa"/>
            <w:tcMar>
              <w:top w:w="0" w:type="dxa"/>
              <w:left w:w="108" w:type="dxa"/>
              <w:bottom w:w="0" w:type="dxa"/>
              <w:right w:w="108" w:type="dxa"/>
            </w:tcMar>
            <w:vAlign w:val="center"/>
          </w:tcPr>
          <w:p>
            <w:pPr>
              <w:rPr>
                <w:kern w:val="0"/>
                <w:szCs w:val="21"/>
              </w:rPr>
            </w:pPr>
            <w:r>
              <w:rPr>
                <w:kern w:val="0"/>
                <w:szCs w:val="21"/>
              </w:rPr>
              <w:t>杨耀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0" w:type="dxa"/>
            <w:tcMar>
              <w:top w:w="0" w:type="dxa"/>
              <w:left w:w="108" w:type="dxa"/>
              <w:bottom w:w="0" w:type="dxa"/>
              <w:right w:w="108" w:type="dxa"/>
            </w:tcMar>
            <w:vAlign w:val="center"/>
          </w:tcPr>
          <w:p>
            <w:pPr>
              <w:rPr>
                <w:b/>
                <w:kern w:val="0"/>
                <w:szCs w:val="21"/>
              </w:rPr>
            </w:pPr>
            <w:r>
              <w:rPr>
                <w:b/>
                <w:kern w:val="0"/>
                <w:szCs w:val="21"/>
              </w:rPr>
              <w:t>经营范围</w:t>
            </w:r>
          </w:p>
        </w:tc>
        <w:tc>
          <w:tcPr>
            <w:tcW w:w="6382" w:type="dxa"/>
            <w:tcMar>
              <w:top w:w="0" w:type="dxa"/>
              <w:left w:w="108" w:type="dxa"/>
              <w:bottom w:w="0" w:type="dxa"/>
              <w:right w:w="108" w:type="dxa"/>
            </w:tcMar>
            <w:vAlign w:val="center"/>
          </w:tcPr>
          <w:p>
            <w:pPr>
              <w:rPr>
                <w:kern w:val="0"/>
                <w:szCs w:val="21"/>
              </w:rPr>
            </w:pPr>
            <w:r>
              <w:rPr>
                <w:kern w:val="0"/>
                <w:szCs w:val="21"/>
              </w:rPr>
              <w:t>一般项目：商业综合体管理服务；企业管理；企业管理咨询；社会经济咨询服务；信息咨询服务（不含许可类信息咨询服务）；票据信息咨询服务；供应链管理服务；市场营销策划；集贸市场管理服务；信息技术咨询服务；企业总部管理。（除依法须经批准的项目外，凭营业执照依法自主开展经营活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0" w:type="dxa"/>
            <w:tcMar>
              <w:top w:w="0" w:type="dxa"/>
              <w:left w:w="108" w:type="dxa"/>
              <w:bottom w:w="0" w:type="dxa"/>
              <w:right w:w="108" w:type="dxa"/>
            </w:tcMar>
            <w:vAlign w:val="center"/>
          </w:tcPr>
          <w:p>
            <w:pPr>
              <w:rPr>
                <w:b/>
                <w:kern w:val="0"/>
                <w:szCs w:val="21"/>
              </w:rPr>
            </w:pPr>
            <w:r>
              <w:rPr>
                <w:b/>
                <w:kern w:val="0"/>
                <w:szCs w:val="21"/>
              </w:rPr>
              <w:t>股权结构</w:t>
            </w:r>
          </w:p>
        </w:tc>
        <w:tc>
          <w:tcPr>
            <w:tcW w:w="6382" w:type="dxa"/>
            <w:tcMar>
              <w:top w:w="0" w:type="dxa"/>
              <w:left w:w="108" w:type="dxa"/>
              <w:bottom w:w="0" w:type="dxa"/>
              <w:right w:w="108" w:type="dxa"/>
            </w:tcMar>
            <w:vAlign w:val="center"/>
          </w:tcPr>
          <w:p>
            <w:pPr>
              <w:rPr>
                <w:kern w:val="0"/>
                <w:szCs w:val="21"/>
              </w:rPr>
            </w:pPr>
            <w:r>
              <w:rPr>
                <w:rFonts w:hint="eastAsia"/>
                <w:kern w:val="0"/>
                <w:szCs w:val="21"/>
              </w:rPr>
              <w:t>杨泽民持股51.00%，杨耀持股49.00%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0" w:type="dxa"/>
            <w:tcMar>
              <w:top w:w="0" w:type="dxa"/>
              <w:left w:w="108" w:type="dxa"/>
              <w:bottom w:w="0" w:type="dxa"/>
              <w:right w:w="108" w:type="dxa"/>
            </w:tcMar>
            <w:vAlign w:val="center"/>
          </w:tcPr>
          <w:p>
            <w:pPr>
              <w:rPr>
                <w:b/>
                <w:kern w:val="0"/>
                <w:szCs w:val="21"/>
              </w:rPr>
            </w:pPr>
            <w:r>
              <w:rPr>
                <w:rFonts w:hint="eastAsia"/>
                <w:b/>
                <w:kern w:val="0"/>
                <w:szCs w:val="21"/>
              </w:rPr>
              <w:t>认购数量</w:t>
            </w:r>
          </w:p>
        </w:tc>
        <w:tc>
          <w:tcPr>
            <w:tcW w:w="6382" w:type="dxa"/>
            <w:tcMar>
              <w:top w:w="0" w:type="dxa"/>
              <w:left w:w="108" w:type="dxa"/>
              <w:bottom w:w="0" w:type="dxa"/>
              <w:right w:w="108" w:type="dxa"/>
            </w:tcMar>
            <w:vAlign w:val="center"/>
          </w:tcPr>
          <w:p>
            <w:pPr>
              <w:rPr>
                <w:kern w:val="0"/>
                <w:szCs w:val="21"/>
              </w:rPr>
            </w:pPr>
            <w:r>
              <w:rPr>
                <w:kern w:val="0"/>
                <w:szCs w:val="21"/>
              </w:rPr>
              <w:t>19,493,177股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00" w:type="dxa"/>
            <w:tcMar>
              <w:top w:w="0" w:type="dxa"/>
              <w:left w:w="108" w:type="dxa"/>
              <w:bottom w:w="0" w:type="dxa"/>
              <w:right w:w="108" w:type="dxa"/>
            </w:tcMar>
            <w:vAlign w:val="center"/>
          </w:tcPr>
          <w:p>
            <w:pPr>
              <w:rPr>
                <w:b/>
                <w:kern w:val="0"/>
                <w:szCs w:val="21"/>
              </w:rPr>
            </w:pPr>
            <w:r>
              <w:rPr>
                <w:rFonts w:hint="eastAsia"/>
                <w:b/>
                <w:kern w:val="0"/>
                <w:szCs w:val="21"/>
              </w:rPr>
              <w:t>限售期</w:t>
            </w:r>
          </w:p>
        </w:tc>
        <w:tc>
          <w:tcPr>
            <w:tcW w:w="6382" w:type="dxa"/>
            <w:tcMar>
              <w:top w:w="0" w:type="dxa"/>
              <w:left w:w="108" w:type="dxa"/>
              <w:bottom w:w="0" w:type="dxa"/>
              <w:right w:w="108" w:type="dxa"/>
            </w:tcMar>
            <w:vAlign w:val="center"/>
          </w:tcPr>
          <w:p>
            <w:pPr>
              <w:rPr>
                <w:kern w:val="0"/>
                <w:szCs w:val="21"/>
              </w:rPr>
            </w:pPr>
            <w:r>
              <w:rPr>
                <w:rFonts w:hint="eastAsia"/>
                <w:kern w:val="0"/>
                <w:szCs w:val="21"/>
              </w:rPr>
              <w:t>自</w:t>
            </w:r>
            <w:r>
              <w:rPr>
                <w:kern w:val="0"/>
                <w:szCs w:val="21"/>
              </w:rPr>
              <w:t>发行结束之日起36个月</w:t>
            </w:r>
          </w:p>
        </w:tc>
      </w:tr>
    </w:tbl>
    <w:p>
      <w:pPr>
        <w:adjustRightInd w:val="0"/>
        <w:snapToGrid w:val="0"/>
        <w:spacing w:before="156" w:beforeLines="50" w:line="360" w:lineRule="auto"/>
        <w:ind w:firstLine="482" w:firstLineChars="200"/>
        <w:outlineLvl w:val="2"/>
        <w:rPr>
          <w:b/>
          <w:bCs/>
          <w:sz w:val="24"/>
          <w:szCs w:val="24"/>
        </w:rPr>
      </w:pPr>
      <w:r>
        <w:rPr>
          <w:rFonts w:hint="eastAsia"/>
          <w:b/>
          <w:bCs/>
          <w:sz w:val="24"/>
          <w:szCs w:val="24"/>
        </w:rPr>
        <w:t>2、</w:t>
      </w:r>
      <w:r>
        <w:rPr>
          <w:b/>
          <w:bCs/>
          <w:sz w:val="24"/>
          <w:szCs w:val="24"/>
        </w:rPr>
        <w:t>发行对象与发行人的关联关系</w:t>
      </w:r>
    </w:p>
    <w:p>
      <w:pPr>
        <w:spacing w:before="156" w:beforeLines="50" w:line="360" w:lineRule="auto"/>
        <w:ind w:firstLine="480" w:firstLineChars="200"/>
        <w:rPr>
          <w:sz w:val="24"/>
          <w:szCs w:val="24"/>
        </w:rPr>
      </w:pPr>
      <w:r>
        <w:rPr>
          <w:rFonts w:hint="eastAsia"/>
          <w:sz w:val="24"/>
          <w:szCs w:val="24"/>
        </w:rPr>
        <w:t>截至本公告日，耀泽商管系公司控股股东、实际控制人之一的杨泽民先生控制的企业，公司实际控制人杨泽民先生、杨耀先生分别持有耀泽商管51.00%股权、49.00%股权。</w:t>
      </w:r>
    </w:p>
    <w:p>
      <w:pPr>
        <w:spacing w:before="156" w:beforeLines="50" w:line="360" w:lineRule="auto"/>
        <w:ind w:firstLine="480" w:firstLineChars="200"/>
        <w:rPr>
          <w:sz w:val="24"/>
          <w:szCs w:val="24"/>
        </w:rPr>
      </w:pPr>
      <w:r>
        <w:rPr>
          <w:rFonts w:hint="eastAsia"/>
          <w:sz w:val="24"/>
          <w:szCs w:val="24"/>
        </w:rPr>
        <w:t>耀泽商管及其股东、实际控制人的股权控制关系如下图所示：</w:t>
      </w:r>
    </w:p>
    <w:p>
      <w:pPr>
        <w:spacing w:before="156" w:beforeLines="50" w:line="360" w:lineRule="auto"/>
        <w:jc w:val="center"/>
        <w:rPr>
          <w:rFonts w:hint="eastAsia" w:ascii="宋体" w:hAnsi="宋体" w:cs="宋体"/>
          <w:sz w:val="24"/>
          <w:szCs w:val="24"/>
        </w:rPr>
      </w:pPr>
      <w:r>
        <w:rPr>
          <w:sz w:val="24"/>
          <w:szCs w:val="24"/>
        </w:rPr>
        <w:drawing>
          <wp:inline distT="0" distB="0" distL="0" distR="0">
            <wp:extent cx="2657475" cy="1115060"/>
            <wp:effectExtent l="0" t="0" r="8890" b="0"/>
            <wp:docPr id="15177175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17507" name="图片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2675404" cy="1123103"/>
                    </a:xfrm>
                    <a:prstGeom prst="rect">
                      <a:avLst/>
                    </a:prstGeom>
                    <a:noFill/>
                  </pic:spPr>
                </pic:pic>
              </a:graphicData>
            </a:graphic>
          </wp:inline>
        </w:drawing>
      </w:r>
    </w:p>
    <w:p>
      <w:pPr>
        <w:adjustRightInd w:val="0"/>
        <w:snapToGrid w:val="0"/>
        <w:spacing w:before="156" w:beforeLines="50" w:line="360" w:lineRule="auto"/>
        <w:ind w:firstLine="482" w:firstLineChars="200"/>
        <w:outlineLvl w:val="2"/>
        <w:rPr>
          <w:b/>
          <w:bCs/>
          <w:sz w:val="24"/>
          <w:szCs w:val="24"/>
        </w:rPr>
      </w:pPr>
      <w:r>
        <w:rPr>
          <w:b/>
          <w:bCs/>
          <w:sz w:val="24"/>
          <w:szCs w:val="24"/>
        </w:rPr>
        <w:t>3、发行对象及其关联方与发行人最近一年的重大交易情况以及未来交易安排的说明</w:t>
      </w:r>
    </w:p>
    <w:p>
      <w:pPr>
        <w:spacing w:before="156" w:beforeLines="50" w:line="360" w:lineRule="auto"/>
        <w:ind w:firstLine="480" w:firstLineChars="200"/>
        <w:rPr>
          <w:sz w:val="24"/>
        </w:rPr>
      </w:pPr>
      <w:r>
        <w:rPr>
          <w:rFonts w:hint="eastAsia"/>
          <w:sz w:val="24"/>
        </w:rPr>
        <w:t>截至本公告日最近一年，除公司在定期报告或临时公告中已披露的交易、重大协议之外，公司与</w:t>
      </w:r>
      <w:r>
        <w:rPr>
          <w:rFonts w:hint="eastAsia"/>
          <w:sz w:val="24"/>
          <w:szCs w:val="24"/>
        </w:rPr>
        <w:t>耀泽商管</w:t>
      </w:r>
      <w:r>
        <w:rPr>
          <w:rFonts w:hint="eastAsia"/>
          <w:sz w:val="24"/>
        </w:rPr>
        <w:t>之间未发生其它重大交易。</w:t>
      </w:r>
    </w:p>
    <w:p>
      <w:pPr>
        <w:spacing w:before="156" w:beforeLines="50" w:line="360" w:lineRule="auto"/>
        <w:ind w:firstLine="480" w:firstLineChars="200"/>
        <w:rPr>
          <w:rFonts w:hint="eastAsia" w:ascii="宋体" w:hAnsi="宋体" w:cs="宋体"/>
          <w:sz w:val="24"/>
          <w:szCs w:val="24"/>
        </w:rPr>
      </w:pPr>
      <w:r>
        <w:rPr>
          <w:rFonts w:hint="eastAsia"/>
          <w:sz w:val="24"/>
        </w:rPr>
        <w:t>对于未来可能发生的交易，公司将严格遵照法律法规以及公司内部规定履行关联交易的审批程序，依法签署关联交易协议并按照有关法律、法规和中国证监会、上交所有关规定履行相关决策程序和信息披露义务，严格按照法律法规及关联交易相关管理制度的定价原则进行，不会损害公司及全体股东的利益。</w:t>
      </w:r>
    </w:p>
    <w:p>
      <w:pPr>
        <w:adjustRightInd w:val="0"/>
        <w:snapToGrid w:val="0"/>
        <w:spacing w:before="156" w:beforeLines="50" w:line="360" w:lineRule="auto"/>
        <w:ind w:firstLine="482" w:firstLineChars="200"/>
        <w:outlineLvl w:val="0"/>
        <w:rPr>
          <w:b/>
          <w:bCs/>
          <w:sz w:val="24"/>
          <w:szCs w:val="24"/>
        </w:rPr>
      </w:pPr>
      <w:r>
        <w:rPr>
          <w:b/>
          <w:bCs/>
          <w:sz w:val="24"/>
          <w:szCs w:val="24"/>
        </w:rPr>
        <w:t>三、本次发行前后公司前</w:t>
      </w:r>
      <w:r>
        <w:rPr>
          <w:b/>
          <w:sz w:val="24"/>
          <w:szCs w:val="24"/>
        </w:rPr>
        <w:t>10</w:t>
      </w:r>
      <w:r>
        <w:rPr>
          <w:b/>
          <w:bCs/>
          <w:sz w:val="24"/>
          <w:szCs w:val="24"/>
        </w:rPr>
        <w:t>名股东、相关股东变化</w:t>
      </w:r>
    </w:p>
    <w:p>
      <w:pPr>
        <w:adjustRightInd w:val="0"/>
        <w:snapToGrid w:val="0"/>
        <w:spacing w:before="156" w:beforeLines="50" w:line="360" w:lineRule="auto"/>
        <w:ind w:firstLine="482" w:firstLineChars="200"/>
        <w:outlineLvl w:val="1"/>
        <w:rPr>
          <w:b/>
          <w:bCs/>
          <w:sz w:val="24"/>
          <w:szCs w:val="24"/>
        </w:rPr>
      </w:pPr>
      <w:r>
        <w:rPr>
          <w:b/>
          <w:bCs/>
          <w:sz w:val="24"/>
          <w:szCs w:val="24"/>
        </w:rPr>
        <w:t>（一）本次发行前后公司前10名股东情况</w:t>
      </w:r>
    </w:p>
    <w:p>
      <w:pPr>
        <w:spacing w:before="156" w:beforeLines="50" w:line="360" w:lineRule="auto"/>
        <w:ind w:firstLine="480" w:firstLineChars="200"/>
        <w:rPr>
          <w:sz w:val="24"/>
        </w:rPr>
      </w:pPr>
      <w:bookmarkStart w:id="3" w:name="_Hlk201159812"/>
      <w:r>
        <w:rPr>
          <w:rFonts w:hint="eastAsia"/>
          <w:sz w:val="24"/>
        </w:rPr>
        <w:t>截至2026年6月30日，公司前十名股东持股情况如下：</w:t>
      </w:r>
    </w:p>
    <w:bookmarkEnd w:id="3"/>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2804"/>
        <w:gridCol w:w="1419"/>
        <w:gridCol w:w="1508"/>
        <w:gridCol w:w="1058"/>
        <w:gridCol w:w="117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327" w:type="pct"/>
            <w:tcMar>
              <w:top w:w="0" w:type="dxa"/>
              <w:left w:w="108" w:type="dxa"/>
              <w:bottom w:w="0" w:type="dxa"/>
              <w:right w:w="108" w:type="dxa"/>
            </w:tcMar>
            <w:vAlign w:val="center"/>
          </w:tcPr>
          <w:p>
            <w:pPr>
              <w:adjustRightInd w:val="0"/>
              <w:snapToGrid w:val="0"/>
              <w:jc w:val="center"/>
              <w:rPr>
                <w:b/>
                <w:color w:val="000000"/>
                <w:szCs w:val="21"/>
              </w:rPr>
            </w:pPr>
            <w:r>
              <w:rPr>
                <w:b/>
                <w:color w:val="000000"/>
                <w:szCs w:val="21"/>
              </w:rPr>
              <w:t>序号</w:t>
            </w:r>
          </w:p>
        </w:tc>
        <w:tc>
          <w:tcPr>
            <w:tcW w:w="1644" w:type="pct"/>
            <w:tcMar>
              <w:top w:w="0" w:type="dxa"/>
              <w:left w:w="108" w:type="dxa"/>
              <w:bottom w:w="0" w:type="dxa"/>
              <w:right w:w="108" w:type="dxa"/>
            </w:tcMar>
            <w:vAlign w:val="center"/>
          </w:tcPr>
          <w:p>
            <w:pPr>
              <w:adjustRightInd w:val="0"/>
              <w:snapToGrid w:val="0"/>
              <w:jc w:val="center"/>
              <w:rPr>
                <w:b/>
                <w:color w:val="000000"/>
                <w:kern w:val="0"/>
                <w:szCs w:val="21"/>
              </w:rPr>
            </w:pPr>
            <w:r>
              <w:rPr>
                <w:b/>
                <w:color w:val="000000"/>
                <w:kern w:val="0"/>
                <w:szCs w:val="21"/>
              </w:rPr>
              <w:t>股东名称</w:t>
            </w:r>
          </w:p>
        </w:tc>
        <w:tc>
          <w:tcPr>
            <w:tcW w:w="831" w:type="pct"/>
            <w:tcMar>
              <w:top w:w="0" w:type="dxa"/>
              <w:left w:w="108" w:type="dxa"/>
              <w:bottom w:w="0" w:type="dxa"/>
              <w:right w:w="108" w:type="dxa"/>
            </w:tcMar>
            <w:vAlign w:val="center"/>
          </w:tcPr>
          <w:p>
            <w:pPr>
              <w:adjustRightInd w:val="0"/>
              <w:snapToGrid w:val="0"/>
              <w:jc w:val="center"/>
              <w:rPr>
                <w:b/>
                <w:color w:val="000000"/>
                <w:szCs w:val="21"/>
              </w:rPr>
            </w:pPr>
            <w:r>
              <w:rPr>
                <w:b/>
                <w:color w:val="000000"/>
                <w:szCs w:val="21"/>
              </w:rPr>
              <w:t>股份性质</w:t>
            </w:r>
          </w:p>
        </w:tc>
        <w:tc>
          <w:tcPr>
            <w:tcW w:w="884" w:type="pct"/>
            <w:vAlign w:val="center"/>
          </w:tcPr>
          <w:p>
            <w:pPr>
              <w:adjustRightInd w:val="0"/>
              <w:snapToGrid w:val="0"/>
              <w:jc w:val="center"/>
              <w:rPr>
                <w:b/>
                <w:color w:val="000000"/>
                <w:szCs w:val="21"/>
              </w:rPr>
            </w:pPr>
            <w:r>
              <w:rPr>
                <w:b/>
                <w:color w:val="000000"/>
                <w:szCs w:val="21"/>
              </w:rPr>
              <w:t>持股数量（股）</w:t>
            </w:r>
          </w:p>
        </w:tc>
        <w:tc>
          <w:tcPr>
            <w:tcW w:w="620" w:type="pct"/>
            <w:tcMar>
              <w:top w:w="0" w:type="dxa"/>
              <w:left w:w="108" w:type="dxa"/>
              <w:bottom w:w="0" w:type="dxa"/>
              <w:right w:w="108" w:type="dxa"/>
            </w:tcMar>
            <w:vAlign w:val="center"/>
          </w:tcPr>
          <w:p>
            <w:pPr>
              <w:adjustRightInd w:val="0"/>
              <w:snapToGrid w:val="0"/>
              <w:jc w:val="center"/>
              <w:rPr>
                <w:b/>
                <w:color w:val="000000"/>
                <w:szCs w:val="21"/>
              </w:rPr>
            </w:pPr>
            <w:r>
              <w:rPr>
                <w:b/>
                <w:color w:val="000000"/>
                <w:szCs w:val="21"/>
              </w:rPr>
              <w:t>持股比例（%）</w:t>
            </w:r>
          </w:p>
        </w:tc>
        <w:tc>
          <w:tcPr>
            <w:tcW w:w="689" w:type="pct"/>
            <w:tcMar>
              <w:top w:w="0" w:type="dxa"/>
              <w:left w:w="108" w:type="dxa"/>
              <w:bottom w:w="0" w:type="dxa"/>
              <w:right w:w="108" w:type="dxa"/>
            </w:tcMar>
            <w:vAlign w:val="center"/>
          </w:tcPr>
          <w:p>
            <w:pPr>
              <w:adjustRightInd w:val="0"/>
              <w:snapToGrid w:val="0"/>
              <w:jc w:val="center"/>
              <w:rPr>
                <w:b/>
                <w:color w:val="000000"/>
                <w:szCs w:val="21"/>
              </w:rPr>
            </w:pPr>
            <w:r>
              <w:rPr>
                <w:b/>
                <w:color w:val="000000"/>
                <w:szCs w:val="21"/>
              </w:rPr>
              <w:t>有限售条件股份数量（股）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27"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1</w:t>
            </w:r>
          </w:p>
        </w:tc>
        <w:tc>
          <w:tcPr>
            <w:tcW w:w="1644"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杨泽民</w:t>
            </w:r>
          </w:p>
        </w:tc>
        <w:tc>
          <w:tcPr>
            <w:tcW w:w="831" w:type="pct"/>
            <w:tcMar>
              <w:top w:w="0" w:type="dxa"/>
              <w:left w:w="108" w:type="dxa"/>
              <w:bottom w:w="0" w:type="dxa"/>
              <w:right w:w="108" w:type="dxa"/>
            </w:tcMar>
            <w:vAlign w:val="center"/>
          </w:tcPr>
          <w:p>
            <w:pPr>
              <w:adjustRightInd w:val="0"/>
              <w:snapToGrid w:val="0"/>
              <w:jc w:val="center"/>
              <w:rPr>
                <w:color w:val="000000"/>
                <w:szCs w:val="21"/>
              </w:rPr>
            </w:pPr>
            <w:r>
              <w:rPr>
                <w:szCs w:val="21"/>
              </w:rPr>
              <w:t>无限售条件股份</w:t>
            </w:r>
          </w:p>
        </w:tc>
        <w:tc>
          <w:tcPr>
            <w:tcW w:w="884" w:type="pct"/>
            <w:vAlign w:val="center"/>
          </w:tcPr>
          <w:p>
            <w:pPr>
              <w:adjustRightInd w:val="0"/>
              <w:snapToGrid w:val="0"/>
              <w:jc w:val="right"/>
              <w:rPr>
                <w:color w:val="000000"/>
                <w:szCs w:val="21"/>
              </w:rPr>
            </w:pPr>
            <w:r>
              <w:rPr>
                <w:color w:val="000000"/>
                <w:szCs w:val="21"/>
              </w:rPr>
              <w:t>52,618,391</w:t>
            </w:r>
          </w:p>
        </w:tc>
        <w:tc>
          <w:tcPr>
            <w:tcW w:w="62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15.95</w:t>
            </w:r>
          </w:p>
        </w:tc>
        <w:tc>
          <w:tcPr>
            <w:tcW w:w="689" w:type="pct"/>
            <w:tcMar>
              <w:top w:w="0" w:type="dxa"/>
              <w:left w:w="108" w:type="dxa"/>
              <w:bottom w:w="0" w:type="dxa"/>
              <w:right w:w="108" w:type="dxa"/>
            </w:tcMar>
            <w:vAlign w:val="center"/>
          </w:tcPr>
          <w:p>
            <w:pPr>
              <w:adjustRightInd w:val="0"/>
              <w:snapToGrid w:val="0"/>
              <w:jc w:val="right"/>
              <w:rPr>
                <w:color w:val="000000"/>
                <w:szCs w:val="21"/>
              </w:rPr>
            </w:pPr>
            <w:r>
              <w:rPr>
                <w:color w:val="000000"/>
                <w:kern w:val="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27"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2</w:t>
            </w:r>
          </w:p>
        </w:tc>
        <w:tc>
          <w:tcPr>
            <w:tcW w:w="1644"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秦惠兰</w:t>
            </w:r>
          </w:p>
        </w:tc>
        <w:tc>
          <w:tcPr>
            <w:tcW w:w="831" w:type="pct"/>
            <w:tcMar>
              <w:top w:w="0" w:type="dxa"/>
              <w:left w:w="108" w:type="dxa"/>
              <w:bottom w:w="0" w:type="dxa"/>
              <w:right w:w="108" w:type="dxa"/>
            </w:tcMar>
            <w:vAlign w:val="center"/>
          </w:tcPr>
          <w:p>
            <w:pPr>
              <w:adjustRightInd w:val="0"/>
              <w:snapToGrid w:val="0"/>
              <w:jc w:val="center"/>
              <w:rPr>
                <w:color w:val="000000"/>
                <w:szCs w:val="21"/>
              </w:rPr>
            </w:pPr>
            <w:r>
              <w:rPr>
                <w:szCs w:val="21"/>
              </w:rPr>
              <w:t>无限售条件股份</w:t>
            </w:r>
          </w:p>
        </w:tc>
        <w:tc>
          <w:tcPr>
            <w:tcW w:w="884" w:type="pct"/>
            <w:vAlign w:val="center"/>
          </w:tcPr>
          <w:p>
            <w:pPr>
              <w:adjustRightInd w:val="0"/>
              <w:snapToGrid w:val="0"/>
              <w:jc w:val="right"/>
              <w:rPr>
                <w:color w:val="000000"/>
                <w:szCs w:val="21"/>
              </w:rPr>
            </w:pPr>
            <w:r>
              <w:rPr>
                <w:color w:val="000000"/>
                <w:szCs w:val="21"/>
              </w:rPr>
              <w:t>40,841,700</w:t>
            </w:r>
          </w:p>
        </w:tc>
        <w:tc>
          <w:tcPr>
            <w:tcW w:w="62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12.38</w:t>
            </w:r>
          </w:p>
        </w:tc>
        <w:tc>
          <w:tcPr>
            <w:tcW w:w="689" w:type="pct"/>
            <w:tcMar>
              <w:top w:w="0" w:type="dxa"/>
              <w:left w:w="108" w:type="dxa"/>
              <w:bottom w:w="0" w:type="dxa"/>
              <w:right w:w="108" w:type="dxa"/>
            </w:tcMar>
            <w:vAlign w:val="center"/>
          </w:tcPr>
          <w:p>
            <w:pPr>
              <w:adjustRightInd w:val="0"/>
              <w:snapToGrid w:val="0"/>
              <w:jc w:val="right"/>
              <w:rPr>
                <w:color w:val="000000"/>
                <w:szCs w:val="21"/>
              </w:rPr>
            </w:pPr>
            <w:r>
              <w:rPr>
                <w:color w:val="000000"/>
                <w:kern w:val="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27"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3</w:t>
            </w:r>
          </w:p>
        </w:tc>
        <w:tc>
          <w:tcPr>
            <w:tcW w:w="1644"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杨秦</w:t>
            </w:r>
          </w:p>
        </w:tc>
        <w:tc>
          <w:tcPr>
            <w:tcW w:w="831" w:type="pct"/>
            <w:tcMar>
              <w:top w:w="0" w:type="dxa"/>
              <w:left w:w="108" w:type="dxa"/>
              <w:bottom w:w="0" w:type="dxa"/>
              <w:right w:w="108" w:type="dxa"/>
            </w:tcMar>
            <w:vAlign w:val="center"/>
          </w:tcPr>
          <w:p>
            <w:pPr>
              <w:adjustRightInd w:val="0"/>
              <w:snapToGrid w:val="0"/>
              <w:jc w:val="center"/>
              <w:rPr>
                <w:color w:val="000000"/>
                <w:szCs w:val="21"/>
              </w:rPr>
            </w:pPr>
            <w:r>
              <w:rPr>
                <w:szCs w:val="21"/>
              </w:rPr>
              <w:t>无限售条件股份</w:t>
            </w:r>
          </w:p>
        </w:tc>
        <w:tc>
          <w:tcPr>
            <w:tcW w:w="884" w:type="pct"/>
            <w:vAlign w:val="center"/>
          </w:tcPr>
          <w:p>
            <w:pPr>
              <w:adjustRightInd w:val="0"/>
              <w:snapToGrid w:val="0"/>
              <w:jc w:val="right"/>
              <w:rPr>
                <w:szCs w:val="21"/>
              </w:rPr>
            </w:pPr>
            <w:r>
              <w:rPr>
                <w:color w:val="000000"/>
                <w:szCs w:val="21"/>
              </w:rPr>
              <w:t>18,015,000</w:t>
            </w:r>
          </w:p>
        </w:tc>
        <w:tc>
          <w:tcPr>
            <w:tcW w:w="62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5.46</w:t>
            </w:r>
          </w:p>
        </w:tc>
        <w:tc>
          <w:tcPr>
            <w:tcW w:w="689" w:type="pct"/>
            <w:tcMar>
              <w:top w:w="0" w:type="dxa"/>
              <w:left w:w="108" w:type="dxa"/>
              <w:bottom w:w="0" w:type="dxa"/>
              <w:right w:w="108" w:type="dxa"/>
            </w:tcMar>
            <w:vAlign w:val="center"/>
          </w:tcPr>
          <w:p>
            <w:pPr>
              <w:adjustRightInd w:val="0"/>
              <w:snapToGrid w:val="0"/>
              <w:jc w:val="right"/>
              <w:rPr>
                <w:color w:val="000000"/>
                <w:szCs w:val="21"/>
              </w:rPr>
            </w:pPr>
            <w:r>
              <w:rPr>
                <w:color w:val="000000"/>
                <w:kern w:val="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27"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4</w:t>
            </w:r>
          </w:p>
        </w:tc>
        <w:tc>
          <w:tcPr>
            <w:tcW w:w="1644"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杨耀</w:t>
            </w:r>
          </w:p>
        </w:tc>
        <w:tc>
          <w:tcPr>
            <w:tcW w:w="831" w:type="pct"/>
            <w:tcMar>
              <w:top w:w="0" w:type="dxa"/>
              <w:left w:w="108" w:type="dxa"/>
              <w:bottom w:w="0" w:type="dxa"/>
              <w:right w:w="108" w:type="dxa"/>
            </w:tcMar>
            <w:vAlign w:val="center"/>
          </w:tcPr>
          <w:p>
            <w:pPr>
              <w:adjustRightInd w:val="0"/>
              <w:snapToGrid w:val="0"/>
              <w:jc w:val="center"/>
              <w:rPr>
                <w:color w:val="000000"/>
                <w:szCs w:val="21"/>
              </w:rPr>
            </w:pPr>
            <w:r>
              <w:rPr>
                <w:szCs w:val="21"/>
              </w:rPr>
              <w:t>无限售条件股份</w:t>
            </w:r>
          </w:p>
        </w:tc>
        <w:tc>
          <w:tcPr>
            <w:tcW w:w="884" w:type="pct"/>
            <w:vAlign w:val="center"/>
          </w:tcPr>
          <w:p>
            <w:pPr>
              <w:adjustRightInd w:val="0"/>
              <w:snapToGrid w:val="0"/>
              <w:jc w:val="right"/>
              <w:rPr>
                <w:szCs w:val="21"/>
              </w:rPr>
            </w:pPr>
            <w:r>
              <w:rPr>
                <w:color w:val="000000"/>
                <w:szCs w:val="21"/>
              </w:rPr>
              <w:t>18,000,050</w:t>
            </w:r>
          </w:p>
        </w:tc>
        <w:tc>
          <w:tcPr>
            <w:tcW w:w="62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5.46</w:t>
            </w:r>
          </w:p>
        </w:tc>
        <w:tc>
          <w:tcPr>
            <w:tcW w:w="689" w:type="pct"/>
            <w:tcMar>
              <w:top w:w="0" w:type="dxa"/>
              <w:left w:w="108" w:type="dxa"/>
              <w:bottom w:w="0" w:type="dxa"/>
              <w:right w:w="108" w:type="dxa"/>
            </w:tcMar>
            <w:vAlign w:val="center"/>
          </w:tcPr>
          <w:p>
            <w:pPr>
              <w:adjustRightInd w:val="0"/>
              <w:snapToGrid w:val="0"/>
              <w:jc w:val="right"/>
              <w:rPr>
                <w:color w:val="000000"/>
                <w:szCs w:val="21"/>
              </w:rPr>
            </w:pPr>
            <w:r>
              <w:rPr>
                <w:color w:val="000000"/>
                <w:kern w:val="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27"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5</w:t>
            </w:r>
          </w:p>
        </w:tc>
        <w:tc>
          <w:tcPr>
            <w:tcW w:w="1644"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赵桂芬</w:t>
            </w:r>
          </w:p>
        </w:tc>
        <w:tc>
          <w:tcPr>
            <w:tcW w:w="831" w:type="pct"/>
            <w:tcMar>
              <w:top w:w="0" w:type="dxa"/>
              <w:left w:w="108" w:type="dxa"/>
              <w:bottom w:w="0" w:type="dxa"/>
              <w:right w:w="108" w:type="dxa"/>
            </w:tcMar>
            <w:vAlign w:val="center"/>
          </w:tcPr>
          <w:p>
            <w:pPr>
              <w:adjustRightInd w:val="0"/>
              <w:snapToGrid w:val="0"/>
              <w:jc w:val="center"/>
              <w:rPr>
                <w:color w:val="000000"/>
                <w:szCs w:val="21"/>
              </w:rPr>
            </w:pPr>
            <w:r>
              <w:rPr>
                <w:szCs w:val="21"/>
              </w:rPr>
              <w:t>无限售条件股份</w:t>
            </w:r>
          </w:p>
        </w:tc>
        <w:tc>
          <w:tcPr>
            <w:tcW w:w="884" w:type="pct"/>
            <w:vAlign w:val="center"/>
          </w:tcPr>
          <w:p>
            <w:pPr>
              <w:adjustRightInd w:val="0"/>
              <w:snapToGrid w:val="0"/>
              <w:jc w:val="right"/>
              <w:rPr>
                <w:color w:val="000000"/>
                <w:szCs w:val="21"/>
              </w:rPr>
            </w:pPr>
            <w:r>
              <w:rPr>
                <w:color w:val="000000"/>
                <w:szCs w:val="21"/>
              </w:rPr>
              <w:t>3,370,000</w:t>
            </w:r>
          </w:p>
        </w:tc>
        <w:tc>
          <w:tcPr>
            <w:tcW w:w="62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1.02</w:t>
            </w:r>
          </w:p>
        </w:tc>
        <w:tc>
          <w:tcPr>
            <w:tcW w:w="689" w:type="pct"/>
            <w:tcMar>
              <w:top w:w="0" w:type="dxa"/>
              <w:left w:w="108" w:type="dxa"/>
              <w:bottom w:w="0" w:type="dxa"/>
              <w:right w:w="108" w:type="dxa"/>
            </w:tcMar>
            <w:vAlign w:val="center"/>
          </w:tcPr>
          <w:p>
            <w:pPr>
              <w:adjustRightInd w:val="0"/>
              <w:snapToGrid w:val="0"/>
              <w:jc w:val="right"/>
              <w:rPr>
                <w:color w:val="000000"/>
                <w:szCs w:val="21"/>
              </w:rPr>
            </w:pPr>
            <w:r>
              <w:rPr>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27"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6</w:t>
            </w:r>
          </w:p>
        </w:tc>
        <w:tc>
          <w:tcPr>
            <w:tcW w:w="1644"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王育森</w:t>
            </w:r>
          </w:p>
        </w:tc>
        <w:tc>
          <w:tcPr>
            <w:tcW w:w="831" w:type="pct"/>
            <w:tcMar>
              <w:top w:w="0" w:type="dxa"/>
              <w:left w:w="108" w:type="dxa"/>
              <w:bottom w:w="0" w:type="dxa"/>
              <w:right w:w="108" w:type="dxa"/>
            </w:tcMar>
            <w:vAlign w:val="center"/>
          </w:tcPr>
          <w:p>
            <w:pPr>
              <w:adjustRightInd w:val="0"/>
              <w:snapToGrid w:val="0"/>
              <w:jc w:val="center"/>
              <w:rPr>
                <w:szCs w:val="21"/>
              </w:rPr>
            </w:pPr>
            <w:r>
              <w:rPr>
                <w:szCs w:val="21"/>
              </w:rPr>
              <w:t>无限售条件股份</w:t>
            </w:r>
          </w:p>
        </w:tc>
        <w:tc>
          <w:tcPr>
            <w:tcW w:w="884" w:type="pct"/>
            <w:vAlign w:val="center"/>
          </w:tcPr>
          <w:p>
            <w:pPr>
              <w:adjustRightInd w:val="0"/>
              <w:snapToGrid w:val="0"/>
              <w:jc w:val="right"/>
              <w:rPr>
                <w:color w:val="000000"/>
                <w:szCs w:val="21"/>
              </w:rPr>
            </w:pPr>
            <w:r>
              <w:rPr>
                <w:color w:val="000000"/>
                <w:szCs w:val="21"/>
              </w:rPr>
              <w:t>2,900,000</w:t>
            </w:r>
          </w:p>
        </w:tc>
        <w:tc>
          <w:tcPr>
            <w:tcW w:w="62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0.88</w:t>
            </w:r>
          </w:p>
        </w:tc>
        <w:tc>
          <w:tcPr>
            <w:tcW w:w="689" w:type="pct"/>
            <w:tcMar>
              <w:top w:w="0" w:type="dxa"/>
              <w:left w:w="108" w:type="dxa"/>
              <w:bottom w:w="0" w:type="dxa"/>
              <w:right w:w="108" w:type="dxa"/>
            </w:tcMar>
            <w:vAlign w:val="center"/>
          </w:tcPr>
          <w:p>
            <w:pPr>
              <w:adjustRightInd w:val="0"/>
              <w:snapToGrid w:val="0"/>
              <w:jc w:val="right"/>
              <w:rPr>
                <w:szCs w:val="21"/>
              </w:rPr>
            </w:pPr>
            <w:r>
              <w:rPr>
                <w:color w:val="000000"/>
                <w:kern w:val="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27"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7</w:t>
            </w:r>
          </w:p>
        </w:tc>
        <w:tc>
          <w:tcPr>
            <w:tcW w:w="1644"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刘远初</w:t>
            </w:r>
          </w:p>
        </w:tc>
        <w:tc>
          <w:tcPr>
            <w:tcW w:w="831" w:type="pct"/>
            <w:tcMar>
              <w:top w:w="0" w:type="dxa"/>
              <w:left w:w="108" w:type="dxa"/>
              <w:bottom w:w="0" w:type="dxa"/>
              <w:right w:w="108" w:type="dxa"/>
            </w:tcMar>
            <w:vAlign w:val="center"/>
          </w:tcPr>
          <w:p>
            <w:pPr>
              <w:adjustRightInd w:val="0"/>
              <w:snapToGrid w:val="0"/>
              <w:jc w:val="center"/>
              <w:rPr>
                <w:szCs w:val="21"/>
              </w:rPr>
            </w:pPr>
            <w:r>
              <w:rPr>
                <w:szCs w:val="21"/>
              </w:rPr>
              <w:t>无限售条件股份</w:t>
            </w:r>
          </w:p>
        </w:tc>
        <w:tc>
          <w:tcPr>
            <w:tcW w:w="884" w:type="pct"/>
            <w:vAlign w:val="center"/>
          </w:tcPr>
          <w:p>
            <w:pPr>
              <w:adjustRightInd w:val="0"/>
              <w:snapToGrid w:val="0"/>
              <w:jc w:val="right"/>
              <w:rPr>
                <w:color w:val="000000"/>
                <w:szCs w:val="21"/>
              </w:rPr>
            </w:pPr>
            <w:r>
              <w:rPr>
                <w:color w:val="000000"/>
                <w:szCs w:val="21"/>
              </w:rPr>
              <w:t>2,720,644</w:t>
            </w:r>
          </w:p>
        </w:tc>
        <w:tc>
          <w:tcPr>
            <w:tcW w:w="62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0.82</w:t>
            </w:r>
          </w:p>
        </w:tc>
        <w:tc>
          <w:tcPr>
            <w:tcW w:w="689" w:type="pct"/>
            <w:tcMar>
              <w:top w:w="0" w:type="dxa"/>
              <w:left w:w="108" w:type="dxa"/>
              <w:bottom w:w="0" w:type="dxa"/>
              <w:right w:w="108" w:type="dxa"/>
            </w:tcMar>
            <w:vAlign w:val="center"/>
          </w:tcPr>
          <w:p>
            <w:pPr>
              <w:adjustRightInd w:val="0"/>
              <w:snapToGrid w:val="0"/>
              <w:jc w:val="right"/>
              <w:rPr>
                <w:szCs w:val="21"/>
              </w:rPr>
            </w:pPr>
            <w:r>
              <w:rPr>
                <w:color w:val="000000"/>
                <w:kern w:val="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27"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8</w:t>
            </w:r>
          </w:p>
        </w:tc>
        <w:tc>
          <w:tcPr>
            <w:tcW w:w="1644"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杨厚群</w:t>
            </w:r>
          </w:p>
        </w:tc>
        <w:tc>
          <w:tcPr>
            <w:tcW w:w="831" w:type="pct"/>
            <w:tcMar>
              <w:top w:w="0" w:type="dxa"/>
              <w:left w:w="108" w:type="dxa"/>
              <w:bottom w:w="0" w:type="dxa"/>
              <w:right w:w="108" w:type="dxa"/>
            </w:tcMar>
            <w:vAlign w:val="center"/>
          </w:tcPr>
          <w:p>
            <w:pPr>
              <w:adjustRightInd w:val="0"/>
              <w:snapToGrid w:val="0"/>
              <w:jc w:val="center"/>
              <w:rPr>
                <w:szCs w:val="21"/>
              </w:rPr>
            </w:pPr>
            <w:r>
              <w:rPr>
                <w:szCs w:val="21"/>
              </w:rPr>
              <w:t>无限售条件股份</w:t>
            </w:r>
          </w:p>
        </w:tc>
        <w:tc>
          <w:tcPr>
            <w:tcW w:w="884" w:type="pct"/>
            <w:vAlign w:val="center"/>
          </w:tcPr>
          <w:p>
            <w:pPr>
              <w:adjustRightInd w:val="0"/>
              <w:snapToGrid w:val="0"/>
              <w:jc w:val="right"/>
              <w:rPr>
                <w:color w:val="000000"/>
                <w:szCs w:val="21"/>
              </w:rPr>
            </w:pPr>
            <w:r>
              <w:rPr>
                <w:color w:val="000000"/>
                <w:szCs w:val="21"/>
              </w:rPr>
              <w:t>2,269,844</w:t>
            </w:r>
          </w:p>
        </w:tc>
        <w:tc>
          <w:tcPr>
            <w:tcW w:w="62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0.69</w:t>
            </w:r>
          </w:p>
        </w:tc>
        <w:tc>
          <w:tcPr>
            <w:tcW w:w="689" w:type="pct"/>
            <w:tcMar>
              <w:top w:w="0" w:type="dxa"/>
              <w:left w:w="108" w:type="dxa"/>
              <w:bottom w:w="0" w:type="dxa"/>
              <w:right w:w="108" w:type="dxa"/>
            </w:tcMar>
            <w:vAlign w:val="center"/>
          </w:tcPr>
          <w:p>
            <w:pPr>
              <w:adjustRightInd w:val="0"/>
              <w:snapToGrid w:val="0"/>
              <w:jc w:val="right"/>
              <w:rPr>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27"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9</w:t>
            </w:r>
          </w:p>
        </w:tc>
        <w:tc>
          <w:tcPr>
            <w:tcW w:w="1644" w:type="pct"/>
            <w:tcMar>
              <w:top w:w="0" w:type="dxa"/>
              <w:left w:w="108" w:type="dxa"/>
              <w:bottom w:w="0" w:type="dxa"/>
              <w:right w:w="108" w:type="dxa"/>
            </w:tcMar>
            <w:vAlign w:val="center"/>
          </w:tcPr>
          <w:p>
            <w:pPr>
              <w:adjustRightInd w:val="0"/>
              <w:snapToGrid w:val="0"/>
              <w:jc w:val="center"/>
              <w:rPr>
                <w:szCs w:val="21"/>
              </w:rPr>
            </w:pPr>
            <w:r>
              <w:rPr>
                <w:color w:val="000000"/>
                <w:szCs w:val="21"/>
              </w:rPr>
              <w:t>香港中央结算有限公司</w:t>
            </w:r>
          </w:p>
        </w:tc>
        <w:tc>
          <w:tcPr>
            <w:tcW w:w="831" w:type="pct"/>
            <w:tcMar>
              <w:top w:w="0" w:type="dxa"/>
              <w:left w:w="108" w:type="dxa"/>
              <w:bottom w:w="0" w:type="dxa"/>
              <w:right w:w="108" w:type="dxa"/>
            </w:tcMar>
            <w:vAlign w:val="center"/>
          </w:tcPr>
          <w:p>
            <w:pPr>
              <w:adjustRightInd w:val="0"/>
              <w:snapToGrid w:val="0"/>
              <w:jc w:val="center"/>
              <w:rPr>
                <w:szCs w:val="21"/>
              </w:rPr>
            </w:pPr>
            <w:r>
              <w:rPr>
                <w:szCs w:val="21"/>
              </w:rPr>
              <w:t>无限售条件股份</w:t>
            </w:r>
          </w:p>
        </w:tc>
        <w:tc>
          <w:tcPr>
            <w:tcW w:w="884" w:type="pct"/>
            <w:vAlign w:val="center"/>
          </w:tcPr>
          <w:p>
            <w:pPr>
              <w:adjustRightInd w:val="0"/>
              <w:snapToGrid w:val="0"/>
              <w:jc w:val="right"/>
              <w:rPr>
                <w:color w:val="000000"/>
                <w:szCs w:val="21"/>
              </w:rPr>
            </w:pPr>
            <w:r>
              <w:rPr>
                <w:color w:val="000000"/>
                <w:szCs w:val="21"/>
              </w:rPr>
              <w:t>1,961,739</w:t>
            </w:r>
          </w:p>
        </w:tc>
        <w:tc>
          <w:tcPr>
            <w:tcW w:w="62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0.59</w:t>
            </w:r>
          </w:p>
        </w:tc>
        <w:tc>
          <w:tcPr>
            <w:tcW w:w="689" w:type="pct"/>
            <w:tcMar>
              <w:top w:w="0" w:type="dxa"/>
              <w:left w:w="108" w:type="dxa"/>
              <w:bottom w:w="0" w:type="dxa"/>
              <w:right w:w="108" w:type="dxa"/>
            </w:tcMar>
            <w:vAlign w:val="center"/>
          </w:tcPr>
          <w:p>
            <w:pPr>
              <w:adjustRightInd w:val="0"/>
              <w:snapToGrid w:val="0"/>
              <w:jc w:val="right"/>
              <w:rPr>
                <w:szCs w:val="21"/>
              </w:rPr>
            </w:pPr>
            <w:r>
              <w:rPr>
                <w:color w:val="000000"/>
                <w:kern w:val="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27"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10</w:t>
            </w:r>
          </w:p>
        </w:tc>
        <w:tc>
          <w:tcPr>
            <w:tcW w:w="1644"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张美红</w:t>
            </w:r>
          </w:p>
        </w:tc>
        <w:tc>
          <w:tcPr>
            <w:tcW w:w="831" w:type="pct"/>
            <w:tcMar>
              <w:top w:w="0" w:type="dxa"/>
              <w:left w:w="108" w:type="dxa"/>
              <w:bottom w:w="0" w:type="dxa"/>
              <w:right w:w="108" w:type="dxa"/>
            </w:tcMar>
            <w:vAlign w:val="center"/>
          </w:tcPr>
          <w:p>
            <w:pPr>
              <w:adjustRightInd w:val="0"/>
              <w:snapToGrid w:val="0"/>
              <w:jc w:val="center"/>
              <w:rPr>
                <w:szCs w:val="21"/>
              </w:rPr>
            </w:pPr>
            <w:r>
              <w:rPr>
                <w:szCs w:val="21"/>
              </w:rPr>
              <w:t>无限售条件股份</w:t>
            </w:r>
          </w:p>
        </w:tc>
        <w:tc>
          <w:tcPr>
            <w:tcW w:w="884" w:type="pct"/>
            <w:vAlign w:val="center"/>
          </w:tcPr>
          <w:p>
            <w:pPr>
              <w:adjustRightInd w:val="0"/>
              <w:snapToGrid w:val="0"/>
              <w:jc w:val="right"/>
              <w:rPr>
                <w:color w:val="000000"/>
                <w:szCs w:val="21"/>
              </w:rPr>
            </w:pPr>
            <w:r>
              <w:rPr>
                <w:color w:val="000000"/>
                <w:szCs w:val="21"/>
              </w:rPr>
              <w:t>1,470,200</w:t>
            </w:r>
          </w:p>
        </w:tc>
        <w:tc>
          <w:tcPr>
            <w:tcW w:w="62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0.45</w:t>
            </w:r>
          </w:p>
        </w:tc>
        <w:tc>
          <w:tcPr>
            <w:tcW w:w="689" w:type="pct"/>
            <w:tcMar>
              <w:top w:w="0" w:type="dxa"/>
              <w:left w:w="108" w:type="dxa"/>
              <w:bottom w:w="0" w:type="dxa"/>
              <w:right w:w="108" w:type="dxa"/>
            </w:tcMar>
            <w:vAlign w:val="center"/>
          </w:tcPr>
          <w:p>
            <w:pPr>
              <w:adjustRightInd w:val="0"/>
              <w:snapToGrid w:val="0"/>
              <w:jc w:val="right"/>
              <w:rPr>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803" w:type="pct"/>
            <w:gridSpan w:val="3"/>
            <w:tcMar>
              <w:top w:w="0" w:type="dxa"/>
              <w:left w:w="108" w:type="dxa"/>
              <w:bottom w:w="0" w:type="dxa"/>
              <w:right w:w="108" w:type="dxa"/>
            </w:tcMar>
            <w:vAlign w:val="center"/>
          </w:tcPr>
          <w:p>
            <w:pPr>
              <w:adjustRightInd w:val="0"/>
              <w:snapToGrid w:val="0"/>
              <w:jc w:val="center"/>
              <w:rPr>
                <w:b/>
                <w:bCs/>
                <w:szCs w:val="21"/>
              </w:rPr>
            </w:pPr>
            <w:r>
              <w:rPr>
                <w:b/>
                <w:bCs/>
                <w:szCs w:val="21"/>
              </w:rPr>
              <w:t>合计</w:t>
            </w:r>
          </w:p>
        </w:tc>
        <w:tc>
          <w:tcPr>
            <w:tcW w:w="884" w:type="pct"/>
            <w:vAlign w:val="center"/>
          </w:tcPr>
          <w:p>
            <w:pPr>
              <w:adjustRightInd w:val="0"/>
              <w:snapToGrid w:val="0"/>
              <w:jc w:val="right"/>
              <w:rPr>
                <w:b/>
                <w:bCs/>
                <w:szCs w:val="21"/>
              </w:rPr>
            </w:pPr>
            <w:r>
              <w:rPr>
                <w:b/>
                <w:bCs/>
                <w:szCs w:val="21"/>
              </w:rPr>
              <w:t>144,167,568</w:t>
            </w:r>
          </w:p>
        </w:tc>
        <w:tc>
          <w:tcPr>
            <w:tcW w:w="620" w:type="pct"/>
            <w:tcMar>
              <w:top w:w="0" w:type="dxa"/>
              <w:left w:w="108" w:type="dxa"/>
              <w:bottom w:w="0" w:type="dxa"/>
              <w:right w:w="108" w:type="dxa"/>
            </w:tcMar>
            <w:vAlign w:val="center"/>
          </w:tcPr>
          <w:p>
            <w:pPr>
              <w:adjustRightInd w:val="0"/>
              <w:snapToGrid w:val="0"/>
              <w:jc w:val="right"/>
              <w:rPr>
                <w:b/>
                <w:bCs/>
                <w:szCs w:val="21"/>
              </w:rPr>
            </w:pPr>
            <w:r>
              <w:rPr>
                <w:b/>
                <w:bCs/>
                <w:szCs w:val="21"/>
              </w:rPr>
              <w:t>43.70</w:t>
            </w:r>
          </w:p>
        </w:tc>
        <w:tc>
          <w:tcPr>
            <w:tcW w:w="689" w:type="pct"/>
            <w:tcMar>
              <w:top w:w="0" w:type="dxa"/>
              <w:left w:w="108" w:type="dxa"/>
              <w:bottom w:w="0" w:type="dxa"/>
              <w:right w:w="108" w:type="dxa"/>
            </w:tcMar>
            <w:vAlign w:val="center"/>
          </w:tcPr>
          <w:p>
            <w:pPr>
              <w:adjustRightInd w:val="0"/>
              <w:snapToGrid w:val="0"/>
              <w:jc w:val="right"/>
              <w:rPr>
                <w:b/>
                <w:bCs/>
                <w:color w:val="000000"/>
                <w:kern w:val="0"/>
                <w:szCs w:val="21"/>
              </w:rPr>
            </w:pPr>
            <w:r>
              <w:rPr>
                <w:b/>
                <w:bCs/>
                <w:color w:val="000000"/>
                <w:kern w:val="0"/>
                <w:szCs w:val="21"/>
              </w:rPr>
              <w:t>-</w:t>
            </w:r>
          </w:p>
        </w:tc>
      </w:tr>
    </w:tbl>
    <w:p>
      <w:pPr>
        <w:spacing w:before="156" w:beforeLines="50" w:line="360" w:lineRule="auto"/>
        <w:ind w:firstLine="480" w:firstLineChars="200"/>
        <w:rPr>
          <w:sz w:val="24"/>
        </w:rPr>
      </w:pPr>
      <w:r>
        <w:rPr>
          <w:rFonts w:hint="eastAsia"/>
          <w:sz w:val="24"/>
        </w:rPr>
        <w:t>本次发行新增股份完成股份登记后，截至2026年8月31日（新增股份登记日）</w:t>
      </w:r>
      <w:r>
        <w:rPr>
          <w:sz w:val="24"/>
        </w:rPr>
        <w:t>，公司前十大股东持股情况如下：</w:t>
      </w:r>
    </w:p>
    <w:tbl>
      <w:tblPr>
        <w:tblStyle w:val="9"/>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9"/>
        <w:gridCol w:w="2773"/>
        <w:gridCol w:w="1465"/>
        <w:gridCol w:w="1457"/>
        <w:gridCol w:w="1021"/>
        <w:gridCol w:w="122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334" w:type="pct"/>
            <w:tcMar>
              <w:top w:w="0" w:type="dxa"/>
              <w:left w:w="108" w:type="dxa"/>
              <w:bottom w:w="0" w:type="dxa"/>
              <w:right w:w="108" w:type="dxa"/>
            </w:tcMar>
            <w:vAlign w:val="center"/>
          </w:tcPr>
          <w:p>
            <w:pPr>
              <w:adjustRightInd w:val="0"/>
              <w:snapToGrid w:val="0"/>
              <w:jc w:val="center"/>
              <w:rPr>
                <w:b/>
                <w:color w:val="000000"/>
                <w:szCs w:val="21"/>
              </w:rPr>
            </w:pPr>
            <w:r>
              <w:rPr>
                <w:b/>
                <w:color w:val="000000"/>
                <w:szCs w:val="21"/>
              </w:rPr>
              <w:t>序号</w:t>
            </w:r>
          </w:p>
        </w:tc>
        <w:tc>
          <w:tcPr>
            <w:tcW w:w="1628" w:type="pct"/>
            <w:tcMar>
              <w:top w:w="0" w:type="dxa"/>
              <w:left w:w="108" w:type="dxa"/>
              <w:bottom w:w="0" w:type="dxa"/>
              <w:right w:w="108" w:type="dxa"/>
            </w:tcMar>
            <w:vAlign w:val="center"/>
          </w:tcPr>
          <w:p>
            <w:pPr>
              <w:adjustRightInd w:val="0"/>
              <w:snapToGrid w:val="0"/>
              <w:jc w:val="center"/>
              <w:rPr>
                <w:b/>
                <w:color w:val="000000"/>
                <w:kern w:val="0"/>
                <w:szCs w:val="21"/>
              </w:rPr>
            </w:pPr>
            <w:r>
              <w:rPr>
                <w:b/>
                <w:color w:val="000000"/>
                <w:kern w:val="0"/>
                <w:szCs w:val="21"/>
              </w:rPr>
              <w:t>股东名称</w:t>
            </w:r>
          </w:p>
        </w:tc>
        <w:tc>
          <w:tcPr>
            <w:tcW w:w="859" w:type="pct"/>
            <w:tcMar>
              <w:top w:w="0" w:type="dxa"/>
              <w:left w:w="108" w:type="dxa"/>
              <w:bottom w:w="0" w:type="dxa"/>
              <w:right w:w="108" w:type="dxa"/>
            </w:tcMar>
            <w:vAlign w:val="center"/>
          </w:tcPr>
          <w:p>
            <w:pPr>
              <w:adjustRightInd w:val="0"/>
              <w:snapToGrid w:val="0"/>
              <w:jc w:val="center"/>
              <w:rPr>
                <w:b/>
                <w:color w:val="000000"/>
                <w:szCs w:val="21"/>
              </w:rPr>
            </w:pPr>
            <w:r>
              <w:rPr>
                <w:rFonts w:hint="eastAsia"/>
                <w:b/>
                <w:color w:val="000000"/>
                <w:szCs w:val="21"/>
              </w:rPr>
              <w:t>股份性质</w:t>
            </w:r>
          </w:p>
        </w:tc>
        <w:tc>
          <w:tcPr>
            <w:tcW w:w="856" w:type="pct"/>
            <w:vAlign w:val="center"/>
          </w:tcPr>
          <w:p>
            <w:pPr>
              <w:adjustRightInd w:val="0"/>
              <w:snapToGrid w:val="0"/>
              <w:jc w:val="center"/>
              <w:rPr>
                <w:b/>
                <w:color w:val="000000"/>
                <w:szCs w:val="21"/>
              </w:rPr>
            </w:pPr>
            <w:r>
              <w:rPr>
                <w:b/>
                <w:color w:val="000000"/>
                <w:szCs w:val="21"/>
              </w:rPr>
              <w:t>持股数量（股）</w:t>
            </w:r>
          </w:p>
        </w:tc>
        <w:tc>
          <w:tcPr>
            <w:tcW w:w="600" w:type="pct"/>
            <w:tcMar>
              <w:top w:w="0" w:type="dxa"/>
              <w:left w:w="108" w:type="dxa"/>
              <w:bottom w:w="0" w:type="dxa"/>
              <w:right w:w="108" w:type="dxa"/>
            </w:tcMar>
            <w:vAlign w:val="center"/>
          </w:tcPr>
          <w:p>
            <w:pPr>
              <w:adjustRightInd w:val="0"/>
              <w:snapToGrid w:val="0"/>
              <w:jc w:val="center"/>
              <w:rPr>
                <w:b/>
                <w:color w:val="000000"/>
                <w:szCs w:val="21"/>
              </w:rPr>
            </w:pPr>
            <w:r>
              <w:rPr>
                <w:b/>
                <w:color w:val="000000"/>
                <w:szCs w:val="21"/>
              </w:rPr>
              <w:t>持股比例（%）</w:t>
            </w:r>
          </w:p>
        </w:tc>
        <w:tc>
          <w:tcPr>
            <w:tcW w:w="721" w:type="pct"/>
            <w:tcMar>
              <w:top w:w="0" w:type="dxa"/>
              <w:left w:w="108" w:type="dxa"/>
              <w:bottom w:w="0" w:type="dxa"/>
              <w:right w:w="108" w:type="dxa"/>
            </w:tcMar>
            <w:vAlign w:val="center"/>
          </w:tcPr>
          <w:p>
            <w:pPr>
              <w:adjustRightInd w:val="0"/>
              <w:snapToGrid w:val="0"/>
              <w:jc w:val="center"/>
              <w:rPr>
                <w:b/>
                <w:color w:val="000000"/>
                <w:szCs w:val="21"/>
              </w:rPr>
            </w:pPr>
            <w:r>
              <w:rPr>
                <w:b/>
                <w:color w:val="000000"/>
                <w:szCs w:val="21"/>
              </w:rPr>
              <w:t>有限售条件股份数量（股）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34"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1</w:t>
            </w:r>
          </w:p>
        </w:tc>
        <w:tc>
          <w:tcPr>
            <w:tcW w:w="1628"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杨泽民</w:t>
            </w:r>
          </w:p>
        </w:tc>
        <w:tc>
          <w:tcPr>
            <w:tcW w:w="859" w:type="pct"/>
            <w:tcMar>
              <w:top w:w="0" w:type="dxa"/>
              <w:left w:w="108" w:type="dxa"/>
              <w:bottom w:w="0" w:type="dxa"/>
              <w:right w:w="108" w:type="dxa"/>
            </w:tcMar>
            <w:vAlign w:val="center"/>
          </w:tcPr>
          <w:p>
            <w:pPr>
              <w:adjustRightInd w:val="0"/>
              <w:snapToGrid w:val="0"/>
              <w:jc w:val="center"/>
              <w:rPr>
                <w:color w:val="000000"/>
                <w:szCs w:val="21"/>
              </w:rPr>
            </w:pPr>
            <w:r>
              <w:rPr>
                <w:szCs w:val="21"/>
              </w:rPr>
              <w:t>无限售条件股份</w:t>
            </w:r>
          </w:p>
        </w:tc>
        <w:tc>
          <w:tcPr>
            <w:tcW w:w="856" w:type="pct"/>
            <w:vAlign w:val="center"/>
          </w:tcPr>
          <w:p>
            <w:pPr>
              <w:adjustRightInd w:val="0"/>
              <w:snapToGrid w:val="0"/>
              <w:jc w:val="right"/>
              <w:rPr>
                <w:color w:val="000000"/>
                <w:szCs w:val="21"/>
              </w:rPr>
            </w:pPr>
            <w:r>
              <w:rPr>
                <w:color w:val="000000"/>
                <w:szCs w:val="21"/>
              </w:rPr>
              <w:t>52,618,391</w:t>
            </w:r>
          </w:p>
        </w:tc>
        <w:tc>
          <w:tcPr>
            <w:tcW w:w="60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15.06</w:t>
            </w:r>
          </w:p>
        </w:tc>
        <w:tc>
          <w:tcPr>
            <w:tcW w:w="721" w:type="pct"/>
            <w:tcMar>
              <w:top w:w="0" w:type="dxa"/>
              <w:left w:w="108" w:type="dxa"/>
              <w:bottom w:w="0" w:type="dxa"/>
              <w:right w:w="108" w:type="dxa"/>
            </w:tcMar>
            <w:vAlign w:val="center"/>
          </w:tcPr>
          <w:p>
            <w:pPr>
              <w:adjustRightInd w:val="0"/>
              <w:snapToGrid w:val="0"/>
              <w:jc w:val="right"/>
              <w:rPr>
                <w:color w:val="000000"/>
                <w:szCs w:val="21"/>
              </w:rPr>
            </w:pPr>
            <w:r>
              <w:rPr>
                <w:rFonts w:hint="eastAsia"/>
                <w:color w:val="00000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34"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2</w:t>
            </w:r>
          </w:p>
        </w:tc>
        <w:tc>
          <w:tcPr>
            <w:tcW w:w="1628"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秦惠兰</w:t>
            </w:r>
          </w:p>
        </w:tc>
        <w:tc>
          <w:tcPr>
            <w:tcW w:w="859" w:type="pct"/>
            <w:tcMar>
              <w:top w:w="0" w:type="dxa"/>
              <w:left w:w="108" w:type="dxa"/>
              <w:bottom w:w="0" w:type="dxa"/>
              <w:right w:w="108" w:type="dxa"/>
            </w:tcMar>
            <w:vAlign w:val="center"/>
          </w:tcPr>
          <w:p>
            <w:pPr>
              <w:adjustRightInd w:val="0"/>
              <w:snapToGrid w:val="0"/>
              <w:jc w:val="center"/>
              <w:rPr>
                <w:color w:val="000000"/>
                <w:szCs w:val="21"/>
              </w:rPr>
            </w:pPr>
            <w:r>
              <w:rPr>
                <w:szCs w:val="21"/>
              </w:rPr>
              <w:t>无限售条件股份</w:t>
            </w:r>
          </w:p>
        </w:tc>
        <w:tc>
          <w:tcPr>
            <w:tcW w:w="856" w:type="pct"/>
            <w:vAlign w:val="center"/>
          </w:tcPr>
          <w:p>
            <w:pPr>
              <w:adjustRightInd w:val="0"/>
              <w:snapToGrid w:val="0"/>
              <w:jc w:val="right"/>
              <w:rPr>
                <w:color w:val="000000"/>
                <w:szCs w:val="21"/>
              </w:rPr>
            </w:pPr>
            <w:r>
              <w:rPr>
                <w:color w:val="000000"/>
                <w:szCs w:val="21"/>
              </w:rPr>
              <w:t>40,841,700</w:t>
            </w:r>
          </w:p>
        </w:tc>
        <w:tc>
          <w:tcPr>
            <w:tcW w:w="60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11.69</w:t>
            </w:r>
          </w:p>
        </w:tc>
        <w:tc>
          <w:tcPr>
            <w:tcW w:w="721" w:type="pct"/>
            <w:tcMar>
              <w:top w:w="0" w:type="dxa"/>
              <w:left w:w="108" w:type="dxa"/>
              <w:bottom w:w="0" w:type="dxa"/>
              <w:right w:w="108" w:type="dxa"/>
            </w:tcMar>
            <w:vAlign w:val="center"/>
          </w:tcPr>
          <w:p>
            <w:pPr>
              <w:adjustRightInd w:val="0"/>
              <w:snapToGrid w:val="0"/>
              <w:jc w:val="right"/>
              <w:rPr>
                <w:color w:val="000000"/>
                <w:szCs w:val="21"/>
              </w:rPr>
            </w:pPr>
            <w:r>
              <w:rPr>
                <w:rFonts w:hint="eastAsia"/>
                <w:color w:val="00000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97" w:hRule="atLeast"/>
          <w:jc w:val="center"/>
        </w:trPr>
        <w:tc>
          <w:tcPr>
            <w:tcW w:w="334" w:type="pct"/>
            <w:tcMar>
              <w:top w:w="0" w:type="dxa"/>
              <w:left w:w="108" w:type="dxa"/>
              <w:bottom w:w="0" w:type="dxa"/>
              <w:right w:w="108" w:type="dxa"/>
            </w:tcMar>
            <w:vAlign w:val="center"/>
          </w:tcPr>
          <w:p>
            <w:pPr>
              <w:adjustRightInd w:val="0"/>
              <w:snapToGrid w:val="0"/>
              <w:jc w:val="center"/>
              <w:rPr>
                <w:color w:val="000000"/>
                <w:szCs w:val="21"/>
              </w:rPr>
            </w:pPr>
            <w:r>
              <w:rPr>
                <w:rFonts w:hint="eastAsia"/>
                <w:color w:val="000000"/>
                <w:szCs w:val="21"/>
              </w:rPr>
              <w:t>3</w:t>
            </w:r>
          </w:p>
        </w:tc>
        <w:tc>
          <w:tcPr>
            <w:tcW w:w="1628" w:type="pct"/>
            <w:tcMar>
              <w:top w:w="0" w:type="dxa"/>
              <w:left w:w="108" w:type="dxa"/>
              <w:bottom w:w="0" w:type="dxa"/>
              <w:right w:w="108" w:type="dxa"/>
            </w:tcMar>
            <w:vAlign w:val="center"/>
          </w:tcPr>
          <w:p>
            <w:pPr>
              <w:adjustRightInd w:val="0"/>
              <w:snapToGrid w:val="0"/>
              <w:jc w:val="center"/>
              <w:rPr>
                <w:color w:val="000000"/>
                <w:szCs w:val="21"/>
              </w:rPr>
            </w:pPr>
            <w:r>
              <w:rPr>
                <w:rFonts w:hint="eastAsia"/>
                <w:color w:val="000000"/>
                <w:szCs w:val="21"/>
              </w:rPr>
              <w:t>耀泽商管</w:t>
            </w:r>
          </w:p>
        </w:tc>
        <w:tc>
          <w:tcPr>
            <w:tcW w:w="859" w:type="pct"/>
            <w:tcMar>
              <w:top w:w="0" w:type="dxa"/>
              <w:left w:w="108" w:type="dxa"/>
              <w:bottom w:w="0" w:type="dxa"/>
              <w:right w:w="108" w:type="dxa"/>
            </w:tcMar>
            <w:vAlign w:val="center"/>
          </w:tcPr>
          <w:p>
            <w:pPr>
              <w:adjustRightInd w:val="0"/>
              <w:snapToGrid w:val="0"/>
              <w:jc w:val="center"/>
              <w:rPr>
                <w:szCs w:val="21"/>
              </w:rPr>
            </w:pPr>
            <w:r>
              <w:rPr>
                <w:rFonts w:hint="eastAsia"/>
                <w:szCs w:val="21"/>
              </w:rPr>
              <w:t>有</w:t>
            </w:r>
            <w:r>
              <w:rPr>
                <w:szCs w:val="21"/>
              </w:rPr>
              <w:t>限售条件股份</w:t>
            </w:r>
          </w:p>
        </w:tc>
        <w:tc>
          <w:tcPr>
            <w:tcW w:w="856" w:type="pct"/>
            <w:vAlign w:val="center"/>
          </w:tcPr>
          <w:p>
            <w:pPr>
              <w:adjustRightInd w:val="0"/>
              <w:snapToGrid w:val="0"/>
              <w:jc w:val="right"/>
              <w:rPr>
                <w:color w:val="000000"/>
                <w:szCs w:val="21"/>
              </w:rPr>
            </w:pPr>
            <w:r>
              <w:rPr>
                <w:color w:val="000000"/>
                <w:szCs w:val="21"/>
              </w:rPr>
              <w:t>19,493,177</w:t>
            </w:r>
          </w:p>
        </w:tc>
        <w:tc>
          <w:tcPr>
            <w:tcW w:w="60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5.58</w:t>
            </w:r>
          </w:p>
        </w:tc>
        <w:tc>
          <w:tcPr>
            <w:tcW w:w="721"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19,493,177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34" w:type="pct"/>
            <w:tcMar>
              <w:top w:w="0" w:type="dxa"/>
              <w:left w:w="108" w:type="dxa"/>
              <w:bottom w:w="0" w:type="dxa"/>
              <w:right w:w="108" w:type="dxa"/>
            </w:tcMar>
            <w:vAlign w:val="center"/>
          </w:tcPr>
          <w:p>
            <w:pPr>
              <w:adjustRightInd w:val="0"/>
              <w:snapToGrid w:val="0"/>
              <w:jc w:val="center"/>
              <w:rPr>
                <w:color w:val="000000"/>
                <w:szCs w:val="21"/>
              </w:rPr>
            </w:pPr>
            <w:r>
              <w:rPr>
                <w:rFonts w:hint="eastAsia"/>
                <w:color w:val="000000"/>
                <w:szCs w:val="21"/>
              </w:rPr>
              <w:t>4</w:t>
            </w:r>
          </w:p>
        </w:tc>
        <w:tc>
          <w:tcPr>
            <w:tcW w:w="1628"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杨秦</w:t>
            </w:r>
          </w:p>
        </w:tc>
        <w:tc>
          <w:tcPr>
            <w:tcW w:w="859" w:type="pct"/>
            <w:tcMar>
              <w:top w:w="0" w:type="dxa"/>
              <w:left w:w="108" w:type="dxa"/>
              <w:bottom w:w="0" w:type="dxa"/>
              <w:right w:w="108" w:type="dxa"/>
            </w:tcMar>
            <w:vAlign w:val="center"/>
          </w:tcPr>
          <w:p>
            <w:pPr>
              <w:adjustRightInd w:val="0"/>
              <w:snapToGrid w:val="0"/>
              <w:jc w:val="center"/>
              <w:rPr>
                <w:color w:val="000000"/>
                <w:szCs w:val="21"/>
              </w:rPr>
            </w:pPr>
            <w:r>
              <w:rPr>
                <w:szCs w:val="21"/>
              </w:rPr>
              <w:t>无限售条件股份</w:t>
            </w:r>
          </w:p>
        </w:tc>
        <w:tc>
          <w:tcPr>
            <w:tcW w:w="856" w:type="pct"/>
            <w:vAlign w:val="center"/>
          </w:tcPr>
          <w:p>
            <w:pPr>
              <w:adjustRightInd w:val="0"/>
              <w:snapToGrid w:val="0"/>
              <w:jc w:val="right"/>
              <w:rPr>
                <w:szCs w:val="21"/>
              </w:rPr>
            </w:pPr>
            <w:r>
              <w:rPr>
                <w:color w:val="000000"/>
                <w:szCs w:val="21"/>
              </w:rPr>
              <w:t>18,015,000</w:t>
            </w:r>
          </w:p>
        </w:tc>
        <w:tc>
          <w:tcPr>
            <w:tcW w:w="60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5.16</w:t>
            </w:r>
          </w:p>
        </w:tc>
        <w:tc>
          <w:tcPr>
            <w:tcW w:w="721" w:type="pct"/>
            <w:tcMar>
              <w:top w:w="0" w:type="dxa"/>
              <w:left w:w="108" w:type="dxa"/>
              <w:bottom w:w="0" w:type="dxa"/>
              <w:right w:w="108" w:type="dxa"/>
            </w:tcMar>
            <w:vAlign w:val="center"/>
          </w:tcPr>
          <w:p>
            <w:pPr>
              <w:adjustRightInd w:val="0"/>
              <w:snapToGrid w:val="0"/>
              <w:jc w:val="right"/>
              <w:rPr>
                <w:color w:val="000000"/>
                <w:szCs w:val="21"/>
              </w:rPr>
            </w:pPr>
            <w:r>
              <w:rPr>
                <w:rFonts w:hint="eastAsia"/>
                <w:color w:val="00000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34" w:type="pct"/>
            <w:tcMar>
              <w:top w:w="0" w:type="dxa"/>
              <w:left w:w="108" w:type="dxa"/>
              <w:bottom w:w="0" w:type="dxa"/>
              <w:right w:w="108" w:type="dxa"/>
            </w:tcMar>
            <w:vAlign w:val="center"/>
          </w:tcPr>
          <w:p>
            <w:pPr>
              <w:adjustRightInd w:val="0"/>
              <w:snapToGrid w:val="0"/>
              <w:jc w:val="center"/>
              <w:rPr>
                <w:color w:val="000000"/>
                <w:szCs w:val="21"/>
              </w:rPr>
            </w:pPr>
            <w:r>
              <w:rPr>
                <w:rFonts w:hint="eastAsia"/>
                <w:color w:val="000000"/>
                <w:szCs w:val="21"/>
              </w:rPr>
              <w:t>5</w:t>
            </w:r>
          </w:p>
        </w:tc>
        <w:tc>
          <w:tcPr>
            <w:tcW w:w="1628"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杨耀</w:t>
            </w:r>
          </w:p>
        </w:tc>
        <w:tc>
          <w:tcPr>
            <w:tcW w:w="859" w:type="pct"/>
            <w:tcMar>
              <w:top w:w="0" w:type="dxa"/>
              <w:left w:w="108" w:type="dxa"/>
              <w:bottom w:w="0" w:type="dxa"/>
              <w:right w:w="108" w:type="dxa"/>
            </w:tcMar>
            <w:vAlign w:val="center"/>
          </w:tcPr>
          <w:p>
            <w:pPr>
              <w:adjustRightInd w:val="0"/>
              <w:snapToGrid w:val="0"/>
              <w:jc w:val="center"/>
              <w:rPr>
                <w:color w:val="000000"/>
                <w:szCs w:val="21"/>
              </w:rPr>
            </w:pPr>
            <w:r>
              <w:rPr>
                <w:szCs w:val="21"/>
              </w:rPr>
              <w:t>无限售条件股份</w:t>
            </w:r>
          </w:p>
        </w:tc>
        <w:tc>
          <w:tcPr>
            <w:tcW w:w="856" w:type="pct"/>
            <w:vAlign w:val="center"/>
          </w:tcPr>
          <w:p>
            <w:pPr>
              <w:adjustRightInd w:val="0"/>
              <w:snapToGrid w:val="0"/>
              <w:jc w:val="right"/>
              <w:rPr>
                <w:szCs w:val="21"/>
              </w:rPr>
            </w:pPr>
            <w:r>
              <w:rPr>
                <w:color w:val="000000"/>
                <w:szCs w:val="21"/>
              </w:rPr>
              <w:t>18,000,050</w:t>
            </w:r>
          </w:p>
        </w:tc>
        <w:tc>
          <w:tcPr>
            <w:tcW w:w="600" w:type="pct"/>
            <w:tcMar>
              <w:top w:w="0" w:type="dxa"/>
              <w:left w:w="108" w:type="dxa"/>
              <w:bottom w:w="0" w:type="dxa"/>
              <w:right w:w="108" w:type="dxa"/>
            </w:tcMar>
            <w:vAlign w:val="center"/>
          </w:tcPr>
          <w:p>
            <w:pPr>
              <w:adjustRightInd w:val="0"/>
              <w:snapToGrid w:val="0"/>
              <w:jc w:val="right"/>
              <w:rPr>
                <w:color w:val="000000"/>
                <w:szCs w:val="21"/>
              </w:rPr>
            </w:pPr>
            <w:r>
              <w:rPr>
                <w:color w:val="000000"/>
                <w:szCs w:val="21"/>
              </w:rPr>
              <w:t>5.15</w:t>
            </w:r>
          </w:p>
        </w:tc>
        <w:tc>
          <w:tcPr>
            <w:tcW w:w="721" w:type="pct"/>
            <w:tcMar>
              <w:top w:w="0" w:type="dxa"/>
              <w:left w:w="108" w:type="dxa"/>
              <w:bottom w:w="0" w:type="dxa"/>
              <w:right w:w="108" w:type="dxa"/>
            </w:tcMar>
            <w:vAlign w:val="center"/>
          </w:tcPr>
          <w:p>
            <w:pPr>
              <w:adjustRightInd w:val="0"/>
              <w:snapToGrid w:val="0"/>
              <w:jc w:val="right"/>
              <w:rPr>
                <w:color w:val="000000"/>
                <w:szCs w:val="21"/>
              </w:rPr>
            </w:pPr>
            <w:r>
              <w:rPr>
                <w:rFonts w:hint="eastAsia"/>
                <w:color w:val="00000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34" w:type="pct"/>
            <w:tcMar>
              <w:top w:w="0" w:type="dxa"/>
              <w:left w:w="108" w:type="dxa"/>
              <w:bottom w:w="0" w:type="dxa"/>
              <w:right w:w="108" w:type="dxa"/>
            </w:tcMar>
            <w:vAlign w:val="center"/>
          </w:tcPr>
          <w:p>
            <w:pPr>
              <w:adjustRightInd w:val="0"/>
              <w:snapToGrid w:val="0"/>
              <w:jc w:val="center"/>
              <w:rPr>
                <w:color w:val="000000"/>
                <w:szCs w:val="21"/>
              </w:rPr>
            </w:pPr>
            <w:r>
              <w:rPr>
                <w:rFonts w:hint="eastAsia"/>
                <w:color w:val="000000"/>
                <w:szCs w:val="21"/>
              </w:rPr>
              <w:t>6</w:t>
            </w:r>
          </w:p>
        </w:tc>
        <w:tc>
          <w:tcPr>
            <w:tcW w:w="1628" w:type="pct"/>
            <w:tcMar>
              <w:top w:w="0" w:type="dxa"/>
              <w:left w:w="108" w:type="dxa"/>
              <w:bottom w:w="0" w:type="dxa"/>
              <w:right w:w="108" w:type="dxa"/>
            </w:tcMar>
            <w:vAlign w:val="center"/>
          </w:tcPr>
          <w:p>
            <w:pPr>
              <w:widowControl/>
              <w:jc w:val="center"/>
              <w:textAlignment w:val="center"/>
              <w:rPr>
                <w:szCs w:val="21"/>
              </w:rPr>
            </w:pPr>
            <w:r>
              <w:rPr>
                <w:rFonts w:hint="eastAsia" w:ascii="宋体" w:hAnsi="宋体" w:cs="宋体"/>
                <w:color w:val="000000"/>
                <w:kern w:val="0"/>
                <w:szCs w:val="21"/>
                <w:lang w:bidi="ar"/>
              </w:rPr>
              <w:t>赵桂芬</w:t>
            </w:r>
          </w:p>
        </w:tc>
        <w:tc>
          <w:tcPr>
            <w:tcW w:w="859" w:type="pct"/>
            <w:tcMar>
              <w:top w:w="0" w:type="dxa"/>
              <w:left w:w="108" w:type="dxa"/>
              <w:bottom w:w="0" w:type="dxa"/>
              <w:right w:w="108" w:type="dxa"/>
            </w:tcMar>
            <w:vAlign w:val="center"/>
          </w:tcPr>
          <w:p>
            <w:pPr>
              <w:adjustRightInd w:val="0"/>
              <w:snapToGrid w:val="0"/>
              <w:jc w:val="center"/>
              <w:rPr>
                <w:szCs w:val="21"/>
              </w:rPr>
            </w:pPr>
            <w:r>
              <w:rPr>
                <w:szCs w:val="21"/>
              </w:rPr>
              <w:t>无限售条件股份</w:t>
            </w:r>
          </w:p>
        </w:tc>
        <w:tc>
          <w:tcPr>
            <w:tcW w:w="856" w:type="pct"/>
            <w:vAlign w:val="center"/>
          </w:tcPr>
          <w:p>
            <w:pPr>
              <w:widowControl/>
              <w:jc w:val="right"/>
              <w:textAlignment w:val="center"/>
              <w:rPr>
                <w:color w:val="000000"/>
                <w:szCs w:val="21"/>
              </w:rPr>
            </w:pPr>
            <w:r>
              <w:rPr>
                <w:rFonts w:hint="eastAsia" w:cs="宋体"/>
                <w:color w:val="000000"/>
                <w:kern w:val="0"/>
                <w:szCs w:val="21"/>
                <w:lang w:bidi="ar"/>
              </w:rPr>
              <w:t xml:space="preserve">3,370,000 </w:t>
            </w:r>
          </w:p>
        </w:tc>
        <w:tc>
          <w:tcPr>
            <w:tcW w:w="600" w:type="pct"/>
            <w:tcMar>
              <w:top w:w="0" w:type="dxa"/>
              <w:left w:w="108" w:type="dxa"/>
              <w:bottom w:w="0" w:type="dxa"/>
              <w:right w:w="108" w:type="dxa"/>
            </w:tcMar>
            <w:vAlign w:val="center"/>
          </w:tcPr>
          <w:p>
            <w:pPr>
              <w:widowControl/>
              <w:jc w:val="right"/>
              <w:textAlignment w:val="center"/>
              <w:rPr>
                <w:color w:val="000000"/>
                <w:szCs w:val="21"/>
              </w:rPr>
            </w:pPr>
            <w:r>
              <w:rPr>
                <w:rFonts w:hint="eastAsia" w:cs="宋体"/>
                <w:color w:val="000000"/>
                <w:kern w:val="0"/>
                <w:szCs w:val="21"/>
                <w:lang w:bidi="ar"/>
              </w:rPr>
              <w:t>0.96</w:t>
            </w:r>
          </w:p>
        </w:tc>
        <w:tc>
          <w:tcPr>
            <w:tcW w:w="721" w:type="pct"/>
            <w:tcMar>
              <w:top w:w="0" w:type="dxa"/>
              <w:left w:w="108" w:type="dxa"/>
              <w:bottom w:w="0" w:type="dxa"/>
              <w:right w:w="108" w:type="dxa"/>
            </w:tcMar>
            <w:vAlign w:val="center"/>
          </w:tcPr>
          <w:p>
            <w:pPr>
              <w:adjustRightInd w:val="0"/>
              <w:snapToGrid w:val="0"/>
              <w:jc w:val="right"/>
              <w:rPr>
                <w:szCs w:val="21"/>
              </w:rPr>
            </w:pPr>
            <w:r>
              <w:rPr>
                <w:rFonts w:hint="eastAsia"/>
                <w:color w:val="00000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97" w:hRule="atLeast"/>
          <w:jc w:val="center"/>
        </w:trPr>
        <w:tc>
          <w:tcPr>
            <w:tcW w:w="334"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7</w:t>
            </w:r>
          </w:p>
        </w:tc>
        <w:tc>
          <w:tcPr>
            <w:tcW w:w="1628" w:type="pct"/>
            <w:tcMar>
              <w:top w:w="0" w:type="dxa"/>
              <w:left w:w="108" w:type="dxa"/>
              <w:bottom w:w="0" w:type="dxa"/>
              <w:right w:w="108" w:type="dxa"/>
            </w:tcMar>
            <w:vAlign w:val="center"/>
          </w:tcPr>
          <w:p>
            <w:pPr>
              <w:widowControl/>
              <w:jc w:val="center"/>
              <w:textAlignment w:val="center"/>
              <w:rPr>
                <w:szCs w:val="21"/>
              </w:rPr>
            </w:pPr>
            <w:r>
              <w:rPr>
                <w:rFonts w:hint="eastAsia" w:ascii="宋体" w:hAnsi="宋体" w:cs="宋体"/>
                <w:color w:val="000000"/>
                <w:kern w:val="0"/>
                <w:szCs w:val="21"/>
                <w:lang w:bidi="ar"/>
              </w:rPr>
              <w:t>王育森</w:t>
            </w:r>
          </w:p>
        </w:tc>
        <w:tc>
          <w:tcPr>
            <w:tcW w:w="859" w:type="pct"/>
            <w:tcMar>
              <w:top w:w="0" w:type="dxa"/>
              <w:left w:w="108" w:type="dxa"/>
              <w:bottom w:w="0" w:type="dxa"/>
              <w:right w:w="108" w:type="dxa"/>
            </w:tcMar>
            <w:vAlign w:val="center"/>
          </w:tcPr>
          <w:p>
            <w:pPr>
              <w:adjustRightInd w:val="0"/>
              <w:snapToGrid w:val="0"/>
              <w:jc w:val="center"/>
              <w:rPr>
                <w:szCs w:val="21"/>
              </w:rPr>
            </w:pPr>
            <w:r>
              <w:rPr>
                <w:szCs w:val="21"/>
              </w:rPr>
              <w:t>无限售条件股份</w:t>
            </w:r>
          </w:p>
        </w:tc>
        <w:tc>
          <w:tcPr>
            <w:tcW w:w="856" w:type="pct"/>
            <w:vAlign w:val="center"/>
          </w:tcPr>
          <w:p>
            <w:pPr>
              <w:widowControl/>
              <w:jc w:val="right"/>
              <w:textAlignment w:val="center"/>
              <w:rPr>
                <w:color w:val="000000"/>
                <w:szCs w:val="21"/>
              </w:rPr>
            </w:pPr>
            <w:r>
              <w:rPr>
                <w:rFonts w:hint="eastAsia" w:cs="宋体"/>
                <w:color w:val="000000"/>
                <w:kern w:val="0"/>
                <w:szCs w:val="21"/>
                <w:lang w:bidi="ar"/>
              </w:rPr>
              <w:t xml:space="preserve">2,900,000 </w:t>
            </w:r>
          </w:p>
        </w:tc>
        <w:tc>
          <w:tcPr>
            <w:tcW w:w="600" w:type="pct"/>
            <w:tcMar>
              <w:top w:w="0" w:type="dxa"/>
              <w:left w:w="108" w:type="dxa"/>
              <w:bottom w:w="0" w:type="dxa"/>
              <w:right w:w="108" w:type="dxa"/>
            </w:tcMar>
            <w:vAlign w:val="center"/>
          </w:tcPr>
          <w:p>
            <w:pPr>
              <w:widowControl/>
              <w:jc w:val="right"/>
              <w:textAlignment w:val="center"/>
              <w:rPr>
                <w:color w:val="000000"/>
                <w:szCs w:val="21"/>
              </w:rPr>
            </w:pPr>
            <w:r>
              <w:rPr>
                <w:rFonts w:hint="eastAsia" w:cs="宋体"/>
                <w:color w:val="000000"/>
                <w:kern w:val="0"/>
                <w:szCs w:val="21"/>
                <w:lang w:bidi="ar"/>
              </w:rPr>
              <w:t>0.83</w:t>
            </w:r>
          </w:p>
        </w:tc>
        <w:tc>
          <w:tcPr>
            <w:tcW w:w="721" w:type="pct"/>
            <w:tcMar>
              <w:top w:w="0" w:type="dxa"/>
              <w:left w:w="108" w:type="dxa"/>
              <w:bottom w:w="0" w:type="dxa"/>
              <w:right w:w="108" w:type="dxa"/>
            </w:tcMar>
            <w:vAlign w:val="center"/>
          </w:tcPr>
          <w:p>
            <w:pPr>
              <w:adjustRightInd w:val="0"/>
              <w:snapToGrid w:val="0"/>
              <w:jc w:val="right"/>
              <w:rPr>
                <w:color w:val="000000"/>
                <w:kern w:val="0"/>
                <w:szCs w:val="21"/>
              </w:rPr>
            </w:pPr>
            <w:r>
              <w:rPr>
                <w:rFonts w:hint="eastAsia"/>
                <w:color w:val="00000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34" w:type="pct"/>
            <w:tcMar>
              <w:top w:w="0" w:type="dxa"/>
              <w:left w:w="108" w:type="dxa"/>
              <w:bottom w:w="0" w:type="dxa"/>
              <w:right w:w="108" w:type="dxa"/>
            </w:tcMar>
            <w:vAlign w:val="center"/>
          </w:tcPr>
          <w:p>
            <w:pPr>
              <w:adjustRightInd w:val="0"/>
              <w:snapToGrid w:val="0"/>
              <w:jc w:val="center"/>
              <w:rPr>
                <w:color w:val="000000"/>
                <w:szCs w:val="21"/>
              </w:rPr>
            </w:pPr>
            <w:r>
              <w:rPr>
                <w:color w:val="000000"/>
                <w:szCs w:val="21"/>
              </w:rPr>
              <w:t>8</w:t>
            </w:r>
          </w:p>
        </w:tc>
        <w:tc>
          <w:tcPr>
            <w:tcW w:w="1628" w:type="pct"/>
            <w:tcMar>
              <w:top w:w="0" w:type="dxa"/>
              <w:left w:w="108" w:type="dxa"/>
              <w:bottom w:w="0" w:type="dxa"/>
              <w:right w:w="108" w:type="dxa"/>
            </w:tcMar>
            <w:vAlign w:val="center"/>
          </w:tcPr>
          <w:p>
            <w:pPr>
              <w:widowControl/>
              <w:jc w:val="center"/>
              <w:textAlignment w:val="center"/>
              <w:rPr>
                <w:color w:val="000000"/>
                <w:szCs w:val="21"/>
              </w:rPr>
            </w:pPr>
            <w:r>
              <w:rPr>
                <w:rFonts w:hint="eastAsia" w:ascii="宋体" w:hAnsi="宋体" w:cs="宋体"/>
                <w:color w:val="000000"/>
                <w:kern w:val="0"/>
                <w:szCs w:val="21"/>
                <w:lang w:bidi="ar"/>
              </w:rPr>
              <w:t>刘远初</w:t>
            </w:r>
          </w:p>
        </w:tc>
        <w:tc>
          <w:tcPr>
            <w:tcW w:w="859" w:type="pct"/>
            <w:tcMar>
              <w:top w:w="0" w:type="dxa"/>
              <w:left w:w="108" w:type="dxa"/>
              <w:bottom w:w="0" w:type="dxa"/>
              <w:right w:w="108" w:type="dxa"/>
            </w:tcMar>
            <w:vAlign w:val="center"/>
          </w:tcPr>
          <w:p>
            <w:pPr>
              <w:adjustRightInd w:val="0"/>
              <w:snapToGrid w:val="0"/>
              <w:jc w:val="center"/>
              <w:rPr>
                <w:color w:val="000000"/>
                <w:szCs w:val="21"/>
              </w:rPr>
            </w:pPr>
            <w:r>
              <w:rPr>
                <w:szCs w:val="21"/>
              </w:rPr>
              <w:t>无限售条件股份</w:t>
            </w:r>
          </w:p>
        </w:tc>
        <w:tc>
          <w:tcPr>
            <w:tcW w:w="856" w:type="pct"/>
            <w:vAlign w:val="center"/>
          </w:tcPr>
          <w:p>
            <w:pPr>
              <w:widowControl/>
              <w:jc w:val="right"/>
              <w:textAlignment w:val="center"/>
              <w:rPr>
                <w:color w:val="000000"/>
                <w:szCs w:val="21"/>
              </w:rPr>
            </w:pPr>
            <w:r>
              <w:rPr>
                <w:rFonts w:hint="eastAsia" w:cs="宋体"/>
                <w:color w:val="000000"/>
                <w:kern w:val="0"/>
                <w:szCs w:val="21"/>
                <w:lang w:bidi="ar"/>
              </w:rPr>
              <w:t xml:space="preserve">2,730,644 </w:t>
            </w:r>
          </w:p>
        </w:tc>
        <w:tc>
          <w:tcPr>
            <w:tcW w:w="600" w:type="pct"/>
            <w:tcMar>
              <w:top w:w="0" w:type="dxa"/>
              <w:left w:w="108" w:type="dxa"/>
              <w:bottom w:w="0" w:type="dxa"/>
              <w:right w:w="108" w:type="dxa"/>
            </w:tcMar>
            <w:vAlign w:val="center"/>
          </w:tcPr>
          <w:p>
            <w:pPr>
              <w:widowControl/>
              <w:jc w:val="right"/>
              <w:textAlignment w:val="center"/>
              <w:rPr>
                <w:color w:val="000000"/>
                <w:szCs w:val="21"/>
              </w:rPr>
            </w:pPr>
            <w:r>
              <w:rPr>
                <w:rFonts w:hint="eastAsia" w:cs="宋体"/>
                <w:color w:val="000000"/>
                <w:kern w:val="0"/>
                <w:szCs w:val="21"/>
                <w:lang w:bidi="ar"/>
              </w:rPr>
              <w:t>0.78</w:t>
            </w:r>
          </w:p>
        </w:tc>
        <w:tc>
          <w:tcPr>
            <w:tcW w:w="721" w:type="pct"/>
            <w:tcMar>
              <w:top w:w="0" w:type="dxa"/>
              <w:left w:w="108" w:type="dxa"/>
              <w:bottom w:w="0" w:type="dxa"/>
              <w:right w:w="108" w:type="dxa"/>
            </w:tcMar>
            <w:vAlign w:val="center"/>
          </w:tcPr>
          <w:p>
            <w:pPr>
              <w:adjustRightInd w:val="0"/>
              <w:snapToGrid w:val="0"/>
              <w:jc w:val="right"/>
              <w:rPr>
                <w:color w:val="000000"/>
                <w:szCs w:val="21"/>
              </w:rPr>
            </w:pPr>
            <w:r>
              <w:rPr>
                <w:rFonts w:hint="eastAsia"/>
                <w:color w:val="00000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34" w:type="pct"/>
            <w:tcMar>
              <w:top w:w="0" w:type="dxa"/>
              <w:left w:w="108" w:type="dxa"/>
              <w:bottom w:w="0" w:type="dxa"/>
              <w:right w:w="108" w:type="dxa"/>
            </w:tcMar>
            <w:vAlign w:val="center"/>
          </w:tcPr>
          <w:p>
            <w:pPr>
              <w:adjustRightInd w:val="0"/>
              <w:snapToGrid w:val="0"/>
              <w:jc w:val="center"/>
              <w:rPr>
                <w:color w:val="000000"/>
                <w:szCs w:val="21"/>
              </w:rPr>
            </w:pPr>
            <w:r>
              <w:rPr>
                <w:rFonts w:hint="eastAsia"/>
                <w:color w:val="000000"/>
                <w:szCs w:val="21"/>
              </w:rPr>
              <w:t>9</w:t>
            </w:r>
          </w:p>
        </w:tc>
        <w:tc>
          <w:tcPr>
            <w:tcW w:w="1628" w:type="pct"/>
            <w:tcMar>
              <w:top w:w="0" w:type="dxa"/>
              <w:left w:w="108" w:type="dxa"/>
              <w:bottom w:w="0" w:type="dxa"/>
              <w:right w:w="108" w:type="dxa"/>
            </w:tcMar>
            <w:vAlign w:val="center"/>
          </w:tcPr>
          <w:p>
            <w:pPr>
              <w:widowControl/>
              <w:jc w:val="center"/>
              <w:textAlignment w:val="center"/>
              <w:rPr>
                <w:color w:val="000000"/>
                <w:szCs w:val="21"/>
              </w:rPr>
            </w:pPr>
            <w:r>
              <w:rPr>
                <w:rFonts w:hint="eastAsia" w:ascii="宋体" w:hAnsi="宋体" w:cs="宋体"/>
                <w:color w:val="000000"/>
                <w:kern w:val="0"/>
                <w:szCs w:val="21"/>
                <w:lang w:bidi="ar"/>
              </w:rPr>
              <w:t>杨厚群</w:t>
            </w:r>
          </w:p>
        </w:tc>
        <w:tc>
          <w:tcPr>
            <w:tcW w:w="859" w:type="pct"/>
            <w:tcMar>
              <w:top w:w="0" w:type="dxa"/>
              <w:left w:w="108" w:type="dxa"/>
              <w:bottom w:w="0" w:type="dxa"/>
              <w:right w:w="108" w:type="dxa"/>
            </w:tcMar>
            <w:vAlign w:val="center"/>
          </w:tcPr>
          <w:p>
            <w:pPr>
              <w:adjustRightInd w:val="0"/>
              <w:snapToGrid w:val="0"/>
              <w:jc w:val="center"/>
              <w:rPr>
                <w:color w:val="000000"/>
                <w:szCs w:val="21"/>
              </w:rPr>
            </w:pPr>
            <w:r>
              <w:rPr>
                <w:szCs w:val="21"/>
              </w:rPr>
              <w:t>无限售条件股份</w:t>
            </w:r>
          </w:p>
        </w:tc>
        <w:tc>
          <w:tcPr>
            <w:tcW w:w="856" w:type="pct"/>
            <w:vAlign w:val="center"/>
          </w:tcPr>
          <w:p>
            <w:pPr>
              <w:widowControl/>
              <w:jc w:val="right"/>
              <w:textAlignment w:val="center"/>
              <w:rPr>
                <w:bCs/>
                <w:color w:val="000000"/>
                <w:kern w:val="0"/>
                <w:szCs w:val="21"/>
              </w:rPr>
            </w:pPr>
            <w:r>
              <w:rPr>
                <w:rFonts w:hint="eastAsia" w:cs="宋体"/>
                <w:color w:val="000000"/>
                <w:kern w:val="0"/>
                <w:szCs w:val="21"/>
                <w:lang w:bidi="ar"/>
              </w:rPr>
              <w:t xml:space="preserve">2,269,844 </w:t>
            </w:r>
          </w:p>
        </w:tc>
        <w:tc>
          <w:tcPr>
            <w:tcW w:w="600" w:type="pct"/>
            <w:tcMar>
              <w:top w:w="0" w:type="dxa"/>
              <w:left w:w="108" w:type="dxa"/>
              <w:bottom w:w="0" w:type="dxa"/>
              <w:right w:w="108" w:type="dxa"/>
            </w:tcMar>
            <w:vAlign w:val="center"/>
          </w:tcPr>
          <w:p>
            <w:pPr>
              <w:widowControl/>
              <w:jc w:val="right"/>
              <w:textAlignment w:val="center"/>
              <w:rPr>
                <w:color w:val="000000"/>
                <w:szCs w:val="21"/>
              </w:rPr>
            </w:pPr>
            <w:r>
              <w:rPr>
                <w:rFonts w:hint="eastAsia" w:cs="宋体"/>
                <w:color w:val="000000"/>
                <w:kern w:val="0"/>
                <w:szCs w:val="21"/>
                <w:lang w:bidi="ar"/>
              </w:rPr>
              <w:t>0.65</w:t>
            </w:r>
          </w:p>
        </w:tc>
        <w:tc>
          <w:tcPr>
            <w:tcW w:w="721" w:type="pct"/>
            <w:tcMar>
              <w:top w:w="0" w:type="dxa"/>
              <w:left w:w="108" w:type="dxa"/>
              <w:bottom w:w="0" w:type="dxa"/>
              <w:right w:w="108" w:type="dxa"/>
            </w:tcMar>
            <w:vAlign w:val="center"/>
          </w:tcPr>
          <w:p>
            <w:pPr>
              <w:adjustRightInd w:val="0"/>
              <w:snapToGrid w:val="0"/>
              <w:jc w:val="right"/>
              <w:rPr>
                <w:color w:val="000000"/>
                <w:szCs w:val="21"/>
              </w:rPr>
            </w:pPr>
            <w:r>
              <w:rPr>
                <w:rFonts w:hint="eastAsia"/>
                <w:color w:val="00000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334" w:type="pct"/>
            <w:tcMar>
              <w:top w:w="0" w:type="dxa"/>
              <w:left w:w="108" w:type="dxa"/>
              <w:bottom w:w="0" w:type="dxa"/>
              <w:right w:w="108" w:type="dxa"/>
            </w:tcMar>
            <w:vAlign w:val="center"/>
          </w:tcPr>
          <w:p>
            <w:pPr>
              <w:adjustRightInd w:val="0"/>
              <w:snapToGrid w:val="0"/>
              <w:jc w:val="center"/>
              <w:rPr>
                <w:color w:val="000000"/>
                <w:szCs w:val="21"/>
              </w:rPr>
            </w:pPr>
            <w:r>
              <w:rPr>
                <w:rFonts w:hint="eastAsia"/>
                <w:color w:val="000000"/>
                <w:szCs w:val="21"/>
              </w:rPr>
              <w:t>10</w:t>
            </w:r>
          </w:p>
        </w:tc>
        <w:tc>
          <w:tcPr>
            <w:tcW w:w="1628" w:type="pct"/>
            <w:tcMar>
              <w:top w:w="0" w:type="dxa"/>
              <w:left w:w="108" w:type="dxa"/>
              <w:bottom w:w="0" w:type="dxa"/>
              <w:right w:w="108" w:type="dxa"/>
            </w:tcMar>
            <w:vAlign w:val="center"/>
          </w:tcPr>
          <w:p>
            <w:pPr>
              <w:widowControl/>
              <w:jc w:val="center"/>
              <w:textAlignment w:val="center"/>
              <w:rPr>
                <w:szCs w:val="21"/>
              </w:rPr>
            </w:pPr>
            <w:r>
              <w:rPr>
                <w:rFonts w:hint="eastAsia" w:ascii="宋体" w:hAnsi="宋体" w:cs="宋体"/>
                <w:color w:val="000000"/>
                <w:kern w:val="0"/>
                <w:szCs w:val="21"/>
                <w:lang w:bidi="ar"/>
              </w:rPr>
              <w:t>张美红</w:t>
            </w:r>
          </w:p>
        </w:tc>
        <w:tc>
          <w:tcPr>
            <w:tcW w:w="859" w:type="pct"/>
            <w:tcMar>
              <w:top w:w="0" w:type="dxa"/>
              <w:left w:w="108" w:type="dxa"/>
              <w:bottom w:w="0" w:type="dxa"/>
              <w:right w:w="108" w:type="dxa"/>
            </w:tcMar>
            <w:vAlign w:val="center"/>
          </w:tcPr>
          <w:p>
            <w:pPr>
              <w:adjustRightInd w:val="0"/>
              <w:snapToGrid w:val="0"/>
              <w:jc w:val="center"/>
              <w:rPr>
                <w:szCs w:val="21"/>
              </w:rPr>
            </w:pPr>
            <w:r>
              <w:rPr>
                <w:szCs w:val="21"/>
              </w:rPr>
              <w:t>无限售条件股份</w:t>
            </w:r>
          </w:p>
        </w:tc>
        <w:tc>
          <w:tcPr>
            <w:tcW w:w="856" w:type="pct"/>
            <w:vAlign w:val="center"/>
          </w:tcPr>
          <w:p>
            <w:pPr>
              <w:widowControl/>
              <w:jc w:val="right"/>
              <w:textAlignment w:val="center"/>
              <w:rPr>
                <w:szCs w:val="21"/>
              </w:rPr>
            </w:pPr>
            <w:r>
              <w:rPr>
                <w:rFonts w:hint="eastAsia" w:cs="宋体"/>
                <w:color w:val="000000"/>
                <w:kern w:val="0"/>
                <w:szCs w:val="21"/>
                <w:lang w:bidi="ar"/>
              </w:rPr>
              <w:t xml:space="preserve">1,510,200 </w:t>
            </w:r>
          </w:p>
        </w:tc>
        <w:tc>
          <w:tcPr>
            <w:tcW w:w="600" w:type="pct"/>
            <w:tcMar>
              <w:top w:w="0" w:type="dxa"/>
              <w:left w:w="108" w:type="dxa"/>
              <w:bottom w:w="0" w:type="dxa"/>
              <w:right w:w="108" w:type="dxa"/>
            </w:tcMar>
            <w:vAlign w:val="center"/>
          </w:tcPr>
          <w:p>
            <w:pPr>
              <w:widowControl/>
              <w:jc w:val="right"/>
              <w:textAlignment w:val="center"/>
              <w:rPr>
                <w:color w:val="000000"/>
                <w:szCs w:val="21"/>
              </w:rPr>
            </w:pPr>
            <w:r>
              <w:rPr>
                <w:rFonts w:hint="eastAsia" w:cs="宋体"/>
                <w:color w:val="000000"/>
                <w:kern w:val="0"/>
                <w:szCs w:val="21"/>
                <w:lang w:bidi="ar"/>
              </w:rPr>
              <w:t>0.43</w:t>
            </w:r>
          </w:p>
        </w:tc>
        <w:tc>
          <w:tcPr>
            <w:tcW w:w="721" w:type="pct"/>
            <w:tcMar>
              <w:top w:w="0" w:type="dxa"/>
              <w:left w:w="108" w:type="dxa"/>
              <w:bottom w:w="0" w:type="dxa"/>
              <w:right w:w="108" w:type="dxa"/>
            </w:tcMar>
            <w:vAlign w:val="center"/>
          </w:tcPr>
          <w:p>
            <w:pPr>
              <w:adjustRightInd w:val="0"/>
              <w:snapToGrid w:val="0"/>
              <w:jc w:val="right"/>
              <w:rPr>
                <w:color w:val="000000"/>
                <w:kern w:val="0"/>
                <w:szCs w:val="21"/>
              </w:rPr>
            </w:pPr>
            <w:r>
              <w:rPr>
                <w:rFonts w:hint="eastAsia"/>
                <w:color w:val="00000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822" w:type="pct"/>
            <w:gridSpan w:val="3"/>
            <w:tcMar>
              <w:top w:w="0" w:type="dxa"/>
              <w:left w:w="108" w:type="dxa"/>
              <w:bottom w:w="0" w:type="dxa"/>
              <w:right w:w="108" w:type="dxa"/>
            </w:tcMar>
            <w:vAlign w:val="center"/>
          </w:tcPr>
          <w:p>
            <w:pPr>
              <w:adjustRightInd w:val="0"/>
              <w:snapToGrid w:val="0"/>
              <w:jc w:val="center"/>
              <w:rPr>
                <w:b/>
                <w:bCs/>
                <w:szCs w:val="21"/>
              </w:rPr>
            </w:pPr>
            <w:r>
              <w:rPr>
                <w:rFonts w:hint="eastAsia"/>
                <w:b/>
                <w:bCs/>
                <w:szCs w:val="21"/>
              </w:rPr>
              <w:t>合计</w:t>
            </w:r>
          </w:p>
        </w:tc>
        <w:tc>
          <w:tcPr>
            <w:tcW w:w="856" w:type="pct"/>
            <w:vAlign w:val="center"/>
          </w:tcPr>
          <w:p>
            <w:pPr>
              <w:adjustRightInd w:val="0"/>
              <w:snapToGrid w:val="0"/>
              <w:jc w:val="right"/>
              <w:rPr>
                <w:b/>
                <w:bCs/>
                <w:szCs w:val="21"/>
              </w:rPr>
            </w:pPr>
            <w:r>
              <w:rPr>
                <w:rFonts w:hint="eastAsia"/>
                <w:b/>
                <w:bCs/>
                <w:color w:val="000000"/>
                <w:szCs w:val="21"/>
              </w:rPr>
              <w:t>161,749,006</w:t>
            </w:r>
          </w:p>
        </w:tc>
        <w:tc>
          <w:tcPr>
            <w:tcW w:w="600" w:type="pct"/>
            <w:tcMar>
              <w:top w:w="0" w:type="dxa"/>
              <w:left w:w="108" w:type="dxa"/>
              <w:bottom w:w="0" w:type="dxa"/>
              <w:right w:w="108" w:type="dxa"/>
            </w:tcMar>
            <w:vAlign w:val="center"/>
          </w:tcPr>
          <w:p>
            <w:pPr>
              <w:adjustRightInd w:val="0"/>
              <w:snapToGrid w:val="0"/>
              <w:jc w:val="right"/>
              <w:rPr>
                <w:b/>
                <w:bCs/>
                <w:szCs w:val="21"/>
              </w:rPr>
            </w:pPr>
            <w:r>
              <w:rPr>
                <w:rFonts w:hint="eastAsia"/>
                <w:b/>
                <w:bCs/>
                <w:color w:val="000000"/>
                <w:szCs w:val="21"/>
              </w:rPr>
              <w:t>46.29</w:t>
            </w:r>
          </w:p>
        </w:tc>
        <w:tc>
          <w:tcPr>
            <w:tcW w:w="721" w:type="pct"/>
            <w:tcMar>
              <w:top w:w="0" w:type="dxa"/>
              <w:left w:w="108" w:type="dxa"/>
              <w:bottom w:w="0" w:type="dxa"/>
              <w:right w:w="108" w:type="dxa"/>
            </w:tcMar>
            <w:vAlign w:val="center"/>
          </w:tcPr>
          <w:p>
            <w:pPr>
              <w:adjustRightInd w:val="0"/>
              <w:snapToGrid w:val="0"/>
              <w:jc w:val="right"/>
              <w:rPr>
                <w:b/>
                <w:bCs/>
                <w:color w:val="000000"/>
                <w:kern w:val="0"/>
                <w:szCs w:val="21"/>
              </w:rPr>
            </w:pPr>
            <w:r>
              <w:rPr>
                <w:b/>
                <w:bCs/>
                <w:color w:val="000000"/>
                <w:szCs w:val="21"/>
              </w:rPr>
              <w:t>19,493,177</w:t>
            </w:r>
          </w:p>
        </w:tc>
      </w:tr>
    </w:tbl>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（二）本次发行</w:t>
      </w:r>
      <w:r>
        <w:rPr>
          <w:rFonts w:hint="eastAsia" w:ascii="宋体" w:hAnsi="宋体" w:cs="宋体"/>
          <w:b/>
          <w:bCs/>
          <w:sz w:val="24"/>
          <w:szCs w:val="24"/>
        </w:rPr>
        <w:t>前后</w:t>
      </w:r>
      <w:r>
        <w:rPr>
          <w:rFonts w:ascii="宋体" w:hAnsi="宋体" w:cs="宋体"/>
          <w:b/>
          <w:bCs/>
          <w:sz w:val="24"/>
          <w:szCs w:val="24"/>
        </w:rPr>
        <w:t>公司</w:t>
      </w:r>
      <w:r>
        <w:rPr>
          <w:rFonts w:hint="eastAsia" w:ascii="宋体" w:hAnsi="宋体" w:cs="宋体"/>
          <w:b/>
          <w:bCs/>
          <w:sz w:val="24"/>
          <w:szCs w:val="24"/>
        </w:rPr>
        <w:t>相关</w:t>
      </w:r>
      <w:r>
        <w:rPr>
          <w:rFonts w:ascii="宋体" w:hAnsi="宋体" w:cs="宋体"/>
          <w:b/>
          <w:bCs/>
          <w:sz w:val="24"/>
          <w:szCs w:val="24"/>
        </w:rPr>
        <w:t>股东情况</w:t>
      </w:r>
    </w:p>
    <w:p>
      <w:pPr>
        <w:adjustRightInd w:val="0"/>
        <w:snapToGrid w:val="0"/>
        <w:spacing w:before="156" w:beforeLines="50" w:line="360" w:lineRule="auto"/>
        <w:ind w:firstLine="480" w:firstLineChars="200"/>
        <w:rPr>
          <w:rFonts w:cs="宋体"/>
          <w:sz w:val="24"/>
          <w:szCs w:val="24"/>
        </w:rPr>
      </w:pPr>
      <w:r>
        <w:rPr>
          <w:rFonts w:hint="eastAsia" w:cs="宋体"/>
          <w:sz w:val="24"/>
          <w:szCs w:val="24"/>
        </w:rPr>
        <w:t>本次发行完成前，公司总股本为329,964,639股，杨泽民先生持有公司15.95%股权，秦惠兰女士持有公司12.38%股权，合计持有28.32%股权。杨泽民先生与秦惠兰女士系夫妻关系，为公司控股股东。杨泽民先生、秦惠兰女士、杨耀先生、杨秦女士分别直接持有公司52,618,391股、40,841,700股、18,000,050股和18,015,000股股票，合计持股比例为39.24%，为公司实际控制人。其中，杨泽民先生、秦惠兰女士系夫妻关系，为公司的控股股东，杨耀先生系杨泽民与秦惠兰之子，杨秦女士系杨泽民与秦惠兰之女。公司实际控制人及其一致行动人杨厚群女士合计持有公司131,744,985股股票，合计持股比例为39.93%。</w:t>
      </w:r>
    </w:p>
    <w:p>
      <w:pPr>
        <w:adjustRightInd w:val="0"/>
        <w:snapToGrid w:val="0"/>
        <w:spacing w:before="156" w:beforeLines="50" w:line="360" w:lineRule="auto"/>
        <w:ind w:firstLine="480" w:firstLineChars="200"/>
        <w:rPr>
          <w:rFonts w:hint="eastAsia" w:ascii="宋体" w:hAnsi="宋体" w:cs="宋体"/>
          <w:sz w:val="24"/>
          <w:szCs w:val="24"/>
        </w:rPr>
      </w:pPr>
      <w:r>
        <w:rPr>
          <w:rFonts w:hint="eastAsia" w:cs="宋体"/>
          <w:sz w:val="24"/>
          <w:szCs w:val="24"/>
        </w:rPr>
        <w:t>本次发行对象为杨泽民先生控制的耀泽商管，本次发行股票的数量为19,493,177股；本次发行完成后，公司实际控制人及其一致行动人合计控制公司股份比例提升至43.28%，杨泽民先生、秦惠兰女士仍为公司控股股东，杨泽民先生、秦惠兰女士、杨耀先生、杨秦女士仍为公司实际控制人，公司的控股股东和实际控制人均不会发生变更。</w:t>
      </w:r>
    </w:p>
    <w:p>
      <w:pPr>
        <w:adjustRightInd w:val="0"/>
        <w:snapToGrid w:val="0"/>
        <w:spacing w:before="156" w:beforeLines="50" w:line="360" w:lineRule="auto"/>
        <w:ind w:firstLine="482" w:firstLineChars="200"/>
        <w:outlineLvl w:val="0"/>
        <w:rPr>
          <w:rFonts w:hint="eastAsia" w:ascii="宋体" w:hAnsi="宋体" w:cs="宋体"/>
          <w:b/>
          <w:bCs/>
          <w:sz w:val="24"/>
          <w:szCs w:val="24"/>
        </w:rPr>
      </w:pPr>
      <w:r>
        <w:rPr>
          <w:rFonts w:ascii="宋体" w:hAnsi="宋体" w:cs="宋体"/>
          <w:b/>
          <w:bCs/>
          <w:sz w:val="24"/>
          <w:szCs w:val="24"/>
        </w:rPr>
        <w:t>四、本次发行前后公司股本结构变动表</w:t>
      </w:r>
    </w:p>
    <w:p>
      <w:pPr>
        <w:adjustRightInd w:val="0"/>
        <w:snapToGrid w:val="0"/>
        <w:spacing w:before="156" w:beforeLines="50" w:line="360" w:lineRule="auto"/>
        <w:ind w:firstLine="480" w:firstLineChars="200"/>
        <w:rPr>
          <w:rFonts w:cs="宋体"/>
          <w:sz w:val="24"/>
          <w:szCs w:val="24"/>
        </w:rPr>
      </w:pPr>
      <w:r>
        <w:rPr>
          <w:rFonts w:cs="宋体"/>
          <w:sz w:val="24"/>
          <w:szCs w:val="24"/>
        </w:rPr>
        <w:t>本次发行完成后，公司将增加</w:t>
      </w:r>
      <w:r>
        <w:rPr>
          <w:rFonts w:hint="eastAsia" w:cs="宋体"/>
          <w:sz w:val="24"/>
          <w:szCs w:val="24"/>
        </w:rPr>
        <w:t>19,493,177</w:t>
      </w:r>
      <w:r>
        <w:rPr>
          <w:rFonts w:cs="宋体"/>
          <w:sz w:val="24"/>
          <w:szCs w:val="24"/>
        </w:rPr>
        <w:t>限售流通股，具体股份变动情况如下：</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1657"/>
        <w:gridCol w:w="1653"/>
        <w:gridCol w:w="1657"/>
        <w:gridCol w:w="165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0" w:type="dxa"/>
            <w:vMerge w:val="restart"/>
            <w:vAlign w:val="center"/>
          </w:tcPr>
          <w:p>
            <w:pPr>
              <w:adjustRightInd w:val="0"/>
              <w:snapToGrid w:val="0"/>
              <w:jc w:val="center"/>
              <w:rPr>
                <w:b/>
                <w:bCs/>
                <w:color w:val="000000"/>
                <w:kern w:val="0"/>
                <w:szCs w:val="21"/>
              </w:rPr>
            </w:pPr>
            <w:r>
              <w:rPr>
                <w:rFonts w:hint="eastAsia"/>
                <w:b/>
                <w:bCs/>
                <w:color w:val="000000"/>
                <w:kern w:val="0"/>
                <w:szCs w:val="21"/>
              </w:rPr>
              <w:t>股份类型</w:t>
            </w:r>
          </w:p>
        </w:tc>
        <w:tc>
          <w:tcPr>
            <w:tcW w:w="3310" w:type="dxa"/>
            <w:gridSpan w:val="2"/>
            <w:vAlign w:val="center"/>
          </w:tcPr>
          <w:p>
            <w:pPr>
              <w:adjustRightInd w:val="0"/>
              <w:snapToGrid w:val="0"/>
              <w:jc w:val="center"/>
              <w:rPr>
                <w:b/>
                <w:bCs/>
                <w:color w:val="000000"/>
                <w:kern w:val="0"/>
                <w:szCs w:val="21"/>
              </w:rPr>
            </w:pPr>
            <w:r>
              <w:rPr>
                <w:rFonts w:hint="eastAsia"/>
                <w:b/>
                <w:bCs/>
                <w:color w:val="000000"/>
                <w:kern w:val="0"/>
                <w:szCs w:val="21"/>
              </w:rPr>
              <w:t>发行前</w:t>
            </w:r>
          </w:p>
        </w:tc>
        <w:tc>
          <w:tcPr>
            <w:tcW w:w="3310" w:type="dxa"/>
            <w:gridSpan w:val="2"/>
            <w:vAlign w:val="center"/>
          </w:tcPr>
          <w:p>
            <w:pPr>
              <w:adjustRightInd w:val="0"/>
              <w:snapToGrid w:val="0"/>
              <w:jc w:val="center"/>
              <w:rPr>
                <w:b/>
                <w:bCs/>
                <w:color w:val="000000"/>
                <w:kern w:val="0"/>
                <w:szCs w:val="21"/>
              </w:rPr>
            </w:pPr>
            <w:r>
              <w:rPr>
                <w:rFonts w:hint="eastAsia"/>
                <w:b/>
                <w:bCs/>
                <w:color w:val="000000"/>
                <w:kern w:val="0"/>
                <w:szCs w:val="21"/>
              </w:rPr>
              <w:t>发行后</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0" w:type="dxa"/>
            <w:vMerge w:val="continue"/>
            <w:vAlign w:val="center"/>
          </w:tcPr>
          <w:p>
            <w:pPr>
              <w:adjustRightInd w:val="0"/>
              <w:snapToGrid w:val="0"/>
              <w:jc w:val="center"/>
              <w:rPr>
                <w:b/>
                <w:bCs/>
                <w:color w:val="000000"/>
                <w:kern w:val="0"/>
                <w:szCs w:val="21"/>
              </w:rPr>
            </w:pPr>
          </w:p>
        </w:tc>
        <w:tc>
          <w:tcPr>
            <w:tcW w:w="1657" w:type="dxa"/>
            <w:vAlign w:val="center"/>
          </w:tcPr>
          <w:p>
            <w:pPr>
              <w:adjustRightInd w:val="0"/>
              <w:snapToGrid w:val="0"/>
              <w:jc w:val="center"/>
              <w:rPr>
                <w:b/>
                <w:bCs/>
                <w:color w:val="000000"/>
                <w:kern w:val="0"/>
                <w:szCs w:val="21"/>
              </w:rPr>
            </w:pPr>
            <w:r>
              <w:rPr>
                <w:rFonts w:hint="eastAsia"/>
                <w:b/>
                <w:bCs/>
                <w:color w:val="000000"/>
                <w:kern w:val="0"/>
                <w:szCs w:val="21"/>
              </w:rPr>
              <w:t>股份数量（股）</w:t>
            </w:r>
          </w:p>
        </w:tc>
        <w:tc>
          <w:tcPr>
            <w:tcW w:w="1653" w:type="dxa"/>
            <w:vAlign w:val="center"/>
          </w:tcPr>
          <w:p>
            <w:pPr>
              <w:adjustRightInd w:val="0"/>
              <w:snapToGrid w:val="0"/>
              <w:jc w:val="center"/>
              <w:rPr>
                <w:b/>
                <w:bCs/>
                <w:color w:val="000000"/>
                <w:kern w:val="0"/>
                <w:szCs w:val="21"/>
              </w:rPr>
            </w:pPr>
            <w:r>
              <w:rPr>
                <w:rFonts w:hint="eastAsia"/>
                <w:b/>
                <w:bCs/>
                <w:color w:val="000000"/>
                <w:kern w:val="0"/>
                <w:szCs w:val="21"/>
              </w:rPr>
              <w:t>股份占比（%）</w:t>
            </w:r>
          </w:p>
        </w:tc>
        <w:tc>
          <w:tcPr>
            <w:tcW w:w="1657" w:type="dxa"/>
            <w:vAlign w:val="center"/>
          </w:tcPr>
          <w:p>
            <w:pPr>
              <w:adjustRightInd w:val="0"/>
              <w:snapToGrid w:val="0"/>
              <w:jc w:val="center"/>
              <w:rPr>
                <w:b/>
                <w:bCs/>
                <w:color w:val="000000"/>
                <w:kern w:val="0"/>
                <w:szCs w:val="21"/>
              </w:rPr>
            </w:pPr>
            <w:r>
              <w:rPr>
                <w:rFonts w:hint="eastAsia"/>
                <w:b/>
                <w:bCs/>
                <w:color w:val="000000"/>
                <w:kern w:val="0"/>
                <w:szCs w:val="21"/>
              </w:rPr>
              <w:t>股份数量（股）</w:t>
            </w:r>
          </w:p>
        </w:tc>
        <w:tc>
          <w:tcPr>
            <w:tcW w:w="1653" w:type="dxa"/>
            <w:vAlign w:val="center"/>
          </w:tcPr>
          <w:p>
            <w:pPr>
              <w:adjustRightInd w:val="0"/>
              <w:snapToGrid w:val="0"/>
              <w:jc w:val="center"/>
              <w:rPr>
                <w:b/>
                <w:bCs/>
                <w:color w:val="000000"/>
                <w:kern w:val="0"/>
                <w:szCs w:val="21"/>
              </w:rPr>
            </w:pPr>
            <w:r>
              <w:rPr>
                <w:rFonts w:hint="eastAsia"/>
                <w:b/>
                <w:bCs/>
                <w:color w:val="000000"/>
                <w:kern w:val="0"/>
                <w:szCs w:val="21"/>
              </w:rPr>
              <w:t>股份占比（%）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0" w:type="dxa"/>
            <w:vAlign w:val="center"/>
          </w:tcPr>
          <w:p>
            <w:pPr>
              <w:adjustRightInd w:val="0"/>
              <w:snapToGrid w:val="0"/>
              <w:jc w:val="center"/>
              <w:rPr>
                <w:color w:val="000000"/>
                <w:kern w:val="0"/>
                <w:szCs w:val="21"/>
              </w:rPr>
            </w:pPr>
            <w:r>
              <w:rPr>
                <w:rFonts w:hint="eastAsia"/>
                <w:color w:val="000000"/>
                <w:kern w:val="0"/>
                <w:szCs w:val="21"/>
              </w:rPr>
              <w:t>非限售流通股</w:t>
            </w:r>
          </w:p>
        </w:tc>
        <w:tc>
          <w:tcPr>
            <w:tcW w:w="1657" w:type="dxa"/>
            <w:vAlign w:val="center"/>
          </w:tcPr>
          <w:p>
            <w:pPr>
              <w:widowControl/>
              <w:jc w:val="right"/>
              <w:textAlignment w:val="center"/>
              <w:rPr>
                <w:color w:val="000000"/>
                <w:kern w:val="0"/>
                <w:szCs w:val="21"/>
              </w:rPr>
            </w:pPr>
            <w:r>
              <w:rPr>
                <w:color w:val="000000"/>
                <w:kern w:val="0"/>
                <w:szCs w:val="21"/>
                <w:lang w:bidi="ar"/>
              </w:rPr>
              <w:t>329,964,639</w:t>
            </w:r>
          </w:p>
        </w:tc>
        <w:tc>
          <w:tcPr>
            <w:tcW w:w="1653" w:type="dxa"/>
            <w:vAlign w:val="center"/>
          </w:tcPr>
          <w:p>
            <w:pPr>
              <w:widowControl/>
              <w:jc w:val="right"/>
              <w:textAlignment w:val="center"/>
              <w:rPr>
                <w:color w:val="000000"/>
                <w:kern w:val="0"/>
                <w:szCs w:val="21"/>
              </w:rPr>
            </w:pPr>
            <w:r>
              <w:rPr>
                <w:color w:val="000000"/>
                <w:kern w:val="0"/>
                <w:szCs w:val="21"/>
                <w:lang w:bidi="ar"/>
              </w:rPr>
              <w:t>100.00%</w:t>
            </w:r>
          </w:p>
        </w:tc>
        <w:tc>
          <w:tcPr>
            <w:tcW w:w="1657" w:type="dxa"/>
            <w:vAlign w:val="center"/>
          </w:tcPr>
          <w:p>
            <w:pPr>
              <w:widowControl/>
              <w:jc w:val="right"/>
              <w:textAlignment w:val="center"/>
              <w:rPr>
                <w:color w:val="000000"/>
                <w:kern w:val="0"/>
                <w:szCs w:val="21"/>
              </w:rPr>
            </w:pPr>
            <w:r>
              <w:rPr>
                <w:color w:val="000000"/>
                <w:kern w:val="0"/>
                <w:szCs w:val="21"/>
                <w:lang w:bidi="ar"/>
              </w:rPr>
              <w:t>329,964,639</w:t>
            </w:r>
          </w:p>
        </w:tc>
        <w:tc>
          <w:tcPr>
            <w:tcW w:w="1653" w:type="dxa"/>
            <w:vAlign w:val="center"/>
          </w:tcPr>
          <w:p>
            <w:pPr>
              <w:widowControl/>
              <w:jc w:val="right"/>
              <w:textAlignment w:val="center"/>
              <w:rPr>
                <w:color w:val="000000"/>
                <w:kern w:val="0"/>
                <w:szCs w:val="21"/>
              </w:rPr>
            </w:pPr>
            <w:r>
              <w:rPr>
                <w:rFonts w:hint="eastAsia" w:cs="宋体"/>
                <w:color w:val="000000"/>
                <w:kern w:val="0"/>
                <w:szCs w:val="21"/>
                <w:lang w:bidi="ar"/>
              </w:rPr>
              <w:t>94.42%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0" w:type="dxa"/>
            <w:vAlign w:val="center"/>
          </w:tcPr>
          <w:p>
            <w:pPr>
              <w:adjustRightInd w:val="0"/>
              <w:snapToGrid w:val="0"/>
              <w:jc w:val="center"/>
              <w:rPr>
                <w:color w:val="000000"/>
                <w:kern w:val="0"/>
                <w:szCs w:val="21"/>
              </w:rPr>
            </w:pPr>
            <w:r>
              <w:rPr>
                <w:rFonts w:hint="eastAsia"/>
                <w:color w:val="000000"/>
                <w:kern w:val="0"/>
                <w:szCs w:val="21"/>
              </w:rPr>
              <w:t>限售流通股</w:t>
            </w:r>
          </w:p>
        </w:tc>
        <w:tc>
          <w:tcPr>
            <w:tcW w:w="1657" w:type="dxa"/>
            <w:vAlign w:val="center"/>
          </w:tcPr>
          <w:p>
            <w:pPr>
              <w:widowControl/>
              <w:jc w:val="right"/>
              <w:textAlignment w:val="center"/>
              <w:rPr>
                <w:color w:val="000000"/>
                <w:kern w:val="0"/>
                <w:szCs w:val="21"/>
              </w:rPr>
            </w:pPr>
            <w:r>
              <w:rPr>
                <w:color w:val="000000"/>
                <w:kern w:val="0"/>
                <w:szCs w:val="21"/>
                <w:lang w:bidi="ar"/>
              </w:rPr>
              <w:t>-</w:t>
            </w:r>
          </w:p>
        </w:tc>
        <w:tc>
          <w:tcPr>
            <w:tcW w:w="1653" w:type="dxa"/>
            <w:vAlign w:val="center"/>
          </w:tcPr>
          <w:p>
            <w:pPr>
              <w:widowControl/>
              <w:jc w:val="right"/>
              <w:textAlignment w:val="center"/>
              <w:rPr>
                <w:color w:val="000000"/>
                <w:kern w:val="0"/>
                <w:szCs w:val="21"/>
              </w:rPr>
            </w:pPr>
            <w:r>
              <w:rPr>
                <w:color w:val="000000"/>
                <w:kern w:val="0"/>
                <w:szCs w:val="21"/>
                <w:lang w:bidi="ar"/>
              </w:rPr>
              <w:t>-</w:t>
            </w:r>
          </w:p>
        </w:tc>
        <w:tc>
          <w:tcPr>
            <w:tcW w:w="1657" w:type="dxa"/>
            <w:vAlign w:val="center"/>
          </w:tcPr>
          <w:p>
            <w:pPr>
              <w:widowControl/>
              <w:jc w:val="right"/>
              <w:textAlignment w:val="center"/>
              <w:rPr>
                <w:color w:val="000000"/>
                <w:kern w:val="0"/>
                <w:szCs w:val="21"/>
              </w:rPr>
            </w:pPr>
            <w:r>
              <w:rPr>
                <w:color w:val="000000"/>
                <w:kern w:val="0"/>
                <w:szCs w:val="21"/>
                <w:lang w:bidi="ar"/>
              </w:rPr>
              <w:t>19,493,177</w:t>
            </w:r>
          </w:p>
        </w:tc>
        <w:tc>
          <w:tcPr>
            <w:tcW w:w="1653" w:type="dxa"/>
            <w:vAlign w:val="center"/>
          </w:tcPr>
          <w:p>
            <w:pPr>
              <w:widowControl/>
              <w:jc w:val="right"/>
              <w:textAlignment w:val="center"/>
              <w:rPr>
                <w:color w:val="000000"/>
                <w:kern w:val="0"/>
                <w:szCs w:val="21"/>
              </w:rPr>
            </w:pPr>
            <w:r>
              <w:rPr>
                <w:rFonts w:hint="eastAsia" w:cs="宋体"/>
                <w:color w:val="000000"/>
                <w:kern w:val="0"/>
                <w:szCs w:val="21"/>
                <w:lang w:bidi="ar"/>
              </w:rPr>
              <w:t>5.58%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50" w:type="dxa"/>
            <w:vAlign w:val="center"/>
          </w:tcPr>
          <w:p>
            <w:pPr>
              <w:adjustRightInd w:val="0"/>
              <w:snapToGrid w:val="0"/>
              <w:jc w:val="center"/>
              <w:rPr>
                <w:b/>
                <w:bCs/>
                <w:color w:val="000000"/>
                <w:kern w:val="0"/>
                <w:szCs w:val="21"/>
              </w:rPr>
            </w:pPr>
            <w:r>
              <w:rPr>
                <w:rFonts w:hint="eastAsia"/>
                <w:b/>
                <w:bCs/>
                <w:color w:val="000000"/>
                <w:kern w:val="0"/>
                <w:szCs w:val="21"/>
              </w:rPr>
              <w:t>总股本</w:t>
            </w:r>
          </w:p>
        </w:tc>
        <w:tc>
          <w:tcPr>
            <w:tcW w:w="1657" w:type="dxa"/>
            <w:vAlign w:val="center"/>
          </w:tcPr>
          <w:p>
            <w:pPr>
              <w:widowControl/>
              <w:jc w:val="right"/>
              <w:textAlignment w:val="center"/>
              <w:rPr>
                <w:b/>
                <w:color w:val="000000"/>
                <w:kern w:val="0"/>
                <w:szCs w:val="21"/>
              </w:rPr>
            </w:pPr>
            <w:r>
              <w:rPr>
                <w:b/>
                <w:color w:val="000000"/>
                <w:kern w:val="0"/>
                <w:szCs w:val="21"/>
                <w:lang w:bidi="ar"/>
              </w:rPr>
              <w:t>329,964,639</w:t>
            </w:r>
          </w:p>
        </w:tc>
        <w:tc>
          <w:tcPr>
            <w:tcW w:w="1653" w:type="dxa"/>
            <w:vAlign w:val="center"/>
          </w:tcPr>
          <w:p>
            <w:pPr>
              <w:widowControl/>
              <w:jc w:val="right"/>
              <w:textAlignment w:val="center"/>
              <w:rPr>
                <w:b/>
                <w:color w:val="000000"/>
                <w:kern w:val="0"/>
                <w:szCs w:val="21"/>
              </w:rPr>
            </w:pPr>
            <w:r>
              <w:rPr>
                <w:b/>
                <w:color w:val="000000"/>
                <w:kern w:val="0"/>
                <w:szCs w:val="21"/>
                <w:lang w:bidi="ar"/>
              </w:rPr>
              <w:t>100.00%</w:t>
            </w:r>
          </w:p>
        </w:tc>
        <w:tc>
          <w:tcPr>
            <w:tcW w:w="1657" w:type="dxa"/>
            <w:vAlign w:val="center"/>
          </w:tcPr>
          <w:p>
            <w:pPr>
              <w:widowControl/>
              <w:jc w:val="right"/>
              <w:textAlignment w:val="center"/>
              <w:rPr>
                <w:b/>
                <w:color w:val="000000"/>
                <w:kern w:val="0"/>
                <w:szCs w:val="21"/>
              </w:rPr>
            </w:pPr>
            <w:r>
              <w:rPr>
                <w:b/>
                <w:color w:val="000000"/>
                <w:kern w:val="0"/>
                <w:szCs w:val="21"/>
                <w:lang w:bidi="ar"/>
              </w:rPr>
              <w:t>349,457,816</w:t>
            </w:r>
          </w:p>
        </w:tc>
        <w:tc>
          <w:tcPr>
            <w:tcW w:w="1653" w:type="dxa"/>
            <w:vAlign w:val="center"/>
          </w:tcPr>
          <w:p>
            <w:pPr>
              <w:widowControl/>
              <w:jc w:val="right"/>
              <w:textAlignment w:val="center"/>
              <w:rPr>
                <w:b/>
                <w:color w:val="000000"/>
                <w:kern w:val="0"/>
                <w:szCs w:val="21"/>
              </w:rPr>
            </w:pPr>
            <w:r>
              <w:rPr>
                <w:rFonts w:hint="eastAsia" w:cs="宋体"/>
                <w:b/>
                <w:color w:val="000000"/>
                <w:kern w:val="0"/>
                <w:szCs w:val="21"/>
                <w:lang w:bidi="ar"/>
              </w:rPr>
              <w:t>100.00%</w:t>
            </w:r>
          </w:p>
        </w:tc>
      </w:tr>
    </w:tbl>
    <w:p>
      <w:pPr>
        <w:adjustRightInd w:val="0"/>
        <w:snapToGrid w:val="0"/>
        <w:spacing w:before="156" w:beforeLines="50" w:line="360" w:lineRule="auto"/>
        <w:ind w:firstLine="482" w:firstLineChars="200"/>
        <w:outlineLvl w:val="0"/>
        <w:rPr>
          <w:rFonts w:hint="eastAsia" w:ascii="宋体" w:hAnsi="宋体" w:cs="宋体"/>
          <w:b/>
          <w:bCs/>
          <w:sz w:val="24"/>
          <w:szCs w:val="24"/>
        </w:rPr>
      </w:pPr>
      <w:r>
        <w:rPr>
          <w:rFonts w:ascii="宋体" w:hAnsi="宋体" w:cs="宋体"/>
          <w:b/>
          <w:bCs/>
          <w:sz w:val="24"/>
          <w:szCs w:val="24"/>
        </w:rPr>
        <w:t>五、管理层分析与讨论</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（一）对公司股本结构的影响</w:t>
      </w:r>
    </w:p>
    <w:p>
      <w:pPr>
        <w:adjustRightInd w:val="0"/>
        <w:snapToGrid w:val="0"/>
        <w:spacing w:before="156" w:beforeLines="50" w:line="360" w:lineRule="auto"/>
        <w:ind w:firstLine="480" w:firstLineChars="200"/>
        <w:rPr>
          <w:rFonts w:cs="宋体"/>
          <w:sz w:val="24"/>
          <w:szCs w:val="24"/>
        </w:rPr>
      </w:pPr>
      <w:r>
        <w:rPr>
          <w:rFonts w:hint="eastAsia" w:cs="宋体"/>
          <w:sz w:val="24"/>
          <w:szCs w:val="24"/>
        </w:rPr>
        <w:t>本次发行完成前，公司总股本为329,964,639股，杨泽民先生持有公司15.95%股权，秦惠兰女士持有公司12.38%股权，合计持有28.32%股权。杨泽民先生与秦惠兰女士系夫妻关系，为公司控股股东。杨泽民先生、秦惠兰女士、杨耀先生、杨秦女士分别直接持有公司52,618,391股、40,841,700股、18,000,050股和18,015,000股股票，合计持股比例为39.24%，为公司实际控制人。其中，杨泽民先生、秦惠兰女士系夫妻关系，为公司的控股股东，杨耀先生系杨泽民与秦惠兰之子，杨秦女士系杨泽民与秦惠兰之女。公司实际控制人及其一致行动人杨厚群女士合计持有公司131,744,985股股票，合计持股比例为39.93%。</w:t>
      </w:r>
    </w:p>
    <w:p>
      <w:pPr>
        <w:adjustRightInd w:val="0"/>
        <w:snapToGrid w:val="0"/>
        <w:spacing w:before="156" w:beforeLines="50" w:line="360" w:lineRule="auto"/>
        <w:ind w:firstLine="480" w:firstLineChars="200"/>
        <w:rPr>
          <w:rFonts w:cs="宋体"/>
          <w:sz w:val="24"/>
          <w:szCs w:val="24"/>
        </w:rPr>
      </w:pPr>
      <w:r>
        <w:rPr>
          <w:rFonts w:hint="eastAsia" w:cs="宋体"/>
          <w:sz w:val="24"/>
          <w:szCs w:val="24"/>
        </w:rPr>
        <w:t>本次发行对象为杨泽民先生控制的耀泽商管，本次发行股票的数量为19,493,177股；本次发行完成后，公司实际控制人及其一致行动人合计控制公司股份比例提升至43.28%，杨泽民先生、秦惠兰女士仍为公司控股股东，杨泽民先生、秦惠兰女士、杨耀先生、杨秦女士仍为公司实际控制人，公司的控股股东和实际控制人均不会发生变更。</w:t>
      </w:r>
    </w:p>
    <w:p>
      <w:pPr>
        <w:adjustRightInd w:val="0"/>
        <w:snapToGrid w:val="0"/>
        <w:spacing w:before="156" w:beforeLines="50" w:line="360" w:lineRule="auto"/>
        <w:ind w:firstLine="480" w:firstLineChars="200"/>
        <w:rPr>
          <w:rFonts w:cs="宋体"/>
          <w:sz w:val="24"/>
          <w:szCs w:val="24"/>
        </w:rPr>
      </w:pPr>
      <w:r>
        <w:rPr>
          <w:rFonts w:cs="宋体"/>
          <w:sz w:val="24"/>
          <w:szCs w:val="24"/>
        </w:rPr>
        <w:t>本次发行不会导致公司股权分布不符合上市条件。</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hint="eastAsia" w:ascii="宋体" w:hAnsi="宋体" w:cs="宋体"/>
          <w:b/>
          <w:bCs/>
          <w:sz w:val="24"/>
          <w:szCs w:val="24"/>
        </w:rPr>
        <w:t>（二）</w:t>
      </w:r>
      <w:r>
        <w:rPr>
          <w:rFonts w:ascii="宋体" w:hAnsi="宋体" w:cs="宋体"/>
          <w:b/>
          <w:bCs/>
          <w:sz w:val="24"/>
          <w:szCs w:val="24"/>
        </w:rPr>
        <w:t>对公司资产</w:t>
      </w:r>
      <w:r>
        <w:rPr>
          <w:rFonts w:hint="eastAsia" w:ascii="宋体" w:hAnsi="宋体" w:cs="宋体"/>
          <w:b/>
          <w:bCs/>
          <w:sz w:val="24"/>
          <w:szCs w:val="24"/>
        </w:rPr>
        <w:t>结构</w:t>
      </w:r>
      <w:r>
        <w:rPr>
          <w:rFonts w:ascii="宋体" w:hAnsi="宋体" w:cs="宋体"/>
          <w:b/>
          <w:bCs/>
          <w:sz w:val="24"/>
          <w:szCs w:val="24"/>
        </w:rPr>
        <w:t>的影响</w:t>
      </w:r>
    </w:p>
    <w:p>
      <w:pPr>
        <w:adjustRightInd w:val="0"/>
        <w:snapToGrid w:val="0"/>
        <w:spacing w:before="156" w:beforeLines="50" w:line="360" w:lineRule="auto"/>
        <w:ind w:firstLine="480" w:firstLineChars="200"/>
        <w:rPr>
          <w:rFonts w:cs="宋体"/>
          <w:sz w:val="24"/>
          <w:szCs w:val="24"/>
        </w:rPr>
      </w:pPr>
      <w:r>
        <w:rPr>
          <w:rFonts w:hint="eastAsia" w:cs="宋体"/>
          <w:sz w:val="24"/>
          <w:szCs w:val="24"/>
        </w:rPr>
        <w:t>本次发行完成后，公司的总资产及净资产规模均有所提高，公司资产负债率下降，公司资本结构进一步优化，公司整体财务状况得以改善。本次发行将有利于公司提高偿债能力，降低财务风险，优化资本结构。</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hint="eastAsia" w:ascii="宋体" w:hAnsi="宋体" w:cs="宋体"/>
          <w:b/>
          <w:bCs/>
          <w:sz w:val="24"/>
          <w:szCs w:val="24"/>
        </w:rPr>
        <w:t>（三）</w:t>
      </w:r>
      <w:r>
        <w:rPr>
          <w:rFonts w:ascii="宋体" w:hAnsi="宋体" w:cs="宋体"/>
          <w:b/>
          <w:bCs/>
          <w:sz w:val="24"/>
          <w:szCs w:val="24"/>
        </w:rPr>
        <w:t>对公司</w:t>
      </w:r>
      <w:r>
        <w:rPr>
          <w:rFonts w:hint="eastAsia" w:ascii="宋体" w:hAnsi="宋体" w:cs="宋体"/>
          <w:b/>
          <w:bCs/>
          <w:sz w:val="24"/>
          <w:szCs w:val="24"/>
        </w:rPr>
        <w:t>业务结构</w:t>
      </w:r>
      <w:r>
        <w:rPr>
          <w:rFonts w:ascii="宋体" w:hAnsi="宋体" w:cs="宋体"/>
          <w:b/>
          <w:bCs/>
          <w:sz w:val="24"/>
          <w:szCs w:val="24"/>
        </w:rPr>
        <w:t>的影响</w:t>
      </w:r>
    </w:p>
    <w:p>
      <w:pPr>
        <w:adjustRightInd w:val="0"/>
        <w:snapToGrid w:val="0"/>
        <w:spacing w:before="156" w:beforeLines="50" w:line="360" w:lineRule="auto"/>
        <w:ind w:firstLine="480" w:firstLineChars="200"/>
        <w:rPr>
          <w:rFonts w:hint="eastAsia" w:ascii="宋体" w:hAnsi="宋体" w:cs="宋体"/>
          <w:sz w:val="24"/>
          <w:szCs w:val="24"/>
        </w:rPr>
      </w:pPr>
      <w:r>
        <w:rPr>
          <w:rFonts w:hint="eastAsia" w:ascii="宋体" w:hAnsi="宋体" w:cs="宋体"/>
          <w:sz w:val="24"/>
          <w:szCs w:val="24"/>
        </w:rPr>
        <w:t>本次发行所募集资金扣除发行费用后拟用于补充流动资金，本次发行不会对公司的业务结构产生影响。</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w:t>
      </w:r>
      <w:r>
        <w:rPr>
          <w:rFonts w:hint="eastAsia" w:ascii="宋体" w:hAnsi="宋体" w:cs="宋体"/>
          <w:b/>
          <w:bCs/>
          <w:sz w:val="24"/>
          <w:szCs w:val="24"/>
        </w:rPr>
        <w:t>四</w:t>
      </w:r>
      <w:r>
        <w:rPr>
          <w:rFonts w:ascii="宋体" w:hAnsi="宋体" w:cs="宋体"/>
          <w:b/>
          <w:bCs/>
          <w:sz w:val="24"/>
          <w:szCs w:val="24"/>
        </w:rPr>
        <w:t>）对公司治理结构的影响</w:t>
      </w:r>
    </w:p>
    <w:p>
      <w:pPr>
        <w:adjustRightInd w:val="0"/>
        <w:snapToGrid w:val="0"/>
        <w:spacing w:before="156" w:beforeLines="50" w:line="360" w:lineRule="auto"/>
        <w:ind w:firstLine="480" w:firstLineChars="200"/>
        <w:rPr>
          <w:rFonts w:hint="eastAsia" w:ascii="宋体" w:hAnsi="宋体" w:cs="宋体"/>
          <w:sz w:val="24"/>
          <w:szCs w:val="24"/>
        </w:rPr>
      </w:pPr>
      <w:r>
        <w:rPr>
          <w:rFonts w:ascii="宋体" w:hAnsi="宋体" w:cs="宋体"/>
          <w:sz w:val="24"/>
          <w:szCs w:val="24"/>
        </w:rPr>
        <w:t>本次发行完成前，</w:t>
      </w:r>
      <w:r>
        <w:rPr>
          <w:rFonts w:hint="eastAsia" w:ascii="宋体" w:hAnsi="宋体" w:cs="宋体"/>
          <w:sz w:val="24"/>
          <w:szCs w:val="24"/>
        </w:rPr>
        <w:t>公司已严格按照法律法规的要求，建立了完善的公司治理结构。本次发行完成后，公司的控股股东和实际控制人的状态都没有发生变化。本次向特定对象发行股票不会对上市公司现有治理结构产生重大影响，公司将继续加强和完善公司的法人治理结构。</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w:t>
      </w:r>
      <w:r>
        <w:rPr>
          <w:rFonts w:hint="eastAsia" w:ascii="宋体" w:hAnsi="宋体" w:cs="宋体"/>
          <w:b/>
          <w:bCs/>
          <w:sz w:val="24"/>
          <w:szCs w:val="24"/>
        </w:rPr>
        <w:t>五</w:t>
      </w:r>
      <w:r>
        <w:rPr>
          <w:rFonts w:ascii="宋体" w:hAnsi="宋体" w:cs="宋体"/>
          <w:b/>
          <w:bCs/>
          <w:sz w:val="24"/>
          <w:szCs w:val="24"/>
        </w:rPr>
        <w:t>）对公司董事、高级管理人员和</w:t>
      </w:r>
      <w:r>
        <w:rPr>
          <w:rFonts w:hint="eastAsia" w:ascii="宋体" w:hAnsi="宋体" w:cs="宋体"/>
          <w:b/>
          <w:bCs/>
          <w:sz w:val="24"/>
          <w:szCs w:val="24"/>
        </w:rPr>
        <w:t>技术</w:t>
      </w:r>
      <w:r>
        <w:rPr>
          <w:rFonts w:ascii="宋体" w:hAnsi="宋体" w:cs="宋体"/>
          <w:b/>
          <w:bCs/>
          <w:sz w:val="24"/>
          <w:szCs w:val="24"/>
        </w:rPr>
        <w:t>人员结构的影响</w:t>
      </w:r>
    </w:p>
    <w:p>
      <w:pPr>
        <w:adjustRightInd w:val="0"/>
        <w:snapToGrid w:val="0"/>
        <w:spacing w:before="156" w:beforeLines="50" w:line="360" w:lineRule="auto"/>
        <w:ind w:firstLine="480" w:firstLineChars="200"/>
        <w:rPr>
          <w:rFonts w:hint="eastAsia" w:ascii="宋体" w:hAnsi="宋体" w:cs="宋体"/>
          <w:sz w:val="24"/>
          <w:szCs w:val="24"/>
        </w:rPr>
      </w:pPr>
      <w:r>
        <w:rPr>
          <w:rFonts w:ascii="宋体" w:hAnsi="宋体" w:cs="宋体"/>
          <w:sz w:val="24"/>
          <w:szCs w:val="24"/>
        </w:rPr>
        <w:t>本次发行完成后，公司</w:t>
      </w:r>
      <w:r>
        <w:rPr>
          <w:rFonts w:hint="eastAsia" w:ascii="宋体" w:hAnsi="宋体" w:cs="宋体"/>
          <w:sz w:val="24"/>
          <w:szCs w:val="24"/>
        </w:rPr>
        <w:t>董事、高级管理人员和技术人员</w:t>
      </w:r>
      <w:r>
        <w:rPr>
          <w:rFonts w:ascii="宋体" w:hAnsi="宋体" w:cs="宋体"/>
          <w:sz w:val="24"/>
          <w:szCs w:val="24"/>
        </w:rPr>
        <w:t>结构不会因本次发行发生变化。若公司未来拟调整</w:t>
      </w:r>
      <w:r>
        <w:rPr>
          <w:rFonts w:hint="eastAsia" w:ascii="宋体" w:hAnsi="宋体" w:cs="宋体"/>
          <w:sz w:val="24"/>
          <w:szCs w:val="24"/>
        </w:rPr>
        <w:t>董事、高级管理人员和技术人员</w:t>
      </w:r>
      <w:r>
        <w:rPr>
          <w:rFonts w:ascii="宋体" w:hAnsi="宋体" w:cs="宋体"/>
          <w:sz w:val="24"/>
          <w:szCs w:val="24"/>
        </w:rPr>
        <w:t>结构，将根据有关规定，履行必要的法律程序和信息披露义务。</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w:t>
      </w:r>
      <w:r>
        <w:rPr>
          <w:rFonts w:hint="eastAsia" w:ascii="宋体" w:hAnsi="宋体" w:cs="宋体"/>
          <w:b/>
          <w:bCs/>
          <w:sz w:val="24"/>
          <w:szCs w:val="24"/>
        </w:rPr>
        <w:t>六</w:t>
      </w:r>
      <w:r>
        <w:rPr>
          <w:rFonts w:ascii="宋体" w:hAnsi="宋体" w:cs="宋体"/>
          <w:b/>
          <w:bCs/>
          <w:sz w:val="24"/>
          <w:szCs w:val="24"/>
        </w:rPr>
        <w:t>）本次发行对同业竞争和关联交易的影响</w:t>
      </w:r>
    </w:p>
    <w:p>
      <w:pPr>
        <w:adjustRightInd w:val="0"/>
        <w:snapToGrid w:val="0"/>
        <w:spacing w:before="156" w:beforeLines="50" w:line="360" w:lineRule="auto"/>
        <w:ind w:firstLine="480" w:firstLineChars="200"/>
        <w:rPr>
          <w:rFonts w:hint="eastAsia" w:ascii="宋体" w:hAnsi="宋体" w:cs="宋体"/>
          <w:sz w:val="24"/>
          <w:szCs w:val="24"/>
        </w:rPr>
      </w:pPr>
      <w:bookmarkStart w:id="4" w:name="_Hlk180782913"/>
      <w:r>
        <w:rPr>
          <w:rFonts w:hint="eastAsia" w:ascii="宋体" w:hAnsi="宋体" w:cs="宋体"/>
          <w:sz w:val="24"/>
          <w:szCs w:val="24"/>
        </w:rPr>
        <w:t>本次发行完成前，公司控股股东为杨泽民先生、秦惠兰女士，实际控制人为杨泽民先生、秦惠兰女士、杨耀先生、杨秦女士。本次发行对象为杨泽民先生控制的耀泽商管，发行完成后，公司控股股东和实际控制人不会发生变化。公司与控股股东及其关联方之间的同业竞争、关联交易等方面情况不会因本次发行而发生重大变化</w:t>
      </w:r>
      <w:r>
        <w:rPr>
          <w:rFonts w:ascii="宋体" w:hAnsi="宋体" w:cs="宋体"/>
          <w:sz w:val="24"/>
          <w:szCs w:val="24"/>
        </w:rPr>
        <w:t>。</w:t>
      </w:r>
    </w:p>
    <w:bookmarkEnd w:id="4"/>
    <w:p>
      <w:pPr>
        <w:adjustRightInd w:val="0"/>
        <w:snapToGrid w:val="0"/>
        <w:spacing w:before="156" w:beforeLines="50" w:line="360" w:lineRule="auto"/>
        <w:ind w:firstLine="482" w:firstLineChars="200"/>
        <w:outlineLvl w:val="0"/>
        <w:rPr>
          <w:rFonts w:hint="eastAsia" w:ascii="宋体" w:hAnsi="宋体" w:cs="宋体"/>
          <w:b/>
          <w:bCs/>
          <w:sz w:val="24"/>
          <w:szCs w:val="24"/>
        </w:rPr>
      </w:pPr>
      <w:r>
        <w:rPr>
          <w:rFonts w:ascii="宋体" w:hAnsi="宋体" w:cs="宋体"/>
          <w:b/>
          <w:bCs/>
          <w:sz w:val="24"/>
          <w:szCs w:val="24"/>
        </w:rPr>
        <w:t>六、本次发行相关机构情况</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（一）保荐人（主承销商）</w:t>
      </w:r>
    </w:p>
    <w:p>
      <w:pPr>
        <w:pStyle w:val="23"/>
        <w:spacing w:before="156"/>
        <w:ind w:firstLine="480"/>
      </w:pPr>
      <w:r>
        <w:t>名称：中信证券股份有限公司</w:t>
      </w:r>
    </w:p>
    <w:p>
      <w:pPr>
        <w:pStyle w:val="23"/>
        <w:spacing w:before="156"/>
        <w:ind w:firstLine="480"/>
      </w:pPr>
      <w:r>
        <w:t>注册地址：广东省深圳市福田区中心三路8号卓越时代广场（二期）北座</w:t>
      </w:r>
    </w:p>
    <w:p>
      <w:pPr>
        <w:pStyle w:val="23"/>
        <w:spacing w:before="156"/>
        <w:ind w:firstLine="480"/>
      </w:pPr>
      <w:r>
        <w:t>法定代表人：张佑君</w:t>
      </w:r>
    </w:p>
    <w:p>
      <w:pPr>
        <w:pStyle w:val="23"/>
        <w:spacing w:before="156"/>
        <w:ind w:firstLine="480"/>
      </w:pPr>
      <w:r>
        <w:t>保荐代表人：</w:t>
      </w:r>
      <w:r>
        <w:rPr>
          <w:rFonts w:hint="eastAsia"/>
        </w:rPr>
        <w:t>李艳萍、杨家旗</w:t>
      </w:r>
    </w:p>
    <w:p>
      <w:pPr>
        <w:pStyle w:val="23"/>
        <w:spacing w:before="156"/>
        <w:ind w:firstLine="480"/>
      </w:pPr>
      <w:r>
        <w:t>项目协办人：</w:t>
      </w:r>
      <w:r>
        <w:rPr>
          <w:rFonts w:hint="eastAsia"/>
        </w:rPr>
        <w:t>杨成浩</w:t>
      </w:r>
      <w:bookmarkStart w:id="5" w:name="_GoBack"/>
      <w:bookmarkEnd w:id="5"/>
    </w:p>
    <w:p>
      <w:pPr>
        <w:pStyle w:val="23"/>
        <w:spacing w:before="156"/>
        <w:ind w:firstLine="480"/>
      </w:pPr>
      <w:r>
        <w:t>项目组成员：葛震浩、吴啸</w:t>
      </w:r>
      <w:r>
        <w:rPr>
          <w:rFonts w:hint="eastAsia"/>
        </w:rPr>
        <w:t>、</w:t>
      </w:r>
      <w:r>
        <w:t>林伟</w:t>
      </w:r>
    </w:p>
    <w:p>
      <w:pPr>
        <w:tabs>
          <w:tab w:val="left" w:pos="0"/>
        </w:tabs>
        <w:spacing w:before="156" w:beforeLines="50" w:after="156" w:afterLines="50" w:line="360" w:lineRule="auto"/>
        <w:ind w:firstLine="480" w:firstLineChars="200"/>
        <w:rPr>
          <w:bCs/>
          <w:color w:val="000000"/>
          <w:kern w:val="0"/>
          <w:sz w:val="24"/>
          <w:szCs w:val="24"/>
        </w:rPr>
      </w:pPr>
      <w:r>
        <w:rPr>
          <w:rFonts w:hint="eastAsia"/>
          <w:bCs/>
          <w:color w:val="000000"/>
          <w:kern w:val="0"/>
          <w:sz w:val="24"/>
          <w:szCs w:val="24"/>
        </w:rPr>
        <w:t>联系</w:t>
      </w:r>
      <w:r>
        <w:rPr>
          <w:bCs/>
          <w:color w:val="000000"/>
          <w:kern w:val="0"/>
          <w:sz w:val="24"/>
          <w:szCs w:val="24"/>
        </w:rPr>
        <w:t>电话：028-81255293</w:t>
      </w:r>
    </w:p>
    <w:p>
      <w:pPr>
        <w:spacing w:before="156" w:beforeLines="50" w:line="360" w:lineRule="auto"/>
        <w:ind w:firstLine="480" w:firstLineChars="200"/>
        <w:rPr>
          <w:sz w:val="24"/>
        </w:rPr>
      </w:pPr>
      <w:r>
        <w:rPr>
          <w:rFonts w:hint="eastAsia"/>
          <w:bCs/>
          <w:color w:val="000000"/>
          <w:kern w:val="0"/>
          <w:sz w:val="24"/>
          <w:szCs w:val="24"/>
        </w:rPr>
        <w:t>传真：</w:t>
      </w:r>
      <w:r>
        <w:rPr>
          <w:bCs/>
          <w:color w:val="000000"/>
          <w:kern w:val="0"/>
          <w:sz w:val="24"/>
          <w:szCs w:val="24"/>
        </w:rPr>
        <w:t>010</w:t>
      </w:r>
      <w:r>
        <w:rPr>
          <w:rFonts w:hint="eastAsia"/>
          <w:bCs/>
          <w:color w:val="000000"/>
          <w:kern w:val="0"/>
          <w:sz w:val="24"/>
          <w:szCs w:val="24"/>
        </w:rPr>
        <w:t>-</w:t>
      </w:r>
      <w:r>
        <w:rPr>
          <w:bCs/>
          <w:color w:val="000000"/>
          <w:kern w:val="0"/>
          <w:sz w:val="24"/>
          <w:szCs w:val="24"/>
        </w:rPr>
        <w:t>60838818</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（二）发行人律师事务所</w:t>
      </w:r>
    </w:p>
    <w:p>
      <w:pPr>
        <w:pStyle w:val="23"/>
        <w:spacing w:before="156"/>
        <w:ind w:firstLine="480"/>
      </w:pPr>
      <w:r>
        <w:t>名称：北京市嘉源律师事务所</w:t>
      </w:r>
    </w:p>
    <w:p>
      <w:pPr>
        <w:pStyle w:val="23"/>
        <w:spacing w:before="156"/>
        <w:ind w:firstLine="480"/>
      </w:pPr>
      <w:r>
        <w:t>地址：北京市西城区复兴门内大街158号远洋大厦F408</w:t>
      </w:r>
    </w:p>
    <w:p>
      <w:pPr>
        <w:pStyle w:val="23"/>
        <w:spacing w:before="156"/>
        <w:ind w:firstLine="480"/>
      </w:pPr>
      <w:r>
        <w:t>负责人：</w:t>
      </w:r>
      <w:r>
        <w:rPr>
          <w:rFonts w:hint="eastAsia"/>
        </w:rPr>
        <w:t>颜羽</w:t>
      </w:r>
    </w:p>
    <w:p>
      <w:pPr>
        <w:pStyle w:val="23"/>
        <w:spacing w:before="156"/>
        <w:ind w:firstLine="480"/>
      </w:pPr>
      <w:r>
        <w:rPr>
          <w:rFonts w:hint="eastAsia"/>
        </w:rPr>
        <w:t>经办律师</w:t>
      </w:r>
      <w:r>
        <w:t>：傅扬远</w:t>
      </w:r>
      <w:r>
        <w:rPr>
          <w:rFonts w:hint="eastAsia"/>
        </w:rPr>
        <w:t>、</w:t>
      </w:r>
      <w:r>
        <w:t>程璇</w:t>
      </w:r>
    </w:p>
    <w:p>
      <w:pPr>
        <w:tabs>
          <w:tab w:val="left" w:pos="0"/>
        </w:tabs>
        <w:spacing w:before="156" w:beforeLines="50" w:after="156" w:afterLines="50" w:line="360" w:lineRule="auto"/>
        <w:ind w:firstLine="480" w:firstLineChars="200"/>
        <w:rPr>
          <w:bCs/>
          <w:color w:val="000000"/>
          <w:kern w:val="0"/>
          <w:sz w:val="24"/>
          <w:szCs w:val="24"/>
        </w:rPr>
      </w:pPr>
      <w:r>
        <w:rPr>
          <w:rFonts w:hint="eastAsia"/>
          <w:bCs/>
          <w:color w:val="000000"/>
          <w:kern w:val="0"/>
          <w:sz w:val="24"/>
          <w:szCs w:val="24"/>
        </w:rPr>
        <w:t>联系</w:t>
      </w:r>
      <w:r>
        <w:rPr>
          <w:bCs/>
          <w:color w:val="000000"/>
          <w:kern w:val="0"/>
          <w:sz w:val="24"/>
          <w:szCs w:val="24"/>
        </w:rPr>
        <w:t>电话：021-60452660</w:t>
      </w:r>
    </w:p>
    <w:p>
      <w:pPr>
        <w:tabs>
          <w:tab w:val="left" w:pos="0"/>
        </w:tabs>
        <w:spacing w:before="156" w:beforeLines="50" w:after="156" w:afterLines="50" w:line="360" w:lineRule="auto"/>
        <w:ind w:firstLine="480" w:firstLineChars="200"/>
        <w:rPr>
          <w:sz w:val="24"/>
        </w:rPr>
      </w:pPr>
      <w:r>
        <w:rPr>
          <w:rFonts w:hint="eastAsia"/>
          <w:bCs/>
          <w:color w:val="000000"/>
          <w:kern w:val="0"/>
          <w:sz w:val="24"/>
          <w:szCs w:val="24"/>
        </w:rPr>
        <w:t>传真：</w:t>
      </w:r>
      <w:r>
        <w:rPr>
          <w:bCs/>
          <w:color w:val="000000"/>
          <w:kern w:val="0"/>
          <w:sz w:val="24"/>
          <w:szCs w:val="24"/>
        </w:rPr>
        <w:t>021-61701189</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（三）审计机构</w:t>
      </w:r>
    </w:p>
    <w:p>
      <w:pPr>
        <w:spacing w:before="156" w:beforeLines="50" w:line="360" w:lineRule="auto"/>
        <w:ind w:firstLine="480" w:firstLineChars="200"/>
        <w:rPr>
          <w:sz w:val="24"/>
        </w:rPr>
      </w:pPr>
      <w:r>
        <w:rPr>
          <w:rFonts w:hint="eastAsia"/>
          <w:sz w:val="24"/>
        </w:rPr>
        <w:t>名称：天健会计师事务所（特殊普通合伙）</w:t>
      </w:r>
    </w:p>
    <w:p>
      <w:pPr>
        <w:spacing w:before="156" w:beforeLines="50" w:line="360" w:lineRule="auto"/>
        <w:ind w:firstLine="480" w:firstLineChars="200"/>
        <w:rPr>
          <w:sz w:val="24"/>
        </w:rPr>
      </w:pPr>
      <w:r>
        <w:rPr>
          <w:rFonts w:hint="eastAsia"/>
          <w:sz w:val="24"/>
        </w:rPr>
        <w:t>地址：浙江省杭州市西湖区灵隐街道西溪路128号</w:t>
      </w:r>
    </w:p>
    <w:p>
      <w:pPr>
        <w:spacing w:before="156" w:beforeLines="50" w:line="360" w:lineRule="auto"/>
        <w:ind w:firstLine="480" w:firstLineChars="200"/>
        <w:rPr>
          <w:sz w:val="24"/>
        </w:rPr>
      </w:pPr>
      <w:r>
        <w:rPr>
          <w:rFonts w:hint="eastAsia"/>
          <w:sz w:val="24"/>
        </w:rPr>
        <w:t>负责人：李青龙</w:t>
      </w:r>
    </w:p>
    <w:p>
      <w:pPr>
        <w:spacing w:before="156" w:beforeLines="50" w:line="360" w:lineRule="auto"/>
        <w:ind w:firstLine="480" w:firstLineChars="200"/>
        <w:rPr>
          <w:sz w:val="24"/>
        </w:rPr>
      </w:pPr>
      <w:r>
        <w:rPr>
          <w:rFonts w:hint="eastAsia"/>
          <w:sz w:val="24"/>
        </w:rPr>
        <w:t>签字注册会计师：黄巧梅、李小燕</w:t>
      </w:r>
    </w:p>
    <w:p>
      <w:pPr>
        <w:spacing w:before="156" w:beforeLines="50" w:line="360" w:lineRule="auto"/>
        <w:ind w:firstLine="480" w:firstLineChars="200"/>
        <w:rPr>
          <w:sz w:val="24"/>
        </w:rPr>
      </w:pPr>
      <w:r>
        <w:rPr>
          <w:rFonts w:hint="eastAsia"/>
          <w:sz w:val="24"/>
        </w:rPr>
        <w:t>联系电话：023-88868500</w:t>
      </w:r>
    </w:p>
    <w:p>
      <w:pPr>
        <w:spacing w:before="156" w:beforeLines="50" w:line="360" w:lineRule="auto"/>
        <w:ind w:firstLine="480" w:firstLineChars="200"/>
        <w:rPr>
          <w:sz w:val="24"/>
        </w:rPr>
      </w:pPr>
      <w:r>
        <w:rPr>
          <w:rFonts w:hint="eastAsia"/>
          <w:sz w:val="24"/>
        </w:rPr>
        <w:t>传真：023-86218621</w:t>
      </w:r>
    </w:p>
    <w:p>
      <w:pPr>
        <w:adjustRightInd w:val="0"/>
        <w:snapToGrid w:val="0"/>
        <w:spacing w:before="156" w:beforeLines="50" w:line="360" w:lineRule="auto"/>
        <w:ind w:firstLine="482" w:firstLineChars="200"/>
        <w:outlineLvl w:val="1"/>
        <w:rPr>
          <w:rFonts w:hint="eastAsia" w:ascii="宋体" w:hAnsi="宋体" w:cs="宋体"/>
          <w:b/>
          <w:bCs/>
          <w:sz w:val="24"/>
          <w:szCs w:val="24"/>
        </w:rPr>
      </w:pPr>
      <w:r>
        <w:rPr>
          <w:rFonts w:ascii="宋体" w:hAnsi="宋体" w:cs="宋体"/>
          <w:b/>
          <w:bCs/>
          <w:sz w:val="24"/>
          <w:szCs w:val="24"/>
        </w:rPr>
        <w:t>（四）验资机构</w:t>
      </w:r>
    </w:p>
    <w:p>
      <w:pPr>
        <w:pStyle w:val="23"/>
        <w:spacing w:before="156"/>
        <w:ind w:firstLine="480"/>
      </w:pPr>
      <w:r>
        <w:t>名称：天健会计师事务所（特殊普通合伙）</w:t>
      </w:r>
    </w:p>
    <w:p>
      <w:pPr>
        <w:pStyle w:val="23"/>
        <w:spacing w:before="156"/>
        <w:ind w:firstLine="480"/>
      </w:pPr>
      <w:r>
        <w:t>地址：浙江省杭州市西湖区灵隐街道西溪路128号</w:t>
      </w:r>
    </w:p>
    <w:p>
      <w:pPr>
        <w:pStyle w:val="23"/>
        <w:spacing w:before="156"/>
        <w:ind w:firstLine="480"/>
      </w:pPr>
      <w:r>
        <w:t>负责人：</w:t>
      </w:r>
      <w:r>
        <w:rPr>
          <w:rFonts w:hint="eastAsia"/>
        </w:rPr>
        <w:t>李青龙</w:t>
      </w:r>
    </w:p>
    <w:p>
      <w:pPr>
        <w:pStyle w:val="23"/>
        <w:spacing w:before="156"/>
        <w:ind w:firstLine="480"/>
      </w:pPr>
      <w:r>
        <w:rPr>
          <w:rFonts w:hint="eastAsia"/>
        </w:rPr>
        <w:t>签字注册会计师</w:t>
      </w:r>
      <w:r>
        <w:t>：黄巧梅</w:t>
      </w:r>
      <w:r>
        <w:rPr>
          <w:rFonts w:hint="eastAsia"/>
        </w:rPr>
        <w:t>、</w:t>
      </w:r>
      <w:r>
        <w:t>李小燕</w:t>
      </w:r>
    </w:p>
    <w:p>
      <w:pPr>
        <w:tabs>
          <w:tab w:val="left" w:pos="0"/>
        </w:tabs>
        <w:spacing w:before="156" w:beforeLines="50" w:after="156" w:afterLines="50" w:line="360" w:lineRule="auto"/>
        <w:ind w:firstLine="480" w:firstLineChars="200"/>
        <w:rPr>
          <w:bCs/>
          <w:color w:val="000000"/>
          <w:kern w:val="0"/>
          <w:sz w:val="24"/>
          <w:szCs w:val="24"/>
        </w:rPr>
      </w:pPr>
      <w:r>
        <w:rPr>
          <w:rFonts w:hint="eastAsia"/>
          <w:bCs/>
          <w:color w:val="000000"/>
          <w:kern w:val="0"/>
          <w:sz w:val="24"/>
          <w:szCs w:val="24"/>
        </w:rPr>
        <w:t>联系</w:t>
      </w:r>
      <w:r>
        <w:rPr>
          <w:bCs/>
          <w:color w:val="000000"/>
          <w:kern w:val="0"/>
          <w:sz w:val="24"/>
          <w:szCs w:val="24"/>
        </w:rPr>
        <w:t>电话：023-88868500</w:t>
      </w:r>
    </w:p>
    <w:p>
      <w:pPr>
        <w:spacing w:before="156" w:beforeLines="50" w:line="360" w:lineRule="auto"/>
        <w:ind w:firstLine="480" w:firstLineChars="200"/>
        <w:rPr>
          <w:sz w:val="24"/>
        </w:rPr>
      </w:pPr>
      <w:r>
        <w:rPr>
          <w:rFonts w:hint="eastAsia"/>
          <w:bCs/>
          <w:color w:val="000000"/>
          <w:kern w:val="0"/>
          <w:sz w:val="24"/>
          <w:szCs w:val="24"/>
        </w:rPr>
        <w:t>传真：</w:t>
      </w:r>
      <w:r>
        <w:rPr>
          <w:bCs/>
          <w:color w:val="000000"/>
          <w:kern w:val="0"/>
          <w:sz w:val="24"/>
          <w:szCs w:val="24"/>
        </w:rPr>
        <w:t>023-86218621</w:t>
      </w:r>
    </w:p>
    <w:p>
      <w:pPr>
        <w:adjustRightInd w:val="0"/>
        <w:snapToGrid w:val="0"/>
        <w:spacing w:before="156" w:beforeLines="50" w:line="360" w:lineRule="auto"/>
        <w:ind w:firstLine="480" w:firstLineChars="200"/>
        <w:rPr>
          <w:rFonts w:hint="eastAsia" w:ascii="宋体" w:hAnsi="宋体" w:cs="宋体"/>
          <w:sz w:val="24"/>
          <w:szCs w:val="24"/>
        </w:rPr>
      </w:pPr>
    </w:p>
    <w:p>
      <w:pPr>
        <w:adjustRightInd w:val="0"/>
        <w:snapToGrid w:val="0"/>
        <w:spacing w:before="156" w:beforeLines="50" w:line="360" w:lineRule="auto"/>
        <w:ind w:firstLine="480" w:firstLineChars="200"/>
        <w:rPr>
          <w:rFonts w:hint="eastAsia" w:ascii="宋体" w:hAnsi="宋体" w:cs="宋体"/>
          <w:sz w:val="24"/>
          <w:szCs w:val="24"/>
        </w:rPr>
      </w:pPr>
      <w:r>
        <w:rPr>
          <w:rFonts w:ascii="宋体" w:hAnsi="宋体" w:cs="宋体"/>
          <w:sz w:val="24"/>
          <w:szCs w:val="24"/>
        </w:rPr>
        <w:t>特此公告。</w:t>
      </w:r>
    </w:p>
    <w:p>
      <w:pPr>
        <w:adjustRightInd w:val="0"/>
        <w:snapToGrid w:val="0"/>
        <w:spacing w:before="156" w:beforeLines="50" w:line="360" w:lineRule="auto"/>
        <w:ind w:firstLine="480" w:firstLineChars="200"/>
        <w:rPr>
          <w:rFonts w:hint="eastAsia" w:ascii="宋体" w:hAnsi="宋体" w:cs="宋体"/>
          <w:sz w:val="24"/>
          <w:szCs w:val="24"/>
        </w:rPr>
      </w:pPr>
    </w:p>
    <w:p>
      <w:pPr>
        <w:adjustRightInd w:val="0"/>
        <w:snapToGrid w:val="0"/>
        <w:spacing w:line="360" w:lineRule="auto"/>
        <w:ind w:firstLine="480" w:firstLineChars="200"/>
        <w:rPr>
          <w:rFonts w:hint="eastAsia" w:ascii="宋体" w:hAnsi="宋体" w:cs="宋体"/>
          <w:sz w:val="24"/>
          <w:szCs w:val="24"/>
        </w:rPr>
      </w:pPr>
    </w:p>
    <w:p>
      <w:pPr>
        <w:adjustRightInd w:val="0"/>
        <w:snapToGrid w:val="0"/>
        <w:spacing w:line="360" w:lineRule="auto"/>
        <w:jc w:val="right"/>
        <w:rPr>
          <w:sz w:val="24"/>
        </w:rPr>
      </w:pPr>
      <w:r>
        <w:rPr>
          <w:color w:val="000000"/>
          <w:sz w:val="24"/>
          <w:szCs w:val="24"/>
        </w:rPr>
        <w:t xml:space="preserve">                                   </w:t>
      </w:r>
      <w:r>
        <w:rPr>
          <w:rFonts w:hint="eastAsia"/>
          <w:sz w:val="24"/>
        </w:rPr>
        <w:t>重庆望变电气（集团）股份有限公司</w:t>
      </w:r>
    </w:p>
    <w:p>
      <w:pPr>
        <w:adjustRightInd w:val="0"/>
        <w:snapToGrid w:val="0"/>
        <w:spacing w:line="360" w:lineRule="auto"/>
        <w:jc w:val="right"/>
      </w:pPr>
      <w:r>
        <w:rPr>
          <w:color w:val="000000"/>
          <w:sz w:val="24"/>
          <w:szCs w:val="24"/>
        </w:rPr>
        <w:t>202</w:t>
      </w:r>
      <w:r>
        <w:rPr>
          <w:rFonts w:hint="eastAsia"/>
          <w:color w:val="000000"/>
          <w:sz w:val="24"/>
          <w:szCs w:val="24"/>
        </w:rPr>
        <w:t>6</w:t>
      </w:r>
      <w:r>
        <w:rPr>
          <w:color w:val="000000"/>
          <w:sz w:val="24"/>
          <w:szCs w:val="24"/>
        </w:rPr>
        <w:t>年</w:t>
      </w:r>
      <w:r>
        <w:rPr>
          <w:rFonts w:hint="eastAsia"/>
          <w:color w:val="000000"/>
          <w:sz w:val="24"/>
          <w:szCs w:val="24"/>
        </w:rPr>
        <w:t>9</w:t>
      </w:r>
      <w:r>
        <w:rPr>
          <w:color w:val="000000"/>
          <w:sz w:val="24"/>
          <w:szCs w:val="24"/>
        </w:rPr>
        <w:t>月</w:t>
      </w:r>
      <w:r>
        <w:rPr>
          <w:rFonts w:hint="eastAsia"/>
          <w:color w:val="000000"/>
          <w:sz w:val="24"/>
          <w:szCs w:val="24"/>
          <w:lang w:val="en-US" w:eastAsia="zh-CN"/>
        </w:rPr>
        <w:t>3</w:t>
      </w:r>
      <w:r>
        <w:rPr>
          <w:color w:val="000000"/>
          <w:sz w:val="24"/>
          <w:szCs w:val="24"/>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52056653"/>
    </w:sdtPr>
    <w:sdtContent>
      <w:p>
        <w:pPr>
          <w:pStyle w:val="4"/>
          <w:jc w:val="center"/>
        </w:pPr>
        <w:r>
          <w:fldChar w:fldCharType="begin"/>
        </w:r>
        <w:r>
          <w:instrText xml:space="preserve">PAGE   \* MERGEFORMAT</w:instrText>
        </w:r>
        <w:r>
          <w:fldChar w:fldCharType="separate"/>
        </w:r>
        <w:r>
          <w:rPr>
            <w:lang w:val="zh-CN"/>
          </w:rPr>
          <w:t>3</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BD5E4D"/>
    <w:multiLevelType w:val="multilevel"/>
    <w:tmpl w:val="61BD5E4D"/>
    <w:lvl w:ilvl="0" w:tentative="0">
      <w:start w:val="1"/>
      <w:numFmt w:val="bullet"/>
      <w:lvlText w:val=""/>
      <w:lvlJc w:val="left"/>
      <w:pPr>
        <w:tabs>
          <w:tab w:val="left" w:pos="980"/>
        </w:tabs>
        <w:ind w:left="980" w:hanging="420"/>
      </w:pPr>
      <w:rPr>
        <w:rFonts w:hint="default" w:ascii="Wingdings" w:hAnsi="Wingdings"/>
      </w:rPr>
    </w:lvl>
    <w:lvl w:ilvl="1" w:tentative="0">
      <w:start w:val="1"/>
      <w:numFmt w:val="chineseCountingThousand"/>
      <w:lvlText w:val="(%2)"/>
      <w:lvlJc w:val="left"/>
      <w:pPr>
        <w:tabs>
          <w:tab w:val="left" w:pos="1400"/>
        </w:tabs>
        <w:ind w:left="1400" w:hanging="420"/>
      </w:pPr>
    </w:lvl>
    <w:lvl w:ilvl="2" w:tentative="0">
      <w:start w:val="1"/>
      <w:numFmt w:val="bullet"/>
      <w:lvlText w:val=""/>
      <w:lvlJc w:val="left"/>
      <w:pPr>
        <w:tabs>
          <w:tab w:val="left" w:pos="1820"/>
        </w:tabs>
        <w:ind w:left="1820" w:hanging="420"/>
      </w:pPr>
      <w:rPr>
        <w:rFonts w:hint="default" w:ascii="Wingdings" w:hAnsi="Wingdings"/>
      </w:rPr>
    </w:lvl>
    <w:lvl w:ilvl="3" w:tentative="0">
      <w:start w:val="1"/>
      <w:numFmt w:val="bullet"/>
      <w:lvlText w:val=""/>
      <w:lvlJc w:val="left"/>
      <w:pPr>
        <w:tabs>
          <w:tab w:val="left" w:pos="2240"/>
        </w:tabs>
        <w:ind w:left="2240" w:hanging="420"/>
      </w:pPr>
      <w:rPr>
        <w:rFonts w:hint="default" w:ascii="Wingdings" w:hAnsi="Wingdings"/>
      </w:rPr>
    </w:lvl>
    <w:lvl w:ilvl="4" w:tentative="0">
      <w:start w:val="1"/>
      <w:numFmt w:val="bullet"/>
      <w:lvlText w:val=""/>
      <w:lvlJc w:val="left"/>
      <w:pPr>
        <w:tabs>
          <w:tab w:val="left" w:pos="2660"/>
        </w:tabs>
        <w:ind w:left="2660" w:hanging="420"/>
      </w:pPr>
      <w:rPr>
        <w:rFonts w:hint="default" w:ascii="Wingdings" w:hAnsi="Wingdings"/>
      </w:rPr>
    </w:lvl>
    <w:lvl w:ilvl="5" w:tentative="0">
      <w:start w:val="1"/>
      <w:numFmt w:val="bullet"/>
      <w:lvlText w:val=""/>
      <w:lvlJc w:val="left"/>
      <w:pPr>
        <w:tabs>
          <w:tab w:val="left" w:pos="3080"/>
        </w:tabs>
        <w:ind w:left="3080" w:hanging="420"/>
      </w:pPr>
      <w:rPr>
        <w:rFonts w:hint="default" w:ascii="Wingdings" w:hAnsi="Wingdings"/>
      </w:rPr>
    </w:lvl>
    <w:lvl w:ilvl="6" w:tentative="0">
      <w:start w:val="1"/>
      <w:numFmt w:val="bullet"/>
      <w:lvlText w:val=""/>
      <w:lvlJc w:val="left"/>
      <w:pPr>
        <w:tabs>
          <w:tab w:val="left" w:pos="3500"/>
        </w:tabs>
        <w:ind w:left="3500" w:hanging="420"/>
      </w:pPr>
      <w:rPr>
        <w:rFonts w:hint="default" w:ascii="Wingdings" w:hAnsi="Wingdings"/>
      </w:rPr>
    </w:lvl>
    <w:lvl w:ilvl="7" w:tentative="0">
      <w:start w:val="1"/>
      <w:numFmt w:val="bullet"/>
      <w:lvlText w:val=""/>
      <w:lvlJc w:val="left"/>
      <w:pPr>
        <w:tabs>
          <w:tab w:val="left" w:pos="3920"/>
        </w:tabs>
        <w:ind w:left="3920" w:hanging="420"/>
      </w:pPr>
      <w:rPr>
        <w:rFonts w:hint="default" w:ascii="Wingdings" w:hAnsi="Wingdings"/>
      </w:rPr>
    </w:lvl>
    <w:lvl w:ilvl="8" w:tentative="0">
      <w:start w:val="1"/>
      <w:numFmt w:val="bullet"/>
      <w:lvlText w:val=""/>
      <w:lvlJc w:val="left"/>
      <w:pPr>
        <w:tabs>
          <w:tab w:val="left" w:pos="4340"/>
        </w:tabs>
        <w:ind w:left="4340" w:hanging="420"/>
      </w:pPr>
      <w:rPr>
        <w:rFonts w:hint="default" w:ascii="Wingdings" w:hAnsi="Wingdings"/>
      </w:rPr>
    </w:lvl>
  </w:abstractNum>
  <w:num w:numId="1">
    <w:abstractNumId w:va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s>
  <w:rsids>
    <w:rsidRoot w:val="060D1C38"/>
    <w:rsid w:val="00002047"/>
    <w:rsid w:val="00005850"/>
    <w:rsid w:val="00006050"/>
    <w:rsid w:val="0001097D"/>
    <w:rsid w:val="00011768"/>
    <w:rsid w:val="00024367"/>
    <w:rsid w:val="000247F5"/>
    <w:rsid w:val="000326B2"/>
    <w:rsid w:val="000339E6"/>
    <w:rsid w:val="00037EBF"/>
    <w:rsid w:val="00042692"/>
    <w:rsid w:val="00044ADA"/>
    <w:rsid w:val="00053116"/>
    <w:rsid w:val="00053C41"/>
    <w:rsid w:val="000638C2"/>
    <w:rsid w:val="00070B0A"/>
    <w:rsid w:val="00072578"/>
    <w:rsid w:val="000770A0"/>
    <w:rsid w:val="000829B7"/>
    <w:rsid w:val="000A51AC"/>
    <w:rsid w:val="000A6AD2"/>
    <w:rsid w:val="000B2973"/>
    <w:rsid w:val="000B460F"/>
    <w:rsid w:val="000B728B"/>
    <w:rsid w:val="000C0E6F"/>
    <w:rsid w:val="000C48D1"/>
    <w:rsid w:val="000D12D6"/>
    <w:rsid w:val="000D639D"/>
    <w:rsid w:val="000E02FC"/>
    <w:rsid w:val="000E75AB"/>
    <w:rsid w:val="000E7B3F"/>
    <w:rsid w:val="000F5B3E"/>
    <w:rsid w:val="00100912"/>
    <w:rsid w:val="0010092D"/>
    <w:rsid w:val="00103942"/>
    <w:rsid w:val="001052D5"/>
    <w:rsid w:val="0011391E"/>
    <w:rsid w:val="00114338"/>
    <w:rsid w:val="00121179"/>
    <w:rsid w:val="00133BD8"/>
    <w:rsid w:val="001375FC"/>
    <w:rsid w:val="00142D32"/>
    <w:rsid w:val="00144566"/>
    <w:rsid w:val="001565A5"/>
    <w:rsid w:val="00156B02"/>
    <w:rsid w:val="00157B02"/>
    <w:rsid w:val="001638E9"/>
    <w:rsid w:val="00165E6E"/>
    <w:rsid w:val="001724EB"/>
    <w:rsid w:val="0018103B"/>
    <w:rsid w:val="00187D9F"/>
    <w:rsid w:val="001928D0"/>
    <w:rsid w:val="00192CBE"/>
    <w:rsid w:val="00195AFC"/>
    <w:rsid w:val="00197097"/>
    <w:rsid w:val="001A05DA"/>
    <w:rsid w:val="001A4968"/>
    <w:rsid w:val="001A7CEA"/>
    <w:rsid w:val="001C5991"/>
    <w:rsid w:val="001C7425"/>
    <w:rsid w:val="001D6C97"/>
    <w:rsid w:val="001E2DD9"/>
    <w:rsid w:val="001E5C2E"/>
    <w:rsid w:val="001F1031"/>
    <w:rsid w:val="001F7FB9"/>
    <w:rsid w:val="002055B1"/>
    <w:rsid w:val="00213616"/>
    <w:rsid w:val="00226411"/>
    <w:rsid w:val="00231627"/>
    <w:rsid w:val="00232DC1"/>
    <w:rsid w:val="00236893"/>
    <w:rsid w:val="0024010E"/>
    <w:rsid w:val="00244EC6"/>
    <w:rsid w:val="00261191"/>
    <w:rsid w:val="0026547D"/>
    <w:rsid w:val="002721B6"/>
    <w:rsid w:val="0027772F"/>
    <w:rsid w:val="002918D0"/>
    <w:rsid w:val="00294214"/>
    <w:rsid w:val="002978AD"/>
    <w:rsid w:val="002A1618"/>
    <w:rsid w:val="002A7457"/>
    <w:rsid w:val="002B7E08"/>
    <w:rsid w:val="002C03F3"/>
    <w:rsid w:val="002C1F22"/>
    <w:rsid w:val="002D0F3A"/>
    <w:rsid w:val="002D1B4F"/>
    <w:rsid w:val="002D57BA"/>
    <w:rsid w:val="002D79A5"/>
    <w:rsid w:val="002D7D42"/>
    <w:rsid w:val="002E07F5"/>
    <w:rsid w:val="002E0E9A"/>
    <w:rsid w:val="002E4038"/>
    <w:rsid w:val="002E5F2C"/>
    <w:rsid w:val="002F2914"/>
    <w:rsid w:val="00306F70"/>
    <w:rsid w:val="003318BA"/>
    <w:rsid w:val="00342EB3"/>
    <w:rsid w:val="00343F8C"/>
    <w:rsid w:val="00344B00"/>
    <w:rsid w:val="003469A3"/>
    <w:rsid w:val="0035294C"/>
    <w:rsid w:val="0036192D"/>
    <w:rsid w:val="003642BA"/>
    <w:rsid w:val="003673FF"/>
    <w:rsid w:val="00373E81"/>
    <w:rsid w:val="0037433E"/>
    <w:rsid w:val="0039281D"/>
    <w:rsid w:val="00397571"/>
    <w:rsid w:val="003A04DC"/>
    <w:rsid w:val="003B04FD"/>
    <w:rsid w:val="003B2F17"/>
    <w:rsid w:val="003C696B"/>
    <w:rsid w:val="003C7547"/>
    <w:rsid w:val="0040227C"/>
    <w:rsid w:val="004063CB"/>
    <w:rsid w:val="00410532"/>
    <w:rsid w:val="0042186C"/>
    <w:rsid w:val="00426582"/>
    <w:rsid w:val="00427793"/>
    <w:rsid w:val="00456244"/>
    <w:rsid w:val="004604AC"/>
    <w:rsid w:val="00463F24"/>
    <w:rsid w:val="004660FC"/>
    <w:rsid w:val="00466E65"/>
    <w:rsid w:val="00475CE4"/>
    <w:rsid w:val="0048609A"/>
    <w:rsid w:val="00487C89"/>
    <w:rsid w:val="00490551"/>
    <w:rsid w:val="0049073B"/>
    <w:rsid w:val="004A675E"/>
    <w:rsid w:val="004A6A3C"/>
    <w:rsid w:val="004A721A"/>
    <w:rsid w:val="004B09DC"/>
    <w:rsid w:val="004B3FC6"/>
    <w:rsid w:val="004C0B3C"/>
    <w:rsid w:val="004C10D2"/>
    <w:rsid w:val="004C5AF7"/>
    <w:rsid w:val="004E744D"/>
    <w:rsid w:val="004E7746"/>
    <w:rsid w:val="004F4637"/>
    <w:rsid w:val="00502275"/>
    <w:rsid w:val="005062D9"/>
    <w:rsid w:val="00520701"/>
    <w:rsid w:val="00530E18"/>
    <w:rsid w:val="00534A59"/>
    <w:rsid w:val="00535C3F"/>
    <w:rsid w:val="00535EB9"/>
    <w:rsid w:val="00547A73"/>
    <w:rsid w:val="00550DA9"/>
    <w:rsid w:val="00551216"/>
    <w:rsid w:val="00554D5D"/>
    <w:rsid w:val="0055668E"/>
    <w:rsid w:val="005572CE"/>
    <w:rsid w:val="00561134"/>
    <w:rsid w:val="005631FF"/>
    <w:rsid w:val="00563443"/>
    <w:rsid w:val="0056694E"/>
    <w:rsid w:val="0056739F"/>
    <w:rsid w:val="00570A81"/>
    <w:rsid w:val="00570D3E"/>
    <w:rsid w:val="005721BE"/>
    <w:rsid w:val="005733CF"/>
    <w:rsid w:val="00585568"/>
    <w:rsid w:val="00591AC3"/>
    <w:rsid w:val="0059386B"/>
    <w:rsid w:val="005A00A2"/>
    <w:rsid w:val="005A448A"/>
    <w:rsid w:val="005A7F21"/>
    <w:rsid w:val="005B4C69"/>
    <w:rsid w:val="005B5B69"/>
    <w:rsid w:val="005B707A"/>
    <w:rsid w:val="005C615A"/>
    <w:rsid w:val="005D4408"/>
    <w:rsid w:val="005E41B5"/>
    <w:rsid w:val="005E56EE"/>
    <w:rsid w:val="005E61C5"/>
    <w:rsid w:val="005F5A00"/>
    <w:rsid w:val="00603529"/>
    <w:rsid w:val="006038C0"/>
    <w:rsid w:val="00603F7C"/>
    <w:rsid w:val="00604644"/>
    <w:rsid w:val="00614D38"/>
    <w:rsid w:val="00615035"/>
    <w:rsid w:val="00617391"/>
    <w:rsid w:val="00620A45"/>
    <w:rsid w:val="00622103"/>
    <w:rsid w:val="006242A9"/>
    <w:rsid w:val="00626268"/>
    <w:rsid w:val="00631383"/>
    <w:rsid w:val="00633A2E"/>
    <w:rsid w:val="00636138"/>
    <w:rsid w:val="00637ABC"/>
    <w:rsid w:val="006413AE"/>
    <w:rsid w:val="006505D6"/>
    <w:rsid w:val="00665DEC"/>
    <w:rsid w:val="006704E4"/>
    <w:rsid w:val="00673957"/>
    <w:rsid w:val="00673F80"/>
    <w:rsid w:val="0068127B"/>
    <w:rsid w:val="00690DE8"/>
    <w:rsid w:val="00694774"/>
    <w:rsid w:val="006A0DB4"/>
    <w:rsid w:val="006A2844"/>
    <w:rsid w:val="006A37B3"/>
    <w:rsid w:val="006C60B5"/>
    <w:rsid w:val="006C7E28"/>
    <w:rsid w:val="006D50A5"/>
    <w:rsid w:val="006D5324"/>
    <w:rsid w:val="006D770B"/>
    <w:rsid w:val="006E1C3B"/>
    <w:rsid w:val="006E328E"/>
    <w:rsid w:val="006E406E"/>
    <w:rsid w:val="006E4081"/>
    <w:rsid w:val="006E6160"/>
    <w:rsid w:val="006F0220"/>
    <w:rsid w:val="006F2D34"/>
    <w:rsid w:val="007015B1"/>
    <w:rsid w:val="007038AF"/>
    <w:rsid w:val="00705FE9"/>
    <w:rsid w:val="00706686"/>
    <w:rsid w:val="00713F10"/>
    <w:rsid w:val="00716459"/>
    <w:rsid w:val="00716627"/>
    <w:rsid w:val="00717B16"/>
    <w:rsid w:val="00723EA0"/>
    <w:rsid w:val="00726815"/>
    <w:rsid w:val="00737A4F"/>
    <w:rsid w:val="00741644"/>
    <w:rsid w:val="00741C70"/>
    <w:rsid w:val="007451D0"/>
    <w:rsid w:val="00745A76"/>
    <w:rsid w:val="00746602"/>
    <w:rsid w:val="0075335C"/>
    <w:rsid w:val="00761852"/>
    <w:rsid w:val="0076499B"/>
    <w:rsid w:val="00780124"/>
    <w:rsid w:val="007802E9"/>
    <w:rsid w:val="00783BF0"/>
    <w:rsid w:val="00786A68"/>
    <w:rsid w:val="0079395A"/>
    <w:rsid w:val="0079657A"/>
    <w:rsid w:val="007A2612"/>
    <w:rsid w:val="007B47D6"/>
    <w:rsid w:val="007B56EE"/>
    <w:rsid w:val="007B59EE"/>
    <w:rsid w:val="007C2189"/>
    <w:rsid w:val="007D1516"/>
    <w:rsid w:val="007D3064"/>
    <w:rsid w:val="007D31AD"/>
    <w:rsid w:val="007D687F"/>
    <w:rsid w:val="007E1740"/>
    <w:rsid w:val="007E261C"/>
    <w:rsid w:val="007F0D9B"/>
    <w:rsid w:val="007F2FE9"/>
    <w:rsid w:val="007F4597"/>
    <w:rsid w:val="007F4C79"/>
    <w:rsid w:val="008004CD"/>
    <w:rsid w:val="00810D1B"/>
    <w:rsid w:val="00812E21"/>
    <w:rsid w:val="0081507B"/>
    <w:rsid w:val="00815D52"/>
    <w:rsid w:val="00831DAD"/>
    <w:rsid w:val="008513FD"/>
    <w:rsid w:val="00853B1D"/>
    <w:rsid w:val="0085638C"/>
    <w:rsid w:val="00857BF6"/>
    <w:rsid w:val="00857CCA"/>
    <w:rsid w:val="00874E07"/>
    <w:rsid w:val="00874E20"/>
    <w:rsid w:val="0089386C"/>
    <w:rsid w:val="008B0F4D"/>
    <w:rsid w:val="008B45C0"/>
    <w:rsid w:val="008B4F90"/>
    <w:rsid w:val="008B56A7"/>
    <w:rsid w:val="008B7DA1"/>
    <w:rsid w:val="008C6CAA"/>
    <w:rsid w:val="008C6CE6"/>
    <w:rsid w:val="008C72A1"/>
    <w:rsid w:val="008E762D"/>
    <w:rsid w:val="009010FF"/>
    <w:rsid w:val="009034B5"/>
    <w:rsid w:val="00904754"/>
    <w:rsid w:val="00914C34"/>
    <w:rsid w:val="00915E76"/>
    <w:rsid w:val="00920F0B"/>
    <w:rsid w:val="00922F68"/>
    <w:rsid w:val="00924893"/>
    <w:rsid w:val="009325E8"/>
    <w:rsid w:val="00936D41"/>
    <w:rsid w:val="00960F75"/>
    <w:rsid w:val="009631D0"/>
    <w:rsid w:val="00965B94"/>
    <w:rsid w:val="00970246"/>
    <w:rsid w:val="00976201"/>
    <w:rsid w:val="00976545"/>
    <w:rsid w:val="00977A1D"/>
    <w:rsid w:val="00977E92"/>
    <w:rsid w:val="00983825"/>
    <w:rsid w:val="00983BC7"/>
    <w:rsid w:val="00984A65"/>
    <w:rsid w:val="009855C0"/>
    <w:rsid w:val="00995395"/>
    <w:rsid w:val="0099634D"/>
    <w:rsid w:val="009A2D24"/>
    <w:rsid w:val="009A5785"/>
    <w:rsid w:val="009C3F96"/>
    <w:rsid w:val="009C51AD"/>
    <w:rsid w:val="009C597A"/>
    <w:rsid w:val="009D5F32"/>
    <w:rsid w:val="009D6DC0"/>
    <w:rsid w:val="009E186E"/>
    <w:rsid w:val="009F5F71"/>
    <w:rsid w:val="00A1174D"/>
    <w:rsid w:val="00A1522A"/>
    <w:rsid w:val="00A16117"/>
    <w:rsid w:val="00A216AE"/>
    <w:rsid w:val="00A24EEC"/>
    <w:rsid w:val="00A31D8C"/>
    <w:rsid w:val="00A33A1B"/>
    <w:rsid w:val="00A33CE7"/>
    <w:rsid w:val="00A35075"/>
    <w:rsid w:val="00A44C06"/>
    <w:rsid w:val="00A45547"/>
    <w:rsid w:val="00A514FF"/>
    <w:rsid w:val="00A52379"/>
    <w:rsid w:val="00A55FC9"/>
    <w:rsid w:val="00A56DCF"/>
    <w:rsid w:val="00A65E6F"/>
    <w:rsid w:val="00A72388"/>
    <w:rsid w:val="00A746DA"/>
    <w:rsid w:val="00A752D0"/>
    <w:rsid w:val="00A768B4"/>
    <w:rsid w:val="00A83C6C"/>
    <w:rsid w:val="00AA2761"/>
    <w:rsid w:val="00AA3257"/>
    <w:rsid w:val="00AA3F39"/>
    <w:rsid w:val="00AB33C4"/>
    <w:rsid w:val="00AC3603"/>
    <w:rsid w:val="00AC6FA1"/>
    <w:rsid w:val="00AD305E"/>
    <w:rsid w:val="00AE2789"/>
    <w:rsid w:val="00B00412"/>
    <w:rsid w:val="00B04D23"/>
    <w:rsid w:val="00B100B6"/>
    <w:rsid w:val="00B1196F"/>
    <w:rsid w:val="00B11CD1"/>
    <w:rsid w:val="00B20577"/>
    <w:rsid w:val="00B206C2"/>
    <w:rsid w:val="00B22660"/>
    <w:rsid w:val="00B26BDF"/>
    <w:rsid w:val="00B300CD"/>
    <w:rsid w:val="00B30CC9"/>
    <w:rsid w:val="00B360E4"/>
    <w:rsid w:val="00B609F6"/>
    <w:rsid w:val="00B641E7"/>
    <w:rsid w:val="00B66F22"/>
    <w:rsid w:val="00B70DF5"/>
    <w:rsid w:val="00B9093C"/>
    <w:rsid w:val="00B97D3A"/>
    <w:rsid w:val="00BA2C45"/>
    <w:rsid w:val="00BA6529"/>
    <w:rsid w:val="00BA6E2D"/>
    <w:rsid w:val="00BA7EDB"/>
    <w:rsid w:val="00BB17A0"/>
    <w:rsid w:val="00BC1F68"/>
    <w:rsid w:val="00BC2AC9"/>
    <w:rsid w:val="00BC43E5"/>
    <w:rsid w:val="00BC4BEB"/>
    <w:rsid w:val="00BC6446"/>
    <w:rsid w:val="00BE65BF"/>
    <w:rsid w:val="00BE7767"/>
    <w:rsid w:val="00BF4A42"/>
    <w:rsid w:val="00C0011A"/>
    <w:rsid w:val="00C053EA"/>
    <w:rsid w:val="00C42121"/>
    <w:rsid w:val="00C45117"/>
    <w:rsid w:val="00C46A94"/>
    <w:rsid w:val="00C506CD"/>
    <w:rsid w:val="00C51702"/>
    <w:rsid w:val="00C60ED3"/>
    <w:rsid w:val="00C72127"/>
    <w:rsid w:val="00C72467"/>
    <w:rsid w:val="00C76B12"/>
    <w:rsid w:val="00C832D7"/>
    <w:rsid w:val="00C83B15"/>
    <w:rsid w:val="00C84677"/>
    <w:rsid w:val="00C901FA"/>
    <w:rsid w:val="00C95709"/>
    <w:rsid w:val="00CA2E3C"/>
    <w:rsid w:val="00CA35C5"/>
    <w:rsid w:val="00CB1460"/>
    <w:rsid w:val="00CB16D0"/>
    <w:rsid w:val="00CB415E"/>
    <w:rsid w:val="00CC0328"/>
    <w:rsid w:val="00CC56AC"/>
    <w:rsid w:val="00CE4F1A"/>
    <w:rsid w:val="00CF4045"/>
    <w:rsid w:val="00CF5D79"/>
    <w:rsid w:val="00D004C7"/>
    <w:rsid w:val="00D03443"/>
    <w:rsid w:val="00D276EE"/>
    <w:rsid w:val="00D3359F"/>
    <w:rsid w:val="00D433FC"/>
    <w:rsid w:val="00D513EE"/>
    <w:rsid w:val="00D55289"/>
    <w:rsid w:val="00D555D1"/>
    <w:rsid w:val="00D57EB3"/>
    <w:rsid w:val="00D642ED"/>
    <w:rsid w:val="00D71501"/>
    <w:rsid w:val="00D71E24"/>
    <w:rsid w:val="00D73F00"/>
    <w:rsid w:val="00D75BCE"/>
    <w:rsid w:val="00D8240B"/>
    <w:rsid w:val="00D92CB2"/>
    <w:rsid w:val="00D95731"/>
    <w:rsid w:val="00DA0269"/>
    <w:rsid w:val="00DA21C4"/>
    <w:rsid w:val="00DA70AB"/>
    <w:rsid w:val="00DB282B"/>
    <w:rsid w:val="00DB3D08"/>
    <w:rsid w:val="00DB6B4B"/>
    <w:rsid w:val="00DC20E3"/>
    <w:rsid w:val="00DC3CF0"/>
    <w:rsid w:val="00DC56C6"/>
    <w:rsid w:val="00DD14A6"/>
    <w:rsid w:val="00DD15F2"/>
    <w:rsid w:val="00DD3BC8"/>
    <w:rsid w:val="00DE0D69"/>
    <w:rsid w:val="00DF1795"/>
    <w:rsid w:val="00DF31F9"/>
    <w:rsid w:val="00DF4D0C"/>
    <w:rsid w:val="00DF4F92"/>
    <w:rsid w:val="00DF5A68"/>
    <w:rsid w:val="00E038F8"/>
    <w:rsid w:val="00E03EE1"/>
    <w:rsid w:val="00E102BA"/>
    <w:rsid w:val="00E1323D"/>
    <w:rsid w:val="00E17F81"/>
    <w:rsid w:val="00E3058C"/>
    <w:rsid w:val="00E32616"/>
    <w:rsid w:val="00E36096"/>
    <w:rsid w:val="00E40CBA"/>
    <w:rsid w:val="00E52C13"/>
    <w:rsid w:val="00E6687C"/>
    <w:rsid w:val="00E719A2"/>
    <w:rsid w:val="00E76861"/>
    <w:rsid w:val="00E90723"/>
    <w:rsid w:val="00E970EF"/>
    <w:rsid w:val="00EA0A4B"/>
    <w:rsid w:val="00EA4715"/>
    <w:rsid w:val="00EA6A5F"/>
    <w:rsid w:val="00EB0709"/>
    <w:rsid w:val="00EB3150"/>
    <w:rsid w:val="00EC2D90"/>
    <w:rsid w:val="00EC46D7"/>
    <w:rsid w:val="00ED1B07"/>
    <w:rsid w:val="00ED2D73"/>
    <w:rsid w:val="00ED4F8F"/>
    <w:rsid w:val="00EE09A5"/>
    <w:rsid w:val="00EE3ACC"/>
    <w:rsid w:val="00EE5B69"/>
    <w:rsid w:val="00EE5DA5"/>
    <w:rsid w:val="00EE6B0B"/>
    <w:rsid w:val="00EF42DB"/>
    <w:rsid w:val="00EF64C9"/>
    <w:rsid w:val="00EF7EDB"/>
    <w:rsid w:val="00F02CBD"/>
    <w:rsid w:val="00F07564"/>
    <w:rsid w:val="00F1229E"/>
    <w:rsid w:val="00F32023"/>
    <w:rsid w:val="00F41E9E"/>
    <w:rsid w:val="00F44230"/>
    <w:rsid w:val="00F50019"/>
    <w:rsid w:val="00F50232"/>
    <w:rsid w:val="00F65126"/>
    <w:rsid w:val="00F77903"/>
    <w:rsid w:val="00F77D2C"/>
    <w:rsid w:val="00F818F4"/>
    <w:rsid w:val="00F96BA4"/>
    <w:rsid w:val="00FA0445"/>
    <w:rsid w:val="00FA7801"/>
    <w:rsid w:val="00FB5192"/>
    <w:rsid w:val="00FB51F2"/>
    <w:rsid w:val="00FB77E4"/>
    <w:rsid w:val="00FC2D20"/>
    <w:rsid w:val="00FD0314"/>
    <w:rsid w:val="00FE17AE"/>
    <w:rsid w:val="00FE7415"/>
    <w:rsid w:val="00FF10B3"/>
    <w:rsid w:val="00FF1B61"/>
    <w:rsid w:val="00FF3776"/>
    <w:rsid w:val="00FF3818"/>
    <w:rsid w:val="01487061"/>
    <w:rsid w:val="01AF0FA9"/>
    <w:rsid w:val="02426045"/>
    <w:rsid w:val="032267C5"/>
    <w:rsid w:val="03394EB3"/>
    <w:rsid w:val="038B0BE4"/>
    <w:rsid w:val="03B43782"/>
    <w:rsid w:val="040524AF"/>
    <w:rsid w:val="054364CA"/>
    <w:rsid w:val="056C1701"/>
    <w:rsid w:val="060D1C38"/>
    <w:rsid w:val="068B0248"/>
    <w:rsid w:val="0773278F"/>
    <w:rsid w:val="07BE5FBE"/>
    <w:rsid w:val="08142B30"/>
    <w:rsid w:val="088F3F06"/>
    <w:rsid w:val="09443E78"/>
    <w:rsid w:val="09511DA2"/>
    <w:rsid w:val="09E42D3F"/>
    <w:rsid w:val="0A840220"/>
    <w:rsid w:val="0AF15068"/>
    <w:rsid w:val="0B09531E"/>
    <w:rsid w:val="0B314453"/>
    <w:rsid w:val="0B34242D"/>
    <w:rsid w:val="0B6C7DF0"/>
    <w:rsid w:val="0BED1555"/>
    <w:rsid w:val="0C663C22"/>
    <w:rsid w:val="0DD5193B"/>
    <w:rsid w:val="0EB956A6"/>
    <w:rsid w:val="0EC97DF0"/>
    <w:rsid w:val="0EE824FC"/>
    <w:rsid w:val="0F0A5D32"/>
    <w:rsid w:val="0FDB1683"/>
    <w:rsid w:val="12684C01"/>
    <w:rsid w:val="13245027"/>
    <w:rsid w:val="133E68CE"/>
    <w:rsid w:val="13C052D2"/>
    <w:rsid w:val="15802F26"/>
    <w:rsid w:val="163B69CA"/>
    <w:rsid w:val="171406F0"/>
    <w:rsid w:val="173443C0"/>
    <w:rsid w:val="1738638F"/>
    <w:rsid w:val="173E35D9"/>
    <w:rsid w:val="1810010C"/>
    <w:rsid w:val="182E7B7F"/>
    <w:rsid w:val="185F53B2"/>
    <w:rsid w:val="18764DB9"/>
    <w:rsid w:val="18D72D4C"/>
    <w:rsid w:val="18E52921"/>
    <w:rsid w:val="18FE664D"/>
    <w:rsid w:val="198025E9"/>
    <w:rsid w:val="19E05346"/>
    <w:rsid w:val="1AB7156E"/>
    <w:rsid w:val="1AC63EDE"/>
    <w:rsid w:val="1AE30D55"/>
    <w:rsid w:val="1BBD2727"/>
    <w:rsid w:val="1BDB5057"/>
    <w:rsid w:val="1C363465"/>
    <w:rsid w:val="1C7D60F5"/>
    <w:rsid w:val="1D4269F1"/>
    <w:rsid w:val="1DE84EB6"/>
    <w:rsid w:val="1E777AE3"/>
    <w:rsid w:val="1EF36406"/>
    <w:rsid w:val="1F010B23"/>
    <w:rsid w:val="1F400253"/>
    <w:rsid w:val="1FA95974"/>
    <w:rsid w:val="1FC842EF"/>
    <w:rsid w:val="1FEF5EBC"/>
    <w:rsid w:val="20320275"/>
    <w:rsid w:val="203F5521"/>
    <w:rsid w:val="21E36FD6"/>
    <w:rsid w:val="223D1088"/>
    <w:rsid w:val="22E274E2"/>
    <w:rsid w:val="23377CE5"/>
    <w:rsid w:val="236E409B"/>
    <w:rsid w:val="23B47255"/>
    <w:rsid w:val="23D749CD"/>
    <w:rsid w:val="24247062"/>
    <w:rsid w:val="24573F09"/>
    <w:rsid w:val="24C655E3"/>
    <w:rsid w:val="26380E54"/>
    <w:rsid w:val="265C3A2B"/>
    <w:rsid w:val="27852B4B"/>
    <w:rsid w:val="28A95B4A"/>
    <w:rsid w:val="2A6919D5"/>
    <w:rsid w:val="2A840D92"/>
    <w:rsid w:val="2B754AE2"/>
    <w:rsid w:val="2BB1498D"/>
    <w:rsid w:val="2BF0305D"/>
    <w:rsid w:val="2C5414C5"/>
    <w:rsid w:val="2CD6751E"/>
    <w:rsid w:val="2E51306F"/>
    <w:rsid w:val="2FA67BF2"/>
    <w:rsid w:val="2FDB727B"/>
    <w:rsid w:val="30ED5BDC"/>
    <w:rsid w:val="31AD12EB"/>
    <w:rsid w:val="32980E11"/>
    <w:rsid w:val="32AB482D"/>
    <w:rsid w:val="32CB5278"/>
    <w:rsid w:val="32F934CA"/>
    <w:rsid w:val="332E45A6"/>
    <w:rsid w:val="34F45C4A"/>
    <w:rsid w:val="351275CF"/>
    <w:rsid w:val="35897434"/>
    <w:rsid w:val="359720A2"/>
    <w:rsid w:val="35F16A50"/>
    <w:rsid w:val="36AE1139"/>
    <w:rsid w:val="36B33AD2"/>
    <w:rsid w:val="36D925EC"/>
    <w:rsid w:val="36E14954"/>
    <w:rsid w:val="371E3BB0"/>
    <w:rsid w:val="373D426B"/>
    <w:rsid w:val="377736C0"/>
    <w:rsid w:val="37E666C3"/>
    <w:rsid w:val="37E8001F"/>
    <w:rsid w:val="383E43AA"/>
    <w:rsid w:val="3949409C"/>
    <w:rsid w:val="3A2C5FBD"/>
    <w:rsid w:val="3A8C64CC"/>
    <w:rsid w:val="3BB91EBE"/>
    <w:rsid w:val="3C37397E"/>
    <w:rsid w:val="3D1C7F1B"/>
    <w:rsid w:val="3D5C21AD"/>
    <w:rsid w:val="3D6954AB"/>
    <w:rsid w:val="3D9B1D3F"/>
    <w:rsid w:val="3DAB2A6B"/>
    <w:rsid w:val="3DB26200"/>
    <w:rsid w:val="3DC42FED"/>
    <w:rsid w:val="3DD903AE"/>
    <w:rsid w:val="3E1F324B"/>
    <w:rsid w:val="3EC14E03"/>
    <w:rsid w:val="3EFD0109"/>
    <w:rsid w:val="4001449D"/>
    <w:rsid w:val="405826F1"/>
    <w:rsid w:val="408F4236"/>
    <w:rsid w:val="40BB648C"/>
    <w:rsid w:val="41154469"/>
    <w:rsid w:val="415D7373"/>
    <w:rsid w:val="419C22BA"/>
    <w:rsid w:val="42367940"/>
    <w:rsid w:val="4238547C"/>
    <w:rsid w:val="42643E62"/>
    <w:rsid w:val="427A5E79"/>
    <w:rsid w:val="42914468"/>
    <w:rsid w:val="441A7E0D"/>
    <w:rsid w:val="45344A49"/>
    <w:rsid w:val="46373204"/>
    <w:rsid w:val="468F3DEB"/>
    <w:rsid w:val="46A664CF"/>
    <w:rsid w:val="46E75FA1"/>
    <w:rsid w:val="46F9684D"/>
    <w:rsid w:val="472B1973"/>
    <w:rsid w:val="4760771F"/>
    <w:rsid w:val="482024E1"/>
    <w:rsid w:val="48E715AA"/>
    <w:rsid w:val="494C7070"/>
    <w:rsid w:val="496E39C4"/>
    <w:rsid w:val="49A01A1A"/>
    <w:rsid w:val="49B55A4F"/>
    <w:rsid w:val="49B854B7"/>
    <w:rsid w:val="49BE314A"/>
    <w:rsid w:val="49EA5F2D"/>
    <w:rsid w:val="4A4F31DD"/>
    <w:rsid w:val="4B7158BB"/>
    <w:rsid w:val="4BCF5981"/>
    <w:rsid w:val="4E660621"/>
    <w:rsid w:val="4EAA42E0"/>
    <w:rsid w:val="4ED3578A"/>
    <w:rsid w:val="4F4E5D40"/>
    <w:rsid w:val="4F615D87"/>
    <w:rsid w:val="4F8B2F10"/>
    <w:rsid w:val="4FC77DED"/>
    <w:rsid w:val="502325BA"/>
    <w:rsid w:val="50415A8A"/>
    <w:rsid w:val="513A0713"/>
    <w:rsid w:val="523E2622"/>
    <w:rsid w:val="52474F88"/>
    <w:rsid w:val="52E5328C"/>
    <w:rsid w:val="52F02227"/>
    <w:rsid w:val="52F81FD3"/>
    <w:rsid w:val="53C82AAD"/>
    <w:rsid w:val="54015BD8"/>
    <w:rsid w:val="540C5A25"/>
    <w:rsid w:val="542A2D23"/>
    <w:rsid w:val="57E81579"/>
    <w:rsid w:val="57F542EF"/>
    <w:rsid w:val="5A070D39"/>
    <w:rsid w:val="5A1107A6"/>
    <w:rsid w:val="5A8E4C59"/>
    <w:rsid w:val="5AD7541B"/>
    <w:rsid w:val="5B6114A0"/>
    <w:rsid w:val="5B6F4DBA"/>
    <w:rsid w:val="5C4C219D"/>
    <w:rsid w:val="5D210677"/>
    <w:rsid w:val="5D3E036F"/>
    <w:rsid w:val="5D594223"/>
    <w:rsid w:val="5DAA63AF"/>
    <w:rsid w:val="5E5C67B8"/>
    <w:rsid w:val="5EB72EC4"/>
    <w:rsid w:val="5F4918E1"/>
    <w:rsid w:val="5F8B6BD3"/>
    <w:rsid w:val="5FA4640F"/>
    <w:rsid w:val="60083646"/>
    <w:rsid w:val="61522490"/>
    <w:rsid w:val="61BC23E4"/>
    <w:rsid w:val="624C665D"/>
    <w:rsid w:val="62582A4B"/>
    <w:rsid w:val="6346054E"/>
    <w:rsid w:val="6410419D"/>
    <w:rsid w:val="65253563"/>
    <w:rsid w:val="65555F2D"/>
    <w:rsid w:val="65AC14A6"/>
    <w:rsid w:val="663568D1"/>
    <w:rsid w:val="66EB5292"/>
    <w:rsid w:val="675F3576"/>
    <w:rsid w:val="67EC2E8C"/>
    <w:rsid w:val="68046BD5"/>
    <w:rsid w:val="68637725"/>
    <w:rsid w:val="69EB1780"/>
    <w:rsid w:val="69F53338"/>
    <w:rsid w:val="6B9F49B0"/>
    <w:rsid w:val="6BBE388F"/>
    <w:rsid w:val="6C0F502A"/>
    <w:rsid w:val="6CBA4EFF"/>
    <w:rsid w:val="6D787605"/>
    <w:rsid w:val="6D875B2D"/>
    <w:rsid w:val="6EB040B0"/>
    <w:rsid w:val="6FAF19A4"/>
    <w:rsid w:val="70332922"/>
    <w:rsid w:val="70A64C33"/>
    <w:rsid w:val="70D96CB3"/>
    <w:rsid w:val="71062962"/>
    <w:rsid w:val="71D36EE8"/>
    <w:rsid w:val="73E62F06"/>
    <w:rsid w:val="74F60331"/>
    <w:rsid w:val="7582432C"/>
    <w:rsid w:val="75A40B79"/>
    <w:rsid w:val="75D9554D"/>
    <w:rsid w:val="75F502E9"/>
    <w:rsid w:val="76026E55"/>
    <w:rsid w:val="77F97E03"/>
    <w:rsid w:val="78224CE1"/>
    <w:rsid w:val="790D6E35"/>
    <w:rsid w:val="79817D4E"/>
    <w:rsid w:val="79AC7D76"/>
    <w:rsid w:val="7A7D7043"/>
    <w:rsid w:val="7AF01457"/>
    <w:rsid w:val="7B163308"/>
    <w:rsid w:val="7B1D5470"/>
    <w:rsid w:val="7B1F3B62"/>
    <w:rsid w:val="7BF7501C"/>
    <w:rsid w:val="7D2338F0"/>
    <w:rsid w:val="7D8B4C1B"/>
    <w:rsid w:val="7DA3733B"/>
    <w:rsid w:val="7E2C1065"/>
    <w:rsid w:val="7E4763FE"/>
    <w:rsid w:val="7F710522"/>
    <w:rsid w:val="7FBA01D5"/>
    <w:rsid w:val="7FD91C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iPriority="0" w:name="footnote text"/>
    <w:lsdException w:qFormat="1"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1"/>
    <w:unhideWhenUsed/>
    <w:qFormat/>
    <w:uiPriority w:val="0"/>
    <w:pPr>
      <w:jc w:val="left"/>
    </w:pPr>
  </w:style>
  <w:style w:type="paragraph" w:styleId="3">
    <w:name w:val="Balloon Text"/>
    <w:basedOn w:val="1"/>
    <w:link w:val="19"/>
    <w:semiHidden/>
    <w:unhideWhenUsed/>
    <w:qFormat/>
    <w:uiPriority w:val="0"/>
    <w:rPr>
      <w:sz w:val="18"/>
      <w:szCs w:val="18"/>
    </w:rPr>
  </w:style>
  <w:style w:type="paragraph" w:styleId="4">
    <w:name w:val="footer"/>
    <w:basedOn w:val="1"/>
    <w:link w:val="17"/>
    <w:qFormat/>
    <w:uiPriority w:val="99"/>
    <w:pPr>
      <w:tabs>
        <w:tab w:val="center" w:pos="4153"/>
        <w:tab w:val="right" w:pos="8306"/>
      </w:tabs>
      <w:snapToGrid w:val="0"/>
      <w:jc w:val="left"/>
    </w:pPr>
    <w:rPr>
      <w:sz w:val="18"/>
      <w:szCs w:val="18"/>
    </w:rPr>
  </w:style>
  <w:style w:type="paragraph" w:styleId="5">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6">
    <w:name w:val="footnote text"/>
    <w:basedOn w:val="1"/>
    <w:link w:val="27"/>
    <w:semiHidden/>
    <w:unhideWhenUsed/>
    <w:qFormat/>
    <w:uiPriority w:val="0"/>
    <w:pPr>
      <w:snapToGrid w:val="0"/>
      <w:jc w:val="left"/>
    </w:pPr>
    <w:rPr>
      <w:sz w:val="18"/>
      <w:szCs w:val="18"/>
    </w:rPr>
  </w:style>
  <w:style w:type="paragraph" w:styleId="7">
    <w:name w:val="Normal (Web)"/>
    <w:basedOn w:val="1"/>
    <w:semiHidden/>
    <w:unhideWhenUsed/>
    <w:qFormat/>
    <w:uiPriority w:val="0"/>
    <w:pPr>
      <w:spacing w:beforeAutospacing="1" w:afterAutospacing="1"/>
      <w:jc w:val="left"/>
    </w:pPr>
    <w:rPr>
      <w:kern w:val="0"/>
      <w:sz w:val="24"/>
    </w:rPr>
  </w:style>
  <w:style w:type="paragraph" w:styleId="8">
    <w:name w:val="annotation subject"/>
    <w:basedOn w:val="2"/>
    <w:next w:val="2"/>
    <w:link w:val="22"/>
    <w:semiHidden/>
    <w:unhideWhenUsed/>
    <w:qFormat/>
    <w:uiPriority w:val="0"/>
    <w:rPr>
      <w:b/>
      <w:bCs/>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000FF"/>
      <w:u w:val="single"/>
    </w:rPr>
  </w:style>
  <w:style w:type="character" w:styleId="13">
    <w:name w:val="annotation reference"/>
    <w:basedOn w:val="11"/>
    <w:semiHidden/>
    <w:unhideWhenUsed/>
    <w:qFormat/>
    <w:uiPriority w:val="0"/>
    <w:rPr>
      <w:sz w:val="21"/>
      <w:szCs w:val="21"/>
    </w:rPr>
  </w:style>
  <w:style w:type="character" w:styleId="14">
    <w:name w:val="footnote reference"/>
    <w:basedOn w:val="11"/>
    <w:semiHidden/>
    <w:unhideWhenUsed/>
    <w:qFormat/>
    <w:uiPriority w:val="0"/>
    <w:rPr>
      <w:vertAlign w:val="superscript"/>
    </w:rPr>
  </w:style>
  <w:style w:type="paragraph" w:styleId="15">
    <w:name w:val="List Paragraph"/>
    <w:basedOn w:val="1"/>
    <w:qFormat/>
    <w:uiPriority w:val="34"/>
    <w:pPr>
      <w:ind w:firstLine="420" w:firstLineChars="200"/>
    </w:pPr>
  </w:style>
  <w:style w:type="character" w:customStyle="1" w:styleId="16">
    <w:name w:val="页眉 字符"/>
    <w:basedOn w:val="11"/>
    <w:link w:val="5"/>
    <w:qFormat/>
    <w:uiPriority w:val="0"/>
    <w:rPr>
      <w:kern w:val="2"/>
      <w:sz w:val="18"/>
      <w:szCs w:val="18"/>
    </w:rPr>
  </w:style>
  <w:style w:type="character" w:customStyle="1" w:styleId="17">
    <w:name w:val="页脚 字符"/>
    <w:basedOn w:val="11"/>
    <w:link w:val="4"/>
    <w:qFormat/>
    <w:uiPriority w:val="99"/>
    <w:rPr>
      <w:kern w:val="2"/>
      <w:sz w:val="18"/>
      <w:szCs w:val="18"/>
    </w:rPr>
  </w:style>
  <w:style w:type="paragraph" w:customStyle="1" w:styleId="1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9">
    <w:name w:val="批注框文本 字符"/>
    <w:basedOn w:val="11"/>
    <w:link w:val="3"/>
    <w:semiHidden/>
    <w:qFormat/>
    <w:uiPriority w:val="0"/>
    <w:rPr>
      <w:kern w:val="2"/>
      <w:sz w:val="18"/>
      <w:szCs w:val="18"/>
    </w:rPr>
  </w:style>
  <w:style w:type="paragraph" w:customStyle="1" w:styleId="20">
    <w:name w:val="修订1"/>
    <w:hidden/>
    <w:unhideWhenUsed/>
    <w:qFormat/>
    <w:uiPriority w:val="99"/>
    <w:rPr>
      <w:rFonts w:ascii="Times New Roman" w:hAnsi="Times New Roman" w:eastAsia="宋体" w:cs="Times New Roman"/>
      <w:kern w:val="2"/>
      <w:sz w:val="21"/>
      <w:lang w:val="en-US" w:eastAsia="zh-CN" w:bidi="ar-SA"/>
    </w:rPr>
  </w:style>
  <w:style w:type="character" w:customStyle="1" w:styleId="21">
    <w:name w:val="批注文字 字符"/>
    <w:basedOn w:val="11"/>
    <w:link w:val="2"/>
    <w:qFormat/>
    <w:uiPriority w:val="0"/>
    <w:rPr>
      <w:kern w:val="2"/>
      <w:sz w:val="21"/>
    </w:rPr>
  </w:style>
  <w:style w:type="character" w:customStyle="1" w:styleId="22">
    <w:name w:val="批注主题 字符"/>
    <w:basedOn w:val="21"/>
    <w:link w:val="8"/>
    <w:semiHidden/>
    <w:qFormat/>
    <w:uiPriority w:val="0"/>
    <w:rPr>
      <w:b/>
      <w:bCs/>
      <w:kern w:val="2"/>
      <w:sz w:val="21"/>
    </w:rPr>
  </w:style>
  <w:style w:type="paragraph" w:customStyle="1" w:styleId="23">
    <w:name w:val="005正文"/>
    <w:link w:val="24"/>
    <w:qFormat/>
    <w:uiPriority w:val="0"/>
    <w:pPr>
      <w:widowControl w:val="0"/>
      <w:spacing w:before="50" w:beforeLines="50" w:line="360" w:lineRule="auto"/>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24">
    <w:name w:val="005正文 Char"/>
    <w:link w:val="23"/>
    <w:qFormat/>
    <w:uiPriority w:val="0"/>
    <w:rPr>
      <w:kern w:val="2"/>
      <w:sz w:val="24"/>
      <w:szCs w:val="22"/>
    </w:rPr>
  </w:style>
  <w:style w:type="paragraph" w:customStyle="1" w:styleId="25">
    <w:name w:val="003三级标题"/>
    <w:link w:val="26"/>
    <w:qFormat/>
    <w:uiPriority w:val="0"/>
    <w:pPr>
      <w:keepNext/>
      <w:keepLines/>
      <w:widowControl w:val="0"/>
      <w:spacing w:before="50" w:beforeLines="50" w:after="50" w:afterLines="50" w:line="360" w:lineRule="auto"/>
      <w:jc w:val="both"/>
      <w:outlineLvl w:val="2"/>
    </w:pPr>
    <w:rPr>
      <w:rFonts w:ascii="Times New Roman" w:hAnsi="Times New Roman" w:eastAsia="黑体" w:cs="Times New Roman"/>
      <w:b/>
      <w:bCs/>
      <w:kern w:val="2"/>
      <w:sz w:val="24"/>
      <w:szCs w:val="28"/>
      <w:lang w:val="en-US" w:eastAsia="zh-CN" w:bidi="ar-SA"/>
    </w:rPr>
  </w:style>
  <w:style w:type="character" w:customStyle="1" w:styleId="26">
    <w:name w:val="003三级标题 Char"/>
    <w:link w:val="25"/>
    <w:qFormat/>
    <w:uiPriority w:val="0"/>
    <w:rPr>
      <w:rFonts w:eastAsia="黑体"/>
      <w:b/>
      <w:bCs/>
      <w:kern w:val="2"/>
      <w:sz w:val="24"/>
      <w:szCs w:val="28"/>
    </w:rPr>
  </w:style>
  <w:style w:type="character" w:customStyle="1" w:styleId="27">
    <w:name w:val="脚注文本 字符"/>
    <w:basedOn w:val="11"/>
    <w:link w:val="6"/>
    <w:semiHidden/>
    <w:qFormat/>
    <w:uiPriority w:val="0"/>
    <w:rPr>
      <w:kern w:val="2"/>
      <w:sz w:val="18"/>
      <w:szCs w:val="18"/>
    </w:rPr>
  </w:style>
  <w:style w:type="paragraph" w:customStyle="1" w:styleId="28">
    <w:name w:val="修订2"/>
    <w:hidden/>
    <w:unhideWhenUsed/>
    <w:qFormat/>
    <w:uiPriority w:val="99"/>
    <w:rPr>
      <w:rFonts w:ascii="Times New Roman" w:hAnsi="Times New Roman" w:eastAsia="宋体" w:cs="Times New Roman"/>
      <w:kern w:val="2"/>
      <w:sz w:val="21"/>
      <w:lang w:val="en-US" w:eastAsia="zh-CN" w:bidi="ar-SA"/>
    </w:rPr>
  </w:style>
  <w:style w:type="paragraph" w:customStyle="1" w:styleId="29">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E88DB-6DD5-4D3B-A64A-E68EE3173E1E}">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Pages>
  <Words>6001</Words>
  <Characters>7030</Characters>
  <Lines>287</Lines>
  <Paragraphs>324</Paragraphs>
  <TotalTime>2</TotalTime>
  <ScaleCrop>false</ScaleCrop>
  <LinksUpToDate>false</LinksUpToDate>
  <CharactersWithSpaces>7094</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2024-09-13T06:23:00Z</dcterms:created>
  <dc:creator>卢炫伶</dc:creator>
  <cp:lastModifiedBy>雯亦</cp:lastModifiedBy>
  <cp:lastPrinted>2024-09-14T03:09:00Z</cp:lastPrinted>
  <dcterms:modified xsi:type="dcterms:W3CDTF">2026-09-02T09:33:12Z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43A224362EBE490AB56199E22CF12BC5_11</vt:lpwstr>
  </property>
  <property fmtid="{D5CDD505-2E9C-101B-9397-08002B2CF9AE}" pid="4" name="MSIP_Label_defa4170-0d19-0005-0004-bc88714345d2_Enabled">
    <vt:lpwstr>true</vt:lpwstr>
  </property>
  <property fmtid="{D5CDD505-2E9C-101B-9397-08002B2CF9AE}" pid="5" name="MSIP_Label_defa4170-0d19-0005-0004-bc88714345d2_SetDate">
    <vt:lpwstr>2025-04-18T07:26:30Z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9e2f213d-c800-4318-8eb8-544d8ae269cb</vt:lpwstr>
  </property>
  <property fmtid="{D5CDD505-2E9C-101B-9397-08002B2CF9AE}" pid="9" name="MSIP_Label_defa4170-0d19-0005-0004-bc88714345d2_ActionId">
    <vt:lpwstr>ece3d4d1-9017-4138-9833-8247e3f4ad17</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KSOTemplateDocerSaveRecord">
    <vt:lpwstr>eyJoZGlkIjoiMzEwNTM5NzYwMDRjMzkwZTVkZjY2ODkwMGIxNGU0OTUiLCJ1c2VySWQiOiI0MzM1NTM4MDUifQ==</vt:lpwstr>
  </property>
</Properties>
</file>