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bCs/>
          <w:sz w:val="24"/>
          <w:szCs w:val="24"/>
        </w:rPr>
      </w:pPr>
      <w:r>
        <w:rPr>
          <w:rFonts w:hint="eastAsia" w:asciiTheme="minorEastAsia" w:hAnsiTheme="minorEastAsia"/>
          <w:bCs/>
          <w:sz w:val="24"/>
          <w:szCs w:val="24"/>
        </w:rPr>
        <w:t>证券代码：</w:t>
      </w:r>
      <w:sdt>
        <w:sdtPr>
          <w:rPr>
            <w:rFonts w:hint="eastAsia" w:asciiTheme="minorEastAsia" w:hAnsiTheme="minorEastAsia"/>
            <w:bCs/>
            <w:sz w:val="24"/>
            <w:szCs w:val="24"/>
          </w:rPr>
          <w:alias w:val="公司代码"/>
          <w:tag w:val="_GBC_62ef04c8e14e4c76b304f7775b7d8722"/>
          <w:id w:val="-1"/>
          <w:lock w:val="sdtLocked"/>
          <w:placeholder>
            <w:docPart w:val="GBC22222222222222222222222222222"/>
          </w:placeholder>
        </w:sdtPr>
        <w:sdtEndPr>
          <w:rPr>
            <w:rFonts w:hint="eastAsia" w:asciiTheme="minorEastAsia" w:hAnsiTheme="minorEastAsia"/>
            <w:bCs/>
            <w:sz w:val="24"/>
            <w:szCs w:val="24"/>
          </w:rPr>
        </w:sdtEndPr>
        <w:sdtContent>
          <w:r>
            <w:rPr>
              <w:rFonts w:hint="eastAsia" w:asciiTheme="minorEastAsia" w:hAnsiTheme="minorEastAsia"/>
              <w:bCs/>
              <w:sz w:val="24"/>
              <w:szCs w:val="24"/>
            </w:rPr>
            <w:t>603191</w:t>
          </w:r>
        </w:sdtContent>
      </w:sdt>
      <w:r>
        <w:rPr>
          <w:rFonts w:hint="eastAsia" w:asciiTheme="minorEastAsia" w:hAnsiTheme="minorEastAsia"/>
          <w:bCs/>
          <w:sz w:val="24"/>
          <w:szCs w:val="24"/>
        </w:rPr>
        <w:t xml:space="preserve">   </w:t>
      </w:r>
      <w:r>
        <w:rPr>
          <w:rFonts w:asciiTheme="minorEastAsia" w:hAnsiTheme="minorEastAsia"/>
          <w:bCs/>
          <w:sz w:val="24"/>
          <w:szCs w:val="24"/>
        </w:rPr>
        <w:t xml:space="preserve">    </w:t>
      </w:r>
      <w:r>
        <w:rPr>
          <w:rFonts w:hint="eastAsia" w:asciiTheme="minorEastAsia" w:hAnsiTheme="minorEastAsia"/>
          <w:bCs/>
          <w:sz w:val="24"/>
          <w:szCs w:val="24"/>
        </w:rPr>
        <w:t>证券简称：</w:t>
      </w:r>
      <w:sdt>
        <w:sdtPr>
          <w:rPr>
            <w:rFonts w:hint="eastAsia" w:asciiTheme="minorEastAsia" w:hAnsiTheme="minorEastAsia"/>
            <w:bCs/>
            <w:sz w:val="24"/>
            <w:szCs w:val="24"/>
          </w:rPr>
          <w:alias w:val="公司简称"/>
          <w:tag w:val="_GBC_81c31f6c68a741c1acb30ff1595bc381"/>
          <w:id w:val="273114740"/>
          <w:lock w:val="sdtLocked"/>
          <w:placeholder>
            <w:docPart w:val="GBC22222222222222222222222222222"/>
          </w:placeholder>
        </w:sdtPr>
        <w:sdtEndPr>
          <w:rPr>
            <w:rFonts w:hint="eastAsia" w:asciiTheme="minorEastAsia" w:hAnsiTheme="minorEastAsia"/>
            <w:bCs/>
            <w:sz w:val="24"/>
            <w:szCs w:val="24"/>
          </w:rPr>
        </w:sdtEndPr>
        <w:sdtContent>
          <w:r>
            <w:rPr>
              <w:rFonts w:hint="eastAsia" w:asciiTheme="minorEastAsia" w:hAnsiTheme="minorEastAsia"/>
              <w:bCs/>
              <w:sz w:val="24"/>
              <w:szCs w:val="24"/>
            </w:rPr>
            <w:t>望变电气</w:t>
          </w:r>
        </w:sdtContent>
      </w:sdt>
      <w:r>
        <w:rPr>
          <w:rFonts w:hint="eastAsia" w:asciiTheme="minorEastAsia" w:hAnsiTheme="minorEastAsia"/>
          <w:bCs/>
          <w:sz w:val="24"/>
          <w:szCs w:val="24"/>
        </w:rPr>
        <w:t xml:space="preserve">   </w:t>
      </w:r>
      <w:r>
        <w:rPr>
          <w:rFonts w:asciiTheme="minorEastAsia" w:hAnsiTheme="minorEastAsia"/>
          <w:bCs/>
          <w:sz w:val="24"/>
          <w:szCs w:val="24"/>
        </w:rPr>
        <w:t xml:space="preserve">     </w:t>
      </w:r>
      <w:r>
        <w:rPr>
          <w:rFonts w:hint="eastAsia" w:asciiTheme="minorEastAsia" w:hAnsiTheme="minorEastAsia"/>
          <w:bCs/>
          <w:sz w:val="24"/>
          <w:szCs w:val="24"/>
        </w:rPr>
        <w:t>公告编号：</w:t>
      </w:r>
      <w:sdt>
        <w:sdtPr>
          <w:rPr>
            <w:rFonts w:hint="eastAsia" w:asciiTheme="minorEastAsia" w:hAnsiTheme="minorEastAsia"/>
            <w:bCs/>
            <w:sz w:val="24"/>
            <w:szCs w:val="24"/>
          </w:rPr>
          <w:alias w:val="临时公告编号"/>
          <w:tag w:val="_GBC_51438e46cb944a2bb6b9cb5e9d53d512"/>
          <w:id w:val="1376890213"/>
          <w:lock w:val="sdtLocked"/>
          <w:placeholder>
            <w:docPart w:val="GBC22222222222222222222222222222"/>
          </w:placeholder>
        </w:sdtPr>
        <w:sdtEndPr>
          <w:rPr>
            <w:rFonts w:hint="default" w:asciiTheme="minorEastAsia" w:hAnsiTheme="minorEastAsia"/>
            <w:bCs/>
            <w:sz w:val="24"/>
            <w:szCs w:val="24"/>
          </w:rPr>
        </w:sdtEndPr>
        <w:sdtContent>
          <w:r>
            <w:rPr>
              <w:rFonts w:hint="eastAsia" w:asciiTheme="minorEastAsia" w:hAnsiTheme="minorEastAsia"/>
              <w:bCs/>
              <w:sz w:val="24"/>
              <w:szCs w:val="24"/>
            </w:rPr>
            <w:t>2026-040</w:t>
          </w:r>
        </w:sdtContent>
      </w:sdt>
    </w:p>
    <w:p>
      <w:pPr>
        <w:jc w:val="right"/>
        <w:rPr>
          <w:rFonts w:hint="eastAsia" w:asciiTheme="minorEastAsia" w:hAnsiTheme="minorEastAsia"/>
          <w:b/>
          <w:sz w:val="24"/>
          <w:szCs w:val="24"/>
        </w:rPr>
      </w:pPr>
    </w:p>
    <w:p>
      <w:pPr>
        <w:jc w:val="right"/>
        <w:rPr>
          <w:rFonts w:hint="eastAsia" w:asciiTheme="minorEastAsia" w:hAnsiTheme="minorEastAsia"/>
          <w:b/>
          <w:sz w:val="24"/>
          <w:szCs w:val="24"/>
        </w:rPr>
      </w:pPr>
    </w:p>
    <w:p>
      <w:pPr>
        <w:adjustRightInd w:val="0"/>
        <w:snapToGrid w:val="0"/>
        <w:spacing w:line="360" w:lineRule="auto"/>
        <w:jc w:val="center"/>
        <w:rPr>
          <w:rFonts w:hint="eastAsia" w:ascii="黑体" w:hAnsi="黑体" w:eastAsia="黑体"/>
          <w:b/>
          <w:color w:val="FF0000"/>
          <w:sz w:val="36"/>
          <w:szCs w:val="24"/>
        </w:rPr>
      </w:pPr>
      <w:r>
        <w:rPr>
          <w:rFonts w:hint="eastAsia" w:ascii="黑体" w:hAnsi="黑体" w:eastAsia="黑体"/>
          <w:b/>
          <w:color w:val="FF0000"/>
          <w:sz w:val="36"/>
          <w:szCs w:val="24"/>
        </w:rPr>
        <w:t>重庆望变电气（集团）股份有限公司</w:t>
      </w:r>
    </w:p>
    <w:p>
      <w:pPr>
        <w:adjustRightInd w:val="0"/>
        <w:snapToGrid w:val="0"/>
        <w:spacing w:line="360" w:lineRule="auto"/>
        <w:jc w:val="center"/>
        <w:rPr>
          <w:rFonts w:hint="eastAsia" w:ascii="黑体" w:hAnsi="黑体" w:eastAsia="黑体"/>
          <w:b/>
          <w:color w:val="FF0000"/>
          <w:sz w:val="36"/>
          <w:szCs w:val="24"/>
        </w:rPr>
      </w:pPr>
      <w:r>
        <w:rPr>
          <w:rFonts w:hint="eastAsia" w:ascii="黑体" w:hAnsi="黑体" w:eastAsia="黑体"/>
          <w:b/>
          <w:color w:val="FF0000"/>
          <w:sz w:val="36"/>
          <w:szCs w:val="24"/>
        </w:rPr>
        <w:t>2026年4月对子公司提供担保的进展公告</w:t>
      </w:r>
    </w:p>
    <w:p>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hint="eastAsia" w:asciiTheme="minorEastAsia" w:hAnsiTheme="minorEastAsia"/>
          <w:color w:val="000000"/>
          <w:sz w:val="24"/>
          <w:szCs w:val="24"/>
        </w:rPr>
      </w:pPr>
      <w:r>
        <w:rPr>
          <w:rFonts w:hint="eastAsia" w:asciiTheme="minorEastAsia" w:hAnsi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adjustRightInd w:val="0"/>
        <w:snapToGrid w:val="0"/>
        <w:spacing w:line="560" w:lineRule="exact"/>
        <w:ind w:firstLine="600"/>
        <w:jc w:val="right"/>
        <w:rPr>
          <w:rFonts w:hint="eastAsia" w:cs="仿宋_GB2312" w:asciiTheme="minorEastAsia" w:hAnsiTheme="minorEastAsia"/>
          <w:sz w:val="24"/>
          <w:szCs w:val="24"/>
        </w:rPr>
      </w:pPr>
    </w:p>
    <w:p>
      <w:pPr>
        <w:widowControl/>
        <w:adjustRightInd w:val="0"/>
        <w:snapToGrid w:val="0"/>
        <w:spacing w:line="560" w:lineRule="exact"/>
        <w:jc w:val="left"/>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重要内容提示：</w:t>
      </w:r>
    </w:p>
    <w:p>
      <w:pPr>
        <w:widowControl/>
        <w:numPr>
          <w:ilvl w:val="0"/>
          <w:numId w:val="1"/>
        </w:numPr>
        <w:adjustRightInd w:val="0"/>
        <w:snapToGrid w:val="0"/>
        <w:spacing w:line="560" w:lineRule="exact"/>
        <w:ind w:left="0" w:firstLine="482" w:firstLineChars="200"/>
        <w:jc w:val="left"/>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担保对象及基本情况</w:t>
      </w:r>
    </w:p>
    <w:tbl>
      <w:tblPr>
        <w:tblStyle w:val="12"/>
        <w:tblW w:w="4991" w:type="pct"/>
        <w:tblInd w:w="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4"/>
        <w:gridCol w:w="3490"/>
        <w:gridCol w:w="39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trPr>
        <w:tc>
          <w:tcPr>
            <w:tcW w:w="1075" w:type="dxa"/>
            <w:vMerge w:val="restart"/>
            <w:vAlign w:val="center"/>
          </w:tcPr>
          <w:p>
            <w:pPr>
              <w:widowControl/>
              <w:adjustRightInd w:val="0"/>
              <w:snapToGrid w:val="0"/>
              <w:rPr>
                <w:rFonts w:hint="eastAsia" w:asciiTheme="minorEastAsia" w:hAnsiTheme="minorEastAsia" w:cstheme="minorEastAsia"/>
                <w:b/>
                <w:bCs/>
                <w:color w:val="000000"/>
                <w:kern w:val="0"/>
                <w:sz w:val="24"/>
                <w:szCs w:val="24"/>
              </w:rPr>
            </w:pPr>
            <w:bookmarkStart w:id="0" w:name="OLE_LINK10"/>
            <w:bookmarkStart w:id="1" w:name="OLE_LINK11"/>
            <w:r>
              <w:rPr>
                <w:rFonts w:hint="eastAsia" w:asciiTheme="minorEastAsia" w:hAnsiTheme="minorEastAsia" w:cstheme="minorEastAsia"/>
                <w:b/>
                <w:bCs/>
                <w:color w:val="000000"/>
                <w:kern w:val="0"/>
                <w:sz w:val="24"/>
                <w:szCs w:val="24"/>
              </w:rPr>
              <w:t xml:space="preserve">担 </w:t>
            </w:r>
            <w:r>
              <w:rPr>
                <w:rFonts w:asciiTheme="minorEastAsia" w:hAnsiTheme="minorEastAsia" w:cstheme="minorEastAsia"/>
                <w:b/>
                <w:bCs/>
                <w:color w:val="000000"/>
                <w:kern w:val="0"/>
                <w:sz w:val="24"/>
                <w:szCs w:val="24"/>
              </w:rPr>
              <w:t xml:space="preserve"> </w:t>
            </w:r>
            <w:r>
              <w:rPr>
                <w:rFonts w:hint="eastAsia" w:asciiTheme="minorEastAsia" w:hAnsiTheme="minorEastAsia" w:cstheme="minorEastAsia"/>
                <w:b/>
                <w:bCs/>
                <w:color w:val="000000"/>
                <w:kern w:val="0"/>
                <w:sz w:val="24"/>
                <w:szCs w:val="24"/>
              </w:rPr>
              <w:t>保</w:t>
            </w:r>
          </w:p>
          <w:p>
            <w:pPr>
              <w:widowControl/>
              <w:adjustRightInd w:val="0"/>
              <w:snapToGrid w:val="0"/>
              <w:rPr>
                <w:rFonts w:hint="eastAsia"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 xml:space="preserve">对 </w:t>
            </w:r>
            <w:r>
              <w:rPr>
                <w:rFonts w:asciiTheme="minorEastAsia" w:hAnsiTheme="minorEastAsia" w:cstheme="minorEastAsia"/>
                <w:b/>
                <w:bCs/>
                <w:color w:val="000000"/>
                <w:kern w:val="0"/>
                <w:sz w:val="24"/>
                <w:szCs w:val="24"/>
              </w:rPr>
              <w:t xml:space="preserve"> </w:t>
            </w:r>
            <w:r>
              <w:rPr>
                <w:rFonts w:hint="eastAsia" w:asciiTheme="minorEastAsia" w:hAnsiTheme="minorEastAsia" w:cstheme="minorEastAsia"/>
                <w:b/>
                <w:bCs/>
                <w:color w:val="000000"/>
                <w:kern w:val="0"/>
                <w:sz w:val="24"/>
                <w:szCs w:val="24"/>
              </w:rPr>
              <w:t xml:space="preserve">象 </w:t>
            </w:r>
            <w:bookmarkEnd w:id="0"/>
            <w:bookmarkEnd w:id="1"/>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kern w:val="0"/>
                <w:sz w:val="24"/>
                <w:szCs w:val="24"/>
              </w:rPr>
              <w:t>被担保人名称</w:t>
            </w:r>
          </w:p>
        </w:tc>
        <w:tc>
          <w:tcPr>
            <w:tcW w:w="3809" w:type="dxa"/>
            <w:vAlign w:val="center"/>
          </w:tcPr>
          <w:p>
            <w:pPr>
              <w:widowControl/>
              <w:adjustRightInd w:val="0"/>
              <w:snapToGrid w:val="0"/>
              <w:rPr>
                <w:rFonts w:hint="eastAsia" w:asciiTheme="minorEastAsia" w:hAnsiTheme="minorEastAsia" w:cstheme="minorEastAsia"/>
                <w:color w:val="000000"/>
                <w:sz w:val="24"/>
                <w:szCs w:val="24"/>
              </w:rPr>
            </w:pPr>
            <w:r>
              <w:rPr>
                <w:rFonts w:ascii="宋体" w:hAnsi="宋体" w:cs="宋体"/>
                <w:sz w:val="24"/>
                <w:szCs w:val="24"/>
              </w:rPr>
              <w:t>云南变压器电气股份有限公司</w:t>
            </w:r>
            <w:r>
              <w:rPr>
                <w:rFonts w:hint="eastAsia" w:ascii="宋体" w:hAnsi="宋体" w:cs="宋体"/>
                <w:sz w:val="24"/>
                <w:szCs w:val="24"/>
              </w:rPr>
              <w:t>（以下简称“云变电气”）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1" w:hRule="atLeast"/>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bookmarkStart w:id="2" w:name="_Hlk210917321"/>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kern w:val="0"/>
                <w:sz w:val="24"/>
                <w:szCs w:val="24"/>
              </w:rPr>
              <w:t>本次担保金额</w:t>
            </w:r>
          </w:p>
        </w:tc>
        <w:tc>
          <w:tcPr>
            <w:tcW w:w="3809" w:type="dxa"/>
            <w:vAlign w:val="center"/>
          </w:tcPr>
          <w:p>
            <w:pPr>
              <w:widowControl/>
              <w:adjustRightInd w:val="0"/>
              <w:snapToGrid w:val="0"/>
              <w:rPr>
                <w:rFonts w:hint="eastAsia" w:asciiTheme="minorEastAsia" w:hAnsiTheme="minorEastAsia" w:cstheme="minorEastAsia"/>
                <w:sz w:val="24"/>
                <w:szCs w:val="24"/>
              </w:rPr>
            </w:pPr>
            <w:r>
              <w:rPr>
                <w:rFonts w:hint="eastAsia" w:asciiTheme="minorEastAsia" w:hAnsiTheme="minorEastAsia"/>
                <w:bCs/>
                <w:sz w:val="24"/>
                <w:szCs w:val="24"/>
              </w:rPr>
              <w:t>2,000</w:t>
            </w:r>
            <w:r>
              <w:rPr>
                <w:rFonts w:asciiTheme="minorEastAsia" w:hAnsiTheme="minorEastAsia"/>
                <w:bCs/>
                <w:sz w:val="24"/>
                <w:szCs w:val="24"/>
              </w:rPr>
              <w:t>.00</w:t>
            </w:r>
            <w:r>
              <w:rPr>
                <w:rFonts w:hint="eastAsia" w:asciiTheme="minorEastAsia" w:hAnsiTheme="minorEastAsia"/>
                <w:bCs/>
                <w:sz w:val="24"/>
                <w:szCs w:val="24"/>
              </w:rPr>
              <w:t>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8" w:hRule="atLeast"/>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kern w:val="0"/>
                <w:sz w:val="24"/>
                <w:szCs w:val="24"/>
              </w:rPr>
              <w:t>实际为其提供的担保余额</w:t>
            </w:r>
          </w:p>
        </w:tc>
        <w:tc>
          <w:tcPr>
            <w:tcW w:w="3809" w:type="dxa"/>
            <w:vAlign w:val="center"/>
          </w:tcPr>
          <w:p>
            <w:pPr>
              <w:widowControl/>
              <w:adjustRightInd w:val="0"/>
              <w:snapToGrid w:val="0"/>
              <w:rPr>
                <w:rFonts w:hint="eastAsia" w:asciiTheme="minorEastAsia" w:hAnsiTheme="minorEastAsia" w:cstheme="minorEastAsia"/>
                <w:sz w:val="24"/>
                <w:szCs w:val="24"/>
              </w:rPr>
            </w:pPr>
            <w:r>
              <w:rPr>
                <w:rFonts w:asciiTheme="minorEastAsia" w:hAnsiTheme="minorEastAsia"/>
                <w:bCs/>
                <w:sz w:val="24"/>
                <w:szCs w:val="24"/>
              </w:rPr>
              <w:t>6</w:t>
            </w:r>
            <w:r>
              <w:rPr>
                <w:rFonts w:hint="eastAsia" w:asciiTheme="minorEastAsia" w:hAnsiTheme="minorEastAsia"/>
                <w:bCs/>
                <w:sz w:val="24"/>
                <w:szCs w:val="24"/>
              </w:rPr>
              <w:t>1</w:t>
            </w:r>
            <w:r>
              <w:rPr>
                <w:rFonts w:asciiTheme="minorEastAsia" w:hAnsiTheme="minorEastAsia"/>
                <w:bCs/>
                <w:sz w:val="24"/>
                <w:szCs w:val="24"/>
              </w:rPr>
              <w:t>,</w:t>
            </w:r>
            <w:r>
              <w:rPr>
                <w:rFonts w:hint="eastAsia" w:asciiTheme="minorEastAsia" w:hAnsiTheme="minorEastAsia"/>
                <w:bCs/>
                <w:sz w:val="24"/>
                <w:szCs w:val="24"/>
              </w:rPr>
              <w:t>005</w:t>
            </w:r>
            <w:r>
              <w:rPr>
                <w:rFonts w:asciiTheme="minorEastAsia" w:hAnsiTheme="minorEastAsia"/>
                <w:bCs/>
                <w:sz w:val="24"/>
                <w:szCs w:val="24"/>
              </w:rPr>
              <w:t>.</w:t>
            </w:r>
            <w:r>
              <w:rPr>
                <w:rFonts w:hint="eastAsia" w:asciiTheme="minorEastAsia" w:hAnsiTheme="minorEastAsia"/>
                <w:bCs/>
                <w:sz w:val="24"/>
                <w:szCs w:val="24"/>
              </w:rPr>
              <w:t>62万元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8" w:hRule="atLeast"/>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kern w:val="0"/>
                <w:sz w:val="24"/>
                <w:szCs w:val="24"/>
              </w:rPr>
              <w:t>是否在前期预计额度内</w:t>
            </w:r>
          </w:p>
        </w:tc>
        <w:tc>
          <w:tcPr>
            <w:tcW w:w="3809" w:type="dxa"/>
            <w:vAlign w:val="center"/>
          </w:tcPr>
          <w:p>
            <w:pPr>
              <w:widowControl/>
              <w:adjustRightInd w:val="0"/>
              <w:snapToGrid w:val="0"/>
              <w:rPr>
                <w:rFonts w:hint="eastAsia" w:asciiTheme="minorEastAsia" w:hAnsiTheme="minorEastAsia" w:cstheme="minorEastAsia"/>
                <w:sz w:val="24"/>
                <w:szCs w:val="24"/>
              </w:rPr>
            </w:pPr>
            <w:r>
              <w:rPr>
                <w:rFonts w:hint="eastAsia" w:ascii="宋体" w:hAnsi="宋体" w:eastAsia="宋体"/>
                <w:sz w:val="24"/>
                <w:szCs w:val="24"/>
              </w:rPr>
              <w:sym w:font="Wingdings 2" w:char="F052"/>
            </w:r>
            <w:r>
              <w:rPr>
                <w:rFonts w:hint="eastAsia" w:asciiTheme="minorEastAsia" w:hAnsiTheme="minorEastAsia" w:cstheme="minorEastAsia"/>
                <w:sz w:val="24"/>
                <w:szCs w:val="24"/>
              </w:rPr>
              <w:t>是  □否</w:t>
            </w:r>
            <w:r>
              <w:rPr>
                <w:rFonts w:hint="eastAsia" w:asciiTheme="minorEastAsia" w:hAnsiTheme="minorEastAsia" w:cstheme="minorEastAsia"/>
                <w:kern w:val="0"/>
                <w:sz w:val="24"/>
                <w:szCs w:val="24"/>
              </w:rPr>
              <w:t xml:space="preserve">  □不适用：</w:t>
            </w:r>
            <w:r>
              <w:rPr>
                <w:rFonts w:hint="eastAsia" w:ascii="宋体" w:hAnsi="宋体" w:eastAsia="宋体"/>
                <w:sz w:val="24"/>
                <w:szCs w:val="24"/>
              </w:rPr>
              <w:t>_________</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4" w:hRule="atLeast"/>
        </w:trPr>
        <w:tc>
          <w:tcPr>
            <w:tcW w:w="1075" w:type="dxa"/>
            <w:vMerge w:val="continue"/>
            <w:vAlign w:val="center"/>
          </w:tcPr>
          <w:p>
            <w:pPr>
              <w:widowControl/>
              <w:adjustRightInd w:val="0"/>
              <w:snapToGrid w:val="0"/>
              <w:rPr>
                <w:rFonts w:hint="eastAsia" w:asciiTheme="minorEastAsia" w:hAnsiTheme="minorEastAsia" w:cstheme="minorEastAsia"/>
                <w:color w:val="000000"/>
                <w:sz w:val="24"/>
                <w:szCs w:val="24"/>
              </w:rPr>
            </w:pPr>
          </w:p>
        </w:tc>
        <w:tc>
          <w:tcPr>
            <w:tcW w:w="3397" w:type="dxa"/>
            <w:vAlign w:val="center"/>
          </w:tcPr>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t>本次担保是否有反担保</w:t>
            </w:r>
          </w:p>
        </w:tc>
        <w:tc>
          <w:tcPr>
            <w:tcW w:w="3809" w:type="dxa"/>
            <w:vAlign w:val="center"/>
          </w:tcPr>
          <w:p>
            <w:pPr>
              <w:widowControl/>
              <w:adjustRightInd w:val="0"/>
              <w:snapToGrid w:val="0"/>
              <w:rPr>
                <w:rFonts w:hint="eastAsia" w:asciiTheme="minorEastAsia" w:hAnsiTheme="minorEastAsia" w:cstheme="minorEastAsia"/>
                <w:sz w:val="24"/>
                <w:szCs w:val="24"/>
              </w:rPr>
            </w:pPr>
            <w:r>
              <w:rPr>
                <w:rFonts w:hint="eastAsia" w:ascii="宋体" w:hAnsi="宋体" w:eastAsia="宋体" w:cstheme="minorEastAsia"/>
                <w:sz w:val="24"/>
                <w:szCs w:val="24"/>
              </w:rPr>
              <w:sym w:font="Wingdings 2" w:char="00A3"/>
            </w:r>
            <w:r>
              <w:rPr>
                <w:rFonts w:hint="eastAsia" w:asciiTheme="minorEastAsia" w:hAnsiTheme="minorEastAsia" w:cstheme="minorEastAsia"/>
                <w:sz w:val="24"/>
                <w:szCs w:val="24"/>
              </w:rPr>
              <w:t xml:space="preserve">是  </w:t>
            </w:r>
            <w:r>
              <w:rPr>
                <w:rFonts w:hint="eastAsia" w:asciiTheme="minorEastAsia" w:hAnsiTheme="minorEastAsia" w:cstheme="minorEastAsia"/>
                <w:sz w:val="24"/>
                <w:szCs w:val="24"/>
              </w:rPr>
              <w:sym w:font="Wingdings 2" w:char="0052"/>
            </w:r>
            <w:r>
              <w:rPr>
                <w:rFonts w:hint="eastAsia" w:asciiTheme="minorEastAsia" w:hAnsiTheme="minorEastAsia" w:cstheme="minorEastAsia"/>
                <w:sz w:val="24"/>
                <w:szCs w:val="24"/>
              </w:rPr>
              <w:t>否</w:t>
            </w:r>
            <w:r>
              <w:rPr>
                <w:rFonts w:hint="eastAsia" w:asciiTheme="minorEastAsia" w:hAnsiTheme="minorEastAsia" w:cstheme="minorEastAsia"/>
                <w:kern w:val="0"/>
                <w:sz w:val="24"/>
                <w:szCs w:val="24"/>
              </w:rPr>
              <w:t xml:space="preserve"> □不适用：</w:t>
            </w:r>
            <w:r>
              <w:rPr>
                <w:rFonts w:hint="eastAsia" w:ascii="宋体" w:hAnsi="宋体" w:eastAsia="宋体"/>
                <w:sz w:val="24"/>
                <w:szCs w:val="24"/>
              </w:rPr>
              <w:t>_________</w:t>
            </w:r>
          </w:p>
        </w:tc>
      </w:tr>
      <w:bookmarkEnd w:id="2"/>
    </w:tbl>
    <w:p/>
    <w:p>
      <w:pPr>
        <w:widowControl/>
        <w:numPr>
          <w:ilvl w:val="0"/>
          <w:numId w:val="1"/>
        </w:numPr>
        <w:adjustRightInd w:val="0"/>
        <w:snapToGrid w:val="0"/>
        <w:spacing w:line="560" w:lineRule="exact"/>
        <w:ind w:left="0" w:firstLine="482" w:firstLineChars="200"/>
        <w:jc w:val="left"/>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累计担保情况</w:t>
      </w:r>
    </w:p>
    <w:tbl>
      <w:tblPr>
        <w:tblStyle w:val="12"/>
        <w:tblW w:w="4990" w:type="pct"/>
        <w:tblInd w:w="1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42"/>
        <w:gridCol w:w="48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3" w:hRule="atLeast"/>
        </w:trPr>
        <w:tc>
          <w:tcPr>
            <w:tcW w:w="3642" w:type="dxa"/>
            <w:vAlign w:val="center"/>
          </w:tcPr>
          <w:p>
            <w:pPr>
              <w:widowControl/>
              <w:adjustRightInd w:val="0"/>
              <w:snapToGrid w:val="0"/>
              <w:rPr>
                <w:rFonts w:hint="eastAsia" w:asciiTheme="minorEastAsia" w:hAnsiTheme="minorEastAsia" w:cstheme="minorEastAsia"/>
                <w:b/>
                <w:bCs/>
                <w:sz w:val="24"/>
                <w:szCs w:val="24"/>
              </w:rPr>
            </w:pPr>
            <w:r>
              <w:rPr>
                <w:rFonts w:hint="eastAsia" w:asciiTheme="minorEastAsia" w:hAnsiTheme="minorEastAsia" w:cstheme="minorEastAsia"/>
                <w:b/>
                <w:bCs/>
                <w:color w:val="000000"/>
                <w:kern w:val="0"/>
                <w:sz w:val="24"/>
                <w:szCs w:val="24"/>
              </w:rPr>
              <w:t>对外担保逾期的累计金额（万元）</w:t>
            </w:r>
          </w:p>
        </w:tc>
        <w:tc>
          <w:tcPr>
            <w:tcW w:w="4863" w:type="dxa"/>
            <w:vAlign w:val="center"/>
          </w:tcPr>
          <w:p>
            <w:pPr>
              <w:widowControl/>
              <w:adjustRightInd w:val="0"/>
              <w:snapToGrid w:val="0"/>
              <w:jc w:val="right"/>
              <w:rPr>
                <w:rFonts w:hint="eastAsia" w:asciiTheme="minorEastAsia" w:hAnsiTheme="minorEastAsia" w:cstheme="minorEastAsia"/>
                <w:sz w:val="24"/>
                <w:szCs w:val="24"/>
              </w:rPr>
            </w:pPr>
            <w:r>
              <w:rPr>
                <w:rFonts w:hint="eastAsia" w:asciiTheme="minorEastAsia" w:hAnsiTheme="minorEastAsia" w:cstheme="minorEastAsia"/>
                <w:sz w:val="24"/>
                <w:szCs w:val="24"/>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截至4月末上市公司及其控股子公司对外担保总额（万元）</w:t>
            </w:r>
          </w:p>
        </w:tc>
        <w:tc>
          <w:tcPr>
            <w:tcW w:w="4863" w:type="dxa"/>
            <w:vAlign w:val="center"/>
          </w:tcPr>
          <w:p>
            <w:pPr>
              <w:widowControl/>
              <w:adjustRightInd w:val="0"/>
              <w:snapToGrid w:val="0"/>
              <w:jc w:val="right"/>
              <w:rPr>
                <w:rFonts w:hint="eastAsia" w:asciiTheme="minorEastAsia" w:hAnsiTheme="minorEastAsia" w:cstheme="minorEastAsia"/>
                <w:color w:val="000000"/>
                <w:kern w:val="0"/>
                <w:sz w:val="24"/>
                <w:szCs w:val="24"/>
              </w:rPr>
            </w:pPr>
            <w:r>
              <w:rPr>
                <w:rFonts w:asciiTheme="minorEastAsia" w:hAnsiTheme="minorEastAsia" w:cstheme="minorEastAsia"/>
                <w:color w:val="000000"/>
                <w:kern w:val="0"/>
                <w:sz w:val="24"/>
                <w:szCs w:val="24"/>
              </w:rPr>
              <w:t>168,574.10</w:t>
            </w:r>
            <w:r>
              <w:rPr>
                <w:rFonts w:hint="eastAsia" w:asciiTheme="minorEastAsia" w:hAnsiTheme="minorEastAsia" w:cstheme="minorEastAsia"/>
                <w:color w:val="000000"/>
                <w:kern w:val="0"/>
                <w:sz w:val="24"/>
                <w:szCs w:val="24"/>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对外担保总额占上市公司最近一期</w:t>
            </w:r>
            <w:bookmarkStart w:id="3" w:name="OLE_LINK5"/>
            <w:r>
              <w:rPr>
                <w:rFonts w:hint="eastAsia" w:asciiTheme="minorEastAsia" w:hAnsiTheme="minorEastAsia" w:cstheme="minorEastAsia"/>
                <w:b/>
                <w:bCs/>
                <w:color w:val="000000"/>
                <w:kern w:val="0"/>
                <w:sz w:val="24"/>
                <w:szCs w:val="24"/>
              </w:rPr>
              <w:t>经审计净资产</w:t>
            </w:r>
            <w:bookmarkEnd w:id="3"/>
            <w:r>
              <w:rPr>
                <w:rFonts w:hint="eastAsia" w:asciiTheme="minorEastAsia" w:hAnsiTheme="minorEastAsia" w:cstheme="minorEastAsia"/>
                <w:b/>
                <w:bCs/>
                <w:color w:val="000000"/>
                <w:kern w:val="0"/>
                <w:sz w:val="24"/>
                <w:szCs w:val="24"/>
              </w:rPr>
              <w:t>的比例（%）</w:t>
            </w:r>
          </w:p>
        </w:tc>
        <w:tc>
          <w:tcPr>
            <w:tcW w:w="4863" w:type="dxa"/>
            <w:vAlign w:val="center"/>
          </w:tcPr>
          <w:p>
            <w:pPr>
              <w:widowControl/>
              <w:adjustRightInd w:val="0"/>
              <w:snapToGrid w:val="0"/>
              <w:jc w:val="right"/>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67.57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8" w:hRule="atLeast"/>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特别风险提示（如有请勾选）</w:t>
            </w:r>
          </w:p>
        </w:tc>
        <w:tc>
          <w:tcPr>
            <w:tcW w:w="4863" w:type="dxa"/>
            <w:vAlign w:val="center"/>
          </w:tcPr>
          <w:p>
            <w:pPr>
              <w:widowControl/>
              <w:adjustRightInd w:val="0"/>
              <w:snapToGrid w:val="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w:t>
            </w:r>
            <w:r>
              <w:rPr>
                <w:rFonts w:hint="eastAsia" w:asciiTheme="minorEastAsia" w:hAnsiTheme="minorEastAsia" w:cstheme="minorEastAsia"/>
                <w:color w:val="000000"/>
                <w:kern w:val="0"/>
                <w:sz w:val="24"/>
                <w:szCs w:val="24"/>
              </w:rPr>
              <w:t>对外担保总额超过最近一期经审计净资产100%</w:t>
            </w:r>
          </w:p>
          <w:p>
            <w:pPr>
              <w:widowControl/>
              <w:adjustRightInd w:val="0"/>
              <w:snapToGrid w:val="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sz w:val="24"/>
                <w:szCs w:val="24"/>
              </w:rPr>
              <w:t>□</w:t>
            </w:r>
            <w:r>
              <w:rPr>
                <w:rFonts w:hint="eastAsia" w:asciiTheme="minorEastAsia" w:hAnsiTheme="minorEastAsia" w:cstheme="minorEastAsia"/>
                <w:color w:val="000000"/>
                <w:kern w:val="0"/>
                <w:sz w:val="24"/>
                <w:szCs w:val="24"/>
              </w:rPr>
              <w:t>担保金额超过上市公司最近一期经审计净资产50%</w:t>
            </w:r>
          </w:p>
          <w:p>
            <w:pPr>
              <w:widowControl/>
              <w:adjustRightInd w:val="0"/>
              <w:snapToGrid w:val="0"/>
              <w:rPr>
                <w:rFonts w:hint="eastAsia" w:asciiTheme="minorEastAsia" w:hAnsiTheme="minorEastAsia" w:cstheme="minorEastAsia"/>
                <w:color w:val="000000"/>
                <w:kern w:val="0"/>
                <w:sz w:val="24"/>
                <w:szCs w:val="24"/>
              </w:rPr>
            </w:pPr>
            <w:bookmarkStart w:id="4" w:name="OLE_LINK4"/>
            <w:bookmarkStart w:id="5" w:name="OLE_LINK3"/>
            <w:r>
              <w:rPr>
                <w:rFonts w:hint="eastAsia" w:asciiTheme="minorEastAsia" w:hAnsiTheme="minorEastAsia" w:cstheme="minorEastAsia"/>
                <w:color w:val="000000"/>
                <w:sz w:val="24"/>
                <w:szCs w:val="24"/>
              </w:rPr>
              <w:t>□</w:t>
            </w:r>
            <w:bookmarkEnd w:id="4"/>
            <w:bookmarkEnd w:id="5"/>
            <w:r>
              <w:rPr>
                <w:rFonts w:hint="eastAsia" w:asciiTheme="minorEastAsia" w:hAnsiTheme="minorEastAsia" w:cstheme="minorEastAsia"/>
                <w:color w:val="000000"/>
                <w:kern w:val="0"/>
                <w:sz w:val="24"/>
                <w:szCs w:val="24"/>
              </w:rPr>
              <w:t>对合并报表外单位担保金额达到或超过最近一期经审计净资</w:t>
            </w:r>
            <w:bookmarkStart w:id="15" w:name="_GoBack"/>
            <w:bookmarkEnd w:id="15"/>
            <w:r>
              <w:rPr>
                <w:rFonts w:hint="eastAsia" w:asciiTheme="minorEastAsia" w:hAnsiTheme="minorEastAsia" w:cstheme="minorEastAsia"/>
                <w:color w:val="000000"/>
                <w:kern w:val="0"/>
                <w:sz w:val="24"/>
                <w:szCs w:val="24"/>
              </w:rPr>
              <w:t>产30%的情况下</w:t>
            </w:r>
          </w:p>
          <w:p>
            <w:pPr>
              <w:widowControl/>
              <w:adjustRightInd w:val="0"/>
              <w:snapToGrid w:val="0"/>
              <w:rPr>
                <w:rFonts w:hint="eastAsia" w:asciiTheme="minorEastAsia" w:hAnsiTheme="minorEastAsia" w:cstheme="minorEastAsia"/>
                <w:color w:val="000000"/>
                <w:sz w:val="24"/>
                <w:szCs w:val="24"/>
              </w:rPr>
            </w:pPr>
            <w:r>
              <w:rPr>
                <w:rFonts w:hint="eastAsia" w:asciiTheme="minorEastAsia" w:hAnsiTheme="minorEastAsia" w:cstheme="minorEastAsia"/>
                <w:color w:val="000000"/>
                <w:sz w:val="24"/>
                <w:szCs w:val="24"/>
              </w:rPr>
              <w:sym w:font="Wingdings 2" w:char="0052"/>
            </w:r>
            <w:r>
              <w:rPr>
                <w:rFonts w:hint="eastAsia" w:asciiTheme="minorEastAsia" w:hAnsiTheme="minorEastAsia" w:cstheme="minorEastAsia"/>
                <w:color w:val="000000"/>
                <w:kern w:val="0"/>
                <w:sz w:val="24"/>
                <w:szCs w:val="24"/>
              </w:rPr>
              <w:t>对资产负债率超过70%的单位提供担保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3" w:hRule="atLeast"/>
        </w:trPr>
        <w:tc>
          <w:tcPr>
            <w:tcW w:w="3642" w:type="dxa"/>
            <w:vAlign w:val="center"/>
          </w:tcPr>
          <w:p>
            <w:pPr>
              <w:widowControl/>
              <w:adjustRightInd w:val="0"/>
              <w:snapToGrid w:val="0"/>
              <w:rPr>
                <w:rFonts w:hint="eastAsia" w:asciiTheme="minorEastAsia" w:hAnsiTheme="minorEastAsia" w:cstheme="minorEastAsia"/>
                <w:b/>
                <w:bCs/>
                <w:color w:val="000000"/>
                <w:kern w:val="0"/>
                <w:sz w:val="24"/>
                <w:szCs w:val="24"/>
              </w:rPr>
            </w:pPr>
            <w:r>
              <w:rPr>
                <w:rFonts w:hint="eastAsia" w:asciiTheme="minorEastAsia" w:hAnsiTheme="minorEastAsia" w:cstheme="minorEastAsia"/>
                <w:b/>
                <w:bCs/>
                <w:color w:val="000000"/>
                <w:kern w:val="0"/>
                <w:sz w:val="24"/>
                <w:szCs w:val="24"/>
              </w:rPr>
              <w:t>其他风险提示（如有）</w:t>
            </w:r>
          </w:p>
        </w:tc>
        <w:tc>
          <w:tcPr>
            <w:tcW w:w="4863" w:type="dxa"/>
            <w:vAlign w:val="center"/>
          </w:tcPr>
          <w:p>
            <w:pPr>
              <w:widowControl/>
              <w:adjustRightInd w:val="0"/>
              <w:snapToGrid w:val="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无</w:t>
            </w:r>
          </w:p>
        </w:tc>
      </w:tr>
    </w:tbl>
    <w:p>
      <w:pPr>
        <w:widowControl/>
        <w:adjustRightInd w:val="0"/>
        <w:snapToGrid w:val="0"/>
        <w:spacing w:line="560" w:lineRule="exact"/>
        <w:ind w:firstLine="600"/>
        <w:jc w:val="left"/>
        <w:rPr>
          <w:rFonts w:hint="eastAsia" w:asciiTheme="minorEastAsia" w:hAnsiTheme="minorEastAsia" w:cstheme="minorEastAsia"/>
          <w:kern w:val="0"/>
          <w:sz w:val="24"/>
          <w:szCs w:val="24"/>
        </w:rPr>
      </w:pP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担保情况概述</w:t>
      </w:r>
    </w:p>
    <w:p>
      <w:pPr>
        <w:pStyle w:val="19"/>
        <w:widowControl/>
        <w:numPr>
          <w:ilvl w:val="0"/>
          <w:numId w:val="3"/>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担保的基本情况</w:t>
      </w:r>
    </w:p>
    <w:p>
      <w:pPr>
        <w:widowControl/>
        <w:adjustRightInd w:val="0"/>
        <w:snapToGrid w:val="0"/>
        <w:spacing w:line="560" w:lineRule="exact"/>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2026年4月，公司及下属子公司新增对外担保人民币</w:t>
      </w:r>
      <w:bookmarkStart w:id="6" w:name="OLE_LINK7"/>
      <w:r>
        <w:rPr>
          <w:rFonts w:hint="eastAsia" w:asciiTheme="minorEastAsia" w:hAnsiTheme="minorEastAsia" w:cstheme="minorEastAsia"/>
          <w:sz w:val="24"/>
          <w:szCs w:val="24"/>
        </w:rPr>
        <w:t>2,000</w:t>
      </w:r>
      <w:bookmarkEnd w:id="6"/>
      <w:r>
        <w:rPr>
          <w:rFonts w:asciiTheme="minorEastAsia" w:hAnsiTheme="minorEastAsia" w:cstheme="minorEastAsia"/>
          <w:sz w:val="24"/>
          <w:szCs w:val="24"/>
        </w:rPr>
        <w:t>.00</w:t>
      </w:r>
      <w:r>
        <w:rPr>
          <w:rFonts w:hint="eastAsia" w:asciiTheme="minorEastAsia" w:hAnsiTheme="minorEastAsia" w:cstheme="minorEastAsia"/>
          <w:sz w:val="24"/>
          <w:szCs w:val="24"/>
        </w:rPr>
        <w:t>万元，系公司于2</w:t>
      </w:r>
      <w:r>
        <w:rPr>
          <w:rFonts w:asciiTheme="minorEastAsia" w:hAnsiTheme="minorEastAsia" w:cstheme="minorEastAsia"/>
          <w:sz w:val="24"/>
          <w:szCs w:val="24"/>
        </w:rPr>
        <w:t>02</w:t>
      </w:r>
      <w:r>
        <w:rPr>
          <w:rFonts w:hint="eastAsia" w:asciiTheme="minorEastAsia" w:hAnsiTheme="minorEastAsia" w:cstheme="minorEastAsia"/>
          <w:sz w:val="24"/>
          <w:szCs w:val="24"/>
        </w:rPr>
        <w:t>6年4月</w:t>
      </w:r>
      <w:r>
        <w:rPr>
          <w:rFonts w:asciiTheme="minorEastAsia" w:hAnsiTheme="minorEastAsia" w:cstheme="minorEastAsia"/>
          <w:sz w:val="24"/>
          <w:szCs w:val="24"/>
        </w:rPr>
        <w:t>1</w:t>
      </w:r>
      <w:r>
        <w:rPr>
          <w:rFonts w:hint="eastAsia" w:asciiTheme="minorEastAsia" w:hAnsiTheme="minorEastAsia" w:cstheme="minorEastAsia"/>
          <w:sz w:val="24"/>
          <w:szCs w:val="24"/>
        </w:rPr>
        <w:t>7日与</w:t>
      </w:r>
      <w:bookmarkStart w:id="7" w:name="OLE_LINK9"/>
      <w:r>
        <w:rPr>
          <w:rFonts w:asciiTheme="minorEastAsia" w:hAnsiTheme="minorEastAsia" w:cstheme="minorEastAsia"/>
          <w:sz w:val="24"/>
          <w:szCs w:val="24"/>
        </w:rPr>
        <w:t>昆明市五华区农村信用合作联社黑林铺信用社</w:t>
      </w:r>
      <w:r>
        <w:rPr>
          <w:rFonts w:hint="eastAsia" w:asciiTheme="minorEastAsia" w:hAnsiTheme="minorEastAsia" w:cstheme="minorEastAsia"/>
          <w:sz w:val="24"/>
          <w:szCs w:val="24"/>
        </w:rPr>
        <w:t>（以下简称“昆明黑林铺信用社”）</w:t>
      </w:r>
      <w:bookmarkEnd w:id="7"/>
      <w:r>
        <w:rPr>
          <w:rFonts w:hint="eastAsia" w:asciiTheme="minorEastAsia" w:hAnsiTheme="minorEastAsia" w:cstheme="minorEastAsia"/>
          <w:sz w:val="24"/>
          <w:szCs w:val="24"/>
        </w:rPr>
        <w:t>签署《保证合同》为全资子公司云变电气签署《流动资金借款合同》（以下简称“借款合同”）提供不超过</w:t>
      </w:r>
      <w:r>
        <w:rPr>
          <w:rFonts w:hint="eastAsia" w:asciiTheme="minorEastAsia" w:hAnsiTheme="minorEastAsia" w:cstheme="minorEastAsia"/>
          <w:color w:val="000000"/>
          <w:kern w:val="0"/>
          <w:sz w:val="24"/>
          <w:szCs w:val="24"/>
        </w:rPr>
        <w:t>最高本金余额</w:t>
      </w:r>
      <w:r>
        <w:rPr>
          <w:rFonts w:hint="eastAsia" w:asciiTheme="minorEastAsia" w:hAnsiTheme="minorEastAsia" w:cstheme="minorEastAsia"/>
          <w:sz w:val="24"/>
          <w:szCs w:val="24"/>
        </w:rPr>
        <w:t>人民币2,000</w:t>
      </w:r>
      <w:r>
        <w:rPr>
          <w:rFonts w:asciiTheme="minorEastAsia" w:hAnsiTheme="minorEastAsia" w:cstheme="minorEastAsia"/>
          <w:sz w:val="24"/>
          <w:szCs w:val="24"/>
        </w:rPr>
        <w:t>.00</w:t>
      </w:r>
      <w:r>
        <w:rPr>
          <w:rFonts w:hint="eastAsia" w:asciiTheme="minorEastAsia" w:hAnsiTheme="minorEastAsia" w:cstheme="minorEastAsia"/>
          <w:sz w:val="24"/>
          <w:szCs w:val="24"/>
        </w:rPr>
        <w:t>万元的连带责任保证。</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hint="eastAsia" w:asciiTheme="minorEastAsia" w:hAnsiTheme="minorEastAsia" w:cstheme="minorEastAsia"/>
          <w:sz w:val="24"/>
          <w:szCs w:val="24"/>
        </w:rPr>
        <w:t>上述担保无反担保，上述担保事项属于公司2025年第一次临时股东会授权范围并在有效期内,无需再次提交公司董事会、股东会审议。</w:t>
      </w:r>
    </w:p>
    <w:p>
      <w:pPr>
        <w:pStyle w:val="19"/>
        <w:widowControl/>
        <w:numPr>
          <w:ilvl w:val="0"/>
          <w:numId w:val="3"/>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内部决策程序</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bookmarkStart w:id="8" w:name="OLE_LINK1"/>
      <w:r>
        <w:rPr>
          <w:rFonts w:asciiTheme="minorEastAsia" w:hAnsiTheme="minorEastAsia" w:cstheme="minorEastAsia"/>
          <w:color w:val="000000"/>
          <w:kern w:val="0"/>
          <w:sz w:val="24"/>
          <w:szCs w:val="24"/>
        </w:rPr>
        <w:t>公司于2025年12月9日召开</w:t>
      </w:r>
      <w:bookmarkStart w:id="9" w:name="OLE_LINK14"/>
      <w:r>
        <w:rPr>
          <w:rFonts w:asciiTheme="minorEastAsia" w:hAnsiTheme="minorEastAsia" w:cstheme="minorEastAsia"/>
          <w:color w:val="000000"/>
          <w:kern w:val="0"/>
          <w:sz w:val="24"/>
          <w:szCs w:val="24"/>
        </w:rPr>
        <w:t>第四届董事会第十五次会议</w:t>
      </w:r>
      <w:bookmarkEnd w:id="9"/>
      <w:r>
        <w:rPr>
          <w:rFonts w:asciiTheme="minorEastAsia" w:hAnsiTheme="minorEastAsia" w:cstheme="minorEastAsia"/>
          <w:color w:val="000000"/>
          <w:kern w:val="0"/>
          <w:sz w:val="24"/>
          <w:szCs w:val="24"/>
        </w:rPr>
        <w:t>审议通过《关于预计2026年度向银行等金融机构申请综合授信额度及为子公司提供融资担保额度的议案》，同意2026年度为子公司重庆惠泽电器有限公司（以下简称“惠泽电器”）向银行等金融机构申请综合授信或借款提供新增额度不超过4亿元人民币（或等值外币）的担保</w:t>
      </w:r>
      <w:bookmarkEnd w:id="8"/>
      <w:r>
        <w:rPr>
          <w:rFonts w:asciiTheme="minorEastAsia" w:hAnsiTheme="minorEastAsia" w:cstheme="minorEastAsia"/>
          <w:color w:val="000000"/>
          <w:kern w:val="0"/>
          <w:sz w:val="24"/>
          <w:szCs w:val="24"/>
        </w:rPr>
        <w:t>；同意2026年度为资产负债率超过70%的子公司黔南望江变压器有限公司（以下简称“黔南望江”）向银行等金融机构申请综合授信或借款提供新增额度不超过2亿元人民币（或等值外币）的担保；同意2026年度为子公司云南变压器电气股份有限公司（以下简称“云变电气”）向银行等金融机构申请综合授信或借款提供新增额度不超过18亿元人民币（或等值外币）的担保；同意2026年度为资产负债率超过70%的子公司望来充（重庆）科技有限责任公司及子公司（以下简称“望来充”）向银行等金融机构申请综合授信或借款提供新增额度不超过6亿元人民币（或等值外币）的担保。上述担保额度有效期自2026年1月1日至2026年12月31日。该担保事项已提交公司2025年第一次临时股东会审议通过。具体情况详见公司在上海证券交易所网站</w:t>
      </w:r>
      <w:bookmarkStart w:id="10" w:name="OLE_LINK6"/>
      <w:r>
        <w:rPr>
          <w:rFonts w:asciiTheme="minorEastAsia" w:hAnsiTheme="minorEastAsia" w:cstheme="minorEastAsia"/>
          <w:color w:val="000000"/>
          <w:kern w:val="0"/>
          <w:sz w:val="24"/>
          <w:szCs w:val="24"/>
        </w:rPr>
        <w:t>www.sse.com.cn</w:t>
      </w:r>
      <w:bookmarkEnd w:id="10"/>
      <w:r>
        <w:rPr>
          <w:rFonts w:asciiTheme="minorEastAsia" w:hAnsiTheme="minorEastAsia" w:cstheme="minorEastAsia"/>
          <w:color w:val="000000"/>
          <w:kern w:val="0"/>
          <w:sz w:val="24"/>
          <w:szCs w:val="24"/>
        </w:rPr>
        <w:t>披露的《关于预计2026年度对子公司新增担保额度的公告》（公告编号：2025-062）和《2025年第一次临时股东会决议公告》（公告编号：2025-067）。</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asciiTheme="minorEastAsia" w:hAnsiTheme="minorEastAsia" w:cstheme="minorEastAsia"/>
          <w:color w:val="000000"/>
          <w:kern w:val="0"/>
          <w:sz w:val="24"/>
          <w:szCs w:val="24"/>
        </w:rPr>
        <w:t>公司于202</w:t>
      </w:r>
      <w:r>
        <w:rPr>
          <w:rFonts w:hint="eastAsia" w:asciiTheme="minorEastAsia" w:hAnsiTheme="minorEastAsia" w:cstheme="minorEastAsia"/>
          <w:color w:val="000000"/>
          <w:kern w:val="0"/>
          <w:sz w:val="24"/>
          <w:szCs w:val="24"/>
        </w:rPr>
        <w:t>6</w:t>
      </w:r>
      <w:r>
        <w:rPr>
          <w:rFonts w:asciiTheme="minorEastAsia" w:hAnsiTheme="minorEastAsia" w:cstheme="minorEastAsia"/>
          <w:color w:val="000000"/>
          <w:kern w:val="0"/>
          <w:sz w:val="24"/>
          <w:szCs w:val="24"/>
        </w:rPr>
        <w:t>年</w:t>
      </w:r>
      <w:r>
        <w:rPr>
          <w:rFonts w:hint="eastAsia" w:asciiTheme="minorEastAsia" w:hAnsiTheme="minorEastAsia" w:cstheme="minorEastAsia"/>
          <w:color w:val="000000"/>
          <w:kern w:val="0"/>
          <w:sz w:val="24"/>
          <w:szCs w:val="24"/>
        </w:rPr>
        <w:t>4</w:t>
      </w:r>
      <w:r>
        <w:rPr>
          <w:rFonts w:asciiTheme="minorEastAsia" w:hAnsiTheme="minorEastAsia" w:cstheme="minorEastAsia"/>
          <w:color w:val="000000"/>
          <w:kern w:val="0"/>
          <w:sz w:val="24"/>
          <w:szCs w:val="24"/>
        </w:rPr>
        <w:t>月</w:t>
      </w:r>
      <w:r>
        <w:rPr>
          <w:rFonts w:hint="eastAsia" w:asciiTheme="minorEastAsia" w:hAnsiTheme="minorEastAsia" w:cstheme="minorEastAsia"/>
          <w:color w:val="000000"/>
          <w:kern w:val="0"/>
          <w:sz w:val="24"/>
          <w:szCs w:val="24"/>
        </w:rPr>
        <w:t>2</w:t>
      </w:r>
      <w:r>
        <w:rPr>
          <w:rFonts w:asciiTheme="minorEastAsia" w:hAnsiTheme="minorEastAsia" w:cstheme="minorEastAsia"/>
          <w:color w:val="000000"/>
          <w:kern w:val="0"/>
          <w:sz w:val="24"/>
          <w:szCs w:val="24"/>
        </w:rPr>
        <w:t>日召开第四届董事会第</w:t>
      </w:r>
      <w:r>
        <w:rPr>
          <w:rFonts w:hint="eastAsia" w:asciiTheme="minorEastAsia" w:hAnsiTheme="minorEastAsia" w:cstheme="minorEastAsia"/>
          <w:color w:val="000000"/>
          <w:kern w:val="0"/>
          <w:sz w:val="24"/>
          <w:szCs w:val="24"/>
        </w:rPr>
        <w:t>十八</w:t>
      </w:r>
      <w:r>
        <w:rPr>
          <w:rFonts w:asciiTheme="minorEastAsia" w:hAnsiTheme="minorEastAsia" w:cstheme="minorEastAsia"/>
          <w:color w:val="000000"/>
          <w:kern w:val="0"/>
          <w:sz w:val="24"/>
          <w:szCs w:val="24"/>
        </w:rPr>
        <w:t>次会议审议通过《关于增加2026年度对子公司担保额度的议案》，同意2026年度为子公司重庆</w:t>
      </w:r>
      <w:r>
        <w:rPr>
          <w:rFonts w:hint="eastAsia" w:asciiTheme="minorEastAsia" w:hAnsiTheme="minorEastAsia" w:cstheme="minorEastAsia"/>
          <w:color w:val="000000"/>
          <w:kern w:val="0"/>
          <w:sz w:val="24"/>
          <w:szCs w:val="24"/>
        </w:rPr>
        <w:t>望来电科技</w:t>
      </w:r>
      <w:r>
        <w:rPr>
          <w:rFonts w:asciiTheme="minorEastAsia" w:hAnsiTheme="minorEastAsia" w:cstheme="minorEastAsia"/>
          <w:color w:val="000000"/>
          <w:kern w:val="0"/>
          <w:sz w:val="24"/>
          <w:szCs w:val="24"/>
        </w:rPr>
        <w:t>有限公司（以下简称“</w:t>
      </w:r>
      <w:r>
        <w:rPr>
          <w:rFonts w:hint="eastAsia" w:asciiTheme="minorEastAsia" w:hAnsiTheme="minorEastAsia" w:cstheme="minorEastAsia"/>
          <w:color w:val="000000"/>
          <w:kern w:val="0"/>
          <w:sz w:val="24"/>
          <w:szCs w:val="24"/>
        </w:rPr>
        <w:t>望来电</w:t>
      </w:r>
      <w:r>
        <w:rPr>
          <w:rFonts w:asciiTheme="minorEastAsia" w:hAnsiTheme="minorEastAsia" w:cstheme="minorEastAsia"/>
          <w:color w:val="000000"/>
          <w:kern w:val="0"/>
          <w:sz w:val="24"/>
          <w:szCs w:val="24"/>
        </w:rPr>
        <w:t>”）向银行等金融机构申请综合授信或借款提供新增额度不超过</w:t>
      </w:r>
      <w:r>
        <w:rPr>
          <w:rFonts w:hint="eastAsia" w:asciiTheme="minorEastAsia" w:hAnsiTheme="minorEastAsia" w:cstheme="minorEastAsia"/>
          <w:color w:val="000000"/>
          <w:kern w:val="0"/>
          <w:sz w:val="24"/>
          <w:szCs w:val="24"/>
        </w:rPr>
        <w:t>10</w:t>
      </w:r>
      <w:r>
        <w:rPr>
          <w:rFonts w:asciiTheme="minorEastAsia" w:hAnsiTheme="minorEastAsia" w:cstheme="minorEastAsia"/>
          <w:color w:val="000000"/>
          <w:kern w:val="0"/>
          <w:sz w:val="24"/>
          <w:szCs w:val="24"/>
        </w:rPr>
        <w:t>亿元人民币（或等值外币）的担保</w:t>
      </w:r>
      <w:r>
        <w:rPr>
          <w:rFonts w:hint="eastAsia" w:asciiTheme="minorEastAsia" w:hAnsiTheme="minorEastAsia" w:cstheme="minorEastAsia"/>
          <w:color w:val="000000"/>
          <w:kern w:val="0"/>
          <w:sz w:val="24"/>
          <w:szCs w:val="24"/>
        </w:rPr>
        <w:t>。该担保事项已提交公司2025年度股东会审议通过。具体情况详见公司在</w:t>
      </w:r>
      <w:bookmarkStart w:id="11" w:name="OLE_LINK2"/>
      <w:r>
        <w:rPr>
          <w:rFonts w:asciiTheme="minorEastAsia" w:hAnsiTheme="minorEastAsia" w:cstheme="minorEastAsia"/>
          <w:color w:val="000000"/>
          <w:kern w:val="0"/>
          <w:sz w:val="24"/>
          <w:szCs w:val="24"/>
        </w:rPr>
        <w:t>上海证券交易所网站</w:t>
      </w:r>
      <w:bookmarkEnd w:id="11"/>
      <w:r>
        <w:rPr>
          <w:rFonts w:asciiTheme="minorEastAsia" w:hAnsiTheme="minorEastAsia" w:cstheme="minorEastAsia"/>
          <w:color w:val="000000"/>
          <w:kern w:val="0"/>
          <w:sz w:val="24"/>
          <w:szCs w:val="24"/>
        </w:rPr>
        <w:t>www.sse.com.cn</w:t>
      </w:r>
      <w:r>
        <w:rPr>
          <w:rFonts w:hint="eastAsia" w:asciiTheme="minorEastAsia" w:hAnsiTheme="minorEastAsia" w:cstheme="minorEastAsia"/>
          <w:color w:val="000000"/>
          <w:kern w:val="0"/>
          <w:sz w:val="24"/>
          <w:szCs w:val="24"/>
        </w:rPr>
        <w:t>披露的</w:t>
      </w:r>
      <w:r>
        <w:rPr>
          <w:rFonts w:asciiTheme="minorEastAsia" w:hAnsiTheme="minorEastAsia" w:cstheme="minorEastAsia"/>
          <w:color w:val="000000"/>
          <w:kern w:val="0"/>
          <w:sz w:val="24"/>
          <w:szCs w:val="24"/>
        </w:rPr>
        <w:t>《关于增加2026年度对子公司担保额度暨2026年3月对子公司提供担保的进展公告》（公告编号：2026-024）</w:t>
      </w:r>
      <w:r>
        <w:rPr>
          <w:rFonts w:hint="eastAsia" w:asciiTheme="minorEastAsia" w:hAnsiTheme="minorEastAsia" w:cstheme="minorEastAsia"/>
          <w:color w:val="000000"/>
          <w:kern w:val="0"/>
          <w:sz w:val="24"/>
          <w:szCs w:val="24"/>
        </w:rPr>
        <w:t>和《2025年年度股东会决议公告》（公告编号：2026-036）。</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（三）</w:t>
      </w:r>
      <w:r>
        <w:rPr>
          <w:rFonts w:hint="eastAsia" w:asciiTheme="minorEastAsia" w:hAnsiTheme="minorEastAsia" w:cstheme="minorEastAsia"/>
          <w:sz w:val="24"/>
          <w:szCs w:val="24"/>
        </w:rPr>
        <w:t>4月担保基本情况</w:t>
      </w:r>
    </w:p>
    <w:tbl>
      <w:tblPr>
        <w:tblStyle w:val="12"/>
        <w:tblW w:w="5261"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573"/>
        <w:gridCol w:w="894"/>
        <w:gridCol w:w="728"/>
        <w:gridCol w:w="1067"/>
        <w:gridCol w:w="971"/>
        <w:gridCol w:w="1002"/>
        <w:gridCol w:w="794"/>
        <w:gridCol w:w="1219"/>
        <w:gridCol w:w="441"/>
        <w:gridCol w:w="71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7" w:hRule="atLeast"/>
        </w:trPr>
        <w:tc>
          <w:tcPr>
            <w:tcW w:w="552"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担保方</w:t>
            </w:r>
          </w:p>
        </w:tc>
        <w:tc>
          <w:tcPr>
            <w:tcW w:w="558"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被担保方</w:t>
            </w:r>
          </w:p>
        </w:tc>
        <w:tc>
          <w:tcPr>
            <w:tcW w:w="870"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担保方持股比例</w:t>
            </w:r>
          </w:p>
        </w:tc>
        <w:tc>
          <w:tcPr>
            <w:tcW w:w="709"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被担</w:t>
            </w:r>
          </w:p>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保方</w:t>
            </w:r>
            <w:r>
              <w:rPr>
                <w:rFonts w:asciiTheme="minorEastAsia" w:hAnsiTheme="minorEastAsia" w:cstheme="minorEastAsia"/>
                <w:b/>
                <w:bCs/>
                <w:color w:val="000000"/>
                <w:sz w:val="16"/>
                <w:szCs w:val="16"/>
              </w:rPr>
              <w:t>202</w:t>
            </w:r>
            <w:r>
              <w:rPr>
                <w:rFonts w:hint="eastAsia" w:asciiTheme="minorEastAsia" w:hAnsiTheme="minorEastAsia" w:cstheme="minorEastAsia"/>
                <w:b/>
                <w:bCs/>
                <w:color w:val="000000"/>
                <w:sz w:val="16"/>
                <w:szCs w:val="16"/>
              </w:rPr>
              <w:t>6</w:t>
            </w:r>
            <w:r>
              <w:rPr>
                <w:rFonts w:asciiTheme="minorEastAsia" w:hAnsiTheme="minorEastAsia" w:cstheme="minorEastAsia"/>
                <w:b/>
                <w:bCs/>
                <w:color w:val="000000"/>
                <w:sz w:val="16"/>
                <w:szCs w:val="16"/>
              </w:rPr>
              <w:t>.0</w:t>
            </w:r>
            <w:r>
              <w:rPr>
                <w:rFonts w:hint="eastAsia" w:asciiTheme="minorEastAsia" w:hAnsiTheme="minorEastAsia" w:cstheme="minorEastAsia"/>
                <w:b/>
                <w:bCs/>
                <w:color w:val="000000"/>
                <w:sz w:val="16"/>
                <w:szCs w:val="16"/>
              </w:rPr>
              <w:t>3</w:t>
            </w:r>
            <w:r>
              <w:rPr>
                <w:rFonts w:asciiTheme="minorEastAsia" w:hAnsiTheme="minorEastAsia" w:cstheme="minorEastAsia"/>
                <w:b/>
                <w:bCs/>
                <w:color w:val="000000"/>
                <w:sz w:val="16"/>
                <w:szCs w:val="16"/>
              </w:rPr>
              <w:t>.3</w:t>
            </w:r>
            <w:r>
              <w:rPr>
                <w:rFonts w:hint="eastAsia" w:asciiTheme="minorEastAsia" w:hAnsiTheme="minorEastAsia" w:cstheme="minorEastAsia"/>
                <w:b/>
                <w:bCs/>
                <w:color w:val="000000"/>
                <w:sz w:val="16"/>
                <w:szCs w:val="16"/>
              </w:rPr>
              <w:t>1资产负债率（未经审计）</w:t>
            </w:r>
          </w:p>
        </w:tc>
        <w:tc>
          <w:tcPr>
            <w:tcW w:w="1039"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2026年预计担保额度</w:t>
            </w:r>
          </w:p>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（万元）</w:t>
            </w:r>
          </w:p>
        </w:tc>
        <w:tc>
          <w:tcPr>
            <w:tcW w:w="945"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截至2026年4月末担保余额</w:t>
            </w:r>
          </w:p>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（万元）</w:t>
            </w:r>
          </w:p>
        </w:tc>
        <w:tc>
          <w:tcPr>
            <w:tcW w:w="975"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4月新增担保额度</w:t>
            </w:r>
          </w:p>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（万元）</w:t>
            </w:r>
          </w:p>
        </w:tc>
        <w:tc>
          <w:tcPr>
            <w:tcW w:w="773"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asciiTheme="minorEastAsia" w:hAnsiTheme="minorEastAsia" w:cstheme="minorEastAsia"/>
                <w:b/>
                <w:bCs/>
                <w:color w:val="000000"/>
                <w:sz w:val="16"/>
                <w:szCs w:val="16"/>
              </w:rPr>
              <w:t>截至202</w:t>
            </w:r>
            <w:r>
              <w:rPr>
                <w:rFonts w:hint="eastAsia" w:asciiTheme="minorEastAsia" w:hAnsiTheme="minorEastAsia" w:cstheme="minorEastAsia"/>
                <w:b/>
                <w:bCs/>
                <w:color w:val="000000"/>
                <w:sz w:val="16"/>
                <w:szCs w:val="16"/>
              </w:rPr>
              <w:t>6</w:t>
            </w:r>
            <w:r>
              <w:rPr>
                <w:rFonts w:asciiTheme="minorEastAsia" w:hAnsiTheme="minorEastAsia" w:cstheme="minorEastAsia"/>
                <w:b/>
                <w:bCs/>
                <w:color w:val="000000"/>
                <w:sz w:val="16"/>
                <w:szCs w:val="16"/>
              </w:rPr>
              <w:t>年</w:t>
            </w:r>
            <w:r>
              <w:rPr>
                <w:rFonts w:hint="eastAsia" w:asciiTheme="minorEastAsia" w:hAnsiTheme="minorEastAsia" w:cstheme="minorEastAsia"/>
                <w:b/>
                <w:bCs/>
                <w:color w:val="000000"/>
                <w:sz w:val="16"/>
                <w:szCs w:val="16"/>
              </w:rPr>
              <w:t>4</w:t>
            </w:r>
            <w:r>
              <w:rPr>
                <w:rFonts w:asciiTheme="minorEastAsia" w:hAnsiTheme="minorEastAsia" w:cstheme="minorEastAsia"/>
                <w:b/>
                <w:bCs/>
                <w:color w:val="000000"/>
                <w:sz w:val="16"/>
                <w:szCs w:val="16"/>
              </w:rPr>
              <w:t>月末担保余额</w:t>
            </w:r>
            <w:r>
              <w:rPr>
                <w:rFonts w:hint="eastAsia" w:asciiTheme="minorEastAsia" w:hAnsiTheme="minorEastAsia" w:cstheme="minorEastAsia"/>
                <w:b/>
                <w:bCs/>
                <w:color w:val="000000"/>
                <w:sz w:val="16"/>
                <w:szCs w:val="16"/>
              </w:rPr>
              <w:t>占上市公司最近一期经审计净资产比例</w:t>
            </w:r>
          </w:p>
        </w:tc>
        <w:tc>
          <w:tcPr>
            <w:tcW w:w="1187"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担保预计有效期</w:t>
            </w:r>
          </w:p>
        </w:tc>
        <w:tc>
          <w:tcPr>
            <w:tcW w:w="429"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是否关联担保</w:t>
            </w:r>
          </w:p>
        </w:tc>
        <w:tc>
          <w:tcPr>
            <w:tcW w:w="692" w:type="dxa"/>
            <w:vAlign w:val="center"/>
          </w:tcPr>
          <w:p>
            <w:pPr>
              <w:widowControl/>
              <w:adjustRightInd w:val="0"/>
              <w:snapToGrid w:val="0"/>
              <w:jc w:val="center"/>
              <w:rPr>
                <w:rFonts w:hint="eastAsia" w:asciiTheme="minorEastAsia" w:hAnsiTheme="minorEastAsia" w:cstheme="minorEastAsia"/>
                <w:b/>
                <w:bCs/>
                <w:color w:val="000000"/>
                <w:sz w:val="16"/>
                <w:szCs w:val="16"/>
              </w:rPr>
            </w:pPr>
            <w:r>
              <w:rPr>
                <w:rFonts w:hint="eastAsia" w:asciiTheme="minorEastAsia" w:hAnsiTheme="minorEastAsia" w:cstheme="minorEastAsia"/>
                <w:b/>
                <w:bCs/>
                <w:color w:val="000000"/>
                <w:sz w:val="16"/>
                <w:szCs w:val="16"/>
              </w:rPr>
              <w:t>是否有反担保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8729" w:type="dxa"/>
            <w:gridSpan w:val="11"/>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对控股子公司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552"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558"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黔南</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望江</w:t>
            </w:r>
          </w:p>
        </w:tc>
        <w:tc>
          <w:tcPr>
            <w:tcW w:w="870" w:type="dxa"/>
            <w:vAlign w:val="center"/>
          </w:tcPr>
          <w:p>
            <w:pPr>
              <w:widowControl/>
              <w:adjustRightInd w:val="0"/>
              <w:snapToGrid w:val="0"/>
              <w:rPr>
                <w:rFonts w:hint="eastAsia" w:asciiTheme="minorEastAsia" w:hAnsiTheme="minorEastAsia" w:cstheme="minorEastAsia"/>
                <w:sz w:val="16"/>
                <w:szCs w:val="16"/>
              </w:rPr>
            </w:pPr>
            <w:r>
              <w:rPr>
                <w:rFonts w:asciiTheme="minorEastAsia" w:hAnsiTheme="minorEastAsia" w:cstheme="minorEastAsia"/>
                <w:sz w:val="16"/>
                <w:szCs w:val="16"/>
              </w:rPr>
              <w:t>100.00%</w:t>
            </w:r>
          </w:p>
        </w:tc>
        <w:tc>
          <w:tcPr>
            <w:tcW w:w="709" w:type="dxa"/>
            <w:vAlign w:val="center"/>
          </w:tcPr>
          <w:p>
            <w:pPr>
              <w:widowControl/>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75.41%</w:t>
            </w:r>
          </w:p>
        </w:tc>
        <w:tc>
          <w:tcPr>
            <w:tcW w:w="1039" w:type="dxa"/>
            <w:vAlign w:val="center"/>
          </w:tcPr>
          <w:p>
            <w:pPr>
              <w:pStyle w:val="34"/>
              <w:widowControl/>
              <w:spacing w:line="240" w:lineRule="auto"/>
              <w:jc w:val="right"/>
              <w:rPr>
                <w:rFonts w:asciiTheme="minorEastAsia" w:hAnsiTheme="minorEastAsia" w:cstheme="minorEastAsia"/>
                <w:sz w:val="16"/>
                <w:szCs w:val="16"/>
              </w:rPr>
            </w:pPr>
            <w:r>
              <w:rPr>
                <w:rFonts w:hint="eastAsia" w:ascii="宋体" w:hAnsi="宋体" w:eastAsia="宋体"/>
                <w:sz w:val="16"/>
                <w:szCs w:val="16"/>
                <w:lang w:eastAsia="zh-CN"/>
              </w:rPr>
              <w:t>20,000.00</w:t>
            </w:r>
          </w:p>
        </w:tc>
        <w:tc>
          <w:tcPr>
            <w:tcW w:w="945" w:type="dxa"/>
            <w:vAlign w:val="center"/>
          </w:tcPr>
          <w:p>
            <w:pPr>
              <w:pStyle w:val="34"/>
              <w:widowControl/>
              <w:spacing w:line="240" w:lineRule="auto"/>
              <w:jc w:val="right"/>
              <w:rPr>
                <w:rFonts w:hint="eastAsia" w:ascii="宋体" w:hAnsi="宋体" w:eastAsia="宋体"/>
                <w:sz w:val="16"/>
                <w:szCs w:val="16"/>
                <w:lang w:eastAsia="zh-CN"/>
              </w:rPr>
            </w:pPr>
            <w:r>
              <w:rPr>
                <w:rFonts w:ascii="宋体" w:hAnsi="宋体" w:eastAsia="宋体"/>
                <w:sz w:val="16"/>
                <w:szCs w:val="16"/>
                <w:lang w:eastAsia="zh-CN"/>
              </w:rPr>
              <w:t>4</w:t>
            </w:r>
            <w:r>
              <w:rPr>
                <w:rFonts w:hint="eastAsia" w:ascii="宋体" w:hAnsi="宋体" w:eastAsia="宋体"/>
                <w:sz w:val="16"/>
                <w:szCs w:val="16"/>
                <w:lang w:eastAsia="zh-CN"/>
              </w:rPr>
              <w:t>,</w:t>
            </w:r>
            <w:r>
              <w:rPr>
                <w:rFonts w:ascii="宋体" w:hAnsi="宋体" w:eastAsia="宋体"/>
                <w:sz w:val="16"/>
                <w:szCs w:val="16"/>
                <w:lang w:eastAsia="zh-CN"/>
              </w:rPr>
              <w:t>303.45</w:t>
            </w:r>
          </w:p>
        </w:tc>
        <w:tc>
          <w:tcPr>
            <w:tcW w:w="975" w:type="dxa"/>
            <w:vAlign w:val="center"/>
          </w:tcPr>
          <w:p>
            <w:pPr>
              <w:pStyle w:val="34"/>
              <w:widowControl/>
              <w:spacing w:line="240" w:lineRule="auto"/>
              <w:jc w:val="right"/>
              <w:rPr>
                <w:rFonts w:hint="eastAsia" w:asciiTheme="minorEastAsia" w:hAnsiTheme="minorEastAsia" w:eastAsiaTheme="minorEastAsia" w:cstheme="minorEastAsia"/>
                <w:sz w:val="16"/>
                <w:szCs w:val="16"/>
                <w:lang w:eastAsia="zh-CN"/>
              </w:rPr>
            </w:pPr>
            <w:r>
              <w:rPr>
                <w:rFonts w:hint="eastAsia" w:asciiTheme="minorEastAsia" w:hAnsiTheme="minorEastAsia" w:eastAsiaTheme="minorEastAsia" w:cstheme="minorEastAsia"/>
                <w:sz w:val="16"/>
                <w:szCs w:val="16"/>
                <w:lang w:eastAsia="zh-CN"/>
              </w:rPr>
              <w:t xml:space="preserve">    </w:t>
            </w:r>
            <w:r>
              <w:rPr>
                <w:rFonts w:asciiTheme="minorEastAsia" w:hAnsiTheme="minorEastAsia" w:eastAsiaTheme="minorEastAsia" w:cstheme="minorEastAsia"/>
                <w:sz w:val="16"/>
                <w:szCs w:val="16"/>
                <w:lang w:eastAsia="zh-CN"/>
              </w:rPr>
              <w:t>0</w:t>
            </w:r>
            <w:r>
              <w:rPr>
                <w:rFonts w:hint="eastAsia" w:asciiTheme="minorEastAsia" w:hAnsiTheme="minorEastAsia" w:eastAsiaTheme="minorEastAsia" w:cstheme="minorEastAsia"/>
                <w:sz w:val="16"/>
                <w:szCs w:val="16"/>
                <w:lang w:eastAsia="zh-CN"/>
              </w:rPr>
              <w:t>.00</w:t>
            </w:r>
          </w:p>
        </w:tc>
        <w:tc>
          <w:tcPr>
            <w:tcW w:w="773" w:type="dxa"/>
            <w:vAlign w:val="center"/>
          </w:tcPr>
          <w:p>
            <w:pPr>
              <w:widowControl/>
              <w:adjustRightInd w:val="0"/>
              <w:snapToGrid w:val="0"/>
              <w:jc w:val="right"/>
              <w:rPr>
                <w:rFonts w:hint="eastAsia" w:asciiTheme="minorEastAsia" w:hAnsiTheme="minorEastAsia" w:cstheme="minorEastAsia"/>
                <w:sz w:val="16"/>
                <w:szCs w:val="16"/>
              </w:rPr>
            </w:pPr>
            <w:r>
              <w:rPr>
                <w:rFonts w:asciiTheme="minorEastAsia" w:hAnsiTheme="minorEastAsia" w:cstheme="minorEastAsia"/>
                <w:sz w:val="16"/>
                <w:szCs w:val="16"/>
              </w:rPr>
              <w:t>1.73%</w:t>
            </w:r>
          </w:p>
        </w:tc>
        <w:tc>
          <w:tcPr>
            <w:tcW w:w="1187"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w:t>
            </w:r>
          </w:p>
        </w:tc>
        <w:tc>
          <w:tcPr>
            <w:tcW w:w="429"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552"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558"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云变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870"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100.00</w:t>
            </w:r>
            <w:r>
              <w:rPr>
                <w:rFonts w:asciiTheme="minorEastAsia" w:hAnsiTheme="minorEastAsia" w:cstheme="minorEastAsia"/>
                <w:sz w:val="16"/>
                <w:szCs w:val="16"/>
              </w:rPr>
              <w:t>%</w:t>
            </w:r>
          </w:p>
        </w:tc>
        <w:tc>
          <w:tcPr>
            <w:tcW w:w="709" w:type="dxa"/>
            <w:vAlign w:val="center"/>
          </w:tcPr>
          <w:p>
            <w:pPr>
              <w:widowControl/>
              <w:jc w:val="right"/>
              <w:rPr>
                <w:rFonts w:hint="eastAsia" w:asciiTheme="minorEastAsia" w:hAnsiTheme="minorEastAsia" w:cstheme="minorEastAsia"/>
                <w:sz w:val="16"/>
                <w:szCs w:val="16"/>
                <w:highlight w:val="yellow"/>
              </w:rPr>
            </w:pPr>
            <w:r>
              <w:rPr>
                <w:rFonts w:hint="eastAsia" w:asciiTheme="minorEastAsia" w:hAnsiTheme="minorEastAsia" w:cstheme="minorEastAsia"/>
                <w:sz w:val="16"/>
                <w:szCs w:val="16"/>
              </w:rPr>
              <w:t>68.78%</w:t>
            </w:r>
          </w:p>
        </w:tc>
        <w:tc>
          <w:tcPr>
            <w:tcW w:w="1039"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180,000.00</w:t>
            </w:r>
          </w:p>
        </w:tc>
        <w:tc>
          <w:tcPr>
            <w:tcW w:w="945" w:type="dxa"/>
            <w:vAlign w:val="center"/>
          </w:tcPr>
          <w:p>
            <w:pPr>
              <w:widowControl/>
              <w:adjustRightInd w:val="0"/>
              <w:snapToGrid w:val="0"/>
              <w:jc w:val="right"/>
              <w:rPr>
                <w:rFonts w:hint="eastAsia" w:asciiTheme="minorEastAsia" w:hAnsiTheme="minorEastAsia" w:cstheme="minorEastAsia"/>
                <w:sz w:val="16"/>
                <w:szCs w:val="16"/>
              </w:rPr>
            </w:pPr>
            <w:r>
              <w:rPr>
                <w:rFonts w:asciiTheme="minorEastAsia" w:hAnsiTheme="minorEastAsia" w:cstheme="minorEastAsia"/>
                <w:sz w:val="16"/>
                <w:szCs w:val="16"/>
              </w:rPr>
              <w:t>61,005.62</w:t>
            </w:r>
          </w:p>
        </w:tc>
        <w:tc>
          <w:tcPr>
            <w:tcW w:w="97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2,000</w:t>
            </w:r>
            <w:r>
              <w:rPr>
                <w:rFonts w:asciiTheme="minorEastAsia" w:hAnsiTheme="minorEastAsia" w:cstheme="minorEastAsia"/>
                <w:sz w:val="16"/>
                <w:szCs w:val="16"/>
              </w:rPr>
              <w:t>.00</w:t>
            </w:r>
          </w:p>
        </w:tc>
        <w:tc>
          <w:tcPr>
            <w:tcW w:w="773"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24.45%</w:t>
            </w:r>
          </w:p>
        </w:tc>
        <w:tc>
          <w:tcPr>
            <w:tcW w:w="1187"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届满之日起三年</w:t>
            </w:r>
          </w:p>
        </w:tc>
        <w:tc>
          <w:tcPr>
            <w:tcW w:w="429"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552"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558"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惠泽</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电器</w:t>
            </w:r>
          </w:p>
        </w:tc>
        <w:tc>
          <w:tcPr>
            <w:tcW w:w="870" w:type="dxa"/>
            <w:vAlign w:val="center"/>
          </w:tcPr>
          <w:p>
            <w:pPr>
              <w:widowControl/>
              <w:adjustRightInd w:val="0"/>
              <w:snapToGrid w:val="0"/>
              <w:rPr>
                <w:rFonts w:hint="eastAsia" w:asciiTheme="minorEastAsia" w:hAnsiTheme="minorEastAsia" w:cstheme="minorEastAsia"/>
                <w:sz w:val="16"/>
                <w:szCs w:val="16"/>
              </w:rPr>
            </w:pPr>
            <w:r>
              <w:rPr>
                <w:rFonts w:asciiTheme="minorEastAsia" w:hAnsiTheme="minorEastAsia" w:cstheme="minorEastAsia"/>
                <w:sz w:val="16"/>
                <w:szCs w:val="16"/>
              </w:rPr>
              <w:t>100.00%</w:t>
            </w:r>
          </w:p>
        </w:tc>
        <w:tc>
          <w:tcPr>
            <w:tcW w:w="709" w:type="dxa"/>
            <w:vAlign w:val="center"/>
          </w:tcPr>
          <w:p>
            <w:pPr>
              <w:widowControl/>
              <w:jc w:val="right"/>
              <w:rPr>
                <w:rFonts w:hint="eastAsia" w:asciiTheme="minorEastAsia" w:hAnsiTheme="minorEastAsia" w:cstheme="minorEastAsia"/>
                <w:sz w:val="16"/>
                <w:szCs w:val="16"/>
                <w:highlight w:val="yellow"/>
              </w:rPr>
            </w:pPr>
            <w:r>
              <w:rPr>
                <w:rFonts w:hint="eastAsia" w:asciiTheme="minorEastAsia" w:hAnsiTheme="minorEastAsia" w:cstheme="minorEastAsia"/>
                <w:sz w:val="16"/>
                <w:szCs w:val="16"/>
              </w:rPr>
              <w:t>94.48%</w:t>
            </w:r>
          </w:p>
        </w:tc>
        <w:tc>
          <w:tcPr>
            <w:tcW w:w="1039"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4</w:t>
            </w:r>
            <w:r>
              <w:rPr>
                <w:rFonts w:asciiTheme="minorEastAsia" w:hAnsiTheme="minorEastAsia" w:cstheme="minorEastAsia"/>
                <w:sz w:val="16"/>
                <w:szCs w:val="16"/>
              </w:rPr>
              <w:t>0,000.00</w:t>
            </w:r>
          </w:p>
        </w:tc>
        <w:tc>
          <w:tcPr>
            <w:tcW w:w="945" w:type="dxa"/>
            <w:vAlign w:val="center"/>
          </w:tcPr>
          <w:p>
            <w:pPr>
              <w:widowControl/>
              <w:adjustRightInd w:val="0"/>
              <w:snapToGrid w:val="0"/>
              <w:jc w:val="right"/>
              <w:rPr>
                <w:rFonts w:hint="eastAsia" w:asciiTheme="minorEastAsia" w:hAnsiTheme="minorEastAsia" w:cstheme="minorEastAsia"/>
                <w:sz w:val="16"/>
                <w:szCs w:val="16"/>
              </w:rPr>
            </w:pPr>
            <w:r>
              <w:rPr>
                <w:rFonts w:asciiTheme="minorEastAsia" w:hAnsiTheme="minorEastAsia" w:cstheme="minorEastAsia"/>
                <w:sz w:val="16"/>
                <w:szCs w:val="16"/>
              </w:rPr>
              <w:t>1,999.01</w:t>
            </w:r>
          </w:p>
        </w:tc>
        <w:tc>
          <w:tcPr>
            <w:tcW w:w="97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773" w:type="dxa"/>
            <w:vAlign w:val="center"/>
          </w:tcPr>
          <w:p>
            <w:pPr>
              <w:widowControl/>
              <w:adjustRightInd w:val="0"/>
              <w:snapToGrid w:val="0"/>
              <w:jc w:val="right"/>
              <w:rPr>
                <w:rFonts w:hint="eastAsia" w:asciiTheme="minorEastAsia" w:hAnsiTheme="minorEastAsia" w:cstheme="minorEastAsia"/>
                <w:sz w:val="16"/>
                <w:szCs w:val="16"/>
              </w:rPr>
            </w:pPr>
            <w:r>
              <w:rPr>
                <w:rFonts w:asciiTheme="minorEastAsia" w:hAnsiTheme="minorEastAsia" w:cstheme="minorEastAsia"/>
                <w:sz w:val="16"/>
                <w:szCs w:val="16"/>
              </w:rPr>
              <w:t>0.80%</w:t>
            </w:r>
          </w:p>
        </w:tc>
        <w:tc>
          <w:tcPr>
            <w:tcW w:w="1187"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w:t>
            </w:r>
          </w:p>
        </w:tc>
        <w:tc>
          <w:tcPr>
            <w:tcW w:w="429"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552"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558"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望来充</w:t>
            </w:r>
          </w:p>
        </w:tc>
        <w:tc>
          <w:tcPr>
            <w:tcW w:w="870"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100.00%</w:t>
            </w:r>
          </w:p>
        </w:tc>
        <w:tc>
          <w:tcPr>
            <w:tcW w:w="709" w:type="dxa"/>
            <w:vAlign w:val="center"/>
          </w:tcPr>
          <w:p>
            <w:pPr>
              <w:widowControl/>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57.75%</w:t>
            </w:r>
          </w:p>
        </w:tc>
        <w:tc>
          <w:tcPr>
            <w:tcW w:w="1039"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60,000.00</w:t>
            </w:r>
          </w:p>
        </w:tc>
        <w:tc>
          <w:tcPr>
            <w:tcW w:w="94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97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773"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1187" w:type="dxa"/>
            <w:vAlign w:val="center"/>
          </w:tcPr>
          <w:p>
            <w:pPr>
              <w:widowControl/>
              <w:adjustRightInd w:val="0"/>
              <w:snapToGrid w:val="0"/>
              <w:rPr>
                <w:rFonts w:hint="eastAsia" w:asciiTheme="minorEastAsia" w:hAnsiTheme="minorEastAsia" w:cstheme="minorEastAsia"/>
                <w:sz w:val="16"/>
                <w:szCs w:val="16"/>
              </w:rPr>
            </w:pPr>
          </w:p>
        </w:tc>
        <w:tc>
          <w:tcPr>
            <w:tcW w:w="429" w:type="dxa"/>
            <w:vAlign w:val="center"/>
          </w:tcPr>
          <w:p>
            <w:pPr>
              <w:widowControl/>
              <w:adjustRightInd w:val="0"/>
              <w:snapToGrid w:val="0"/>
              <w:jc w:val="center"/>
              <w:rPr>
                <w:rFonts w:hint="eastAsia" w:asciiTheme="minorEastAsia" w:hAnsiTheme="minorEastAsia" w:cstheme="minorEastAsia"/>
                <w:sz w:val="16"/>
                <w:szCs w:val="16"/>
              </w:rPr>
            </w:pPr>
            <w:r>
              <w:rPr>
                <w:rFonts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asciiTheme="minorEastAsia" w:hAnsiTheme="minorEastAsia" w:cstheme="minorEastAsia"/>
                <w:sz w:val="16"/>
                <w:szCs w:val="16"/>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552"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望变</w:t>
            </w:r>
          </w:p>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电气</w:t>
            </w:r>
          </w:p>
        </w:tc>
        <w:tc>
          <w:tcPr>
            <w:tcW w:w="558"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望来电</w:t>
            </w:r>
          </w:p>
        </w:tc>
        <w:tc>
          <w:tcPr>
            <w:tcW w:w="870" w:type="dxa"/>
            <w:vAlign w:val="center"/>
          </w:tcPr>
          <w:p>
            <w:pPr>
              <w:widowControl/>
              <w:adjustRightInd w:val="0"/>
              <w:snapToGrid w:val="0"/>
              <w:rPr>
                <w:rFonts w:hint="eastAsia" w:asciiTheme="minorEastAsia" w:hAnsiTheme="minorEastAsia" w:cstheme="minorEastAsia"/>
                <w:sz w:val="16"/>
                <w:szCs w:val="16"/>
              </w:rPr>
            </w:pPr>
            <w:r>
              <w:rPr>
                <w:rFonts w:hint="eastAsia" w:asciiTheme="minorEastAsia" w:hAnsiTheme="minorEastAsia" w:cstheme="minorEastAsia"/>
                <w:sz w:val="16"/>
                <w:szCs w:val="16"/>
              </w:rPr>
              <w:t>80.00%</w:t>
            </w:r>
          </w:p>
        </w:tc>
        <w:tc>
          <w:tcPr>
            <w:tcW w:w="709" w:type="dxa"/>
            <w:vAlign w:val="center"/>
          </w:tcPr>
          <w:p>
            <w:pPr>
              <w:widowControl/>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0.01%</w:t>
            </w:r>
          </w:p>
        </w:tc>
        <w:tc>
          <w:tcPr>
            <w:tcW w:w="1039"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100,000.00</w:t>
            </w:r>
          </w:p>
        </w:tc>
        <w:tc>
          <w:tcPr>
            <w:tcW w:w="94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975" w:type="dxa"/>
            <w:vAlign w:val="center"/>
          </w:tcPr>
          <w:p>
            <w:pPr>
              <w:widowControl/>
              <w:adjustRightInd w:val="0"/>
              <w:snapToGrid w:val="0"/>
              <w:jc w:val="right"/>
              <w:rPr>
                <w:rFonts w:hint="eastAsia" w:asciiTheme="minorEastAsia" w:hAnsiTheme="minorEastAsia" w:cstheme="minorEastAsia"/>
                <w:sz w:val="16"/>
                <w:szCs w:val="16"/>
              </w:rPr>
            </w:pPr>
            <w:r>
              <w:rPr>
                <w:rFonts w:hint="eastAsia" w:asciiTheme="minorEastAsia" w:hAnsiTheme="minorEastAsia" w:cstheme="minorEastAsia"/>
                <w:sz w:val="16"/>
                <w:szCs w:val="16"/>
              </w:rPr>
              <w:t>0.00</w:t>
            </w:r>
          </w:p>
        </w:tc>
        <w:tc>
          <w:tcPr>
            <w:tcW w:w="773" w:type="dxa"/>
            <w:vAlign w:val="center"/>
          </w:tcPr>
          <w:p>
            <w:pPr>
              <w:widowControl/>
              <w:adjustRightInd w:val="0"/>
              <w:snapToGrid w:val="0"/>
              <w:jc w:val="right"/>
              <w:rPr>
                <w:rFonts w:hint="eastAsia" w:asciiTheme="minorEastAsia" w:hAnsiTheme="minorEastAsia" w:cstheme="minorEastAsia"/>
                <w:sz w:val="16"/>
                <w:szCs w:val="16"/>
              </w:rPr>
            </w:pPr>
            <w:r>
              <w:rPr>
                <w:rFonts w:asciiTheme="minorEastAsia" w:hAnsiTheme="minorEastAsia" w:cstheme="minorEastAsia"/>
                <w:sz w:val="16"/>
                <w:szCs w:val="16"/>
              </w:rPr>
              <w:t>0.</w:t>
            </w:r>
            <w:r>
              <w:rPr>
                <w:rFonts w:hint="eastAsia" w:asciiTheme="minorEastAsia" w:hAnsiTheme="minorEastAsia" w:cstheme="minorEastAsia"/>
                <w:sz w:val="16"/>
                <w:szCs w:val="16"/>
              </w:rPr>
              <w:t>0</w:t>
            </w:r>
            <w:r>
              <w:rPr>
                <w:rFonts w:asciiTheme="minorEastAsia" w:hAnsiTheme="minorEastAsia" w:cstheme="minorEastAsia"/>
                <w:sz w:val="16"/>
                <w:szCs w:val="16"/>
              </w:rPr>
              <w:t>0%</w:t>
            </w:r>
          </w:p>
        </w:tc>
        <w:tc>
          <w:tcPr>
            <w:tcW w:w="1187" w:type="dxa"/>
            <w:vAlign w:val="center"/>
          </w:tcPr>
          <w:p>
            <w:pPr>
              <w:widowControl/>
              <w:adjustRightInd w:val="0"/>
              <w:snapToGrid w:val="0"/>
              <w:rPr>
                <w:rFonts w:hint="eastAsia" w:asciiTheme="minorEastAsia" w:hAnsiTheme="minorEastAsia" w:cstheme="minorEastAsia"/>
                <w:sz w:val="16"/>
                <w:szCs w:val="16"/>
              </w:rPr>
            </w:pPr>
          </w:p>
        </w:tc>
        <w:tc>
          <w:tcPr>
            <w:tcW w:w="429" w:type="dxa"/>
            <w:vAlign w:val="center"/>
          </w:tcPr>
          <w:p>
            <w:pPr>
              <w:widowControl/>
              <w:adjustRightInd w:val="0"/>
              <w:snapToGrid w:val="0"/>
              <w:jc w:val="center"/>
              <w:rPr>
                <w:rFonts w:hint="eastAsia" w:asciiTheme="minorEastAsia" w:hAnsiTheme="minorEastAsia" w:cstheme="minorEastAsia"/>
                <w:sz w:val="16"/>
                <w:szCs w:val="16"/>
              </w:rPr>
            </w:pPr>
            <w:r>
              <w:rPr>
                <w:rFonts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asciiTheme="minorEastAsia" w:hAnsiTheme="minorEastAsia" w:cstheme="minorEastAsia"/>
                <w:sz w:val="16"/>
                <w:szCs w:val="16"/>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trPr>
        <w:tc>
          <w:tcPr>
            <w:tcW w:w="1110" w:type="dxa"/>
            <w:gridSpan w:val="2"/>
            <w:vAlign w:val="center"/>
          </w:tcPr>
          <w:p>
            <w:pPr>
              <w:widowControl/>
              <w:adjustRightInd w:val="0"/>
              <w:snapToGrid w:val="0"/>
              <w:jc w:val="center"/>
              <w:rPr>
                <w:rFonts w:hint="eastAsia" w:ascii="宋体" w:hAnsi="宋体"/>
                <w:b/>
                <w:bCs/>
                <w:sz w:val="16"/>
                <w:szCs w:val="16"/>
              </w:rPr>
            </w:pPr>
            <w:r>
              <w:rPr>
                <w:rFonts w:hint="eastAsia" w:ascii="宋体" w:hAnsi="宋体"/>
                <w:b/>
                <w:bCs/>
                <w:sz w:val="16"/>
                <w:szCs w:val="16"/>
              </w:rPr>
              <w:t>合计</w:t>
            </w:r>
          </w:p>
        </w:tc>
        <w:tc>
          <w:tcPr>
            <w:tcW w:w="870" w:type="dxa"/>
            <w:vAlign w:val="center"/>
          </w:tcPr>
          <w:p>
            <w:pPr>
              <w:pStyle w:val="34"/>
              <w:widowControl/>
              <w:spacing w:line="240" w:lineRule="auto"/>
              <w:jc w:val="right"/>
              <w:rPr>
                <w:rFonts w:hint="eastAsia" w:ascii="宋体" w:hAnsi="宋体" w:eastAsia="宋体"/>
                <w:b/>
                <w:bCs/>
                <w:sz w:val="16"/>
                <w:szCs w:val="16"/>
                <w:lang w:eastAsia="zh-CN"/>
              </w:rPr>
            </w:pPr>
            <w:r>
              <w:rPr>
                <w:rFonts w:hint="eastAsia" w:ascii="宋体" w:hAnsi="宋体" w:eastAsia="宋体"/>
                <w:b/>
                <w:bCs/>
                <w:sz w:val="16"/>
                <w:szCs w:val="16"/>
                <w:lang w:eastAsia="zh-CN"/>
              </w:rPr>
              <w:t>-</w:t>
            </w:r>
          </w:p>
        </w:tc>
        <w:tc>
          <w:tcPr>
            <w:tcW w:w="709" w:type="dxa"/>
            <w:vAlign w:val="center"/>
          </w:tcPr>
          <w:p>
            <w:pPr>
              <w:widowControl/>
              <w:jc w:val="right"/>
              <w:rPr>
                <w:rFonts w:hint="eastAsia" w:asciiTheme="minorEastAsia" w:hAnsiTheme="minorEastAsia" w:cstheme="minorEastAsia"/>
                <w:b/>
                <w:bCs/>
                <w:sz w:val="16"/>
                <w:szCs w:val="16"/>
              </w:rPr>
            </w:pPr>
            <w:r>
              <w:rPr>
                <w:rFonts w:hint="eastAsia" w:asciiTheme="minorEastAsia" w:hAnsiTheme="minorEastAsia" w:cstheme="minorEastAsia"/>
                <w:b/>
                <w:bCs/>
                <w:sz w:val="16"/>
                <w:szCs w:val="16"/>
              </w:rPr>
              <w:t>-</w:t>
            </w:r>
          </w:p>
        </w:tc>
        <w:tc>
          <w:tcPr>
            <w:tcW w:w="1039" w:type="dxa"/>
            <w:vAlign w:val="center"/>
          </w:tcPr>
          <w:p>
            <w:pPr>
              <w:widowControl/>
              <w:adjustRightInd w:val="0"/>
              <w:snapToGrid w:val="0"/>
              <w:jc w:val="right"/>
              <w:rPr>
                <w:rFonts w:hint="eastAsia" w:asciiTheme="minorEastAsia" w:hAnsiTheme="minorEastAsia" w:cstheme="minorEastAsia"/>
                <w:b/>
                <w:bCs/>
                <w:sz w:val="16"/>
                <w:szCs w:val="16"/>
              </w:rPr>
            </w:pPr>
            <w:r>
              <w:rPr>
                <w:rFonts w:hint="eastAsia" w:asciiTheme="minorEastAsia" w:hAnsiTheme="minorEastAsia" w:cstheme="minorEastAsia"/>
                <w:b/>
                <w:bCs/>
                <w:sz w:val="16"/>
                <w:szCs w:val="16"/>
              </w:rPr>
              <w:t>400,000.00</w:t>
            </w:r>
          </w:p>
        </w:tc>
        <w:tc>
          <w:tcPr>
            <w:tcW w:w="945" w:type="dxa"/>
            <w:vAlign w:val="center"/>
          </w:tcPr>
          <w:p>
            <w:pPr>
              <w:widowControl/>
              <w:adjustRightInd w:val="0"/>
              <w:snapToGrid w:val="0"/>
              <w:jc w:val="right"/>
              <w:rPr>
                <w:rFonts w:hint="eastAsia" w:asciiTheme="minorEastAsia" w:hAnsiTheme="minorEastAsia" w:cstheme="minorEastAsia"/>
                <w:b/>
                <w:bCs/>
                <w:sz w:val="16"/>
                <w:szCs w:val="16"/>
              </w:rPr>
            </w:pPr>
            <w:r>
              <w:rPr>
                <w:rFonts w:asciiTheme="minorEastAsia" w:hAnsiTheme="minorEastAsia" w:cstheme="minorEastAsia"/>
                <w:b/>
                <w:bCs/>
                <w:sz w:val="16"/>
                <w:szCs w:val="16"/>
              </w:rPr>
              <w:t>67,308.08</w:t>
            </w:r>
          </w:p>
        </w:tc>
        <w:tc>
          <w:tcPr>
            <w:tcW w:w="975" w:type="dxa"/>
            <w:vAlign w:val="center"/>
          </w:tcPr>
          <w:p>
            <w:pPr>
              <w:widowControl/>
              <w:adjustRightInd w:val="0"/>
              <w:snapToGrid w:val="0"/>
              <w:jc w:val="right"/>
              <w:rPr>
                <w:rFonts w:hint="eastAsia" w:asciiTheme="minorEastAsia" w:hAnsiTheme="minorEastAsia" w:cstheme="minorEastAsia"/>
                <w:b/>
                <w:bCs/>
                <w:sz w:val="16"/>
                <w:szCs w:val="16"/>
              </w:rPr>
            </w:pPr>
            <w:r>
              <w:rPr>
                <w:rFonts w:hint="eastAsia" w:asciiTheme="minorEastAsia" w:hAnsiTheme="minorEastAsia" w:cstheme="minorEastAsia"/>
                <w:b/>
                <w:bCs/>
                <w:sz w:val="16"/>
                <w:szCs w:val="16"/>
              </w:rPr>
              <w:t>2,000</w:t>
            </w:r>
            <w:r>
              <w:rPr>
                <w:rFonts w:asciiTheme="minorEastAsia" w:hAnsiTheme="minorEastAsia" w:cstheme="minorEastAsia"/>
                <w:b/>
                <w:bCs/>
                <w:sz w:val="16"/>
                <w:szCs w:val="16"/>
              </w:rPr>
              <w:t>.00</w:t>
            </w:r>
          </w:p>
        </w:tc>
        <w:tc>
          <w:tcPr>
            <w:tcW w:w="773" w:type="dxa"/>
            <w:vAlign w:val="center"/>
          </w:tcPr>
          <w:p>
            <w:pPr>
              <w:widowControl/>
              <w:adjustRightInd w:val="0"/>
              <w:snapToGrid w:val="0"/>
              <w:jc w:val="right"/>
              <w:rPr>
                <w:rFonts w:hint="eastAsia" w:asciiTheme="minorEastAsia" w:hAnsiTheme="minorEastAsia" w:cstheme="minorEastAsia"/>
                <w:b/>
                <w:bCs/>
                <w:sz w:val="16"/>
                <w:szCs w:val="16"/>
              </w:rPr>
            </w:pPr>
            <w:r>
              <w:rPr>
                <w:rFonts w:asciiTheme="minorEastAsia" w:hAnsiTheme="minorEastAsia" w:cstheme="minorEastAsia"/>
                <w:b/>
                <w:bCs/>
                <w:sz w:val="16"/>
                <w:szCs w:val="16"/>
              </w:rPr>
              <w:t>2</w:t>
            </w:r>
            <w:r>
              <w:rPr>
                <w:rFonts w:hint="eastAsia" w:asciiTheme="minorEastAsia" w:hAnsiTheme="minorEastAsia" w:cstheme="minorEastAsia"/>
                <w:b/>
                <w:bCs/>
                <w:sz w:val="16"/>
                <w:szCs w:val="16"/>
              </w:rPr>
              <w:t>6</w:t>
            </w:r>
            <w:r>
              <w:rPr>
                <w:rFonts w:asciiTheme="minorEastAsia" w:hAnsiTheme="minorEastAsia" w:cstheme="minorEastAsia"/>
                <w:b/>
                <w:bCs/>
                <w:sz w:val="16"/>
                <w:szCs w:val="16"/>
              </w:rPr>
              <w:t>.98%</w:t>
            </w:r>
          </w:p>
        </w:tc>
        <w:tc>
          <w:tcPr>
            <w:tcW w:w="1187" w:type="dxa"/>
            <w:vAlign w:val="center"/>
          </w:tcPr>
          <w:p>
            <w:pPr>
              <w:widowControl/>
              <w:adjustRightInd w:val="0"/>
              <w:snapToGrid w:val="0"/>
              <w:rPr>
                <w:rFonts w:hint="eastAsia" w:asciiTheme="minorEastAsia" w:hAnsiTheme="minorEastAsia" w:cstheme="minorEastAsia"/>
                <w:b/>
                <w:bCs/>
                <w:sz w:val="16"/>
                <w:szCs w:val="16"/>
              </w:rPr>
            </w:pPr>
            <w:r>
              <w:rPr>
                <w:rFonts w:hint="eastAsia" w:asciiTheme="minorEastAsia" w:hAnsiTheme="minorEastAsia" w:cstheme="minorEastAsia"/>
                <w:sz w:val="16"/>
                <w:szCs w:val="16"/>
              </w:rPr>
              <w:t>-</w:t>
            </w:r>
          </w:p>
        </w:tc>
        <w:tc>
          <w:tcPr>
            <w:tcW w:w="429"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c>
          <w:tcPr>
            <w:tcW w:w="692" w:type="dxa"/>
            <w:vAlign w:val="center"/>
          </w:tcPr>
          <w:p>
            <w:pPr>
              <w:widowControl/>
              <w:adjustRightInd w:val="0"/>
              <w:snapToGrid w:val="0"/>
              <w:jc w:val="center"/>
              <w:rPr>
                <w:rFonts w:hint="eastAsia" w:asciiTheme="minorEastAsia" w:hAnsiTheme="minorEastAsia" w:cstheme="minorEastAsia"/>
                <w:sz w:val="16"/>
                <w:szCs w:val="16"/>
              </w:rPr>
            </w:pPr>
            <w:r>
              <w:rPr>
                <w:rFonts w:hint="eastAsia" w:asciiTheme="minorEastAsia" w:hAnsiTheme="minorEastAsia" w:cstheme="minorEastAsia"/>
                <w:sz w:val="16"/>
                <w:szCs w:val="16"/>
              </w:rPr>
              <w:t>否</w:t>
            </w:r>
          </w:p>
        </w:tc>
      </w:tr>
    </w:tbl>
    <w:p>
      <w:pPr>
        <w:widowControl/>
        <w:adjustRightInd w:val="0"/>
        <w:snapToGrid w:val="0"/>
        <w:spacing w:line="560" w:lineRule="exact"/>
        <w:jc w:val="left"/>
        <w:rPr>
          <w:rFonts w:hint="eastAsia"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说明：本表尾差系四舍五入所致。</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被担保人基本情况</w:t>
      </w:r>
    </w:p>
    <w:p>
      <w:pPr>
        <w:pStyle w:val="19"/>
        <w:widowControl/>
        <w:numPr>
          <w:ilvl w:val="0"/>
          <w:numId w:val="4"/>
        </w:numPr>
        <w:adjustRightInd w:val="0"/>
        <w:snapToGrid w:val="0"/>
        <w:spacing w:line="560" w:lineRule="exact"/>
        <w:ind w:firstLineChars="0"/>
        <w:jc w:val="left"/>
        <w:outlineLvl w:val="1"/>
        <w:rPr>
          <w:rFonts w:hint="eastAsia" w:asciiTheme="minorEastAsia" w:hAnsiTheme="minorEastAsia" w:cstheme="minorEastAsia"/>
          <w:sz w:val="24"/>
          <w:szCs w:val="24"/>
        </w:rPr>
      </w:pPr>
      <w:r>
        <w:rPr>
          <w:rFonts w:hint="eastAsia" w:asciiTheme="minorEastAsia" w:hAnsiTheme="minorEastAsia" w:cstheme="minorEastAsia"/>
          <w:sz w:val="24"/>
          <w:szCs w:val="24"/>
        </w:rPr>
        <w:t>基本情况</w:t>
      </w:r>
    </w:p>
    <w:p>
      <w:pPr>
        <w:widowControl/>
        <w:adjustRightInd w:val="0"/>
        <w:snapToGrid w:val="0"/>
        <w:spacing w:line="560" w:lineRule="exact"/>
        <w:ind w:left="480"/>
        <w:jc w:val="left"/>
        <w:outlineLvl w:val="1"/>
        <w:rPr>
          <w:rFonts w:hint="eastAsia" w:asciiTheme="minorEastAsia" w:hAnsiTheme="minorEastAsia" w:cstheme="minorEastAsia"/>
          <w:sz w:val="24"/>
          <w:szCs w:val="24"/>
        </w:rPr>
      </w:pPr>
      <w:r>
        <w:rPr>
          <w:rFonts w:asciiTheme="minorEastAsia" w:hAnsiTheme="minorEastAsia" w:cstheme="minorEastAsia"/>
          <w:sz w:val="24"/>
          <w:szCs w:val="24"/>
        </w:rPr>
        <w:t>1</w:t>
      </w:r>
      <w:r>
        <w:rPr>
          <w:rFonts w:hint="eastAsia" w:asciiTheme="minorEastAsia" w:hAnsiTheme="minorEastAsia" w:cstheme="minorEastAsia"/>
          <w:sz w:val="24"/>
          <w:szCs w:val="24"/>
        </w:rPr>
        <w:t>、</w:t>
      </w:r>
      <w:r>
        <w:rPr>
          <w:rFonts w:ascii="宋体" w:hAnsi="宋体" w:eastAsia="宋体" w:cstheme="minorEastAsia"/>
          <w:sz w:val="24"/>
          <w:szCs w:val="24"/>
        </w:rPr>
        <w:t>云南变压器电气股份有限公司</w:t>
      </w:r>
    </w:p>
    <w:tbl>
      <w:tblPr>
        <w:tblStyle w:val="11"/>
        <w:tblW w:w="5294" w:type="pct"/>
        <w:tblInd w:w="0" w:type="dxa"/>
        <w:tblLayout w:type="autofit"/>
        <w:tblCellMar>
          <w:top w:w="0" w:type="dxa"/>
          <w:left w:w="0" w:type="dxa"/>
          <w:bottom w:w="0" w:type="dxa"/>
          <w:right w:w="0" w:type="dxa"/>
        </w:tblCellMar>
      </w:tblPr>
      <w:tblGrid>
        <w:gridCol w:w="2513"/>
        <w:gridCol w:w="1512"/>
        <w:gridCol w:w="2127"/>
        <w:gridCol w:w="2761"/>
      </w:tblGrid>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被担保人类型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☑法人</w:t>
            </w:r>
          </w:p>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sz w:val="16"/>
                <w:szCs w:val="16"/>
              </w:rPr>
              <w:t>□其他</w:t>
            </w:r>
            <w:r>
              <w:rPr>
                <w:rFonts w:hint="eastAsia" w:asciiTheme="minorEastAsia" w:hAnsiTheme="minorEastAsia" w:cstheme="minorEastAsia"/>
                <w:sz w:val="16"/>
                <w:szCs w:val="16"/>
              </w:rPr>
              <w:t>______________</w:t>
            </w:r>
            <w:r>
              <w:rPr>
                <w:rFonts w:hint="eastAsia"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sz w:val="16"/>
                <w:szCs w:val="16"/>
              </w:rPr>
              <w:t>被担保人名称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云南变压器电气股份有限公司</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被担保人类型及上市公司持股情况</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☑全资子公司</w:t>
            </w:r>
          </w:p>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□控股子公司</w:t>
            </w:r>
          </w:p>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□参股公司</w:t>
            </w:r>
          </w:p>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□其他</w:t>
            </w:r>
            <w:r>
              <w:rPr>
                <w:rFonts w:hint="eastAsia" w:asciiTheme="minorEastAsia" w:hAnsiTheme="minorEastAsia" w:cstheme="minorEastAsia"/>
                <w:sz w:val="16"/>
                <w:szCs w:val="16"/>
              </w:rPr>
              <w:t>_______</w:t>
            </w:r>
            <w:r>
              <w:rPr>
                <w:rFonts w:asciiTheme="minorEastAsia" w:hAnsiTheme="minorEastAsia" w:cstheme="minorEastAsia"/>
                <w:sz w:val="16"/>
                <w:szCs w:val="16"/>
              </w:rPr>
              <w:t>_</w:t>
            </w:r>
            <w:r>
              <w:rPr>
                <w:rFonts w:hint="eastAsia" w:asciiTheme="minorEastAsia" w:hAnsiTheme="minorEastAsia" w:cstheme="minorEastAsia"/>
                <w:sz w:val="16"/>
                <w:szCs w:val="16"/>
              </w:rPr>
              <w:t>______</w:t>
            </w:r>
            <w:r>
              <w:rPr>
                <w:rFonts w:hint="eastAsia"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sz w:val="16"/>
                <w:szCs w:val="16"/>
              </w:rPr>
            </w:pPr>
            <w:r>
              <w:rPr>
                <w:rFonts w:hint="eastAsia" w:asciiTheme="minorEastAsia" w:hAnsiTheme="minorEastAsia" w:cstheme="minorEastAsia"/>
                <w:color w:val="000000"/>
                <w:sz w:val="16"/>
                <w:szCs w:val="16"/>
              </w:rPr>
              <w:t>主要股东及持股比例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望变电气持股100%</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sz w:val="16"/>
                <w:szCs w:val="16"/>
              </w:rPr>
              <w:t>法定代表人</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肖斌</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统一社会信用代码</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宋体" w:hAnsi="宋体" w:cs="宋体"/>
                <w:bCs/>
                <w:snapToGrid w:val="0"/>
                <w:kern w:val="0"/>
                <w:sz w:val="16"/>
                <w:szCs w:val="16"/>
              </w:rPr>
              <w:t>91530000713402501X</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成立时间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宋体" w:hAnsi="宋体" w:cs="宋体"/>
                <w:bCs/>
                <w:snapToGrid w:val="0"/>
                <w:kern w:val="0"/>
                <w:sz w:val="16"/>
                <w:szCs w:val="16"/>
              </w:rPr>
              <w:t>1999年1月23日</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注册地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中国（云南）自由贸易试验区昆明片区经开区洛羊街道办事处拓翔路</w:t>
            </w:r>
            <w:r>
              <w:rPr>
                <w:rFonts w:asciiTheme="minorEastAsia" w:hAnsiTheme="minorEastAsia" w:cstheme="minorEastAsia"/>
                <w:color w:val="000000"/>
                <w:kern w:val="0"/>
                <w:sz w:val="16"/>
                <w:szCs w:val="16"/>
              </w:rPr>
              <w:t>212号</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注册资本</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人民币</w:t>
            </w:r>
            <w:r>
              <w:rPr>
                <w:rFonts w:asciiTheme="minorEastAsia" w:hAnsiTheme="minorEastAsia" w:cstheme="minorEastAsia"/>
                <w:color w:val="000000"/>
                <w:kern w:val="0"/>
                <w:sz w:val="16"/>
                <w:szCs w:val="16"/>
              </w:rPr>
              <w:t>10,041.3641万元</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公司类型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其他股份有限公司（非上市）</w:t>
            </w:r>
          </w:p>
        </w:tc>
      </w:tr>
      <w:tr>
        <w:tblPrEx>
          <w:tblCellMar>
            <w:top w:w="0" w:type="dxa"/>
            <w:left w:w="0" w:type="dxa"/>
            <w:bottom w:w="0" w:type="dxa"/>
            <w:right w:w="0" w:type="dxa"/>
          </w:tblCellMar>
        </w:tblPrEx>
        <w:trPr>
          <w:trHeight w:val="397" w:hRule="atLeast"/>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经营范围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各种变压器的生产制造、销售；变压器产品生产所需的原辅助材料、电磁线、硅钢片、机械设备、仪器仪表、备品、备件、零配件、高低压开关柜、箱式变电站、电线电缆及相关技术，变压器修理，电子电器产品；货物进出口、技术进出口业务；电力工程施工总承包；电力设施承装（修、试）业务。</w:t>
            </w:r>
          </w:p>
        </w:tc>
      </w:tr>
      <w:tr>
        <w:tblPrEx>
          <w:tblCellMar>
            <w:top w:w="0" w:type="dxa"/>
            <w:left w:w="0" w:type="dxa"/>
            <w:bottom w:w="0" w:type="dxa"/>
            <w:right w:w="0" w:type="dxa"/>
          </w:tblCellMar>
        </w:tblPrEx>
        <w:trPr>
          <w:trHeight w:val="397" w:hRule="atLeast"/>
        </w:trPr>
        <w:tc>
          <w:tcPr>
            <w:tcW w:w="1410" w:type="pct"/>
            <w:vMerge w:val="restar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主要财务指标（万元）</w:t>
            </w: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项目</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宋体" w:hAnsi="宋体" w:cs="宋体"/>
                <w:kern w:val="0"/>
                <w:sz w:val="16"/>
                <w:szCs w:val="16"/>
              </w:rPr>
            </w:pPr>
            <w:r>
              <w:rPr>
                <w:rFonts w:hint="eastAsia" w:ascii="宋体" w:hAnsi="宋体" w:cs="宋体"/>
                <w:kern w:val="0"/>
                <w:sz w:val="16"/>
                <w:szCs w:val="16"/>
              </w:rPr>
              <w:t>2026年3月</w:t>
            </w:r>
            <w:r>
              <w:rPr>
                <w:rFonts w:ascii="宋体" w:hAnsi="宋体" w:cs="宋体"/>
                <w:kern w:val="0"/>
                <w:sz w:val="16"/>
                <w:szCs w:val="16"/>
              </w:rPr>
              <w:t>3</w:t>
            </w:r>
            <w:r>
              <w:rPr>
                <w:rFonts w:hint="eastAsia" w:ascii="宋体" w:hAnsi="宋体" w:cs="宋体"/>
                <w:kern w:val="0"/>
                <w:sz w:val="16"/>
                <w:szCs w:val="16"/>
              </w:rPr>
              <w:t>1日</w:t>
            </w:r>
          </w:p>
          <w:p>
            <w:pPr>
              <w:widowControl/>
              <w:adjustRightInd w:val="0"/>
              <w:snapToGrid w:val="0"/>
              <w:jc w:val="center"/>
              <w:rPr>
                <w:rFonts w:hint="eastAsia" w:asciiTheme="minorEastAsia" w:hAnsiTheme="minorEastAsia" w:cstheme="minorEastAsia"/>
                <w:color w:val="FF0000"/>
                <w:kern w:val="0"/>
                <w:sz w:val="16"/>
                <w:szCs w:val="16"/>
              </w:rPr>
            </w:pPr>
            <w:r>
              <w:rPr>
                <w:rFonts w:hint="eastAsia" w:ascii="宋体" w:hAnsi="宋体" w:cs="宋体"/>
                <w:kern w:val="0"/>
                <w:sz w:val="16"/>
                <w:szCs w:val="16"/>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hint="eastAsia" w:ascii="宋体" w:hAnsi="宋体" w:cs="宋体"/>
                <w:kern w:val="0"/>
                <w:sz w:val="16"/>
                <w:szCs w:val="16"/>
              </w:rPr>
            </w:pPr>
            <w:r>
              <w:rPr>
                <w:rFonts w:hint="eastAsia" w:ascii="宋体" w:hAnsi="宋体" w:cs="宋体"/>
                <w:kern w:val="0"/>
                <w:sz w:val="16"/>
                <w:szCs w:val="16"/>
              </w:rPr>
              <w:t>2025年12月31日</w:t>
            </w:r>
          </w:p>
          <w:p>
            <w:pPr>
              <w:widowControl/>
              <w:adjustRightInd w:val="0"/>
              <w:snapToGrid w:val="0"/>
              <w:jc w:val="center"/>
              <w:rPr>
                <w:rFonts w:hint="eastAsia" w:asciiTheme="minorEastAsia" w:hAnsiTheme="minorEastAsia" w:cstheme="minorEastAsia"/>
                <w:color w:val="FF0000"/>
                <w:kern w:val="0"/>
                <w:sz w:val="16"/>
                <w:szCs w:val="16"/>
              </w:rPr>
            </w:pPr>
            <w:r>
              <w:rPr>
                <w:rFonts w:hint="eastAsia" w:ascii="宋体" w:hAnsi="宋体" w:cs="宋体"/>
                <w:kern w:val="0"/>
                <w:sz w:val="16"/>
                <w:szCs w:val="16"/>
              </w:rPr>
              <w:t>（经审计）</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bookmarkStart w:id="12" w:name="_Hlk229146614"/>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资产总额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217,253.49</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220,749.60</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负债总额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149,425.36</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154,795.20</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资产净额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67,828.13</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65,954.40</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2026年1-3月</w:t>
            </w:r>
          </w:p>
          <w:p>
            <w:pPr>
              <w:widowControl/>
              <w:jc w:val="center"/>
              <w:textAlignment w:val="center"/>
              <w:rPr>
                <w:rFonts w:hint="eastAsia" w:asciiTheme="minorEastAsia" w:hAnsiTheme="minorEastAsia" w:cstheme="minorEastAsia"/>
                <w:color w:val="000000"/>
                <w:kern w:val="0"/>
                <w:sz w:val="16"/>
                <w:szCs w:val="16"/>
              </w:rPr>
            </w:pPr>
            <w:r>
              <w:rPr>
                <w:rFonts w:hint="eastAsia" w:ascii="宋体" w:hAnsi="宋体" w:cs="宋体"/>
                <w:color w:val="000000"/>
                <w:kern w:val="0"/>
                <w:sz w:val="16"/>
                <w:szCs w:val="16"/>
                <w:lang w:bidi="ar"/>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2025年1-12月</w:t>
            </w:r>
          </w:p>
          <w:p>
            <w:pPr>
              <w:widowControl/>
              <w:jc w:val="center"/>
              <w:textAlignment w:val="center"/>
              <w:rPr>
                <w:rFonts w:hint="eastAsia" w:asciiTheme="minorEastAsia" w:hAnsiTheme="minorEastAsia" w:cstheme="minorEastAsia"/>
                <w:color w:val="000000"/>
                <w:kern w:val="0"/>
                <w:sz w:val="16"/>
                <w:szCs w:val="16"/>
              </w:rPr>
            </w:pPr>
            <w:r>
              <w:rPr>
                <w:rFonts w:hint="eastAsia" w:ascii="宋体" w:hAnsi="宋体" w:cs="宋体"/>
                <w:color w:val="000000"/>
                <w:kern w:val="0"/>
                <w:sz w:val="16"/>
                <w:szCs w:val="16"/>
                <w:lang w:bidi="ar"/>
              </w:rPr>
              <w:t>（经审计）</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营业收入</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26,546.92</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130,858.57</w:t>
            </w:r>
          </w:p>
        </w:tc>
      </w:tr>
      <w:tr>
        <w:tblPrEx>
          <w:tblCellMar>
            <w:top w:w="0" w:type="dxa"/>
            <w:left w:w="0" w:type="dxa"/>
            <w:bottom w:w="0" w:type="dxa"/>
            <w:right w:w="0" w:type="dxa"/>
          </w:tblCellMar>
        </w:tblPrEx>
        <w:trPr>
          <w:trHeight w:val="397" w:hRule="atLeast"/>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hint="eastAsia" w:asciiTheme="minorEastAsia" w:hAnsiTheme="minorEastAsia" w:cstheme="minorEastAsia"/>
                <w:color w:val="000000"/>
                <w:kern w:val="0"/>
                <w:sz w:val="16"/>
                <w:szCs w:val="16"/>
              </w:rPr>
            </w:pPr>
            <w:r>
              <w:rPr>
                <w:rFonts w:hint="eastAsia" w:asciiTheme="minorEastAsia" w:hAnsiTheme="minorEastAsia" w:cstheme="minorEastAsia"/>
                <w:color w:val="000000"/>
                <w:kern w:val="0"/>
                <w:sz w:val="16"/>
                <w:szCs w:val="16"/>
              </w:rPr>
              <w:t>净利润</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1,830.11</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tcPr>
          <w:p>
            <w:pPr>
              <w:widowControl/>
              <w:adjustRightInd w:val="0"/>
              <w:snapToGrid w:val="0"/>
              <w:jc w:val="right"/>
              <w:rPr>
                <w:rFonts w:hint="eastAsia" w:asciiTheme="minorEastAsia" w:hAnsiTheme="minorEastAsia" w:cstheme="minorEastAsia"/>
                <w:color w:val="000000"/>
                <w:kern w:val="0"/>
                <w:sz w:val="16"/>
                <w:szCs w:val="16"/>
              </w:rPr>
            </w:pPr>
            <w:r>
              <w:rPr>
                <w:rFonts w:asciiTheme="minorEastAsia" w:hAnsiTheme="minorEastAsia" w:cstheme="minorEastAsia"/>
                <w:color w:val="000000"/>
                <w:kern w:val="0"/>
                <w:sz w:val="16"/>
                <w:szCs w:val="16"/>
              </w:rPr>
              <w:t>4,206.06</w:t>
            </w:r>
          </w:p>
        </w:tc>
      </w:tr>
      <w:bookmarkEnd w:id="12"/>
    </w:tbl>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担保协议的主要内容</w:t>
      </w:r>
    </w:p>
    <w:p>
      <w:pPr>
        <w:widowControl/>
        <w:adjustRightInd w:val="0"/>
        <w:snapToGrid w:val="0"/>
        <w:spacing w:line="560" w:lineRule="exact"/>
        <w:ind w:firstLine="480"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sz w:val="24"/>
          <w:szCs w:val="28"/>
        </w:rPr>
        <w:t>公司与</w:t>
      </w:r>
      <w:r>
        <w:rPr>
          <w:rFonts w:asciiTheme="minorEastAsia" w:hAnsiTheme="minorEastAsia" w:cstheme="minorEastAsia"/>
          <w:sz w:val="24"/>
          <w:szCs w:val="28"/>
        </w:rPr>
        <w:t>昆明黑林铺信用社</w:t>
      </w:r>
      <w:r>
        <w:rPr>
          <w:rFonts w:hint="eastAsia" w:asciiTheme="minorEastAsia" w:hAnsiTheme="minorEastAsia" w:cstheme="minorEastAsia"/>
          <w:sz w:val="24"/>
          <w:szCs w:val="28"/>
        </w:rPr>
        <w:t>签署的保证合同</w:t>
      </w:r>
      <w:r>
        <w:rPr>
          <w:rFonts w:hint="eastAsia" w:ascii="宋体" w:hAnsi="宋体" w:cs="宋体"/>
          <w:kern w:val="0"/>
          <w:sz w:val="24"/>
          <w:szCs w:val="28"/>
        </w:rPr>
        <w:t>（以下简称“</w:t>
      </w:r>
      <w:r>
        <w:rPr>
          <w:rFonts w:ascii="宋体" w:hAnsi="宋体" w:cs="宋体"/>
          <w:kern w:val="0"/>
          <w:sz w:val="24"/>
          <w:szCs w:val="24"/>
        </w:rPr>
        <w:t>本《保证</w:t>
      </w:r>
      <w:r>
        <w:rPr>
          <w:rFonts w:hint="eastAsia" w:ascii="宋体" w:hAnsi="宋体" w:cs="宋体"/>
          <w:kern w:val="0"/>
          <w:sz w:val="24"/>
          <w:szCs w:val="24"/>
        </w:rPr>
        <w:t>合同</w:t>
      </w:r>
      <w:r>
        <w:rPr>
          <w:rFonts w:ascii="宋体" w:hAnsi="宋体" w:cs="宋体"/>
          <w:kern w:val="0"/>
          <w:sz w:val="24"/>
          <w:szCs w:val="24"/>
        </w:rPr>
        <w:t>》</w:t>
      </w:r>
      <w:r>
        <w:rPr>
          <w:rFonts w:hint="eastAsia" w:ascii="宋体" w:hAnsi="宋体" w:cs="宋体"/>
          <w:kern w:val="0"/>
          <w:sz w:val="24"/>
          <w:szCs w:val="28"/>
        </w:rPr>
        <w:t>”）</w:t>
      </w:r>
    </w:p>
    <w:p>
      <w:pPr>
        <w:pStyle w:val="9"/>
        <w:spacing w:beforeAutospacing="0" w:afterAutospacing="0" w:line="560" w:lineRule="exact"/>
        <w:ind w:firstLine="480" w:firstLineChars="200"/>
        <w:rPr>
          <w:rFonts w:hint="eastAsia" w:ascii="宋体" w:hAnsi="宋体" w:cs="宋体"/>
          <w:szCs w:val="24"/>
        </w:rPr>
      </w:pPr>
      <w:r>
        <w:rPr>
          <w:rFonts w:hint="eastAsia" w:ascii="宋体" w:hAnsi="宋体" w:cs="宋体"/>
          <w:bCs/>
          <w:snapToGrid w:val="0"/>
          <w:szCs w:val="24"/>
        </w:rPr>
        <w:t>1、</w:t>
      </w:r>
      <w:r>
        <w:rPr>
          <w:rFonts w:hint="eastAsia" w:ascii="宋体" w:hAnsi="宋体" w:cs="宋体"/>
          <w:szCs w:val="24"/>
        </w:rPr>
        <w:t>保证人：重庆望变电气（集团）股份有限公司</w:t>
      </w:r>
    </w:p>
    <w:p>
      <w:pPr>
        <w:numPr>
          <w:ilvl w:val="255"/>
          <w:numId w:val="0"/>
        </w:numPr>
        <w:autoSpaceDE w:val="0"/>
        <w:autoSpaceDN w:val="0"/>
        <w:adjustRightInd w:val="0"/>
        <w:spacing w:line="560" w:lineRule="exact"/>
        <w:ind w:firstLine="480" w:firstLineChars="200"/>
        <w:rPr>
          <w:rFonts w:hint="eastAsia" w:ascii="宋体" w:hAnsi="宋体" w:cs="宋体"/>
          <w:kern w:val="0"/>
          <w:sz w:val="24"/>
          <w:szCs w:val="24"/>
        </w:rPr>
      </w:pPr>
      <w:r>
        <w:rPr>
          <w:rFonts w:hint="eastAsia" w:ascii="宋体" w:hAnsi="宋体" w:cs="宋体"/>
          <w:kern w:val="0"/>
          <w:sz w:val="24"/>
          <w:szCs w:val="24"/>
        </w:rPr>
        <w:t>2、保证方式：连带责任保证</w:t>
      </w:r>
    </w:p>
    <w:p>
      <w:pPr>
        <w:numPr>
          <w:ilvl w:val="255"/>
          <w:numId w:val="0"/>
        </w:numPr>
        <w:autoSpaceDE w:val="0"/>
        <w:autoSpaceDN w:val="0"/>
        <w:adjustRightInd w:val="0"/>
        <w:spacing w:line="560" w:lineRule="exact"/>
        <w:ind w:firstLine="480" w:firstLineChars="200"/>
        <w:rPr>
          <w:rFonts w:hint="eastAsia" w:ascii="宋体" w:hAnsi="宋体" w:cs="宋体"/>
          <w:kern w:val="0"/>
          <w:sz w:val="24"/>
          <w:szCs w:val="24"/>
        </w:rPr>
      </w:pPr>
      <w:r>
        <w:rPr>
          <w:rFonts w:hint="eastAsia" w:ascii="宋体" w:hAnsi="宋体" w:cs="宋体"/>
          <w:kern w:val="0"/>
          <w:sz w:val="24"/>
          <w:szCs w:val="24"/>
        </w:rPr>
        <w:t>3、保证范围：</w:t>
      </w:r>
    </w:p>
    <w:p>
      <w:pPr>
        <w:numPr>
          <w:ilvl w:val="255"/>
          <w:numId w:val="0"/>
        </w:numPr>
        <w:autoSpaceDE w:val="0"/>
        <w:autoSpaceDN w:val="0"/>
        <w:adjustRightInd w:val="0"/>
        <w:spacing w:line="560" w:lineRule="exact"/>
        <w:ind w:firstLine="480"/>
        <w:rPr>
          <w:rFonts w:hint="eastAsia" w:ascii="宋体" w:hAnsi="宋体" w:cs="宋体"/>
          <w:kern w:val="0"/>
          <w:sz w:val="24"/>
          <w:szCs w:val="24"/>
        </w:rPr>
      </w:pPr>
      <w:r>
        <w:rPr>
          <w:rFonts w:ascii="宋体" w:hAnsi="宋体" w:cs="宋体"/>
          <w:kern w:val="0"/>
          <w:sz w:val="24"/>
          <w:szCs w:val="24"/>
        </w:rPr>
        <w:t>保证人在</w:t>
      </w:r>
      <w:bookmarkStart w:id="13" w:name="OLE_LINK12"/>
      <w:r>
        <w:rPr>
          <w:rFonts w:ascii="宋体" w:hAnsi="宋体" w:cs="宋体"/>
          <w:kern w:val="0"/>
          <w:sz w:val="24"/>
          <w:szCs w:val="24"/>
        </w:rPr>
        <w:t>本《保证合同》</w:t>
      </w:r>
      <w:bookmarkEnd w:id="13"/>
      <w:r>
        <w:rPr>
          <w:rFonts w:ascii="宋体" w:hAnsi="宋体" w:cs="宋体"/>
          <w:kern w:val="0"/>
          <w:sz w:val="24"/>
          <w:szCs w:val="24"/>
        </w:rPr>
        <w:t>项下保证担保的范围包括：债权本金、利息、罚息(含逾期罚息或挪用罚息)、复利、违约金、损害赔偿金、</w:t>
      </w:r>
      <w:r>
        <w:rPr>
          <w:rFonts w:asciiTheme="minorEastAsia" w:hAnsiTheme="minorEastAsia" w:cstheme="minorEastAsia"/>
          <w:sz w:val="24"/>
          <w:szCs w:val="28"/>
        </w:rPr>
        <w:t>昆明黑林铺信用社</w:t>
      </w:r>
      <w:r>
        <w:rPr>
          <w:rFonts w:ascii="宋体" w:hAnsi="宋体" w:cs="宋体"/>
          <w:kern w:val="0"/>
          <w:sz w:val="24"/>
          <w:szCs w:val="24"/>
        </w:rPr>
        <w:t>为实现债权和相关从权利而发生的费用(包括但不限于诉讼费、仲裁费、保全费、公告费、鉴定费、拍卖费、差旅费、通讯费、律师代理费、执行费等)以及其他应付的费用(法律、法规另有规定或双方另有约定的除外)。保证范围为包含增值税的价税合计额。</w:t>
      </w:r>
    </w:p>
    <w:p>
      <w:pPr>
        <w:numPr>
          <w:ilvl w:val="255"/>
          <w:numId w:val="0"/>
        </w:numPr>
        <w:autoSpaceDE w:val="0"/>
        <w:autoSpaceDN w:val="0"/>
        <w:adjustRightInd w:val="0"/>
        <w:spacing w:line="560" w:lineRule="exact"/>
        <w:ind w:firstLine="480"/>
        <w:rPr>
          <w:rFonts w:hint="eastAsia" w:ascii="宋体" w:hAnsi="宋体" w:cs="宋体"/>
          <w:kern w:val="0"/>
          <w:sz w:val="24"/>
          <w:szCs w:val="24"/>
        </w:rPr>
      </w:pPr>
      <w:r>
        <w:rPr>
          <w:rFonts w:hint="eastAsia" w:ascii="宋体" w:hAnsi="宋体" w:cs="宋体"/>
          <w:kern w:val="0"/>
          <w:sz w:val="24"/>
          <w:szCs w:val="24"/>
        </w:rPr>
        <w:t>4、保证期限：</w:t>
      </w:r>
    </w:p>
    <w:p>
      <w:pPr>
        <w:widowControl/>
        <w:adjustRightInd w:val="0"/>
        <w:snapToGrid w:val="0"/>
        <w:spacing w:line="560" w:lineRule="exact"/>
        <w:ind w:firstLine="480" w:firstLineChars="200"/>
        <w:outlineLvl w:val="0"/>
        <w:rPr>
          <w:rFonts w:hint="eastAsia" w:ascii="宋体" w:hAnsi="宋体" w:cs="宋体"/>
          <w:kern w:val="0"/>
          <w:sz w:val="24"/>
          <w:szCs w:val="24"/>
        </w:rPr>
      </w:pPr>
      <w:r>
        <w:rPr>
          <w:rFonts w:ascii="宋体" w:hAnsi="宋体" w:cs="宋体"/>
          <w:kern w:val="0"/>
          <w:sz w:val="24"/>
          <w:szCs w:val="24"/>
        </w:rPr>
        <w:t>自</w:t>
      </w:r>
      <w:bookmarkStart w:id="14" w:name="OLE_LINK13"/>
      <w:r>
        <w:rPr>
          <w:rFonts w:hint="eastAsia" w:ascii="宋体" w:hAnsi="宋体" w:cs="宋体"/>
          <w:kern w:val="0"/>
          <w:sz w:val="24"/>
          <w:szCs w:val="24"/>
        </w:rPr>
        <w:t>借款合同</w:t>
      </w:r>
      <w:bookmarkEnd w:id="14"/>
      <w:r>
        <w:rPr>
          <w:rFonts w:ascii="宋体" w:hAnsi="宋体" w:cs="宋体"/>
          <w:kern w:val="0"/>
          <w:sz w:val="24"/>
          <w:szCs w:val="24"/>
        </w:rPr>
        <w:t>项下的债务期限届满(含</w:t>
      </w:r>
      <w:r>
        <w:rPr>
          <w:rFonts w:asciiTheme="minorEastAsia" w:hAnsiTheme="minorEastAsia" w:cstheme="minorEastAsia"/>
          <w:sz w:val="24"/>
          <w:szCs w:val="28"/>
        </w:rPr>
        <w:t>昆明黑林铺信用社</w:t>
      </w:r>
      <w:r>
        <w:rPr>
          <w:rFonts w:ascii="宋体" w:hAnsi="宋体" w:cs="宋体"/>
          <w:kern w:val="0"/>
          <w:sz w:val="24"/>
          <w:szCs w:val="24"/>
        </w:rPr>
        <w:t>根据</w:t>
      </w:r>
      <w:r>
        <w:rPr>
          <w:rFonts w:hint="eastAsia" w:ascii="宋体" w:hAnsi="宋体" w:cs="宋体"/>
          <w:kern w:val="0"/>
          <w:sz w:val="24"/>
          <w:szCs w:val="24"/>
        </w:rPr>
        <w:t>借款合同</w:t>
      </w:r>
      <w:r>
        <w:rPr>
          <w:rFonts w:ascii="宋体" w:hAnsi="宋体" w:cs="宋体"/>
          <w:kern w:val="0"/>
          <w:sz w:val="24"/>
          <w:szCs w:val="24"/>
        </w:rPr>
        <w:t>之约定宣布借款提前到期)之日后三年止；如借款合同项下借款分期履行的，则每期债务的保证期间均至合同项下最后一期借款期限届满之日后三年止；如</w:t>
      </w:r>
      <w:r>
        <w:rPr>
          <w:rFonts w:hint="eastAsia" w:asciiTheme="minorEastAsia" w:hAnsiTheme="minorEastAsia" w:cstheme="minorEastAsia"/>
          <w:sz w:val="24"/>
          <w:szCs w:val="24"/>
        </w:rPr>
        <w:t>昆明黑林铺信用社</w:t>
      </w:r>
      <w:r>
        <w:rPr>
          <w:rFonts w:ascii="宋体" w:hAnsi="宋体" w:cs="宋体"/>
          <w:kern w:val="0"/>
          <w:sz w:val="24"/>
          <w:szCs w:val="24"/>
        </w:rPr>
        <w:t>与</w:t>
      </w:r>
      <w:r>
        <w:rPr>
          <w:rFonts w:hint="eastAsia" w:ascii="宋体" w:hAnsi="宋体" w:cs="宋体"/>
          <w:kern w:val="0"/>
          <w:sz w:val="24"/>
          <w:szCs w:val="24"/>
        </w:rPr>
        <w:t>云变电气</w:t>
      </w:r>
      <w:r>
        <w:rPr>
          <w:rFonts w:ascii="宋体" w:hAnsi="宋体" w:cs="宋体"/>
          <w:kern w:val="0"/>
          <w:sz w:val="24"/>
          <w:szCs w:val="24"/>
        </w:rPr>
        <w:t>就</w:t>
      </w:r>
      <w:r>
        <w:rPr>
          <w:rFonts w:hint="eastAsia" w:ascii="宋体" w:hAnsi="宋体" w:cs="宋体"/>
          <w:kern w:val="0"/>
          <w:sz w:val="24"/>
          <w:szCs w:val="24"/>
        </w:rPr>
        <w:t>借款合同</w:t>
      </w:r>
      <w:r>
        <w:rPr>
          <w:rFonts w:ascii="宋体" w:hAnsi="宋体" w:cs="宋体"/>
          <w:kern w:val="0"/>
          <w:sz w:val="24"/>
          <w:szCs w:val="24"/>
        </w:rPr>
        <w:t>项下债务履行期限达成期限变更协议的(如已经保证人同意的</w:t>
      </w:r>
      <w:r>
        <w:rPr>
          <w:rFonts w:hint="eastAsia" w:ascii="宋体" w:hAnsi="宋体" w:cs="宋体"/>
          <w:kern w:val="0"/>
          <w:sz w:val="24"/>
          <w:szCs w:val="24"/>
        </w:rPr>
        <w:t>借款合同</w:t>
      </w:r>
      <w:r>
        <w:rPr>
          <w:rFonts w:ascii="宋体" w:hAnsi="宋体" w:cs="宋体"/>
          <w:kern w:val="0"/>
          <w:sz w:val="24"/>
          <w:szCs w:val="24"/>
        </w:rPr>
        <w:t>项下债务展期等),保证期间至双方约定的新的债务履行期限届满之日后三年止。</w:t>
      </w:r>
    </w:p>
    <w:p>
      <w:pPr>
        <w:widowControl/>
        <w:adjustRightInd w:val="0"/>
        <w:snapToGrid w:val="0"/>
        <w:spacing w:line="560" w:lineRule="exact"/>
        <w:ind w:firstLine="562" w:firstLineChars="200"/>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三、担保的必要性和合理性</w:t>
      </w:r>
    </w:p>
    <w:p>
      <w:pPr>
        <w:widowControl/>
        <w:adjustRightInd w:val="0"/>
        <w:snapToGrid w:val="0"/>
        <w:spacing w:line="560" w:lineRule="exact"/>
        <w:ind w:firstLine="480" w:firstLineChars="20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公司本月新增的对外担保主要为满足子公司日常生产经营需要，保证其生产经营活动的顺利开展，符合公司实际经营情况和整体发展战略，具有必要性和合理性。被担保对象为公司全资子公司，公司对其日常经营活动和资信状况能够及时掌握，担保风险总体可控，不会对公司及股东特别是中小股东利益造成重大不利影响。</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董事会意见</w:t>
      </w:r>
    </w:p>
    <w:p>
      <w:pPr>
        <w:widowControl/>
        <w:adjustRightInd w:val="0"/>
        <w:snapToGrid w:val="0"/>
        <w:spacing w:line="560" w:lineRule="exact"/>
        <w:ind w:firstLine="480" w:firstLineChars="200"/>
        <w:rPr>
          <w:sz w:val="24"/>
          <w:szCs w:val="24"/>
        </w:rPr>
      </w:pPr>
      <w:r>
        <w:rPr>
          <w:rFonts w:hint="eastAsia" w:asciiTheme="minorEastAsia" w:hAnsiTheme="minorEastAsia" w:cstheme="minorEastAsia"/>
          <w:sz w:val="24"/>
          <w:szCs w:val="24"/>
        </w:rPr>
        <w:t>上述担保事项属于公司2025年第一次临时股东会授权范围并在有效期内，无需再次提交公司董事会、股东会审议。</w:t>
      </w:r>
    </w:p>
    <w:p>
      <w:pPr>
        <w:widowControl/>
        <w:numPr>
          <w:ilvl w:val="0"/>
          <w:numId w:val="2"/>
        </w:numPr>
        <w:adjustRightInd w:val="0"/>
        <w:snapToGrid w:val="0"/>
        <w:spacing w:line="560" w:lineRule="exact"/>
        <w:ind w:firstLine="562" w:firstLineChars="200"/>
        <w:jc w:val="left"/>
        <w:outlineLvl w:val="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累计对外担保数量及逾期担保的数量</w:t>
      </w:r>
    </w:p>
    <w:p>
      <w:pPr>
        <w:autoSpaceDE w:val="0"/>
        <w:autoSpaceDN w:val="0"/>
        <w:adjustRightInd w:val="0"/>
        <w:spacing w:before="156" w:beforeLines="50" w:line="360" w:lineRule="auto"/>
        <w:ind w:firstLine="480" w:firstLineChars="200"/>
        <w:rPr>
          <w:rFonts w:hint="eastAsia" w:ascii="宋体" w:hAnsi="宋体" w:cs="宋体"/>
          <w:bCs/>
          <w:sz w:val="24"/>
          <w:szCs w:val="24"/>
        </w:rPr>
      </w:pPr>
      <w:r>
        <w:rPr>
          <w:rFonts w:hint="eastAsia" w:ascii="宋体" w:hAnsi="宋体" w:cs="宋体"/>
          <w:bCs/>
          <w:sz w:val="24"/>
          <w:szCs w:val="24"/>
        </w:rPr>
        <w:t>截至2026年4月末，公司对外担保均为对子公司的担保，累计担保总额为400,000万元（其中已签署担保合同的担保总额为</w:t>
      </w:r>
      <w:r>
        <w:rPr>
          <w:rFonts w:ascii="宋体" w:hAnsi="宋体" w:cs="宋体"/>
          <w:bCs/>
          <w:sz w:val="24"/>
          <w:szCs w:val="24"/>
        </w:rPr>
        <w:t>168,574.10</w:t>
      </w:r>
      <w:r>
        <w:rPr>
          <w:rFonts w:hint="eastAsia" w:ascii="宋体" w:hAnsi="宋体" w:cs="宋体"/>
          <w:bCs/>
          <w:sz w:val="24"/>
          <w:szCs w:val="24"/>
        </w:rPr>
        <w:t>万元），担保余额为</w:t>
      </w:r>
      <w:r>
        <w:rPr>
          <w:rFonts w:ascii="宋体" w:hAnsi="宋体" w:cs="宋体"/>
          <w:bCs/>
          <w:sz w:val="24"/>
          <w:szCs w:val="24"/>
        </w:rPr>
        <w:t>67,308.07</w:t>
      </w:r>
      <w:r>
        <w:rPr>
          <w:rFonts w:hint="eastAsia" w:ascii="宋体" w:hAnsi="宋体" w:cs="宋体"/>
          <w:bCs/>
          <w:sz w:val="24"/>
          <w:szCs w:val="24"/>
        </w:rPr>
        <w:t>元，已签署担保合同的担保总额占公司最近一期经审计净资产的67.57</w:t>
      </w:r>
      <w:r>
        <w:rPr>
          <w:rFonts w:ascii="宋体" w:hAnsi="宋体" w:cs="宋体"/>
          <w:bCs/>
          <w:sz w:val="24"/>
          <w:szCs w:val="24"/>
        </w:rPr>
        <w:t>%</w:t>
      </w:r>
      <w:r>
        <w:rPr>
          <w:rFonts w:hint="eastAsia" w:ascii="宋体" w:hAnsi="宋体" w:cs="宋体"/>
          <w:bCs/>
          <w:sz w:val="24"/>
          <w:szCs w:val="24"/>
        </w:rPr>
        <w:t>，担保余额占公司最近一期经审计净资产的26.98</w:t>
      </w:r>
      <w:r>
        <w:rPr>
          <w:rFonts w:ascii="宋体" w:hAnsi="宋体" w:cs="宋体"/>
          <w:bCs/>
          <w:sz w:val="24"/>
          <w:szCs w:val="24"/>
        </w:rPr>
        <w:t>%</w:t>
      </w:r>
      <w:r>
        <w:rPr>
          <w:rFonts w:hint="eastAsia" w:ascii="宋体" w:hAnsi="宋体" w:cs="宋体"/>
          <w:bCs/>
          <w:sz w:val="24"/>
          <w:szCs w:val="24"/>
        </w:rPr>
        <w:t>；不存在逾期担保。</w:t>
      </w:r>
    </w:p>
    <w:p>
      <w:pPr>
        <w:adjustRightInd w:val="0"/>
        <w:snapToGrid w:val="0"/>
        <w:spacing w:line="360" w:lineRule="auto"/>
        <w:rPr>
          <w:rFonts w:hint="eastAsia" w:asciiTheme="minorEastAsia" w:hAnsiTheme="minorEastAsia"/>
          <w:bCs/>
          <w:sz w:val="24"/>
          <w:szCs w:val="24"/>
        </w:rPr>
      </w:pPr>
    </w:p>
    <w:p>
      <w:pPr>
        <w:adjustRightInd w:val="0"/>
        <w:snapToGrid w:val="0"/>
        <w:spacing w:line="360" w:lineRule="auto"/>
        <w:ind w:firstLine="480" w:firstLineChars="200"/>
        <w:rPr>
          <w:rFonts w:hint="eastAsia" w:asciiTheme="minorEastAsia" w:hAnsiTheme="minorEastAsia"/>
          <w:bCs/>
          <w:sz w:val="24"/>
          <w:szCs w:val="24"/>
        </w:rPr>
      </w:pPr>
      <w:r>
        <w:rPr>
          <w:rFonts w:hint="eastAsia" w:asciiTheme="minorEastAsia" w:hAnsiTheme="minorEastAsia"/>
          <w:bCs/>
          <w:sz w:val="24"/>
          <w:szCs w:val="24"/>
        </w:rPr>
        <w:t>特此公告。</w:t>
      </w:r>
    </w:p>
    <w:p>
      <w:pPr>
        <w:adjustRightInd w:val="0"/>
        <w:snapToGrid w:val="0"/>
        <w:spacing w:line="360" w:lineRule="auto"/>
        <w:rPr>
          <w:rFonts w:hint="eastAsia" w:asciiTheme="minorEastAsia" w:hAnsiTheme="minorEastAsia"/>
          <w:bCs/>
          <w:sz w:val="24"/>
          <w:szCs w:val="24"/>
        </w:rPr>
      </w:pPr>
    </w:p>
    <w:p>
      <w:pPr>
        <w:adjustRightInd w:val="0"/>
        <w:snapToGrid w:val="0"/>
        <w:spacing w:line="360" w:lineRule="auto"/>
        <w:jc w:val="right"/>
        <w:rPr>
          <w:rFonts w:hint="eastAsia" w:asciiTheme="minorEastAsia" w:hAnsiTheme="minorEastAsia"/>
          <w:bCs/>
          <w:sz w:val="24"/>
          <w:szCs w:val="24"/>
        </w:rPr>
      </w:pPr>
      <w:r>
        <w:rPr>
          <w:rFonts w:hint="eastAsia" w:asciiTheme="minorEastAsia" w:hAnsiTheme="minorEastAsia"/>
          <w:bCs/>
          <w:sz w:val="24"/>
          <w:szCs w:val="24"/>
        </w:rPr>
        <w:t>重庆望变电气（集团）股份有限公司董事会</w:t>
      </w:r>
    </w:p>
    <w:p>
      <w:pPr>
        <w:adjustRightInd w:val="0"/>
        <w:snapToGrid w:val="0"/>
        <w:spacing w:line="360" w:lineRule="auto"/>
        <w:jc w:val="right"/>
        <w:rPr>
          <w:rFonts w:hint="eastAsia" w:asciiTheme="minorEastAsia" w:hAnsiTheme="minorEastAsia"/>
          <w:b/>
          <w:sz w:val="24"/>
          <w:szCs w:val="24"/>
        </w:rPr>
      </w:pPr>
      <w:r>
        <w:rPr>
          <w:rFonts w:hint="eastAsia" w:asciiTheme="minorEastAsia" w:hAnsiTheme="minorEastAsia"/>
          <w:bCs/>
          <w:sz w:val="24"/>
          <w:szCs w:val="24"/>
        </w:rPr>
        <w:t>202</w:t>
      </w:r>
      <w:r>
        <w:rPr>
          <w:rFonts w:asciiTheme="minorEastAsia" w:hAnsiTheme="minorEastAsia"/>
          <w:bCs/>
          <w:sz w:val="24"/>
          <w:szCs w:val="24"/>
        </w:rPr>
        <w:t>6</w:t>
      </w:r>
      <w:r>
        <w:rPr>
          <w:rFonts w:hint="eastAsia" w:asciiTheme="minorEastAsia" w:hAnsiTheme="minorEastAsia"/>
          <w:bCs/>
          <w:sz w:val="24"/>
          <w:szCs w:val="24"/>
        </w:rPr>
        <w:t>年5月9</w:t>
      </w:r>
      <w:r>
        <w:rPr>
          <w:rFonts w:asciiTheme="minorEastAsia" w:hAnsiTheme="minorEastAsia"/>
          <w:bCs/>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377A04-731C-43ED-A267-695D614B27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embedRegular r:id="rId2" w:fontKey="{B30B8DF6-D051-42DF-9729-019F7ABAE0A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3" w:fontKey="{5A7B82CB-D803-49FD-A272-1F6D1B85E440}"/>
  </w:font>
  <w:font w:name="Wingdings 2">
    <w:panose1 w:val="05020102010507070707"/>
    <w:charset w:val="00"/>
    <w:family w:val="auto"/>
    <w:pitch w:val="default"/>
    <w:sig w:usb0="00000000" w:usb1="00000000" w:usb2="00000000" w:usb3="00000000" w:csb0="80000000" w:csb1="00000000"/>
    <w:embedRegular r:id="rId4" w:fontKey="{FF739F81-F161-4582-B25A-D0082EF57FB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041D5"/>
    <w:multiLevelType w:val="multilevel"/>
    <w:tmpl w:val="00E041D5"/>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168B4FAA"/>
    <w:multiLevelType w:val="singleLevel"/>
    <w:tmpl w:val="168B4FAA"/>
    <w:lvl w:ilvl="0" w:tentative="0">
      <w:start w:val="1"/>
      <w:numFmt w:val="bullet"/>
      <w:lvlText w:val=""/>
      <w:lvlJc w:val="left"/>
      <w:pPr>
        <w:ind w:left="420" w:hanging="420"/>
      </w:pPr>
      <w:rPr>
        <w:rFonts w:hint="default" w:ascii="Wingdings" w:hAnsi="Wingdings"/>
      </w:rPr>
    </w:lvl>
  </w:abstractNum>
  <w:abstractNum w:abstractNumId="2">
    <w:nsid w:val="52EA2A72"/>
    <w:multiLevelType w:val="singleLevel"/>
    <w:tmpl w:val="52EA2A72"/>
    <w:lvl w:ilvl="0" w:tentative="0">
      <w:start w:val="1"/>
      <w:numFmt w:val="chineseCounting"/>
      <w:suff w:val="nothing"/>
      <w:lvlText w:val="%1、"/>
      <w:lvlJc w:val="left"/>
      <w:rPr>
        <w:rFonts w:hint="eastAsia"/>
      </w:rPr>
    </w:lvl>
  </w:abstractNum>
  <w:abstractNum w:abstractNumId="3">
    <w:nsid w:val="580E64DF"/>
    <w:multiLevelType w:val="multilevel"/>
    <w:tmpl w:val="580E64DF"/>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5213"/>
    <w:rsid w:val="00016A68"/>
    <w:rsid w:val="000209EB"/>
    <w:rsid w:val="00023FE2"/>
    <w:rsid w:val="00024791"/>
    <w:rsid w:val="00024B0F"/>
    <w:rsid w:val="000316A0"/>
    <w:rsid w:val="000316DE"/>
    <w:rsid w:val="000320FF"/>
    <w:rsid w:val="00036E39"/>
    <w:rsid w:val="000415E2"/>
    <w:rsid w:val="00041AFF"/>
    <w:rsid w:val="00041B70"/>
    <w:rsid w:val="00046446"/>
    <w:rsid w:val="0005296D"/>
    <w:rsid w:val="0005330F"/>
    <w:rsid w:val="000552DE"/>
    <w:rsid w:val="00055BB1"/>
    <w:rsid w:val="00055D12"/>
    <w:rsid w:val="0005649D"/>
    <w:rsid w:val="00057954"/>
    <w:rsid w:val="00057AAF"/>
    <w:rsid w:val="0006154D"/>
    <w:rsid w:val="0006356A"/>
    <w:rsid w:val="00064281"/>
    <w:rsid w:val="000657A0"/>
    <w:rsid w:val="00071209"/>
    <w:rsid w:val="00071335"/>
    <w:rsid w:val="00071DCE"/>
    <w:rsid w:val="00071DFD"/>
    <w:rsid w:val="00071EFB"/>
    <w:rsid w:val="0007584E"/>
    <w:rsid w:val="0007700C"/>
    <w:rsid w:val="00083DB8"/>
    <w:rsid w:val="000843BF"/>
    <w:rsid w:val="000847A8"/>
    <w:rsid w:val="0008599D"/>
    <w:rsid w:val="0008617F"/>
    <w:rsid w:val="00091B04"/>
    <w:rsid w:val="00091E1F"/>
    <w:rsid w:val="00093210"/>
    <w:rsid w:val="00093A5E"/>
    <w:rsid w:val="00094CDA"/>
    <w:rsid w:val="00095035"/>
    <w:rsid w:val="0009529B"/>
    <w:rsid w:val="0009688B"/>
    <w:rsid w:val="00097314"/>
    <w:rsid w:val="00097EF7"/>
    <w:rsid w:val="000A0447"/>
    <w:rsid w:val="000A0B83"/>
    <w:rsid w:val="000A0BA2"/>
    <w:rsid w:val="000A2CC0"/>
    <w:rsid w:val="000A2F81"/>
    <w:rsid w:val="000A3309"/>
    <w:rsid w:val="000A5346"/>
    <w:rsid w:val="000A581B"/>
    <w:rsid w:val="000A6385"/>
    <w:rsid w:val="000A777E"/>
    <w:rsid w:val="000A779D"/>
    <w:rsid w:val="000B1C0F"/>
    <w:rsid w:val="000B26F4"/>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07B"/>
    <w:rsid w:val="000E65BF"/>
    <w:rsid w:val="000F2FE3"/>
    <w:rsid w:val="000F32A6"/>
    <w:rsid w:val="000F39F7"/>
    <w:rsid w:val="000F4243"/>
    <w:rsid w:val="000F590A"/>
    <w:rsid w:val="00102EE0"/>
    <w:rsid w:val="00105374"/>
    <w:rsid w:val="00110400"/>
    <w:rsid w:val="00110C53"/>
    <w:rsid w:val="00110FD3"/>
    <w:rsid w:val="00111FD6"/>
    <w:rsid w:val="00117BC7"/>
    <w:rsid w:val="00120E15"/>
    <w:rsid w:val="001211A0"/>
    <w:rsid w:val="00123A27"/>
    <w:rsid w:val="0013329D"/>
    <w:rsid w:val="001337D8"/>
    <w:rsid w:val="001345D6"/>
    <w:rsid w:val="00135412"/>
    <w:rsid w:val="00136B4D"/>
    <w:rsid w:val="00142572"/>
    <w:rsid w:val="00142BE7"/>
    <w:rsid w:val="00144A2D"/>
    <w:rsid w:val="00145904"/>
    <w:rsid w:val="00145AE4"/>
    <w:rsid w:val="00146AE6"/>
    <w:rsid w:val="00147BA3"/>
    <w:rsid w:val="001509BD"/>
    <w:rsid w:val="00151523"/>
    <w:rsid w:val="00152CD1"/>
    <w:rsid w:val="00153D9F"/>
    <w:rsid w:val="001543A9"/>
    <w:rsid w:val="00154ECD"/>
    <w:rsid w:val="00154F63"/>
    <w:rsid w:val="001559AA"/>
    <w:rsid w:val="00157662"/>
    <w:rsid w:val="0016101B"/>
    <w:rsid w:val="001627BA"/>
    <w:rsid w:val="001635C5"/>
    <w:rsid w:val="001656ED"/>
    <w:rsid w:val="001745A0"/>
    <w:rsid w:val="00174FAC"/>
    <w:rsid w:val="001763D0"/>
    <w:rsid w:val="00180494"/>
    <w:rsid w:val="00183AD3"/>
    <w:rsid w:val="001868A3"/>
    <w:rsid w:val="00186AC7"/>
    <w:rsid w:val="0019044B"/>
    <w:rsid w:val="00191AE4"/>
    <w:rsid w:val="00192312"/>
    <w:rsid w:val="00192656"/>
    <w:rsid w:val="00192FA9"/>
    <w:rsid w:val="001953C1"/>
    <w:rsid w:val="00196816"/>
    <w:rsid w:val="001A2E2D"/>
    <w:rsid w:val="001A3084"/>
    <w:rsid w:val="001A41D6"/>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61C9"/>
    <w:rsid w:val="001C6DB0"/>
    <w:rsid w:val="001D05A4"/>
    <w:rsid w:val="001D091E"/>
    <w:rsid w:val="001D0AAF"/>
    <w:rsid w:val="001D157D"/>
    <w:rsid w:val="001D269D"/>
    <w:rsid w:val="001D5956"/>
    <w:rsid w:val="001D5AFC"/>
    <w:rsid w:val="001D5BCD"/>
    <w:rsid w:val="001D6ABC"/>
    <w:rsid w:val="001E0E4D"/>
    <w:rsid w:val="001E1D88"/>
    <w:rsid w:val="001E6D93"/>
    <w:rsid w:val="001E75C4"/>
    <w:rsid w:val="001F00E1"/>
    <w:rsid w:val="001F2083"/>
    <w:rsid w:val="001F422F"/>
    <w:rsid w:val="001F6B2B"/>
    <w:rsid w:val="00202534"/>
    <w:rsid w:val="002048A3"/>
    <w:rsid w:val="00206BC7"/>
    <w:rsid w:val="00207652"/>
    <w:rsid w:val="00207743"/>
    <w:rsid w:val="00213781"/>
    <w:rsid w:val="00214ACE"/>
    <w:rsid w:val="00215E68"/>
    <w:rsid w:val="002160DD"/>
    <w:rsid w:val="00216775"/>
    <w:rsid w:val="002217D3"/>
    <w:rsid w:val="00224529"/>
    <w:rsid w:val="0022784F"/>
    <w:rsid w:val="00230F96"/>
    <w:rsid w:val="00231D36"/>
    <w:rsid w:val="0023362A"/>
    <w:rsid w:val="00235137"/>
    <w:rsid w:val="00235F3E"/>
    <w:rsid w:val="002370D9"/>
    <w:rsid w:val="002432E5"/>
    <w:rsid w:val="00244577"/>
    <w:rsid w:val="00244EAA"/>
    <w:rsid w:val="00250A64"/>
    <w:rsid w:val="00254100"/>
    <w:rsid w:val="00254558"/>
    <w:rsid w:val="0025534A"/>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90FC6"/>
    <w:rsid w:val="002930BD"/>
    <w:rsid w:val="002948E5"/>
    <w:rsid w:val="00295147"/>
    <w:rsid w:val="00295A30"/>
    <w:rsid w:val="00296B71"/>
    <w:rsid w:val="002A0D99"/>
    <w:rsid w:val="002A2075"/>
    <w:rsid w:val="002A20B3"/>
    <w:rsid w:val="002A3368"/>
    <w:rsid w:val="002A40E8"/>
    <w:rsid w:val="002A5BD6"/>
    <w:rsid w:val="002A6062"/>
    <w:rsid w:val="002A64B0"/>
    <w:rsid w:val="002B03CC"/>
    <w:rsid w:val="002B0DEC"/>
    <w:rsid w:val="002B3462"/>
    <w:rsid w:val="002B5FF1"/>
    <w:rsid w:val="002B7FB0"/>
    <w:rsid w:val="002C07EF"/>
    <w:rsid w:val="002C0A13"/>
    <w:rsid w:val="002C1998"/>
    <w:rsid w:val="002C4298"/>
    <w:rsid w:val="002C51A6"/>
    <w:rsid w:val="002C578E"/>
    <w:rsid w:val="002C73D0"/>
    <w:rsid w:val="002D11F5"/>
    <w:rsid w:val="002D1C0D"/>
    <w:rsid w:val="002D3246"/>
    <w:rsid w:val="002D7A46"/>
    <w:rsid w:val="002E0F85"/>
    <w:rsid w:val="002E17BB"/>
    <w:rsid w:val="002E3CFE"/>
    <w:rsid w:val="002E5862"/>
    <w:rsid w:val="002E5ACE"/>
    <w:rsid w:val="002E6FED"/>
    <w:rsid w:val="002F0218"/>
    <w:rsid w:val="002F4615"/>
    <w:rsid w:val="002F7887"/>
    <w:rsid w:val="00300E0C"/>
    <w:rsid w:val="003068DE"/>
    <w:rsid w:val="00306CA5"/>
    <w:rsid w:val="003071F3"/>
    <w:rsid w:val="003102ED"/>
    <w:rsid w:val="0031228F"/>
    <w:rsid w:val="00313D6A"/>
    <w:rsid w:val="00317BC2"/>
    <w:rsid w:val="003216A9"/>
    <w:rsid w:val="003216CC"/>
    <w:rsid w:val="0032367F"/>
    <w:rsid w:val="00323A21"/>
    <w:rsid w:val="0032458D"/>
    <w:rsid w:val="003253F1"/>
    <w:rsid w:val="00325654"/>
    <w:rsid w:val="0032604F"/>
    <w:rsid w:val="003315CC"/>
    <w:rsid w:val="00331C12"/>
    <w:rsid w:val="00333180"/>
    <w:rsid w:val="00335113"/>
    <w:rsid w:val="00337BE0"/>
    <w:rsid w:val="003402FE"/>
    <w:rsid w:val="003428F3"/>
    <w:rsid w:val="0034755D"/>
    <w:rsid w:val="00352FEF"/>
    <w:rsid w:val="0035344A"/>
    <w:rsid w:val="00353872"/>
    <w:rsid w:val="00354510"/>
    <w:rsid w:val="00355E1B"/>
    <w:rsid w:val="00356E10"/>
    <w:rsid w:val="00357EA0"/>
    <w:rsid w:val="00361700"/>
    <w:rsid w:val="003651DF"/>
    <w:rsid w:val="00366CCD"/>
    <w:rsid w:val="00367453"/>
    <w:rsid w:val="00370B90"/>
    <w:rsid w:val="00374A19"/>
    <w:rsid w:val="00375B9C"/>
    <w:rsid w:val="00376606"/>
    <w:rsid w:val="003766EF"/>
    <w:rsid w:val="003834BA"/>
    <w:rsid w:val="003843C8"/>
    <w:rsid w:val="0038738F"/>
    <w:rsid w:val="003914D9"/>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2A48"/>
    <w:rsid w:val="003C419C"/>
    <w:rsid w:val="003C6D08"/>
    <w:rsid w:val="003D0C6A"/>
    <w:rsid w:val="003D2966"/>
    <w:rsid w:val="003D4895"/>
    <w:rsid w:val="003D508E"/>
    <w:rsid w:val="003E1749"/>
    <w:rsid w:val="003E2F2A"/>
    <w:rsid w:val="003E2F5B"/>
    <w:rsid w:val="003E4198"/>
    <w:rsid w:val="003E4F31"/>
    <w:rsid w:val="003E6330"/>
    <w:rsid w:val="003F2C3B"/>
    <w:rsid w:val="003F333E"/>
    <w:rsid w:val="003F4556"/>
    <w:rsid w:val="003F59BF"/>
    <w:rsid w:val="003F619C"/>
    <w:rsid w:val="003F651E"/>
    <w:rsid w:val="00404DF5"/>
    <w:rsid w:val="00405849"/>
    <w:rsid w:val="00405F2E"/>
    <w:rsid w:val="0040650F"/>
    <w:rsid w:val="00410144"/>
    <w:rsid w:val="004119E8"/>
    <w:rsid w:val="00413896"/>
    <w:rsid w:val="004150E8"/>
    <w:rsid w:val="00423B5B"/>
    <w:rsid w:val="004240D4"/>
    <w:rsid w:val="00424E22"/>
    <w:rsid w:val="00425642"/>
    <w:rsid w:val="00426491"/>
    <w:rsid w:val="00427543"/>
    <w:rsid w:val="00430B69"/>
    <w:rsid w:val="0043754A"/>
    <w:rsid w:val="00437CE1"/>
    <w:rsid w:val="0044168F"/>
    <w:rsid w:val="00442A1B"/>
    <w:rsid w:val="00443BB9"/>
    <w:rsid w:val="004443A8"/>
    <w:rsid w:val="00444D15"/>
    <w:rsid w:val="004452CF"/>
    <w:rsid w:val="00445C36"/>
    <w:rsid w:val="004462D1"/>
    <w:rsid w:val="00447880"/>
    <w:rsid w:val="00453D3D"/>
    <w:rsid w:val="004544C4"/>
    <w:rsid w:val="00456A7E"/>
    <w:rsid w:val="0046022C"/>
    <w:rsid w:val="00460544"/>
    <w:rsid w:val="0046389B"/>
    <w:rsid w:val="004640B3"/>
    <w:rsid w:val="004677A9"/>
    <w:rsid w:val="004700D5"/>
    <w:rsid w:val="00471C18"/>
    <w:rsid w:val="00472CF3"/>
    <w:rsid w:val="004770E5"/>
    <w:rsid w:val="00481F48"/>
    <w:rsid w:val="00482007"/>
    <w:rsid w:val="004824A9"/>
    <w:rsid w:val="0048261B"/>
    <w:rsid w:val="0048475F"/>
    <w:rsid w:val="00484A20"/>
    <w:rsid w:val="00484CD8"/>
    <w:rsid w:val="00490CC5"/>
    <w:rsid w:val="00491A22"/>
    <w:rsid w:val="00491D85"/>
    <w:rsid w:val="004923D4"/>
    <w:rsid w:val="00493080"/>
    <w:rsid w:val="00496916"/>
    <w:rsid w:val="00497DCE"/>
    <w:rsid w:val="004A1747"/>
    <w:rsid w:val="004A1FDB"/>
    <w:rsid w:val="004A2D0E"/>
    <w:rsid w:val="004A330D"/>
    <w:rsid w:val="004A3F7D"/>
    <w:rsid w:val="004A4875"/>
    <w:rsid w:val="004A4FC9"/>
    <w:rsid w:val="004A6E8A"/>
    <w:rsid w:val="004B1154"/>
    <w:rsid w:val="004B1C50"/>
    <w:rsid w:val="004B35E5"/>
    <w:rsid w:val="004B6EAD"/>
    <w:rsid w:val="004B72D1"/>
    <w:rsid w:val="004B735F"/>
    <w:rsid w:val="004B744D"/>
    <w:rsid w:val="004C2C49"/>
    <w:rsid w:val="004C7913"/>
    <w:rsid w:val="004D2D6C"/>
    <w:rsid w:val="004D2FF1"/>
    <w:rsid w:val="004D4A66"/>
    <w:rsid w:val="004D55A9"/>
    <w:rsid w:val="004D6C6D"/>
    <w:rsid w:val="004D6D5C"/>
    <w:rsid w:val="004D76A4"/>
    <w:rsid w:val="004E0A6F"/>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0E8A"/>
    <w:rsid w:val="00521184"/>
    <w:rsid w:val="005223BE"/>
    <w:rsid w:val="0052623E"/>
    <w:rsid w:val="00526671"/>
    <w:rsid w:val="00530B9D"/>
    <w:rsid w:val="00530BC3"/>
    <w:rsid w:val="0053277A"/>
    <w:rsid w:val="00533839"/>
    <w:rsid w:val="0053497E"/>
    <w:rsid w:val="00536579"/>
    <w:rsid w:val="00536BBF"/>
    <w:rsid w:val="00537CD7"/>
    <w:rsid w:val="00540BFA"/>
    <w:rsid w:val="00541D93"/>
    <w:rsid w:val="00543F21"/>
    <w:rsid w:val="00544318"/>
    <w:rsid w:val="005443EB"/>
    <w:rsid w:val="00545344"/>
    <w:rsid w:val="005465C2"/>
    <w:rsid w:val="00547C23"/>
    <w:rsid w:val="0055150E"/>
    <w:rsid w:val="00552D74"/>
    <w:rsid w:val="005543F1"/>
    <w:rsid w:val="00554723"/>
    <w:rsid w:val="0055573D"/>
    <w:rsid w:val="00555DE5"/>
    <w:rsid w:val="005568D3"/>
    <w:rsid w:val="00557E2E"/>
    <w:rsid w:val="00560B7B"/>
    <w:rsid w:val="00561A5A"/>
    <w:rsid w:val="005633F3"/>
    <w:rsid w:val="005658C9"/>
    <w:rsid w:val="005755D1"/>
    <w:rsid w:val="00580A5C"/>
    <w:rsid w:val="0058191C"/>
    <w:rsid w:val="00581D6A"/>
    <w:rsid w:val="005876FC"/>
    <w:rsid w:val="0059056B"/>
    <w:rsid w:val="00591B49"/>
    <w:rsid w:val="0059356D"/>
    <w:rsid w:val="00594A91"/>
    <w:rsid w:val="00595464"/>
    <w:rsid w:val="005970A7"/>
    <w:rsid w:val="005A1457"/>
    <w:rsid w:val="005A1EDA"/>
    <w:rsid w:val="005A26F2"/>
    <w:rsid w:val="005A2FBD"/>
    <w:rsid w:val="005A53C1"/>
    <w:rsid w:val="005A5B25"/>
    <w:rsid w:val="005A5C2E"/>
    <w:rsid w:val="005B0EDC"/>
    <w:rsid w:val="005B236C"/>
    <w:rsid w:val="005B2BCD"/>
    <w:rsid w:val="005B2EBC"/>
    <w:rsid w:val="005B4D00"/>
    <w:rsid w:val="005B4EB2"/>
    <w:rsid w:val="005B5F6B"/>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5FB"/>
    <w:rsid w:val="00607A44"/>
    <w:rsid w:val="00610692"/>
    <w:rsid w:val="00610DA7"/>
    <w:rsid w:val="00611348"/>
    <w:rsid w:val="006136ED"/>
    <w:rsid w:val="006149BA"/>
    <w:rsid w:val="00617BE8"/>
    <w:rsid w:val="006208E7"/>
    <w:rsid w:val="00621CB3"/>
    <w:rsid w:val="00622196"/>
    <w:rsid w:val="006249D3"/>
    <w:rsid w:val="00624BC4"/>
    <w:rsid w:val="00630145"/>
    <w:rsid w:val="006310D7"/>
    <w:rsid w:val="006315A8"/>
    <w:rsid w:val="00637BBF"/>
    <w:rsid w:val="00637D27"/>
    <w:rsid w:val="00637D82"/>
    <w:rsid w:val="00640106"/>
    <w:rsid w:val="00643A3E"/>
    <w:rsid w:val="00644C25"/>
    <w:rsid w:val="0064661F"/>
    <w:rsid w:val="0064773D"/>
    <w:rsid w:val="0064798C"/>
    <w:rsid w:val="00650B0F"/>
    <w:rsid w:val="00652AAD"/>
    <w:rsid w:val="00654590"/>
    <w:rsid w:val="00654F20"/>
    <w:rsid w:val="0065550D"/>
    <w:rsid w:val="006634E1"/>
    <w:rsid w:val="00667F7F"/>
    <w:rsid w:val="00674103"/>
    <w:rsid w:val="00674AEB"/>
    <w:rsid w:val="00675CB6"/>
    <w:rsid w:val="006775D3"/>
    <w:rsid w:val="006800B3"/>
    <w:rsid w:val="00681310"/>
    <w:rsid w:val="00681474"/>
    <w:rsid w:val="00681F63"/>
    <w:rsid w:val="00684C23"/>
    <w:rsid w:val="00686268"/>
    <w:rsid w:val="00691E10"/>
    <w:rsid w:val="00692118"/>
    <w:rsid w:val="00692532"/>
    <w:rsid w:val="00694107"/>
    <w:rsid w:val="00695C7D"/>
    <w:rsid w:val="0069742F"/>
    <w:rsid w:val="006A0A03"/>
    <w:rsid w:val="006A2470"/>
    <w:rsid w:val="006A2D38"/>
    <w:rsid w:val="006A7E6C"/>
    <w:rsid w:val="006B040A"/>
    <w:rsid w:val="006B3409"/>
    <w:rsid w:val="006B56A9"/>
    <w:rsid w:val="006B6815"/>
    <w:rsid w:val="006C1BEB"/>
    <w:rsid w:val="006C3189"/>
    <w:rsid w:val="006C6684"/>
    <w:rsid w:val="006C6BCF"/>
    <w:rsid w:val="006C6E81"/>
    <w:rsid w:val="006D219E"/>
    <w:rsid w:val="006D26B5"/>
    <w:rsid w:val="006D2DEE"/>
    <w:rsid w:val="006D420A"/>
    <w:rsid w:val="006D47BA"/>
    <w:rsid w:val="006D4D88"/>
    <w:rsid w:val="006D553C"/>
    <w:rsid w:val="006D6908"/>
    <w:rsid w:val="006D6B22"/>
    <w:rsid w:val="006E4344"/>
    <w:rsid w:val="006E58EC"/>
    <w:rsid w:val="006E5D45"/>
    <w:rsid w:val="006E5EA3"/>
    <w:rsid w:val="006E6123"/>
    <w:rsid w:val="006E6358"/>
    <w:rsid w:val="006F42F8"/>
    <w:rsid w:val="006F53B5"/>
    <w:rsid w:val="006F6D69"/>
    <w:rsid w:val="006F7462"/>
    <w:rsid w:val="00700132"/>
    <w:rsid w:val="007014E3"/>
    <w:rsid w:val="00702F53"/>
    <w:rsid w:val="007030FE"/>
    <w:rsid w:val="00703E29"/>
    <w:rsid w:val="0070411A"/>
    <w:rsid w:val="00704EED"/>
    <w:rsid w:val="00707527"/>
    <w:rsid w:val="0071102F"/>
    <w:rsid w:val="00713304"/>
    <w:rsid w:val="007138A7"/>
    <w:rsid w:val="007138E6"/>
    <w:rsid w:val="00714974"/>
    <w:rsid w:val="00715DED"/>
    <w:rsid w:val="00722B3D"/>
    <w:rsid w:val="0072538A"/>
    <w:rsid w:val="0072567D"/>
    <w:rsid w:val="007258B1"/>
    <w:rsid w:val="00730012"/>
    <w:rsid w:val="007303A5"/>
    <w:rsid w:val="007313FD"/>
    <w:rsid w:val="007324A9"/>
    <w:rsid w:val="007360F2"/>
    <w:rsid w:val="00740988"/>
    <w:rsid w:val="00740AA9"/>
    <w:rsid w:val="00741673"/>
    <w:rsid w:val="007456C7"/>
    <w:rsid w:val="007475E2"/>
    <w:rsid w:val="0075159E"/>
    <w:rsid w:val="00751CB0"/>
    <w:rsid w:val="007530BA"/>
    <w:rsid w:val="00754B42"/>
    <w:rsid w:val="0075511E"/>
    <w:rsid w:val="00755AB7"/>
    <w:rsid w:val="00760C74"/>
    <w:rsid w:val="00761840"/>
    <w:rsid w:val="00764B52"/>
    <w:rsid w:val="00765194"/>
    <w:rsid w:val="007664EE"/>
    <w:rsid w:val="00766608"/>
    <w:rsid w:val="007672B9"/>
    <w:rsid w:val="0077016A"/>
    <w:rsid w:val="00772113"/>
    <w:rsid w:val="0077427C"/>
    <w:rsid w:val="007755A3"/>
    <w:rsid w:val="00775E7C"/>
    <w:rsid w:val="00781F4C"/>
    <w:rsid w:val="00783EEA"/>
    <w:rsid w:val="00783FAF"/>
    <w:rsid w:val="00792C7B"/>
    <w:rsid w:val="00794DE8"/>
    <w:rsid w:val="007951BF"/>
    <w:rsid w:val="0079698F"/>
    <w:rsid w:val="007A02EA"/>
    <w:rsid w:val="007A1462"/>
    <w:rsid w:val="007A1735"/>
    <w:rsid w:val="007A1EA2"/>
    <w:rsid w:val="007A4620"/>
    <w:rsid w:val="007A4CF8"/>
    <w:rsid w:val="007A580E"/>
    <w:rsid w:val="007A5EEB"/>
    <w:rsid w:val="007A63DB"/>
    <w:rsid w:val="007B0851"/>
    <w:rsid w:val="007B1BBD"/>
    <w:rsid w:val="007B2222"/>
    <w:rsid w:val="007B40F7"/>
    <w:rsid w:val="007B54AA"/>
    <w:rsid w:val="007C0558"/>
    <w:rsid w:val="007C270D"/>
    <w:rsid w:val="007C28AA"/>
    <w:rsid w:val="007C2908"/>
    <w:rsid w:val="007C3027"/>
    <w:rsid w:val="007C4C7C"/>
    <w:rsid w:val="007C4D82"/>
    <w:rsid w:val="007C5260"/>
    <w:rsid w:val="007C6C50"/>
    <w:rsid w:val="007D43E7"/>
    <w:rsid w:val="007D6893"/>
    <w:rsid w:val="007E01D7"/>
    <w:rsid w:val="007E26F1"/>
    <w:rsid w:val="007E275A"/>
    <w:rsid w:val="007E57E6"/>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70C"/>
    <w:rsid w:val="00806E59"/>
    <w:rsid w:val="008073A7"/>
    <w:rsid w:val="00807B57"/>
    <w:rsid w:val="00810BF8"/>
    <w:rsid w:val="008113D9"/>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47576"/>
    <w:rsid w:val="008531D2"/>
    <w:rsid w:val="008573C5"/>
    <w:rsid w:val="00861AE5"/>
    <w:rsid w:val="00862B46"/>
    <w:rsid w:val="00862EC3"/>
    <w:rsid w:val="00865F95"/>
    <w:rsid w:val="0087074B"/>
    <w:rsid w:val="00871507"/>
    <w:rsid w:val="00873ADE"/>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CCB"/>
    <w:rsid w:val="008A7D7C"/>
    <w:rsid w:val="008B188A"/>
    <w:rsid w:val="008B379F"/>
    <w:rsid w:val="008B3809"/>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6FD9"/>
    <w:rsid w:val="009174BD"/>
    <w:rsid w:val="009178E3"/>
    <w:rsid w:val="00926436"/>
    <w:rsid w:val="009278A1"/>
    <w:rsid w:val="00927CC9"/>
    <w:rsid w:val="00930785"/>
    <w:rsid w:val="00930E04"/>
    <w:rsid w:val="00931325"/>
    <w:rsid w:val="0093179D"/>
    <w:rsid w:val="00932D84"/>
    <w:rsid w:val="00933ABB"/>
    <w:rsid w:val="00933BFC"/>
    <w:rsid w:val="00935948"/>
    <w:rsid w:val="00941234"/>
    <w:rsid w:val="0094186D"/>
    <w:rsid w:val="00942575"/>
    <w:rsid w:val="0094357B"/>
    <w:rsid w:val="009456C6"/>
    <w:rsid w:val="00945D56"/>
    <w:rsid w:val="00946D24"/>
    <w:rsid w:val="00947FFA"/>
    <w:rsid w:val="00950AAF"/>
    <w:rsid w:val="00951D84"/>
    <w:rsid w:val="0095268E"/>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53BB"/>
    <w:rsid w:val="00975A09"/>
    <w:rsid w:val="0097707A"/>
    <w:rsid w:val="00977C25"/>
    <w:rsid w:val="009828C4"/>
    <w:rsid w:val="00983F0D"/>
    <w:rsid w:val="0099203A"/>
    <w:rsid w:val="0099345F"/>
    <w:rsid w:val="00995DCF"/>
    <w:rsid w:val="00996537"/>
    <w:rsid w:val="00997254"/>
    <w:rsid w:val="009A1B98"/>
    <w:rsid w:val="009A240C"/>
    <w:rsid w:val="009A415C"/>
    <w:rsid w:val="009A5C7D"/>
    <w:rsid w:val="009A5DAF"/>
    <w:rsid w:val="009A6862"/>
    <w:rsid w:val="009A6874"/>
    <w:rsid w:val="009A7601"/>
    <w:rsid w:val="009B026F"/>
    <w:rsid w:val="009B3ABD"/>
    <w:rsid w:val="009B7AEF"/>
    <w:rsid w:val="009B7EEF"/>
    <w:rsid w:val="009C0EFD"/>
    <w:rsid w:val="009C16F8"/>
    <w:rsid w:val="009D3111"/>
    <w:rsid w:val="009D3181"/>
    <w:rsid w:val="009D334A"/>
    <w:rsid w:val="009D6FBE"/>
    <w:rsid w:val="009E0F21"/>
    <w:rsid w:val="009E13E0"/>
    <w:rsid w:val="009E1B59"/>
    <w:rsid w:val="009E2422"/>
    <w:rsid w:val="009E3118"/>
    <w:rsid w:val="009E3815"/>
    <w:rsid w:val="009E3C2D"/>
    <w:rsid w:val="009E3F9D"/>
    <w:rsid w:val="009E5CAD"/>
    <w:rsid w:val="009E714A"/>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203FC"/>
    <w:rsid w:val="00A20428"/>
    <w:rsid w:val="00A2230A"/>
    <w:rsid w:val="00A2244E"/>
    <w:rsid w:val="00A23612"/>
    <w:rsid w:val="00A23A2C"/>
    <w:rsid w:val="00A24451"/>
    <w:rsid w:val="00A25B82"/>
    <w:rsid w:val="00A3014C"/>
    <w:rsid w:val="00A304A8"/>
    <w:rsid w:val="00A30B9D"/>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5E4A"/>
    <w:rsid w:val="00A86143"/>
    <w:rsid w:val="00A86B82"/>
    <w:rsid w:val="00A87A5F"/>
    <w:rsid w:val="00A87FBF"/>
    <w:rsid w:val="00A92E02"/>
    <w:rsid w:val="00A93829"/>
    <w:rsid w:val="00A94E34"/>
    <w:rsid w:val="00A964BD"/>
    <w:rsid w:val="00A979DD"/>
    <w:rsid w:val="00AA1C47"/>
    <w:rsid w:val="00AA3C83"/>
    <w:rsid w:val="00AA5E72"/>
    <w:rsid w:val="00AA6069"/>
    <w:rsid w:val="00AA7102"/>
    <w:rsid w:val="00AA7415"/>
    <w:rsid w:val="00AB0831"/>
    <w:rsid w:val="00AB1F2F"/>
    <w:rsid w:val="00AB4698"/>
    <w:rsid w:val="00AB6B5F"/>
    <w:rsid w:val="00AB6CDA"/>
    <w:rsid w:val="00AC0223"/>
    <w:rsid w:val="00AC0EEE"/>
    <w:rsid w:val="00AC14B1"/>
    <w:rsid w:val="00AC4F9E"/>
    <w:rsid w:val="00AC6058"/>
    <w:rsid w:val="00AD1B3E"/>
    <w:rsid w:val="00AD1D01"/>
    <w:rsid w:val="00AD2B2A"/>
    <w:rsid w:val="00AD3237"/>
    <w:rsid w:val="00AD5304"/>
    <w:rsid w:val="00AD589B"/>
    <w:rsid w:val="00AD70C1"/>
    <w:rsid w:val="00AE16B6"/>
    <w:rsid w:val="00AE24BF"/>
    <w:rsid w:val="00AE34ED"/>
    <w:rsid w:val="00AF1BCF"/>
    <w:rsid w:val="00AF3530"/>
    <w:rsid w:val="00AF519C"/>
    <w:rsid w:val="00AF5826"/>
    <w:rsid w:val="00AF6BD7"/>
    <w:rsid w:val="00AF78B6"/>
    <w:rsid w:val="00B00964"/>
    <w:rsid w:val="00B0118B"/>
    <w:rsid w:val="00B02A59"/>
    <w:rsid w:val="00B03C06"/>
    <w:rsid w:val="00B079F8"/>
    <w:rsid w:val="00B1112F"/>
    <w:rsid w:val="00B12B9F"/>
    <w:rsid w:val="00B153FE"/>
    <w:rsid w:val="00B16B54"/>
    <w:rsid w:val="00B21775"/>
    <w:rsid w:val="00B220C8"/>
    <w:rsid w:val="00B232A4"/>
    <w:rsid w:val="00B2503F"/>
    <w:rsid w:val="00B25514"/>
    <w:rsid w:val="00B30E28"/>
    <w:rsid w:val="00B335A3"/>
    <w:rsid w:val="00B33BF1"/>
    <w:rsid w:val="00B413F2"/>
    <w:rsid w:val="00B423B7"/>
    <w:rsid w:val="00B46BAB"/>
    <w:rsid w:val="00B47730"/>
    <w:rsid w:val="00B47C6F"/>
    <w:rsid w:val="00B47D6F"/>
    <w:rsid w:val="00B47F45"/>
    <w:rsid w:val="00B50D6B"/>
    <w:rsid w:val="00B523BF"/>
    <w:rsid w:val="00B5278E"/>
    <w:rsid w:val="00B53A02"/>
    <w:rsid w:val="00B555DE"/>
    <w:rsid w:val="00B6051E"/>
    <w:rsid w:val="00B6154C"/>
    <w:rsid w:val="00B70394"/>
    <w:rsid w:val="00B72F06"/>
    <w:rsid w:val="00B73783"/>
    <w:rsid w:val="00B73C2D"/>
    <w:rsid w:val="00B74DC3"/>
    <w:rsid w:val="00B76C1C"/>
    <w:rsid w:val="00B82274"/>
    <w:rsid w:val="00B82B7A"/>
    <w:rsid w:val="00B82C84"/>
    <w:rsid w:val="00B849F2"/>
    <w:rsid w:val="00B84BB2"/>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062F"/>
    <w:rsid w:val="00BE14A3"/>
    <w:rsid w:val="00BE17F4"/>
    <w:rsid w:val="00BE22B3"/>
    <w:rsid w:val="00BE3BA4"/>
    <w:rsid w:val="00BE422C"/>
    <w:rsid w:val="00BE614C"/>
    <w:rsid w:val="00BE67AE"/>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235"/>
    <w:rsid w:val="00C176BF"/>
    <w:rsid w:val="00C17AE0"/>
    <w:rsid w:val="00C3028C"/>
    <w:rsid w:val="00C3055C"/>
    <w:rsid w:val="00C30D11"/>
    <w:rsid w:val="00C31861"/>
    <w:rsid w:val="00C3247C"/>
    <w:rsid w:val="00C3330C"/>
    <w:rsid w:val="00C356F5"/>
    <w:rsid w:val="00C36CB8"/>
    <w:rsid w:val="00C415DA"/>
    <w:rsid w:val="00C4327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6296"/>
    <w:rsid w:val="00C67A0D"/>
    <w:rsid w:val="00C7509C"/>
    <w:rsid w:val="00C76965"/>
    <w:rsid w:val="00C76AE5"/>
    <w:rsid w:val="00C7718C"/>
    <w:rsid w:val="00C81131"/>
    <w:rsid w:val="00C823BD"/>
    <w:rsid w:val="00C823C0"/>
    <w:rsid w:val="00C82ADF"/>
    <w:rsid w:val="00C85898"/>
    <w:rsid w:val="00C85AB9"/>
    <w:rsid w:val="00C85B23"/>
    <w:rsid w:val="00C85DFC"/>
    <w:rsid w:val="00C87D04"/>
    <w:rsid w:val="00C87EFC"/>
    <w:rsid w:val="00C914B2"/>
    <w:rsid w:val="00C93E0F"/>
    <w:rsid w:val="00C96AA0"/>
    <w:rsid w:val="00C96B4E"/>
    <w:rsid w:val="00C9754C"/>
    <w:rsid w:val="00CA0B24"/>
    <w:rsid w:val="00CA2A83"/>
    <w:rsid w:val="00CA40B0"/>
    <w:rsid w:val="00CA5963"/>
    <w:rsid w:val="00CA5F3C"/>
    <w:rsid w:val="00CA6285"/>
    <w:rsid w:val="00CA62D8"/>
    <w:rsid w:val="00CB23BD"/>
    <w:rsid w:val="00CB3998"/>
    <w:rsid w:val="00CB5618"/>
    <w:rsid w:val="00CB577A"/>
    <w:rsid w:val="00CC290D"/>
    <w:rsid w:val="00CC483E"/>
    <w:rsid w:val="00CD0519"/>
    <w:rsid w:val="00CD09B1"/>
    <w:rsid w:val="00CD2075"/>
    <w:rsid w:val="00CD4232"/>
    <w:rsid w:val="00CD4E82"/>
    <w:rsid w:val="00CD5F14"/>
    <w:rsid w:val="00CD6A04"/>
    <w:rsid w:val="00CE00E1"/>
    <w:rsid w:val="00CE374C"/>
    <w:rsid w:val="00CE4A6D"/>
    <w:rsid w:val="00CE5795"/>
    <w:rsid w:val="00CE63C1"/>
    <w:rsid w:val="00CF18C5"/>
    <w:rsid w:val="00CF1E4D"/>
    <w:rsid w:val="00CF2A56"/>
    <w:rsid w:val="00CF44E4"/>
    <w:rsid w:val="00CF46A3"/>
    <w:rsid w:val="00CF5FE7"/>
    <w:rsid w:val="00D07067"/>
    <w:rsid w:val="00D075AA"/>
    <w:rsid w:val="00D101BD"/>
    <w:rsid w:val="00D10370"/>
    <w:rsid w:val="00D11861"/>
    <w:rsid w:val="00D11D57"/>
    <w:rsid w:val="00D15067"/>
    <w:rsid w:val="00D1557F"/>
    <w:rsid w:val="00D16C7C"/>
    <w:rsid w:val="00D16E03"/>
    <w:rsid w:val="00D17158"/>
    <w:rsid w:val="00D200F8"/>
    <w:rsid w:val="00D208E9"/>
    <w:rsid w:val="00D2146D"/>
    <w:rsid w:val="00D234C0"/>
    <w:rsid w:val="00D23EC6"/>
    <w:rsid w:val="00D25D68"/>
    <w:rsid w:val="00D2601F"/>
    <w:rsid w:val="00D27CC0"/>
    <w:rsid w:val="00D30E41"/>
    <w:rsid w:val="00D31534"/>
    <w:rsid w:val="00D32EF8"/>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1E99"/>
    <w:rsid w:val="00D83B77"/>
    <w:rsid w:val="00D83E3D"/>
    <w:rsid w:val="00D84631"/>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0E2"/>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66F8"/>
    <w:rsid w:val="00E00586"/>
    <w:rsid w:val="00E03013"/>
    <w:rsid w:val="00E05768"/>
    <w:rsid w:val="00E06E01"/>
    <w:rsid w:val="00E07261"/>
    <w:rsid w:val="00E10295"/>
    <w:rsid w:val="00E163F5"/>
    <w:rsid w:val="00E16CF4"/>
    <w:rsid w:val="00E17AAA"/>
    <w:rsid w:val="00E2023C"/>
    <w:rsid w:val="00E22FD2"/>
    <w:rsid w:val="00E24040"/>
    <w:rsid w:val="00E254DE"/>
    <w:rsid w:val="00E279C7"/>
    <w:rsid w:val="00E27F47"/>
    <w:rsid w:val="00E30737"/>
    <w:rsid w:val="00E337B2"/>
    <w:rsid w:val="00E36046"/>
    <w:rsid w:val="00E368C1"/>
    <w:rsid w:val="00E36F0D"/>
    <w:rsid w:val="00E42686"/>
    <w:rsid w:val="00E45713"/>
    <w:rsid w:val="00E46E94"/>
    <w:rsid w:val="00E5141A"/>
    <w:rsid w:val="00E525EF"/>
    <w:rsid w:val="00E52B61"/>
    <w:rsid w:val="00E542ED"/>
    <w:rsid w:val="00E54D91"/>
    <w:rsid w:val="00E54EA4"/>
    <w:rsid w:val="00E551C4"/>
    <w:rsid w:val="00E5608B"/>
    <w:rsid w:val="00E564F8"/>
    <w:rsid w:val="00E56FD8"/>
    <w:rsid w:val="00E57237"/>
    <w:rsid w:val="00E57487"/>
    <w:rsid w:val="00E57F99"/>
    <w:rsid w:val="00E61E73"/>
    <w:rsid w:val="00E64429"/>
    <w:rsid w:val="00E646EE"/>
    <w:rsid w:val="00E65054"/>
    <w:rsid w:val="00E6534B"/>
    <w:rsid w:val="00E66780"/>
    <w:rsid w:val="00E6678D"/>
    <w:rsid w:val="00E705B8"/>
    <w:rsid w:val="00E711DA"/>
    <w:rsid w:val="00E7715F"/>
    <w:rsid w:val="00E773DC"/>
    <w:rsid w:val="00E810AC"/>
    <w:rsid w:val="00E828AC"/>
    <w:rsid w:val="00E87CC3"/>
    <w:rsid w:val="00E90841"/>
    <w:rsid w:val="00E91098"/>
    <w:rsid w:val="00E9210B"/>
    <w:rsid w:val="00EA3AE2"/>
    <w:rsid w:val="00EA4CD3"/>
    <w:rsid w:val="00EA4FFB"/>
    <w:rsid w:val="00EA5F42"/>
    <w:rsid w:val="00EA6164"/>
    <w:rsid w:val="00EA7A01"/>
    <w:rsid w:val="00EA7CCD"/>
    <w:rsid w:val="00EB154B"/>
    <w:rsid w:val="00EB234D"/>
    <w:rsid w:val="00EB3F6F"/>
    <w:rsid w:val="00EB5C44"/>
    <w:rsid w:val="00EB5FE0"/>
    <w:rsid w:val="00EC185B"/>
    <w:rsid w:val="00EC3165"/>
    <w:rsid w:val="00EC428E"/>
    <w:rsid w:val="00EC50AD"/>
    <w:rsid w:val="00EC6872"/>
    <w:rsid w:val="00ED0449"/>
    <w:rsid w:val="00ED1087"/>
    <w:rsid w:val="00ED5A7B"/>
    <w:rsid w:val="00ED769C"/>
    <w:rsid w:val="00EE1525"/>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0CEE"/>
    <w:rsid w:val="00F330F8"/>
    <w:rsid w:val="00F33971"/>
    <w:rsid w:val="00F34586"/>
    <w:rsid w:val="00F350B8"/>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3E7B"/>
    <w:rsid w:val="00F65DB9"/>
    <w:rsid w:val="00F6669E"/>
    <w:rsid w:val="00F666D6"/>
    <w:rsid w:val="00F67D23"/>
    <w:rsid w:val="00F7320A"/>
    <w:rsid w:val="00F74046"/>
    <w:rsid w:val="00F74414"/>
    <w:rsid w:val="00F75D20"/>
    <w:rsid w:val="00F80FF3"/>
    <w:rsid w:val="00F82D72"/>
    <w:rsid w:val="00F83E12"/>
    <w:rsid w:val="00F85225"/>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4C29"/>
    <w:rsid w:val="00FD1625"/>
    <w:rsid w:val="00FD179F"/>
    <w:rsid w:val="00FD1905"/>
    <w:rsid w:val="00FD20A5"/>
    <w:rsid w:val="00FD3374"/>
    <w:rsid w:val="00FD7736"/>
    <w:rsid w:val="00FE102D"/>
    <w:rsid w:val="00FE1CA2"/>
    <w:rsid w:val="00FE4655"/>
    <w:rsid w:val="00FE46A9"/>
    <w:rsid w:val="00FE4A6A"/>
    <w:rsid w:val="00FE6863"/>
    <w:rsid w:val="00FF1D89"/>
    <w:rsid w:val="00FF1E2E"/>
    <w:rsid w:val="00FF22CF"/>
    <w:rsid w:val="00FF2991"/>
    <w:rsid w:val="00FF4DF1"/>
    <w:rsid w:val="00FF5B20"/>
    <w:rsid w:val="00FF5D8D"/>
    <w:rsid w:val="015123B9"/>
    <w:rsid w:val="052B38A3"/>
    <w:rsid w:val="082F25E4"/>
    <w:rsid w:val="0A8F5D00"/>
    <w:rsid w:val="0D75742F"/>
    <w:rsid w:val="0E552DBD"/>
    <w:rsid w:val="0EA7186A"/>
    <w:rsid w:val="0EE330C9"/>
    <w:rsid w:val="0F3D375A"/>
    <w:rsid w:val="10C04E65"/>
    <w:rsid w:val="10D017D9"/>
    <w:rsid w:val="1348114C"/>
    <w:rsid w:val="138B5786"/>
    <w:rsid w:val="1CA0145B"/>
    <w:rsid w:val="1E1E31CB"/>
    <w:rsid w:val="21603540"/>
    <w:rsid w:val="22CE1EEF"/>
    <w:rsid w:val="24011B01"/>
    <w:rsid w:val="261F3F85"/>
    <w:rsid w:val="27F7686E"/>
    <w:rsid w:val="29E03A2B"/>
    <w:rsid w:val="2B7ED06F"/>
    <w:rsid w:val="2D3D4257"/>
    <w:rsid w:val="2DDA0928"/>
    <w:rsid w:val="32B41128"/>
    <w:rsid w:val="35DE565D"/>
    <w:rsid w:val="369547EC"/>
    <w:rsid w:val="37AE5168"/>
    <w:rsid w:val="3A3D4F53"/>
    <w:rsid w:val="3D3A7EAF"/>
    <w:rsid w:val="3EA0216F"/>
    <w:rsid w:val="3F7E74F8"/>
    <w:rsid w:val="42925DB2"/>
    <w:rsid w:val="448B464D"/>
    <w:rsid w:val="4B887C1D"/>
    <w:rsid w:val="4C115F9A"/>
    <w:rsid w:val="4C2537F3"/>
    <w:rsid w:val="4D037D0C"/>
    <w:rsid w:val="4EE778FC"/>
    <w:rsid w:val="50446580"/>
    <w:rsid w:val="513525FF"/>
    <w:rsid w:val="520934A3"/>
    <w:rsid w:val="53093721"/>
    <w:rsid w:val="535029F5"/>
    <w:rsid w:val="53B322F3"/>
    <w:rsid w:val="5CDE4274"/>
    <w:rsid w:val="5DFE4393"/>
    <w:rsid w:val="5DFF29E0"/>
    <w:rsid w:val="5EDF3AF6"/>
    <w:rsid w:val="5FD94BDB"/>
    <w:rsid w:val="613B41DF"/>
    <w:rsid w:val="615835BC"/>
    <w:rsid w:val="62FA5B29"/>
    <w:rsid w:val="64632CB3"/>
    <w:rsid w:val="68B41309"/>
    <w:rsid w:val="68FF6CAB"/>
    <w:rsid w:val="69CA7F8E"/>
    <w:rsid w:val="6B32428E"/>
    <w:rsid w:val="6B9F0575"/>
    <w:rsid w:val="6CEF7485"/>
    <w:rsid w:val="6D464B59"/>
    <w:rsid w:val="739E1612"/>
    <w:rsid w:val="73EF1F12"/>
    <w:rsid w:val="75AF62D4"/>
    <w:rsid w:val="760E16AB"/>
    <w:rsid w:val="784244D4"/>
    <w:rsid w:val="7BC14284"/>
    <w:rsid w:val="7F921D31"/>
    <w:rsid w:val="AEFF9737"/>
    <w:rsid w:val="AEFFAB2F"/>
    <w:rsid w:val="DDFFD477"/>
    <w:rsid w:val="FADAB0B6"/>
    <w:rsid w:val="FFBBF84C"/>
    <w:rsid w:val="FFED0BA2"/>
    <w:rsid w:val="FFFB1921"/>
    <w:rsid w:val="FFFFE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3"/>
    <w:semiHidden/>
    <w:unhideWhenUsed/>
    <w:qFormat/>
    <w:uiPriority w:val="99"/>
    <w:rPr>
      <w:rFonts w:ascii="宋体" w:eastAsia="宋体"/>
      <w:sz w:val="18"/>
      <w:szCs w:val="18"/>
    </w:rPr>
  </w:style>
  <w:style w:type="paragraph" w:styleId="5">
    <w:name w:val="annotation text"/>
    <w:basedOn w:val="1"/>
    <w:link w:val="31"/>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Autospacing="1" w:afterAutospacing="1"/>
      <w:jc w:val="left"/>
    </w:pPr>
    <w:rPr>
      <w:kern w:val="0"/>
      <w:sz w:val="24"/>
    </w:rPr>
  </w:style>
  <w:style w:type="paragraph" w:styleId="10">
    <w:name w:val="annotation subject"/>
    <w:basedOn w:val="5"/>
    <w:next w:val="5"/>
    <w:link w:val="33"/>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character" w:customStyle="1" w:styleId="16">
    <w:name w:val="标题 1 字符"/>
    <w:basedOn w:val="13"/>
    <w:link w:val="2"/>
    <w:qFormat/>
    <w:uiPriority w:val="9"/>
    <w:rPr>
      <w:b/>
      <w:bCs/>
      <w:kern w:val="44"/>
      <w:sz w:val="44"/>
      <w:szCs w:val="44"/>
    </w:rPr>
  </w:style>
  <w:style w:type="character" w:customStyle="1" w:styleId="17">
    <w:name w:val="标题 2 字符"/>
    <w:basedOn w:val="13"/>
    <w:link w:val="3"/>
    <w:qFormat/>
    <w:uiPriority w:val="9"/>
    <w:rPr>
      <w:rFonts w:asciiTheme="majorHAnsi" w:hAnsiTheme="majorHAnsi" w:eastAsiaTheme="majorEastAsia" w:cstheme="majorBidi"/>
      <w:b/>
      <w:bCs/>
      <w:sz w:val="32"/>
      <w:szCs w:val="32"/>
    </w:rPr>
  </w:style>
  <w:style w:type="character" w:customStyle="1" w:styleId="18">
    <w:name w:val="批注框文本 字符"/>
    <w:basedOn w:val="13"/>
    <w:link w:val="6"/>
    <w:semiHidden/>
    <w:qFormat/>
    <w:uiPriority w:val="99"/>
    <w:rPr>
      <w:sz w:val="18"/>
      <w:szCs w:val="18"/>
    </w:rPr>
  </w:style>
  <w:style w:type="paragraph" w:styleId="19">
    <w:name w:val="List Paragraph"/>
    <w:basedOn w:val="1"/>
    <w:qFormat/>
    <w:uiPriority w:val="34"/>
    <w:pPr>
      <w:ind w:firstLine="420" w:firstLineChars="200"/>
    </w:pPr>
  </w:style>
  <w:style w:type="character" w:styleId="20">
    <w:name w:val="Placeholder Text"/>
    <w:basedOn w:val="13"/>
    <w:semiHidden/>
    <w:qFormat/>
    <w:uiPriority w:val="99"/>
    <w:rPr>
      <w:color w:val="auto"/>
    </w:rPr>
  </w:style>
  <w:style w:type="character" w:customStyle="1" w:styleId="21">
    <w:name w:val="页眉 字符"/>
    <w:basedOn w:val="13"/>
    <w:link w:val="8"/>
    <w:qFormat/>
    <w:uiPriority w:val="99"/>
    <w:rPr>
      <w:sz w:val="18"/>
      <w:szCs w:val="18"/>
    </w:rPr>
  </w:style>
  <w:style w:type="character" w:customStyle="1" w:styleId="22">
    <w:name w:val="页脚 字符"/>
    <w:basedOn w:val="13"/>
    <w:link w:val="7"/>
    <w:qFormat/>
    <w:uiPriority w:val="99"/>
    <w:rPr>
      <w:sz w:val="18"/>
      <w:szCs w:val="18"/>
    </w:rPr>
  </w:style>
  <w:style w:type="character" w:customStyle="1" w:styleId="23">
    <w:name w:val="文档结构图 字符"/>
    <w:basedOn w:val="13"/>
    <w:link w:val="4"/>
    <w:semiHidden/>
    <w:qFormat/>
    <w:uiPriority w:val="99"/>
    <w:rPr>
      <w:rFonts w:ascii="宋体" w:eastAsia="宋体"/>
      <w:sz w:val="18"/>
      <w:szCs w:val="18"/>
    </w:rPr>
  </w:style>
  <w:style w:type="character" w:customStyle="1" w:styleId="24">
    <w:name w:val="样式1"/>
    <w:qFormat/>
    <w:uiPriority w:val="1"/>
  </w:style>
  <w:style w:type="character" w:customStyle="1" w:styleId="25">
    <w:name w:val="样式2"/>
    <w:basedOn w:val="24"/>
    <w:qFormat/>
    <w:uiPriority w:val="1"/>
  </w:style>
  <w:style w:type="character" w:customStyle="1" w:styleId="26">
    <w:name w:val="样式3"/>
    <w:basedOn w:val="24"/>
    <w:qFormat/>
    <w:uiPriority w:val="1"/>
  </w:style>
  <w:style w:type="character" w:customStyle="1" w:styleId="27">
    <w:name w:val="样式4"/>
    <w:basedOn w:val="24"/>
    <w:qFormat/>
    <w:uiPriority w:val="1"/>
  </w:style>
  <w:style w:type="character" w:customStyle="1" w:styleId="28">
    <w:name w:val="样式5"/>
    <w:basedOn w:val="24"/>
    <w:qFormat/>
    <w:uiPriority w:val="1"/>
  </w:style>
  <w:style w:type="character" w:customStyle="1" w:styleId="29">
    <w:name w:val="样式6"/>
    <w:basedOn w:val="27"/>
    <w:qFormat/>
    <w:uiPriority w:val="1"/>
  </w:style>
  <w:style w:type="character" w:customStyle="1" w:styleId="30">
    <w:name w:val="样式7"/>
    <w:basedOn w:val="27"/>
    <w:qFormat/>
    <w:uiPriority w:val="1"/>
  </w:style>
  <w:style w:type="character" w:customStyle="1" w:styleId="31">
    <w:name w:val="批注文字 字符"/>
    <w:basedOn w:val="13"/>
    <w:link w:val="5"/>
    <w:qFormat/>
    <w:uiPriority w:val="99"/>
  </w:style>
  <w:style w:type="paragraph" w:customStyle="1" w:styleId="32">
    <w:name w:val="p0"/>
    <w:basedOn w:val="1"/>
    <w:qFormat/>
    <w:uiPriority w:val="0"/>
    <w:pPr>
      <w:widowControl/>
    </w:pPr>
    <w:rPr>
      <w:rFonts w:ascii="Book Antiqua" w:hAnsi="Book Antiqua" w:eastAsia="宋体" w:cs="宋体"/>
      <w:kern w:val="0"/>
      <w:sz w:val="24"/>
      <w:szCs w:val="24"/>
    </w:rPr>
  </w:style>
  <w:style w:type="character" w:customStyle="1" w:styleId="33">
    <w:name w:val="批注主题 字符"/>
    <w:basedOn w:val="31"/>
    <w:link w:val="10"/>
    <w:semiHidden/>
    <w:qFormat/>
    <w:uiPriority w:val="99"/>
    <w:rPr>
      <w:b/>
      <w:bCs/>
    </w:rPr>
  </w:style>
  <w:style w:type="paragraph" w:customStyle="1" w:styleId="34">
    <w:name w:val="Table Text"/>
    <w:basedOn w:val="1"/>
    <w:semiHidden/>
    <w:qFormat/>
    <w:uiPriority w:val="0"/>
    <w:pPr>
      <w:spacing w:before="64" w:line="284" w:lineRule="auto"/>
      <w:ind w:left="18" w:right="30" w:hanging="7"/>
      <w:jc w:val="left"/>
    </w:pPr>
    <w:rPr>
      <w:rFonts w:ascii="Times New Roman" w:hAnsi="Times New Roman" w:eastAsia="Times New Roman"/>
      <w:sz w:val="24"/>
      <w:szCs w:val="24"/>
      <w:lang w:eastAsia="en-US"/>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4"/>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0">
    <w:name w:val="未处理的提及1"/>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Kingsoft\office6\templates\wps\zh_CN\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E8975CD8-AA4F-4D77-B72C-58EE482ADE73}"/>
      </w:docPartPr>
      <w:docPartBody>
        <w:p>
          <w:pPr>
            <w:pStyle w:val="5"/>
            <w:rPr>
              <w:rFonts w:hint="eastAsia"/>
            </w:rPr>
          </w:pPr>
          <w:r>
            <w:rPr>
              <w:rFonts w:hint="eastAsia" w:asciiTheme="majorEastAsia" w:hAnsiTheme="majorEastAsia" w:eastAsiaTheme="majorEastAsia"/>
              <w:b/>
              <w:color w:val="333399"/>
              <w:szCs w:val="36"/>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8A"/>
    <w:rsid w:val="00017C2E"/>
    <w:rsid w:val="00032CF6"/>
    <w:rsid w:val="000343D6"/>
    <w:rsid w:val="0004422D"/>
    <w:rsid w:val="00046446"/>
    <w:rsid w:val="00051238"/>
    <w:rsid w:val="00064914"/>
    <w:rsid w:val="000777D0"/>
    <w:rsid w:val="00091B04"/>
    <w:rsid w:val="000927E9"/>
    <w:rsid w:val="000A06CA"/>
    <w:rsid w:val="000A3E63"/>
    <w:rsid w:val="000B72CA"/>
    <w:rsid w:val="000D5200"/>
    <w:rsid w:val="000E3071"/>
    <w:rsid w:val="0011090A"/>
    <w:rsid w:val="00111BD1"/>
    <w:rsid w:val="0013460A"/>
    <w:rsid w:val="00145670"/>
    <w:rsid w:val="00151523"/>
    <w:rsid w:val="0016580D"/>
    <w:rsid w:val="0019225F"/>
    <w:rsid w:val="001D5BCD"/>
    <w:rsid w:val="001D6115"/>
    <w:rsid w:val="001E3EA0"/>
    <w:rsid w:val="001F6C54"/>
    <w:rsid w:val="002143E6"/>
    <w:rsid w:val="00216D18"/>
    <w:rsid w:val="00256D89"/>
    <w:rsid w:val="00267098"/>
    <w:rsid w:val="00282A8F"/>
    <w:rsid w:val="002E4793"/>
    <w:rsid w:val="002E6255"/>
    <w:rsid w:val="00306E3D"/>
    <w:rsid w:val="00316D69"/>
    <w:rsid w:val="00341B55"/>
    <w:rsid w:val="0036106E"/>
    <w:rsid w:val="00376DD0"/>
    <w:rsid w:val="003810DE"/>
    <w:rsid w:val="003906EF"/>
    <w:rsid w:val="003A17F8"/>
    <w:rsid w:val="003B04EC"/>
    <w:rsid w:val="003B50D8"/>
    <w:rsid w:val="003D385E"/>
    <w:rsid w:val="003E041E"/>
    <w:rsid w:val="00421A1B"/>
    <w:rsid w:val="0043069B"/>
    <w:rsid w:val="00443BB9"/>
    <w:rsid w:val="00453D3D"/>
    <w:rsid w:val="00495DE2"/>
    <w:rsid w:val="004A1379"/>
    <w:rsid w:val="004A2790"/>
    <w:rsid w:val="004A4D38"/>
    <w:rsid w:val="004B104B"/>
    <w:rsid w:val="004B2A73"/>
    <w:rsid w:val="004B46C6"/>
    <w:rsid w:val="004B72D1"/>
    <w:rsid w:val="004E2C00"/>
    <w:rsid w:val="004F1BA3"/>
    <w:rsid w:val="00505B16"/>
    <w:rsid w:val="00524560"/>
    <w:rsid w:val="0052623E"/>
    <w:rsid w:val="00535D5C"/>
    <w:rsid w:val="005409B4"/>
    <w:rsid w:val="00541ABD"/>
    <w:rsid w:val="00554BBA"/>
    <w:rsid w:val="00564EDE"/>
    <w:rsid w:val="0058791E"/>
    <w:rsid w:val="005A02F7"/>
    <w:rsid w:val="005B1E3A"/>
    <w:rsid w:val="005D54A9"/>
    <w:rsid w:val="00602E7D"/>
    <w:rsid w:val="006075FB"/>
    <w:rsid w:val="00610660"/>
    <w:rsid w:val="00612645"/>
    <w:rsid w:val="00633C9B"/>
    <w:rsid w:val="00645CB1"/>
    <w:rsid w:val="00650792"/>
    <w:rsid w:val="00687612"/>
    <w:rsid w:val="006B7BE4"/>
    <w:rsid w:val="0072633B"/>
    <w:rsid w:val="00734AD3"/>
    <w:rsid w:val="00735F09"/>
    <w:rsid w:val="00752860"/>
    <w:rsid w:val="00765580"/>
    <w:rsid w:val="00774D22"/>
    <w:rsid w:val="00777D46"/>
    <w:rsid w:val="00780325"/>
    <w:rsid w:val="00781254"/>
    <w:rsid w:val="00781F4C"/>
    <w:rsid w:val="007857F3"/>
    <w:rsid w:val="0078693E"/>
    <w:rsid w:val="007A02EA"/>
    <w:rsid w:val="007A0348"/>
    <w:rsid w:val="007A4890"/>
    <w:rsid w:val="007B1DA5"/>
    <w:rsid w:val="007B3C12"/>
    <w:rsid w:val="007B4410"/>
    <w:rsid w:val="007C7D34"/>
    <w:rsid w:val="00800822"/>
    <w:rsid w:val="00807700"/>
    <w:rsid w:val="00817920"/>
    <w:rsid w:val="00846FD4"/>
    <w:rsid w:val="00851D98"/>
    <w:rsid w:val="00932870"/>
    <w:rsid w:val="0095546D"/>
    <w:rsid w:val="009830BF"/>
    <w:rsid w:val="00985796"/>
    <w:rsid w:val="00996F77"/>
    <w:rsid w:val="0099798A"/>
    <w:rsid w:val="009A3853"/>
    <w:rsid w:val="009C514E"/>
    <w:rsid w:val="009D0A97"/>
    <w:rsid w:val="00A10E8A"/>
    <w:rsid w:val="00A214F0"/>
    <w:rsid w:val="00A3150D"/>
    <w:rsid w:val="00A41B15"/>
    <w:rsid w:val="00A650F6"/>
    <w:rsid w:val="00A76F92"/>
    <w:rsid w:val="00A808AB"/>
    <w:rsid w:val="00A86D8A"/>
    <w:rsid w:val="00AA1850"/>
    <w:rsid w:val="00AA1CD6"/>
    <w:rsid w:val="00AA5D37"/>
    <w:rsid w:val="00AA6A65"/>
    <w:rsid w:val="00AB46B1"/>
    <w:rsid w:val="00B84331"/>
    <w:rsid w:val="00BA1417"/>
    <w:rsid w:val="00BD5113"/>
    <w:rsid w:val="00BD611D"/>
    <w:rsid w:val="00C01254"/>
    <w:rsid w:val="00C1573E"/>
    <w:rsid w:val="00C173EB"/>
    <w:rsid w:val="00C24685"/>
    <w:rsid w:val="00C278FF"/>
    <w:rsid w:val="00C4327A"/>
    <w:rsid w:val="00CA0358"/>
    <w:rsid w:val="00CB6A47"/>
    <w:rsid w:val="00CE00E1"/>
    <w:rsid w:val="00CE3E32"/>
    <w:rsid w:val="00D047C8"/>
    <w:rsid w:val="00D179CB"/>
    <w:rsid w:val="00D26A94"/>
    <w:rsid w:val="00D316FF"/>
    <w:rsid w:val="00D711C1"/>
    <w:rsid w:val="00D74505"/>
    <w:rsid w:val="00D839D6"/>
    <w:rsid w:val="00DB1BD1"/>
    <w:rsid w:val="00DB5C2D"/>
    <w:rsid w:val="00DC38EF"/>
    <w:rsid w:val="00DD166E"/>
    <w:rsid w:val="00DF2409"/>
    <w:rsid w:val="00E00DD3"/>
    <w:rsid w:val="00E0773D"/>
    <w:rsid w:val="00E717CD"/>
    <w:rsid w:val="00E93D68"/>
    <w:rsid w:val="00EA05B6"/>
    <w:rsid w:val="00F143C9"/>
    <w:rsid w:val="00F476B3"/>
    <w:rsid w:val="00F544B7"/>
    <w:rsid w:val="00F774E5"/>
    <w:rsid w:val="00FA2FFB"/>
    <w:rsid w:val="00FB76F7"/>
    <w:rsid w:val="00FD227C"/>
    <w:rsid w:val="00FD6572"/>
    <w:rsid w:val="00FF0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style>
  <w:style w:type="paragraph" w:customStyle="1" w:styleId="5">
    <w:name w:val="9F3DF1A127DD4BAF8FE0AECC20C4822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clcta-gie="clcta-gie" xmlns:b="http://mapping.word.org/2012/binding" xmlns:clcta-taf="clcta-taf" xmlns:clcta-fte="clcta-fte" xmlns:xlink="xlink" xmlns:clcta-be="clcta-be"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]]></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]]></t:sse>
</t:template>
</file>

<file path=customXml/itemProps1.xml><?xml version="1.0" encoding="utf-8"?>
<ds:datastoreItem xmlns:ds="http://schemas.openxmlformats.org/officeDocument/2006/customXml" ds:itemID="{BA98B501-917D-472D-AC19-F30F1EB82784}">
  <ds:schemaRefs/>
</ds:datastoreItem>
</file>

<file path=customXml/itemProps2.xml><?xml version="1.0" encoding="utf-8"?>
<ds:datastoreItem xmlns:ds="http://schemas.openxmlformats.org/officeDocument/2006/customXml" ds:itemID="{6946C436-FBFE-4818-858F-57D7285C98D3}">
  <ds:schemaRefs/>
</ds:datastoreItem>
</file>

<file path=customXml/itemProps3.xml><?xml version="1.0" encoding="utf-8"?>
<ds:datastoreItem xmlns:ds="http://schemas.openxmlformats.org/officeDocument/2006/customXml" ds:itemID="{4511FAB5-2CDB-48CD-B312-58EE4B3BFC5C}">
  <ds:schemaRefs/>
</ds:datastoreItem>
</file>

<file path=customXml/itemProps4.xml><?xml version="1.0" encoding="utf-8"?>
<ds:datastoreItem xmlns:ds="http://schemas.openxmlformats.org/officeDocument/2006/customXml" ds:itemID="{61d5b1f0-af18-405b-8bff-9b076d6f3418}">
  <ds:schemaRefs/>
</ds:datastoreItem>
</file>

<file path=docProps/app.xml><?xml version="1.0" encoding="utf-8"?>
<Properties xmlns="http://schemas.openxmlformats.org/officeDocument/2006/extended-properties" xmlns:vt="http://schemas.openxmlformats.org/officeDocument/2006/docPropsVTypes">
  <Template>SSEReport.dotm</Template>
  <Company>HP</Company>
  <Pages>6</Pages>
  <Words>2897</Words>
  <Characters>3527</Characters>
  <Lines>27</Lines>
  <Paragraphs>7</Paragraphs>
  <TotalTime>6</TotalTime>
  <ScaleCrop>false</ScaleCrop>
  <LinksUpToDate>false</LinksUpToDate>
  <CharactersWithSpaces>3560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2026-05-08T05:10:00Z</dcterms:created>
  <dc:creator>yangzhiquan</dc:creator>
  <cp:lastModifiedBy>雯亦</cp:lastModifiedBy>
  <dcterms:modified xsi:type="dcterms:W3CDTF">2026-05-08T07:33:18Z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eyJoZGlkIjoiZjA0MDY0YWU2NTBjNGFiY2ZjOTQ3OTMxZWYyYzI4ZDYiLCJ1c2VySWQiOiIzMjIxMjU5MDUifQ==</vt:lpwstr>
  </property>
  <property fmtid="{D5CDD505-2E9C-101B-9397-08002B2CF9AE}" pid="3" name="KSOProductBuildVer">
    <vt:lpwstr>2052-11.1.0.12165</vt:lpwstr>
  </property>
  <property fmtid="{D5CDD505-2E9C-101B-9397-08002B2CF9AE}" pid="4" name="ICV">
    <vt:lpwstr>448A1244BF5D4802B4D3CCDF3997D613_13</vt:lpwstr>
  </property>
</Properties>
</file>