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inorEastAsia" w:hAnsiTheme="minorEastAsia"/>
          <w:b/>
          <w:bCs/>
          <w:sz w:val="24"/>
          <w:szCs w:val="24"/>
        </w:rPr>
      </w:pPr>
      <w:r>
        <w:rPr>
          <w:rFonts w:ascii="宋体" w:hAnsi="宋体" w:eastAsia="宋体"/>
          <w:b/>
          <w:bCs/>
        </w:rPr>
        <w:t xml:space="preserve">证券代码：603191      </w:t>
      </w:r>
      <w:r>
        <w:rPr>
          <w:rFonts w:hint="eastAsia" w:ascii="宋体" w:hAnsi="宋体" w:eastAsia="宋体"/>
          <w:b/>
          <w:bCs/>
          <w:lang w:val="en-US" w:eastAsia="zh-CN"/>
        </w:rPr>
        <w:t xml:space="preserve">       </w:t>
      </w:r>
      <w:r>
        <w:rPr>
          <w:rFonts w:ascii="宋体" w:hAnsi="宋体" w:eastAsia="宋体"/>
          <w:b/>
          <w:bCs/>
        </w:rPr>
        <w:t xml:space="preserve"> 证券简称：望变电气     </w:t>
      </w:r>
      <w:r>
        <w:rPr>
          <w:rFonts w:hint="eastAsia" w:ascii="宋体" w:hAnsi="宋体" w:eastAsia="宋体"/>
          <w:b/>
          <w:bCs/>
          <w:lang w:val="en-US" w:eastAsia="zh-CN"/>
        </w:rPr>
        <w:t xml:space="preserve">    </w:t>
      </w:r>
      <w:r>
        <w:rPr>
          <w:rFonts w:ascii="宋体" w:hAnsi="宋体" w:eastAsia="宋体"/>
          <w:b/>
          <w:bCs/>
        </w:rPr>
        <w:t xml:space="preserve">   公告编号：2026-</w:t>
      </w:r>
      <w:r>
        <w:rPr>
          <w:rFonts w:hint="eastAsia" w:ascii="宋体" w:hAnsi="宋体" w:eastAsia="宋体"/>
          <w:b/>
          <w:bCs/>
        </w:rPr>
        <w:t>053</w:t>
      </w:r>
    </w:p>
    <w:p>
      <w:pPr>
        <w:jc w:val="right"/>
        <w:rPr>
          <w:rFonts w:asciiTheme="minorEastAsia" w:hAnsiTheme="minorEastAsia"/>
          <w:b/>
          <w:sz w:val="24"/>
          <w:szCs w:val="24"/>
        </w:rPr>
      </w:pPr>
    </w:p>
    <w:p>
      <w:pPr>
        <w:jc w:val="right"/>
        <w:rPr>
          <w:rFonts w:asciiTheme="minorEastAsia" w:hAnsiTheme="minorEastAsia"/>
          <w:b/>
          <w:sz w:val="24"/>
          <w:szCs w:val="24"/>
        </w:rPr>
      </w:pPr>
    </w:p>
    <w:p>
      <w:pPr>
        <w:adjustRightInd w:val="0"/>
        <w:snapToGrid w:val="0"/>
        <w:spacing w:line="360" w:lineRule="auto"/>
        <w:jc w:val="center"/>
        <w:rPr>
          <w:rFonts w:ascii="黑体" w:hAnsi="黑体" w:eastAsia="黑体"/>
          <w:b/>
          <w:color w:val="FF0000"/>
          <w:sz w:val="36"/>
          <w:szCs w:val="24"/>
        </w:rPr>
      </w:pPr>
      <w:r>
        <w:rPr>
          <w:rFonts w:ascii="宋体" w:hAnsi="宋体" w:eastAsia="宋体"/>
          <w:b/>
          <w:sz w:val="32"/>
        </w:rPr>
        <w:t>重庆</w:t>
      </w:r>
      <w:bookmarkStart w:id="10" w:name="_GoBack"/>
      <w:bookmarkEnd w:id="10"/>
      <w:r>
        <w:rPr>
          <w:rFonts w:ascii="宋体" w:hAnsi="宋体" w:eastAsia="宋体"/>
          <w:b/>
          <w:sz w:val="32"/>
        </w:rPr>
        <w:t>望变电气（集团）股份有限公司</w:t>
      </w:r>
    </w:p>
    <w:p>
      <w:pPr>
        <w:adjustRightInd w:val="0"/>
        <w:snapToGrid w:val="0"/>
        <w:spacing w:line="360" w:lineRule="auto"/>
        <w:jc w:val="center"/>
        <w:rPr>
          <w:rFonts w:ascii="黑体" w:hAnsi="黑体" w:eastAsia="黑体"/>
          <w:b/>
          <w:color w:val="FF0000"/>
          <w:sz w:val="36"/>
          <w:szCs w:val="24"/>
        </w:rPr>
      </w:pPr>
      <w:r>
        <w:rPr>
          <w:rFonts w:ascii="宋体" w:hAnsi="宋体" w:eastAsia="宋体"/>
          <w:b/>
          <w:sz w:val="32"/>
        </w:rPr>
        <w:t>2026年7月对子公司提供担保的进展公告</w:t>
      </w:r>
    </w:p>
    <w:p>
      <w:pPr>
        <w:pBdr>
          <w:top w:val="single" w:color="auto" w:sz="4" w:space="4"/>
          <w:left w:val="single" w:color="auto" w:sz="4" w:space="3"/>
          <w:bottom w:val="single" w:color="auto" w:sz="4" w:space="1"/>
          <w:right w:val="single" w:color="auto" w:sz="4" w:space="4"/>
        </w:pBdr>
        <w:adjustRightInd w:val="0"/>
        <w:snapToGrid w:val="0"/>
        <w:spacing w:line="360" w:lineRule="auto"/>
        <w:ind w:firstLine="480" w:firstLineChars="200"/>
        <w:rPr>
          <w:rFonts w:asciiTheme="minorEastAsia" w:hAnsiTheme="minorEastAsia"/>
          <w:color w:val="000000"/>
          <w:sz w:val="24"/>
          <w:szCs w:val="24"/>
        </w:rPr>
      </w:pPr>
      <w:r>
        <w:rPr>
          <w:rFonts w:hint="eastAsia" w:asciiTheme="minorEastAsia" w:hAnsiTheme="minorEastAsia"/>
          <w:color w:val="000000"/>
          <w:sz w:val="24"/>
          <w:szCs w:val="24"/>
        </w:rPr>
        <w:t>本公司董事会及全体董事保证本公告内容不存在任何虚假记载、误导性陈述或者重大遗漏，并对其内容的真实性、准确性和完整性承担法律责任。</w:t>
      </w:r>
    </w:p>
    <w:p>
      <w:pPr>
        <w:widowControl/>
        <w:adjustRightInd w:val="0"/>
        <w:snapToGrid w:val="0"/>
        <w:spacing w:line="560" w:lineRule="exact"/>
        <w:ind w:firstLine="600"/>
        <w:jc w:val="right"/>
        <w:rPr>
          <w:rFonts w:cs="仿宋_GB2312" w:asciiTheme="minorEastAsia" w:hAnsiTheme="minorEastAsia"/>
          <w:sz w:val="24"/>
          <w:szCs w:val="24"/>
        </w:rPr>
      </w:pPr>
    </w:p>
    <w:p>
      <w:pPr>
        <w:widowControl/>
        <w:adjustRightInd w:val="0"/>
        <w:snapToGrid w:val="0"/>
        <w:spacing w:line="560" w:lineRule="exact"/>
        <w:jc w:val="left"/>
        <w:rPr>
          <w:rFonts w:asciiTheme="minorEastAsia" w:hAnsiTheme="minorEastAsia" w:cstheme="minorEastAsia"/>
          <w:b/>
          <w:bCs/>
          <w:sz w:val="24"/>
          <w:szCs w:val="24"/>
        </w:rPr>
      </w:pPr>
      <w:r>
        <w:rPr>
          <w:rFonts w:hint="eastAsia" w:asciiTheme="minorEastAsia" w:hAnsiTheme="minorEastAsia" w:cstheme="minorEastAsia"/>
          <w:b/>
          <w:bCs/>
          <w:sz w:val="24"/>
          <w:szCs w:val="24"/>
        </w:rPr>
        <w:t>重要内容提示：</w:t>
      </w:r>
    </w:p>
    <w:p>
      <w:pPr>
        <w:widowControl/>
        <w:numPr>
          <w:ilvl w:val="0"/>
          <w:numId w:val="1"/>
        </w:numPr>
        <w:adjustRightInd w:val="0"/>
        <w:snapToGrid w:val="0"/>
        <w:spacing w:line="560" w:lineRule="exact"/>
        <w:ind w:left="0" w:firstLine="482" w:firstLineChars="200"/>
        <w:jc w:val="left"/>
        <w:rPr>
          <w:rFonts w:asciiTheme="minorEastAsia" w:hAnsiTheme="minorEastAsia" w:cstheme="minorEastAsia"/>
          <w:b/>
          <w:bCs/>
          <w:sz w:val="24"/>
          <w:szCs w:val="24"/>
        </w:rPr>
      </w:pPr>
      <w:r>
        <w:rPr>
          <w:rFonts w:hint="eastAsia" w:asciiTheme="minorEastAsia" w:hAnsiTheme="minorEastAsia" w:cstheme="minorEastAsia"/>
          <w:b/>
          <w:bCs/>
          <w:sz w:val="24"/>
          <w:szCs w:val="24"/>
        </w:rPr>
        <w:t>担保对象及基本情况</w:t>
      </w:r>
    </w:p>
    <w:tbl>
      <w:tblPr>
        <w:tblStyle w:val="13"/>
        <w:tblW w:w="4991"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04"/>
        <w:gridCol w:w="3490"/>
        <w:gridCol w:w="391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8" w:hRule="atLeast"/>
          <w:jc w:val="center"/>
        </w:trPr>
        <w:tc>
          <w:tcPr>
            <w:tcW w:w="1075" w:type="dxa"/>
            <w:vMerge w:val="restart"/>
            <w:vAlign w:val="center"/>
          </w:tcPr>
          <w:p>
            <w:pPr>
              <w:widowControl/>
              <w:adjustRightInd w:val="0"/>
              <w:snapToGrid w:val="0"/>
              <w:rPr>
                <w:rFonts w:asciiTheme="minorEastAsia" w:hAnsiTheme="minorEastAsia" w:cstheme="minorEastAsia"/>
                <w:b/>
                <w:bCs/>
                <w:color w:val="000000"/>
                <w:kern w:val="0"/>
                <w:sz w:val="21"/>
                <w:szCs w:val="21"/>
              </w:rPr>
            </w:pPr>
            <w:bookmarkStart w:id="0" w:name="OLE_LINK11"/>
            <w:bookmarkStart w:id="1" w:name="OLE_LINK10"/>
            <w:r>
              <w:rPr>
                <w:rFonts w:hint="eastAsia" w:eastAsia="宋体" w:asciiTheme="minorEastAsia" w:hAnsiTheme="minorEastAsia" w:cstheme="minorEastAsia"/>
                <w:b/>
                <w:bCs/>
                <w:color w:val="000000"/>
                <w:kern w:val="0"/>
                <w:sz w:val="21"/>
                <w:szCs w:val="21"/>
              </w:rPr>
              <w:t xml:space="preserve">担 </w:t>
            </w:r>
            <w:r>
              <w:rPr>
                <w:rFonts w:eastAsia="宋体" w:asciiTheme="minorEastAsia" w:hAnsiTheme="minorEastAsia" w:cstheme="minorEastAsia"/>
                <w:b/>
                <w:bCs/>
                <w:color w:val="000000"/>
                <w:kern w:val="0"/>
                <w:sz w:val="21"/>
                <w:szCs w:val="21"/>
              </w:rPr>
              <w:t xml:space="preserve"> </w:t>
            </w:r>
            <w:r>
              <w:rPr>
                <w:rFonts w:hint="eastAsia" w:eastAsia="宋体" w:asciiTheme="minorEastAsia" w:hAnsiTheme="minorEastAsia" w:cstheme="minorEastAsia"/>
                <w:b/>
                <w:bCs/>
                <w:color w:val="000000"/>
                <w:kern w:val="0"/>
                <w:sz w:val="21"/>
                <w:szCs w:val="21"/>
              </w:rPr>
              <w:t>保</w:t>
            </w:r>
          </w:p>
          <w:p>
            <w:pPr>
              <w:widowControl/>
              <w:adjustRightInd w:val="0"/>
              <w:snapToGrid w:val="0"/>
              <w:rPr>
                <w:rFonts w:asciiTheme="minorEastAsia" w:hAnsiTheme="minorEastAsia" w:cstheme="minorEastAsia"/>
                <w:b/>
                <w:bCs/>
                <w:color w:val="000000"/>
                <w:kern w:val="0"/>
                <w:sz w:val="21"/>
                <w:szCs w:val="21"/>
              </w:rPr>
            </w:pPr>
            <w:r>
              <w:rPr>
                <w:rFonts w:hint="eastAsia" w:eastAsia="宋体" w:asciiTheme="minorEastAsia" w:hAnsiTheme="minorEastAsia" w:cstheme="minorEastAsia"/>
                <w:b/>
                <w:bCs/>
                <w:color w:val="000000"/>
                <w:kern w:val="0"/>
                <w:sz w:val="21"/>
                <w:szCs w:val="21"/>
              </w:rPr>
              <w:t xml:space="preserve">对 </w:t>
            </w:r>
            <w:r>
              <w:rPr>
                <w:rFonts w:eastAsia="宋体" w:asciiTheme="minorEastAsia" w:hAnsiTheme="minorEastAsia" w:cstheme="minorEastAsia"/>
                <w:b/>
                <w:bCs/>
                <w:color w:val="000000"/>
                <w:kern w:val="0"/>
                <w:sz w:val="21"/>
                <w:szCs w:val="21"/>
              </w:rPr>
              <w:t xml:space="preserve"> </w:t>
            </w:r>
            <w:r>
              <w:rPr>
                <w:rFonts w:hint="eastAsia" w:eastAsia="宋体" w:asciiTheme="minorEastAsia" w:hAnsiTheme="minorEastAsia" w:cstheme="minorEastAsia"/>
                <w:b/>
                <w:bCs/>
                <w:color w:val="000000"/>
                <w:kern w:val="0"/>
                <w:sz w:val="21"/>
                <w:szCs w:val="21"/>
              </w:rPr>
              <w:t xml:space="preserve">象 </w:t>
            </w:r>
            <w:bookmarkEnd w:id="0"/>
            <w:bookmarkEnd w:id="1"/>
          </w:p>
        </w:tc>
        <w:tc>
          <w:tcPr>
            <w:tcW w:w="3397" w:type="dxa"/>
            <w:vAlign w:val="center"/>
          </w:tcPr>
          <w:p>
            <w:pPr>
              <w:widowControl/>
              <w:adjustRightInd w:val="0"/>
              <w:snapToGrid w:val="0"/>
              <w:rPr>
                <w:rFonts w:asciiTheme="minorEastAsia" w:hAnsiTheme="minorEastAsia" w:cstheme="minorEastAsia"/>
                <w:color w:val="000000"/>
                <w:sz w:val="21"/>
                <w:szCs w:val="21"/>
              </w:rPr>
            </w:pPr>
            <w:r>
              <w:rPr>
                <w:rFonts w:hint="eastAsia" w:eastAsia="宋体" w:asciiTheme="minorEastAsia" w:hAnsiTheme="minorEastAsia" w:cstheme="minorEastAsia"/>
                <w:color w:val="000000"/>
                <w:kern w:val="0"/>
                <w:sz w:val="21"/>
                <w:szCs w:val="21"/>
              </w:rPr>
              <w:t>被担保人名称</w:t>
            </w:r>
          </w:p>
        </w:tc>
        <w:tc>
          <w:tcPr>
            <w:tcW w:w="3809" w:type="dxa"/>
            <w:vAlign w:val="center"/>
          </w:tcPr>
          <w:p>
            <w:pPr>
              <w:jc w:val="center"/>
              <w:rPr>
                <w:sz w:val="21"/>
                <w:szCs w:val="21"/>
              </w:rPr>
            </w:pPr>
            <w:r>
              <w:rPr>
                <w:rFonts w:ascii="宋体" w:hAnsi="宋体" w:eastAsia="宋体"/>
                <w:sz w:val="21"/>
                <w:szCs w:val="21"/>
              </w:rPr>
              <w:t>云南变压器电气股份有限公司（以下简称“云变电气”）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1" w:hRule="atLeast"/>
          <w:jc w:val="center"/>
        </w:trPr>
        <w:tc>
          <w:tcPr>
            <w:tcW w:w="1075" w:type="dxa"/>
            <w:vMerge w:val="continue"/>
            <w:vAlign w:val="center"/>
          </w:tcPr>
          <w:p>
            <w:pPr>
              <w:widowControl/>
              <w:adjustRightInd w:val="0"/>
              <w:snapToGrid w:val="0"/>
              <w:rPr>
                <w:rFonts w:asciiTheme="minorEastAsia" w:hAnsiTheme="minorEastAsia" w:cstheme="minorEastAsia"/>
                <w:color w:val="000000"/>
                <w:sz w:val="21"/>
                <w:szCs w:val="21"/>
              </w:rPr>
            </w:pPr>
            <w:bookmarkStart w:id="2" w:name="_Hlk210917321"/>
          </w:p>
        </w:tc>
        <w:tc>
          <w:tcPr>
            <w:tcW w:w="3397" w:type="dxa"/>
            <w:vAlign w:val="center"/>
          </w:tcPr>
          <w:p>
            <w:pPr>
              <w:widowControl/>
              <w:adjustRightInd w:val="0"/>
              <w:snapToGrid w:val="0"/>
              <w:rPr>
                <w:rFonts w:asciiTheme="minorEastAsia" w:hAnsiTheme="minorEastAsia" w:cstheme="minorEastAsia"/>
                <w:color w:val="000000"/>
                <w:sz w:val="21"/>
                <w:szCs w:val="21"/>
              </w:rPr>
            </w:pPr>
            <w:r>
              <w:rPr>
                <w:rFonts w:hint="eastAsia" w:eastAsia="宋体" w:asciiTheme="minorEastAsia" w:hAnsiTheme="minorEastAsia" w:cstheme="minorEastAsia"/>
                <w:color w:val="000000"/>
                <w:kern w:val="0"/>
                <w:sz w:val="21"/>
                <w:szCs w:val="21"/>
              </w:rPr>
              <w:t>本次担保金额</w:t>
            </w:r>
          </w:p>
        </w:tc>
        <w:tc>
          <w:tcPr>
            <w:tcW w:w="3809" w:type="dxa"/>
            <w:vAlign w:val="center"/>
          </w:tcPr>
          <w:p>
            <w:pPr>
              <w:jc w:val="center"/>
              <w:rPr>
                <w:sz w:val="21"/>
                <w:szCs w:val="21"/>
              </w:rPr>
            </w:pPr>
            <w:r>
              <w:rPr>
                <w:rFonts w:ascii="宋体" w:hAnsi="宋体" w:eastAsia="宋体"/>
                <w:sz w:val="21"/>
                <w:szCs w:val="21"/>
              </w:rPr>
              <w:t>51,000.00万元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8" w:hRule="atLeast"/>
          <w:jc w:val="center"/>
        </w:trPr>
        <w:tc>
          <w:tcPr>
            <w:tcW w:w="1075" w:type="dxa"/>
            <w:vMerge w:val="continue"/>
            <w:vAlign w:val="center"/>
          </w:tcPr>
          <w:p>
            <w:pPr>
              <w:widowControl/>
              <w:adjustRightInd w:val="0"/>
              <w:snapToGrid w:val="0"/>
              <w:rPr>
                <w:rFonts w:asciiTheme="minorEastAsia" w:hAnsiTheme="minorEastAsia" w:cstheme="minorEastAsia"/>
                <w:color w:val="000000"/>
                <w:sz w:val="21"/>
                <w:szCs w:val="21"/>
              </w:rPr>
            </w:pPr>
          </w:p>
        </w:tc>
        <w:tc>
          <w:tcPr>
            <w:tcW w:w="3397" w:type="dxa"/>
            <w:vAlign w:val="center"/>
          </w:tcPr>
          <w:p>
            <w:pPr>
              <w:widowControl/>
              <w:adjustRightInd w:val="0"/>
              <w:snapToGrid w:val="0"/>
              <w:rPr>
                <w:rFonts w:asciiTheme="minorEastAsia" w:hAnsiTheme="minorEastAsia" w:cstheme="minorEastAsia"/>
                <w:color w:val="000000"/>
                <w:sz w:val="21"/>
                <w:szCs w:val="21"/>
              </w:rPr>
            </w:pPr>
            <w:r>
              <w:rPr>
                <w:rFonts w:hint="eastAsia" w:eastAsia="宋体" w:asciiTheme="minorEastAsia" w:hAnsiTheme="minorEastAsia" w:cstheme="minorEastAsia"/>
                <w:color w:val="000000"/>
                <w:kern w:val="0"/>
                <w:sz w:val="21"/>
                <w:szCs w:val="21"/>
              </w:rPr>
              <w:t>实际为其提供的担保余额</w:t>
            </w:r>
          </w:p>
        </w:tc>
        <w:tc>
          <w:tcPr>
            <w:tcW w:w="3809" w:type="dxa"/>
            <w:vAlign w:val="center"/>
          </w:tcPr>
          <w:p>
            <w:pPr>
              <w:jc w:val="center"/>
              <w:rPr>
                <w:sz w:val="21"/>
                <w:szCs w:val="21"/>
              </w:rPr>
            </w:pPr>
            <w:r>
              <w:rPr>
                <w:rFonts w:ascii="宋体" w:hAnsi="宋体" w:eastAsia="宋体"/>
                <w:sz w:val="21"/>
                <w:szCs w:val="21"/>
              </w:rPr>
              <w:t>57,960.69万元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8" w:hRule="atLeast"/>
          <w:jc w:val="center"/>
        </w:trPr>
        <w:tc>
          <w:tcPr>
            <w:tcW w:w="1075" w:type="dxa"/>
            <w:vMerge w:val="continue"/>
            <w:vAlign w:val="center"/>
          </w:tcPr>
          <w:p>
            <w:pPr>
              <w:widowControl/>
              <w:adjustRightInd w:val="0"/>
              <w:snapToGrid w:val="0"/>
              <w:rPr>
                <w:rFonts w:asciiTheme="minorEastAsia" w:hAnsiTheme="minorEastAsia" w:cstheme="minorEastAsia"/>
                <w:color w:val="000000"/>
                <w:sz w:val="21"/>
                <w:szCs w:val="21"/>
              </w:rPr>
            </w:pPr>
          </w:p>
        </w:tc>
        <w:tc>
          <w:tcPr>
            <w:tcW w:w="3397" w:type="dxa"/>
            <w:vAlign w:val="center"/>
          </w:tcPr>
          <w:p>
            <w:pPr>
              <w:widowControl/>
              <w:adjustRightInd w:val="0"/>
              <w:snapToGrid w:val="0"/>
              <w:rPr>
                <w:rFonts w:asciiTheme="minorEastAsia" w:hAnsiTheme="minorEastAsia" w:cstheme="minorEastAsia"/>
                <w:color w:val="000000"/>
                <w:sz w:val="21"/>
                <w:szCs w:val="21"/>
              </w:rPr>
            </w:pPr>
            <w:r>
              <w:rPr>
                <w:rFonts w:hint="eastAsia" w:eastAsia="宋体" w:asciiTheme="minorEastAsia" w:hAnsiTheme="minorEastAsia" w:cstheme="minorEastAsia"/>
                <w:color w:val="000000"/>
                <w:kern w:val="0"/>
                <w:sz w:val="21"/>
                <w:szCs w:val="21"/>
              </w:rPr>
              <w:t>是否在前期预计额度内</w:t>
            </w:r>
          </w:p>
        </w:tc>
        <w:tc>
          <w:tcPr>
            <w:tcW w:w="3809" w:type="dxa"/>
            <w:vAlign w:val="center"/>
          </w:tcPr>
          <w:p>
            <w:pPr>
              <w:jc w:val="center"/>
              <w:rPr>
                <w:sz w:val="21"/>
                <w:szCs w:val="21"/>
              </w:rPr>
            </w:pPr>
            <w:r>
              <w:rPr>
                <w:rFonts w:ascii="宋体" w:hAnsi="宋体" w:eastAsia="宋体"/>
                <w:sz w:val="21"/>
                <w:szCs w:val="21"/>
              </w:rPr>
              <w:t>☑是  □否  □不适用：_________</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4" w:hRule="atLeast"/>
          <w:jc w:val="center"/>
        </w:trPr>
        <w:tc>
          <w:tcPr>
            <w:tcW w:w="1075" w:type="dxa"/>
            <w:vMerge w:val="continue"/>
            <w:vAlign w:val="center"/>
          </w:tcPr>
          <w:p>
            <w:pPr>
              <w:widowControl/>
              <w:adjustRightInd w:val="0"/>
              <w:snapToGrid w:val="0"/>
              <w:rPr>
                <w:rFonts w:asciiTheme="minorEastAsia" w:hAnsiTheme="minorEastAsia" w:cstheme="minorEastAsia"/>
                <w:color w:val="000000"/>
                <w:sz w:val="21"/>
                <w:szCs w:val="21"/>
              </w:rPr>
            </w:pPr>
          </w:p>
        </w:tc>
        <w:tc>
          <w:tcPr>
            <w:tcW w:w="3397" w:type="dxa"/>
            <w:vAlign w:val="center"/>
          </w:tcPr>
          <w:p>
            <w:pPr>
              <w:widowControl/>
              <w:adjustRightInd w:val="0"/>
              <w:snapToGrid w:val="0"/>
              <w:rPr>
                <w:rFonts w:asciiTheme="minorEastAsia" w:hAnsiTheme="minorEastAsia" w:cstheme="minorEastAsia"/>
                <w:color w:val="000000"/>
                <w:sz w:val="21"/>
                <w:szCs w:val="21"/>
              </w:rPr>
            </w:pPr>
            <w:r>
              <w:rPr>
                <w:rFonts w:hint="eastAsia" w:eastAsia="宋体" w:asciiTheme="minorEastAsia" w:hAnsiTheme="minorEastAsia" w:cstheme="minorEastAsia"/>
                <w:color w:val="000000"/>
                <w:sz w:val="21"/>
                <w:szCs w:val="21"/>
              </w:rPr>
              <w:t>本次担保是否有反担保</w:t>
            </w:r>
          </w:p>
        </w:tc>
        <w:tc>
          <w:tcPr>
            <w:tcW w:w="3809" w:type="dxa"/>
            <w:vAlign w:val="center"/>
          </w:tcPr>
          <w:p>
            <w:pPr>
              <w:jc w:val="center"/>
              <w:rPr>
                <w:sz w:val="21"/>
                <w:szCs w:val="21"/>
              </w:rPr>
            </w:pPr>
            <w:r>
              <w:rPr>
                <w:rFonts w:ascii="宋体" w:hAnsi="宋体" w:eastAsia="宋体"/>
                <w:sz w:val="21"/>
                <w:szCs w:val="21"/>
              </w:rPr>
              <w:t>□是  ☑否  □不适用：_________</w:t>
            </w:r>
          </w:p>
        </w:tc>
      </w:tr>
      <w:bookmarkEnd w:id="2"/>
    </w:tbl>
    <w:p/>
    <w:p>
      <w:pPr>
        <w:widowControl/>
        <w:numPr>
          <w:ilvl w:val="0"/>
          <w:numId w:val="1"/>
        </w:numPr>
        <w:adjustRightInd w:val="0"/>
        <w:snapToGrid w:val="0"/>
        <w:spacing w:line="560" w:lineRule="exact"/>
        <w:ind w:left="0" w:firstLine="482" w:firstLineChars="200"/>
        <w:jc w:val="left"/>
        <w:rPr>
          <w:rFonts w:asciiTheme="minorEastAsia" w:hAnsiTheme="minorEastAsia" w:cstheme="minorEastAsia"/>
          <w:b/>
          <w:bCs/>
          <w:sz w:val="24"/>
          <w:szCs w:val="24"/>
        </w:rPr>
      </w:pPr>
      <w:r>
        <w:rPr>
          <w:rFonts w:hint="eastAsia" w:asciiTheme="minorEastAsia" w:hAnsiTheme="minorEastAsia" w:cstheme="minorEastAsia"/>
          <w:b/>
          <w:bCs/>
          <w:sz w:val="24"/>
          <w:szCs w:val="24"/>
        </w:rPr>
        <w:t>累计担保情况</w:t>
      </w:r>
    </w:p>
    <w:tbl>
      <w:tblPr>
        <w:tblStyle w:val="13"/>
        <w:tblW w:w="499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642"/>
        <w:gridCol w:w="486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3" w:hRule="atLeast"/>
          <w:jc w:val="center"/>
        </w:trPr>
        <w:tc>
          <w:tcPr>
            <w:tcW w:w="3642" w:type="dxa"/>
            <w:vAlign w:val="center"/>
          </w:tcPr>
          <w:p>
            <w:pPr>
              <w:widowControl/>
              <w:adjustRightInd w:val="0"/>
              <w:snapToGrid w:val="0"/>
              <w:rPr>
                <w:rFonts w:hint="eastAsia" w:ascii="宋体" w:hAnsi="宋体" w:eastAsia="宋体" w:cs="宋体"/>
                <w:b/>
                <w:bCs/>
                <w:sz w:val="21"/>
                <w:szCs w:val="21"/>
              </w:rPr>
            </w:pPr>
            <w:r>
              <w:rPr>
                <w:rFonts w:hint="eastAsia" w:ascii="宋体" w:hAnsi="宋体" w:eastAsia="宋体" w:cs="宋体"/>
                <w:b/>
                <w:bCs/>
                <w:color w:val="000000"/>
                <w:kern w:val="0"/>
                <w:sz w:val="21"/>
                <w:szCs w:val="21"/>
              </w:rPr>
              <w:t>对外担保逾期的累计金额（万元）</w:t>
            </w:r>
          </w:p>
        </w:tc>
        <w:tc>
          <w:tcPr>
            <w:tcW w:w="4863"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2" w:hRule="atLeast"/>
          <w:jc w:val="center"/>
        </w:trPr>
        <w:tc>
          <w:tcPr>
            <w:tcW w:w="3642" w:type="dxa"/>
            <w:vAlign w:val="center"/>
          </w:tcPr>
          <w:p>
            <w:pPr>
              <w:jc w:val="left"/>
              <w:rPr>
                <w:rFonts w:hint="eastAsia" w:ascii="宋体" w:hAnsi="宋体" w:eastAsia="宋体" w:cs="宋体"/>
                <w:sz w:val="21"/>
                <w:szCs w:val="21"/>
              </w:rPr>
            </w:pPr>
            <w:r>
              <w:rPr>
                <w:rFonts w:hint="eastAsia" w:ascii="宋体" w:hAnsi="宋体" w:eastAsia="宋体" w:cs="宋体"/>
                <w:sz w:val="21"/>
                <w:szCs w:val="21"/>
              </w:rPr>
              <w:t>截至7月末上市公司及其控股子公司对外担保总额（万元）</w:t>
            </w:r>
          </w:p>
        </w:tc>
        <w:tc>
          <w:tcPr>
            <w:tcW w:w="4863"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202,074.10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8" w:hRule="atLeast"/>
          <w:jc w:val="center"/>
        </w:trPr>
        <w:tc>
          <w:tcPr>
            <w:tcW w:w="3642" w:type="dxa"/>
            <w:vAlign w:val="center"/>
          </w:tcPr>
          <w:p>
            <w:pPr>
              <w:widowControl/>
              <w:adjustRightInd w:val="0"/>
              <w:snapToGrid w:val="0"/>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对外担保总额占上市公司最近一期</w:t>
            </w:r>
            <w:bookmarkStart w:id="3" w:name="OLE_LINK5"/>
            <w:r>
              <w:rPr>
                <w:rFonts w:hint="eastAsia" w:ascii="宋体" w:hAnsi="宋体" w:eastAsia="宋体" w:cs="宋体"/>
                <w:b/>
                <w:bCs/>
                <w:color w:val="000000"/>
                <w:kern w:val="0"/>
                <w:sz w:val="21"/>
                <w:szCs w:val="21"/>
              </w:rPr>
              <w:t>经审计净资产</w:t>
            </w:r>
            <w:bookmarkEnd w:id="3"/>
            <w:r>
              <w:rPr>
                <w:rFonts w:hint="eastAsia" w:ascii="宋体" w:hAnsi="宋体" w:eastAsia="宋体" w:cs="宋体"/>
                <w:b/>
                <w:bCs/>
                <w:color w:val="000000"/>
                <w:kern w:val="0"/>
                <w:sz w:val="21"/>
                <w:szCs w:val="21"/>
              </w:rPr>
              <w:t>的比例（%）</w:t>
            </w:r>
          </w:p>
        </w:tc>
        <w:tc>
          <w:tcPr>
            <w:tcW w:w="4863"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81.00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98" w:hRule="atLeast"/>
          <w:jc w:val="center"/>
        </w:trPr>
        <w:tc>
          <w:tcPr>
            <w:tcW w:w="3642" w:type="dxa"/>
            <w:vAlign w:val="center"/>
          </w:tcPr>
          <w:p>
            <w:pPr>
              <w:widowControl/>
              <w:adjustRightInd w:val="0"/>
              <w:snapToGrid w:val="0"/>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特别风险提示（如有请勾选）</w:t>
            </w:r>
          </w:p>
        </w:tc>
        <w:tc>
          <w:tcPr>
            <w:tcW w:w="4863" w:type="dxa"/>
            <w:vAlign w:val="center"/>
          </w:tcPr>
          <w:p>
            <w:pPr>
              <w:jc w:val="left"/>
              <w:rPr>
                <w:rFonts w:hint="eastAsia" w:ascii="宋体" w:hAnsi="宋体" w:eastAsia="宋体" w:cs="宋体"/>
                <w:sz w:val="21"/>
                <w:szCs w:val="21"/>
              </w:rPr>
            </w:pPr>
            <w:r>
              <w:rPr>
                <w:rFonts w:hint="eastAsia" w:ascii="宋体" w:hAnsi="宋体" w:eastAsia="宋体" w:cs="宋体"/>
                <w:sz w:val="21"/>
                <w:szCs w:val="21"/>
              </w:rPr>
              <w:t>□对外担保总额超过最近一期经审计净资产100%</w:t>
            </w:r>
            <w:r>
              <w:rPr>
                <w:rFonts w:hint="eastAsia" w:ascii="宋体" w:hAnsi="宋体" w:eastAsia="宋体" w:cs="宋体"/>
                <w:sz w:val="21"/>
                <w:szCs w:val="21"/>
              </w:rPr>
              <w:br w:type="textWrapping"/>
            </w:r>
            <w:r>
              <w:rPr>
                <w:rFonts w:hint="eastAsia" w:ascii="宋体" w:hAnsi="宋体" w:eastAsia="宋体" w:cs="宋体"/>
                <w:sz w:val="21"/>
                <w:szCs w:val="21"/>
              </w:rPr>
              <w:t>□担保金额超过上市公司最近一期经审计净资产50%</w:t>
            </w:r>
            <w:r>
              <w:rPr>
                <w:rFonts w:hint="eastAsia" w:ascii="宋体" w:hAnsi="宋体" w:eastAsia="宋体" w:cs="宋体"/>
                <w:sz w:val="21"/>
                <w:szCs w:val="21"/>
              </w:rPr>
              <w:br w:type="textWrapping"/>
            </w:r>
            <w:r>
              <w:rPr>
                <w:rFonts w:hint="eastAsia" w:ascii="宋体" w:hAnsi="宋体" w:eastAsia="宋体" w:cs="宋体"/>
                <w:sz w:val="21"/>
                <w:szCs w:val="21"/>
              </w:rPr>
              <w:t>□对合并报表外单位担保金额达到或超过最近一期经审计净资产30%的情况下</w:t>
            </w:r>
            <w:r>
              <w:rPr>
                <w:rFonts w:hint="eastAsia" w:ascii="宋体" w:hAnsi="宋体" w:eastAsia="宋体" w:cs="宋体"/>
                <w:sz w:val="21"/>
                <w:szCs w:val="21"/>
              </w:rPr>
              <w:br w:type="textWrapping"/>
            </w:r>
            <w:r>
              <w:rPr>
                <w:rFonts w:hint="eastAsia" w:ascii="宋体" w:hAnsi="宋体" w:eastAsia="宋体" w:cs="宋体"/>
                <w:sz w:val="21"/>
                <w:szCs w:val="21"/>
              </w:rPr>
              <w:t>☑对资产负债率超过70%的单位提供担保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3" w:hRule="atLeast"/>
          <w:jc w:val="center"/>
        </w:trPr>
        <w:tc>
          <w:tcPr>
            <w:tcW w:w="3642" w:type="dxa"/>
            <w:vAlign w:val="center"/>
          </w:tcPr>
          <w:p>
            <w:pPr>
              <w:widowControl/>
              <w:adjustRightInd w:val="0"/>
              <w:snapToGrid w:val="0"/>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其他风险提示（如有）</w:t>
            </w:r>
          </w:p>
        </w:tc>
        <w:tc>
          <w:tcPr>
            <w:tcW w:w="4863"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无</w:t>
            </w:r>
          </w:p>
        </w:tc>
      </w:tr>
    </w:tbl>
    <w:p>
      <w:pPr>
        <w:widowControl/>
        <w:adjustRightInd w:val="0"/>
        <w:snapToGrid w:val="0"/>
        <w:spacing w:line="560" w:lineRule="exact"/>
        <w:jc w:val="left"/>
        <w:rPr>
          <w:rFonts w:asciiTheme="minorEastAsia" w:hAnsiTheme="minorEastAsia" w:cstheme="minorEastAsia"/>
          <w:kern w:val="0"/>
          <w:sz w:val="24"/>
          <w:szCs w:val="24"/>
        </w:rPr>
      </w:pPr>
    </w:p>
    <w:p>
      <w:pPr>
        <w:widowControl/>
        <w:numPr>
          <w:ilvl w:val="0"/>
          <w:numId w:val="2"/>
        </w:numPr>
        <w:adjustRightInd w:val="0"/>
        <w:snapToGrid w:val="0"/>
        <w:spacing w:line="560" w:lineRule="exact"/>
        <w:ind w:firstLine="482" w:firstLineChars="200"/>
        <w:jc w:val="left"/>
        <w:outlineLvl w:val="0"/>
        <w:rPr>
          <w:rFonts w:hint="eastAsia" w:ascii="宋体" w:hAnsi="宋体" w:eastAsia="宋体" w:cs="宋体"/>
          <w:b/>
          <w:bCs/>
          <w:sz w:val="24"/>
          <w:szCs w:val="24"/>
        </w:rPr>
      </w:pPr>
      <w:r>
        <w:rPr>
          <w:rFonts w:hint="eastAsia" w:ascii="宋体" w:hAnsi="宋体" w:eastAsia="宋体" w:cs="宋体"/>
          <w:b/>
          <w:bCs/>
          <w:sz w:val="24"/>
          <w:szCs w:val="24"/>
        </w:rPr>
        <w:t>担保情况概述</w:t>
      </w:r>
    </w:p>
    <w:p>
      <w:pPr>
        <w:pStyle w:val="20"/>
        <w:widowControl/>
        <w:numPr>
          <w:ilvl w:val="0"/>
          <w:numId w:val="3"/>
        </w:numPr>
        <w:adjustRightInd w:val="0"/>
        <w:snapToGrid w:val="0"/>
        <w:spacing w:line="560" w:lineRule="exact"/>
        <w:ind w:firstLineChars="0"/>
        <w:jc w:val="left"/>
        <w:outlineLvl w:val="1"/>
        <w:rPr>
          <w:rFonts w:hint="eastAsia" w:ascii="宋体" w:hAnsi="宋体" w:eastAsia="宋体" w:cs="宋体"/>
          <w:sz w:val="24"/>
          <w:szCs w:val="24"/>
        </w:rPr>
      </w:pPr>
      <w:r>
        <w:rPr>
          <w:rFonts w:hint="eastAsia" w:ascii="宋体" w:hAnsi="宋体" w:eastAsia="宋体" w:cs="宋体"/>
          <w:sz w:val="24"/>
          <w:szCs w:val="24"/>
        </w:rPr>
        <w:t>担保的基本情况</w:t>
      </w:r>
    </w:p>
    <w:p>
      <w:pPr>
        <w:widowControl/>
        <w:adjustRightInd w:val="0"/>
        <w:snapToGrid w:val="0"/>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2026年7月，公司及下属子公司新增对外担保人民币51,000.00万元，均系公司为全资子公司云南变压器电气股份有限公司（以下简称“云变电气”）提供的连带责任保证。其中：（1）公司与广发银行股份有限公司昆明和谐世纪支行签署《最高额保证合同》（合同编号：（2026）昆银综授额字第000069号-担保01），为云变电气在编号为（2026）昆银综授额字第000069号的《授信额度合同》项下债务提供最高本金余额人民币12,000.00万元的连带责任保证；（2）公司与中国银行股份有限公司昆明市西山支行签署《最高额保证合同》（合同编号：2026年西业司保字006号），为云变电气在编号为2026年西业授信字010号、2025年西业授信字003号的两份《授信额度协议》及其项下单项协议对应债务提供最高本金余额人民币29,000.00万元的连带责任保证；（3）公司与中信银行股份有限公司昆明分行于2026年7月14日签署《最高额保证合同》（合同编号：2026信银云最保字第003309号），为云变电气在约定期间内与中信银行股份有限公司昆明分行签署的一系列合同、协议及其他法律性文件项下债务提供最高本金余额人民币10,000.00万元的连带责任保证。</w:t>
      </w:r>
    </w:p>
    <w:p>
      <w:pPr>
        <w:widowControl/>
        <w:adjustRightInd w:val="0"/>
        <w:snapToGrid w:val="0"/>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上述三笔担保均无反担保。广发银行、中国银行及中信银行相关2025年度原担保合同已终止或由本次新签合同替代，不再单独计入公司已签署担保合同总额；原授信项下尚未结清债务按照新签担保合同约定继续纳入担保范围。其中，中信银行原编号为2025信银昆最高额保证合同字第123651号的《最高额保证合同》自本次新合同生效之日起自动终止，保证责任随之消灭；原编号为2025信银昆综合授信合同字第123601号的《综合授信合同》项下具体业务中尚未清偿的余额已纳入本次担保范围；中国银行原编号为2025年西业司保字004号的《最高额保证合同》于本次新合同生效时自动终止。上述担保事项属于公司2025年第一次临时股东会授权范围并在有效期内，无需再次提交公司董事会、股东会审议。</w:t>
      </w:r>
    </w:p>
    <w:p>
      <w:pPr>
        <w:pStyle w:val="20"/>
        <w:widowControl/>
        <w:numPr>
          <w:ilvl w:val="0"/>
          <w:numId w:val="3"/>
        </w:numPr>
        <w:adjustRightInd w:val="0"/>
        <w:snapToGrid w:val="0"/>
        <w:spacing w:line="560" w:lineRule="exact"/>
        <w:ind w:firstLineChars="0"/>
        <w:jc w:val="left"/>
        <w:outlineLvl w:val="1"/>
        <w:rPr>
          <w:rFonts w:hint="eastAsia" w:ascii="宋体" w:hAnsi="宋体" w:eastAsia="宋体" w:cs="宋体"/>
          <w:sz w:val="24"/>
          <w:szCs w:val="24"/>
        </w:rPr>
      </w:pPr>
      <w:r>
        <w:rPr>
          <w:rFonts w:hint="eastAsia" w:ascii="宋体" w:hAnsi="宋体" w:eastAsia="宋体" w:cs="宋体"/>
          <w:sz w:val="24"/>
          <w:szCs w:val="24"/>
        </w:rPr>
        <w:t>内部决策程序</w:t>
      </w:r>
    </w:p>
    <w:p>
      <w:pPr>
        <w:widowControl/>
        <w:adjustRightInd w:val="0"/>
        <w:snapToGrid w:val="0"/>
        <w:spacing w:line="560" w:lineRule="exact"/>
        <w:ind w:firstLine="480" w:firstLineChars="200"/>
        <w:rPr>
          <w:rFonts w:hint="eastAsia" w:ascii="宋体" w:hAnsi="宋体" w:eastAsia="宋体" w:cs="宋体"/>
          <w:color w:val="000000"/>
          <w:kern w:val="0"/>
          <w:sz w:val="24"/>
          <w:szCs w:val="24"/>
        </w:rPr>
      </w:pPr>
      <w:bookmarkStart w:id="4" w:name="OLE_LINK1"/>
      <w:r>
        <w:rPr>
          <w:rFonts w:hint="eastAsia" w:ascii="宋体" w:hAnsi="宋体" w:eastAsia="宋体" w:cs="宋体"/>
          <w:color w:val="000000"/>
          <w:kern w:val="0"/>
          <w:sz w:val="24"/>
          <w:szCs w:val="24"/>
        </w:rPr>
        <w:t>公司于2025年12月9日召开</w:t>
      </w:r>
      <w:bookmarkStart w:id="5" w:name="OLE_LINK14"/>
      <w:r>
        <w:rPr>
          <w:rFonts w:hint="eastAsia" w:ascii="宋体" w:hAnsi="宋体" w:eastAsia="宋体" w:cs="宋体"/>
          <w:color w:val="000000"/>
          <w:kern w:val="0"/>
          <w:sz w:val="24"/>
          <w:szCs w:val="24"/>
        </w:rPr>
        <w:t>第四届董事会第十五次会议</w:t>
      </w:r>
      <w:bookmarkEnd w:id="5"/>
      <w:r>
        <w:rPr>
          <w:rFonts w:hint="eastAsia" w:ascii="宋体" w:hAnsi="宋体" w:eastAsia="宋体" w:cs="宋体"/>
          <w:color w:val="000000"/>
          <w:kern w:val="0"/>
          <w:sz w:val="24"/>
          <w:szCs w:val="24"/>
        </w:rPr>
        <w:t>审议通过《关于预计2026年度向银行等金融机构申请综合授信额度及为子公司提供融资担保额度的议案》，同意2026年度为子公司重庆惠泽电器有限公司（以下简称“惠泽电器”）向银行等金融机构申请综合授信或借款提供新增额度不超过4亿元人民币（或等值外币）的担保</w:t>
      </w:r>
      <w:bookmarkEnd w:id="4"/>
      <w:r>
        <w:rPr>
          <w:rFonts w:hint="eastAsia" w:ascii="宋体" w:hAnsi="宋体" w:eastAsia="宋体" w:cs="宋体"/>
          <w:color w:val="000000"/>
          <w:kern w:val="0"/>
          <w:sz w:val="24"/>
          <w:szCs w:val="24"/>
        </w:rPr>
        <w:t>；同意2026年度为子公司黔南望江变压器有限公司（以下简称“黔南望江”）向银行等金融机构申请综合授信或借款提供新增额度不超过2亿元人民币（或等值外币）的担保；同意2026年度为子公司云南变压器电气股份有限公司（以下简称“云变电气”）向银行等金融机构申请综合授信或借款提供新增额度不超过18亿元人民币（或等值外币）的担保；同意2026年度为资产负债率超过70%的子公司望来充（重庆）科技有限责任公司及子公司（以下简称“望来充”）向银行等金融机构申请综合授信或借款提供新增额度不超过6亿元人民币（或等值外币）的担保。上述担保额度有效期自2026年1月1日至2026年12月31日。该担保事项已提交公司2025年第一次临时股东会审议通过。具体情况详见公司在上海证券交易所网站</w:t>
      </w:r>
      <w:bookmarkStart w:id="6" w:name="OLE_LINK6"/>
      <w:r>
        <w:rPr>
          <w:rFonts w:hint="eastAsia" w:ascii="宋体" w:hAnsi="宋体" w:eastAsia="宋体" w:cs="宋体"/>
          <w:color w:val="000000"/>
          <w:kern w:val="0"/>
          <w:sz w:val="24"/>
          <w:szCs w:val="24"/>
        </w:rPr>
        <w:t>www.sse.com.cn</w:t>
      </w:r>
      <w:bookmarkEnd w:id="6"/>
      <w:r>
        <w:rPr>
          <w:rFonts w:hint="eastAsia" w:ascii="宋体" w:hAnsi="宋体" w:eastAsia="宋体" w:cs="宋体"/>
          <w:color w:val="000000"/>
          <w:kern w:val="0"/>
          <w:sz w:val="24"/>
          <w:szCs w:val="24"/>
        </w:rPr>
        <w:t>披露的《关于预计2026年度对子公司新增担保额度的公告》（公告编号：2025-062）和《2025年第一次临时股东会决议公告》（公告编号：2025-067）。</w:t>
      </w:r>
    </w:p>
    <w:p>
      <w:pPr>
        <w:widowControl/>
        <w:adjustRightInd w:val="0"/>
        <w:snapToGrid w:val="0"/>
        <w:spacing w:line="56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公司于2026年4月2日召开第四届董事会第十八次会议审议通过《关于增加2026年度对子公司担保额度的议案》，同意2026年度为子公司重庆望来电科技有限公司（以下简称“望来电”）向银行等金融机构申请综合授信或借款提供新增额度不超过10亿元人民币（或等值外币）的担保。该担保事项已提交公司2025年度股东会审议通过。具体情况详见公司在</w:t>
      </w:r>
      <w:bookmarkStart w:id="7" w:name="OLE_LINK2"/>
      <w:r>
        <w:rPr>
          <w:rFonts w:hint="eastAsia" w:ascii="宋体" w:hAnsi="宋体" w:eastAsia="宋体" w:cs="宋体"/>
          <w:color w:val="000000"/>
          <w:kern w:val="0"/>
          <w:sz w:val="24"/>
          <w:szCs w:val="24"/>
        </w:rPr>
        <w:t>上海证券交易所网站</w:t>
      </w:r>
      <w:bookmarkEnd w:id="7"/>
      <w:r>
        <w:rPr>
          <w:rFonts w:hint="eastAsia" w:ascii="宋体" w:hAnsi="宋体" w:eastAsia="宋体" w:cs="宋体"/>
          <w:color w:val="000000"/>
          <w:kern w:val="0"/>
          <w:sz w:val="24"/>
          <w:szCs w:val="24"/>
        </w:rPr>
        <w:t>www.sse.com.cn披露的《关于增加2026年度对子公司担保额度暨2026年3月对子公司提供担保的进展公告》（公告编号：2026-024）和《2025年年度股东会决议公告》（公告编号：2026-036）。</w:t>
      </w:r>
    </w:p>
    <w:p>
      <w:pPr>
        <w:widowControl/>
        <w:adjustRightInd w:val="0"/>
        <w:snapToGrid w:val="0"/>
        <w:spacing w:line="56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sz w:val="24"/>
          <w:szCs w:val="24"/>
        </w:rPr>
        <w:t>（三）7月担保基本情况</w:t>
      </w:r>
    </w:p>
    <w:tbl>
      <w:tblPr>
        <w:tblStyle w:val="13"/>
        <w:tblW w:w="5261"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67"/>
        <w:gridCol w:w="573"/>
        <w:gridCol w:w="894"/>
        <w:gridCol w:w="728"/>
        <w:gridCol w:w="1067"/>
        <w:gridCol w:w="1075"/>
        <w:gridCol w:w="1023"/>
        <w:gridCol w:w="807"/>
        <w:gridCol w:w="1081"/>
        <w:gridCol w:w="441"/>
        <w:gridCol w:w="71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17" w:hRule="atLeast"/>
          <w:jc w:val="center"/>
        </w:trPr>
        <w:tc>
          <w:tcPr>
            <w:tcW w:w="567" w:type="dxa"/>
            <w:vAlign w:val="center"/>
          </w:tcPr>
          <w:p>
            <w:pPr>
              <w:jc w:val="center"/>
            </w:pPr>
            <w:r>
              <w:rPr>
                <w:rFonts w:ascii="宋体" w:hAnsi="宋体" w:eastAsia="宋体"/>
                <w:sz w:val="17"/>
              </w:rPr>
              <w:t>担保方</w:t>
            </w:r>
          </w:p>
        </w:tc>
        <w:tc>
          <w:tcPr>
            <w:tcW w:w="573" w:type="dxa"/>
            <w:vAlign w:val="center"/>
          </w:tcPr>
          <w:p>
            <w:pPr>
              <w:jc w:val="center"/>
            </w:pPr>
            <w:r>
              <w:rPr>
                <w:rFonts w:ascii="宋体" w:hAnsi="宋体" w:eastAsia="宋体"/>
                <w:sz w:val="17"/>
              </w:rPr>
              <w:t>被担保方</w:t>
            </w:r>
          </w:p>
        </w:tc>
        <w:tc>
          <w:tcPr>
            <w:tcW w:w="894" w:type="dxa"/>
            <w:vAlign w:val="center"/>
          </w:tcPr>
          <w:p>
            <w:pPr>
              <w:jc w:val="center"/>
            </w:pPr>
            <w:r>
              <w:rPr>
                <w:rFonts w:ascii="宋体" w:hAnsi="宋体" w:eastAsia="宋体"/>
                <w:sz w:val="17"/>
              </w:rPr>
              <w:t>担保方持股比例</w:t>
            </w:r>
          </w:p>
        </w:tc>
        <w:tc>
          <w:tcPr>
            <w:tcW w:w="728" w:type="dxa"/>
            <w:vAlign w:val="center"/>
          </w:tcPr>
          <w:p>
            <w:pPr>
              <w:jc w:val="center"/>
            </w:pPr>
            <w:r>
              <w:rPr>
                <w:rFonts w:ascii="宋体" w:hAnsi="宋体" w:eastAsia="宋体"/>
                <w:sz w:val="17"/>
              </w:rPr>
              <w:t>被担</w:t>
            </w:r>
            <w:r>
              <w:rPr>
                <w:rFonts w:ascii="宋体" w:hAnsi="宋体" w:eastAsia="宋体"/>
                <w:sz w:val="17"/>
              </w:rPr>
              <w:br w:type="textWrapping"/>
            </w:r>
            <w:r>
              <w:rPr>
                <w:rFonts w:ascii="宋体" w:hAnsi="宋体" w:eastAsia="宋体"/>
                <w:sz w:val="17"/>
              </w:rPr>
              <w:t>保方2026.03.31资产负债率（未经审计）</w:t>
            </w:r>
          </w:p>
        </w:tc>
        <w:tc>
          <w:tcPr>
            <w:tcW w:w="1067" w:type="dxa"/>
            <w:vAlign w:val="center"/>
          </w:tcPr>
          <w:p>
            <w:pPr>
              <w:jc w:val="center"/>
            </w:pPr>
            <w:r>
              <w:rPr>
                <w:rFonts w:ascii="宋体" w:hAnsi="宋体" w:eastAsia="宋体"/>
                <w:sz w:val="17"/>
              </w:rPr>
              <w:t>2026年预计担保额度</w:t>
            </w:r>
            <w:r>
              <w:rPr>
                <w:rFonts w:ascii="宋体" w:hAnsi="宋体" w:eastAsia="宋体"/>
                <w:sz w:val="17"/>
              </w:rPr>
              <w:br w:type="textWrapping"/>
            </w:r>
            <w:r>
              <w:rPr>
                <w:rFonts w:ascii="宋体" w:hAnsi="宋体" w:eastAsia="宋体"/>
                <w:sz w:val="17"/>
              </w:rPr>
              <w:t>（万元）</w:t>
            </w:r>
          </w:p>
        </w:tc>
        <w:tc>
          <w:tcPr>
            <w:tcW w:w="1075" w:type="dxa"/>
            <w:vAlign w:val="center"/>
          </w:tcPr>
          <w:p>
            <w:pPr>
              <w:jc w:val="center"/>
            </w:pPr>
            <w:r>
              <w:rPr>
                <w:rFonts w:ascii="宋体" w:hAnsi="宋体" w:eastAsia="宋体"/>
                <w:sz w:val="17"/>
              </w:rPr>
              <w:t>截至2026年7月末担保余额</w:t>
            </w:r>
            <w:r>
              <w:rPr>
                <w:rFonts w:ascii="宋体" w:hAnsi="宋体" w:eastAsia="宋体"/>
                <w:sz w:val="17"/>
              </w:rPr>
              <w:br w:type="textWrapping"/>
            </w:r>
            <w:r>
              <w:rPr>
                <w:rFonts w:ascii="宋体" w:hAnsi="宋体" w:eastAsia="宋体"/>
                <w:sz w:val="17"/>
              </w:rPr>
              <w:t>（万元）</w:t>
            </w:r>
          </w:p>
        </w:tc>
        <w:tc>
          <w:tcPr>
            <w:tcW w:w="1023" w:type="dxa"/>
            <w:vAlign w:val="center"/>
          </w:tcPr>
          <w:p>
            <w:pPr>
              <w:jc w:val="center"/>
            </w:pPr>
            <w:r>
              <w:rPr>
                <w:rFonts w:ascii="宋体" w:hAnsi="宋体" w:eastAsia="宋体"/>
                <w:sz w:val="17"/>
              </w:rPr>
              <w:t>7月新增担保额度</w:t>
            </w:r>
            <w:r>
              <w:rPr>
                <w:rFonts w:ascii="宋体" w:hAnsi="宋体" w:eastAsia="宋体"/>
                <w:sz w:val="17"/>
              </w:rPr>
              <w:br w:type="textWrapping"/>
            </w:r>
            <w:r>
              <w:rPr>
                <w:rFonts w:ascii="宋体" w:hAnsi="宋体" w:eastAsia="宋体"/>
                <w:sz w:val="17"/>
              </w:rPr>
              <w:t>（万元）</w:t>
            </w:r>
          </w:p>
        </w:tc>
        <w:tc>
          <w:tcPr>
            <w:tcW w:w="807" w:type="dxa"/>
            <w:vAlign w:val="center"/>
          </w:tcPr>
          <w:p>
            <w:pPr>
              <w:jc w:val="center"/>
            </w:pPr>
            <w:r>
              <w:rPr>
                <w:rFonts w:ascii="宋体" w:hAnsi="宋体" w:eastAsia="宋体"/>
                <w:sz w:val="17"/>
              </w:rPr>
              <w:t>截至2026年7月末担保余额占上市公司最近一期经审计净资产比例</w:t>
            </w:r>
          </w:p>
        </w:tc>
        <w:tc>
          <w:tcPr>
            <w:tcW w:w="1081" w:type="dxa"/>
            <w:vAlign w:val="center"/>
          </w:tcPr>
          <w:p>
            <w:pPr>
              <w:jc w:val="center"/>
            </w:pPr>
            <w:r>
              <w:rPr>
                <w:rFonts w:ascii="宋体" w:hAnsi="宋体" w:eastAsia="宋体"/>
                <w:sz w:val="17"/>
              </w:rPr>
              <w:t>担保预计有效期</w:t>
            </w:r>
          </w:p>
        </w:tc>
        <w:tc>
          <w:tcPr>
            <w:tcW w:w="441" w:type="dxa"/>
            <w:vAlign w:val="center"/>
          </w:tcPr>
          <w:p>
            <w:pPr>
              <w:jc w:val="center"/>
            </w:pPr>
            <w:r>
              <w:rPr>
                <w:rFonts w:ascii="宋体" w:hAnsi="宋体" w:eastAsia="宋体"/>
                <w:sz w:val="17"/>
              </w:rPr>
              <w:t>是否关联担保</w:t>
            </w:r>
          </w:p>
        </w:tc>
        <w:tc>
          <w:tcPr>
            <w:tcW w:w="711" w:type="dxa"/>
            <w:vAlign w:val="center"/>
          </w:tcPr>
          <w:p>
            <w:pPr>
              <w:jc w:val="center"/>
            </w:pPr>
            <w:r>
              <w:rPr>
                <w:rFonts w:ascii="宋体" w:hAnsi="宋体" w:eastAsia="宋体"/>
                <w:sz w:val="17"/>
              </w:rPr>
              <w:t>是否有反担保</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8967" w:type="dxa"/>
            <w:gridSpan w:val="11"/>
            <w:vAlign w:val="center"/>
          </w:tcPr>
          <w:p>
            <w:pPr>
              <w:jc w:val="center"/>
            </w:pPr>
            <w:r>
              <w:rPr>
                <w:rFonts w:ascii="宋体" w:hAnsi="宋体" w:eastAsia="宋体"/>
                <w:sz w:val="17"/>
              </w:rPr>
              <w:t>对控股子公司</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67" w:type="dxa"/>
            <w:vAlign w:val="center"/>
          </w:tcPr>
          <w:p>
            <w:pPr>
              <w:jc w:val="center"/>
            </w:pPr>
            <w:r>
              <w:rPr>
                <w:rFonts w:ascii="宋体" w:hAnsi="宋体" w:eastAsia="宋体"/>
                <w:sz w:val="17"/>
              </w:rPr>
              <w:t>望变</w:t>
            </w:r>
            <w:r>
              <w:rPr>
                <w:rFonts w:ascii="宋体" w:hAnsi="宋体" w:eastAsia="宋体"/>
                <w:sz w:val="17"/>
              </w:rPr>
              <w:br w:type="textWrapping"/>
            </w:r>
            <w:r>
              <w:rPr>
                <w:rFonts w:ascii="宋体" w:hAnsi="宋体" w:eastAsia="宋体"/>
                <w:sz w:val="17"/>
              </w:rPr>
              <w:t>电气</w:t>
            </w:r>
          </w:p>
        </w:tc>
        <w:tc>
          <w:tcPr>
            <w:tcW w:w="573" w:type="dxa"/>
            <w:vAlign w:val="center"/>
          </w:tcPr>
          <w:p>
            <w:pPr>
              <w:jc w:val="center"/>
            </w:pPr>
            <w:r>
              <w:rPr>
                <w:rFonts w:ascii="宋体" w:hAnsi="宋体" w:eastAsia="宋体"/>
                <w:sz w:val="17"/>
              </w:rPr>
              <w:t>黔南</w:t>
            </w:r>
            <w:r>
              <w:rPr>
                <w:rFonts w:ascii="宋体" w:hAnsi="宋体" w:eastAsia="宋体"/>
                <w:sz w:val="17"/>
              </w:rPr>
              <w:br w:type="textWrapping"/>
            </w:r>
            <w:r>
              <w:rPr>
                <w:rFonts w:ascii="宋体" w:hAnsi="宋体" w:eastAsia="宋体"/>
                <w:sz w:val="17"/>
              </w:rPr>
              <w:t>望江</w:t>
            </w:r>
          </w:p>
        </w:tc>
        <w:tc>
          <w:tcPr>
            <w:tcW w:w="894" w:type="dxa"/>
            <w:vAlign w:val="center"/>
          </w:tcPr>
          <w:p>
            <w:pPr>
              <w:jc w:val="center"/>
            </w:pPr>
            <w:r>
              <w:rPr>
                <w:rFonts w:ascii="宋体" w:hAnsi="宋体" w:eastAsia="宋体"/>
                <w:sz w:val="17"/>
              </w:rPr>
              <w:t>100.00%</w:t>
            </w:r>
          </w:p>
        </w:tc>
        <w:tc>
          <w:tcPr>
            <w:tcW w:w="728" w:type="dxa"/>
            <w:vAlign w:val="center"/>
          </w:tcPr>
          <w:p>
            <w:pPr>
              <w:jc w:val="center"/>
            </w:pPr>
            <w:r>
              <w:rPr>
                <w:rFonts w:ascii="宋体" w:hAnsi="宋体" w:eastAsia="宋体"/>
                <w:sz w:val="17"/>
              </w:rPr>
              <w:t>75.41%</w:t>
            </w:r>
          </w:p>
        </w:tc>
        <w:tc>
          <w:tcPr>
            <w:tcW w:w="1067" w:type="dxa"/>
            <w:vAlign w:val="center"/>
          </w:tcPr>
          <w:p>
            <w:pPr>
              <w:jc w:val="center"/>
            </w:pPr>
            <w:r>
              <w:rPr>
                <w:rFonts w:ascii="宋体" w:hAnsi="宋体" w:eastAsia="宋体"/>
                <w:sz w:val="17"/>
              </w:rPr>
              <w:t>20,000.00</w:t>
            </w:r>
          </w:p>
        </w:tc>
        <w:tc>
          <w:tcPr>
            <w:tcW w:w="1075" w:type="dxa"/>
            <w:vAlign w:val="center"/>
          </w:tcPr>
          <w:p>
            <w:pPr>
              <w:jc w:val="center"/>
            </w:pPr>
            <w:r>
              <w:rPr>
                <w:rFonts w:ascii="宋体" w:hAnsi="宋体" w:eastAsia="宋体"/>
                <w:sz w:val="17"/>
              </w:rPr>
              <w:t>3,725.07</w:t>
            </w:r>
          </w:p>
        </w:tc>
        <w:tc>
          <w:tcPr>
            <w:tcW w:w="1023" w:type="dxa"/>
            <w:vAlign w:val="center"/>
          </w:tcPr>
          <w:p>
            <w:pPr>
              <w:jc w:val="center"/>
            </w:pPr>
            <w:r>
              <w:rPr>
                <w:rFonts w:ascii="宋体" w:hAnsi="宋体" w:eastAsia="宋体"/>
                <w:sz w:val="17"/>
              </w:rPr>
              <w:t>0.00</w:t>
            </w:r>
          </w:p>
        </w:tc>
        <w:tc>
          <w:tcPr>
            <w:tcW w:w="807" w:type="dxa"/>
            <w:vAlign w:val="center"/>
          </w:tcPr>
          <w:p>
            <w:pPr>
              <w:jc w:val="center"/>
            </w:pPr>
            <w:r>
              <w:rPr>
                <w:rFonts w:ascii="宋体" w:hAnsi="宋体" w:eastAsia="宋体"/>
                <w:sz w:val="17"/>
              </w:rPr>
              <w:t>1.49%</w:t>
            </w:r>
          </w:p>
        </w:tc>
        <w:tc>
          <w:tcPr>
            <w:tcW w:w="1081" w:type="dxa"/>
            <w:vAlign w:val="center"/>
          </w:tcPr>
          <w:p>
            <w:pPr>
              <w:jc w:val="center"/>
            </w:pPr>
            <w:r>
              <w:rPr>
                <w:rFonts w:ascii="宋体" w:hAnsi="宋体" w:eastAsia="宋体"/>
                <w:sz w:val="17"/>
              </w:rPr>
              <w:t>-</w:t>
            </w:r>
          </w:p>
        </w:tc>
        <w:tc>
          <w:tcPr>
            <w:tcW w:w="441" w:type="dxa"/>
            <w:vAlign w:val="center"/>
          </w:tcPr>
          <w:p>
            <w:pPr>
              <w:jc w:val="center"/>
            </w:pPr>
            <w:r>
              <w:rPr>
                <w:rFonts w:ascii="宋体" w:hAnsi="宋体" w:eastAsia="宋体"/>
                <w:sz w:val="17"/>
              </w:rPr>
              <w:t>否</w:t>
            </w:r>
          </w:p>
        </w:tc>
        <w:tc>
          <w:tcPr>
            <w:tcW w:w="711" w:type="dxa"/>
            <w:vAlign w:val="center"/>
          </w:tcPr>
          <w:p>
            <w:pPr>
              <w:jc w:val="center"/>
            </w:pPr>
            <w:r>
              <w:rPr>
                <w:rFonts w:ascii="宋体" w:hAnsi="宋体" w:eastAsia="宋体"/>
                <w:sz w:val="17"/>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67" w:type="dxa"/>
            <w:vAlign w:val="center"/>
          </w:tcPr>
          <w:p>
            <w:pPr>
              <w:jc w:val="center"/>
            </w:pPr>
            <w:r>
              <w:rPr>
                <w:rFonts w:ascii="宋体" w:hAnsi="宋体" w:eastAsia="宋体"/>
                <w:sz w:val="17"/>
              </w:rPr>
              <w:t>望变</w:t>
            </w:r>
            <w:r>
              <w:rPr>
                <w:rFonts w:ascii="宋体" w:hAnsi="宋体" w:eastAsia="宋体"/>
                <w:sz w:val="17"/>
              </w:rPr>
              <w:br w:type="textWrapping"/>
            </w:r>
            <w:r>
              <w:rPr>
                <w:rFonts w:ascii="宋体" w:hAnsi="宋体" w:eastAsia="宋体"/>
                <w:sz w:val="17"/>
              </w:rPr>
              <w:t>电气</w:t>
            </w:r>
          </w:p>
        </w:tc>
        <w:tc>
          <w:tcPr>
            <w:tcW w:w="573" w:type="dxa"/>
            <w:vAlign w:val="center"/>
          </w:tcPr>
          <w:p>
            <w:pPr>
              <w:jc w:val="center"/>
            </w:pPr>
            <w:r>
              <w:rPr>
                <w:rFonts w:ascii="宋体" w:hAnsi="宋体" w:eastAsia="宋体"/>
                <w:sz w:val="17"/>
              </w:rPr>
              <w:t>云变</w:t>
            </w:r>
            <w:r>
              <w:rPr>
                <w:rFonts w:ascii="宋体" w:hAnsi="宋体" w:eastAsia="宋体"/>
                <w:sz w:val="17"/>
              </w:rPr>
              <w:br w:type="textWrapping"/>
            </w:r>
            <w:r>
              <w:rPr>
                <w:rFonts w:ascii="宋体" w:hAnsi="宋体" w:eastAsia="宋体"/>
                <w:sz w:val="17"/>
              </w:rPr>
              <w:t>电气</w:t>
            </w:r>
          </w:p>
        </w:tc>
        <w:tc>
          <w:tcPr>
            <w:tcW w:w="894" w:type="dxa"/>
            <w:vAlign w:val="center"/>
          </w:tcPr>
          <w:p>
            <w:pPr>
              <w:jc w:val="center"/>
            </w:pPr>
            <w:r>
              <w:rPr>
                <w:rFonts w:ascii="宋体" w:hAnsi="宋体" w:eastAsia="宋体"/>
                <w:sz w:val="17"/>
              </w:rPr>
              <w:t>100.00%</w:t>
            </w:r>
          </w:p>
        </w:tc>
        <w:tc>
          <w:tcPr>
            <w:tcW w:w="728" w:type="dxa"/>
            <w:vAlign w:val="center"/>
          </w:tcPr>
          <w:p>
            <w:pPr>
              <w:jc w:val="center"/>
            </w:pPr>
            <w:r>
              <w:rPr>
                <w:rFonts w:ascii="宋体" w:hAnsi="宋体" w:eastAsia="宋体"/>
                <w:sz w:val="17"/>
              </w:rPr>
              <w:t>68.78%</w:t>
            </w:r>
          </w:p>
        </w:tc>
        <w:tc>
          <w:tcPr>
            <w:tcW w:w="1067" w:type="dxa"/>
            <w:vAlign w:val="center"/>
          </w:tcPr>
          <w:p>
            <w:pPr>
              <w:jc w:val="center"/>
            </w:pPr>
            <w:r>
              <w:rPr>
                <w:rFonts w:ascii="宋体" w:hAnsi="宋体" w:eastAsia="宋体"/>
                <w:sz w:val="17"/>
              </w:rPr>
              <w:t>180,000.00</w:t>
            </w:r>
          </w:p>
        </w:tc>
        <w:tc>
          <w:tcPr>
            <w:tcW w:w="1075" w:type="dxa"/>
            <w:vAlign w:val="center"/>
          </w:tcPr>
          <w:p>
            <w:pPr>
              <w:jc w:val="center"/>
            </w:pPr>
            <w:r>
              <w:rPr>
                <w:rFonts w:ascii="宋体" w:hAnsi="宋体" w:eastAsia="宋体"/>
                <w:sz w:val="17"/>
              </w:rPr>
              <w:t>57,960.69</w:t>
            </w:r>
          </w:p>
        </w:tc>
        <w:tc>
          <w:tcPr>
            <w:tcW w:w="1023" w:type="dxa"/>
            <w:vAlign w:val="center"/>
          </w:tcPr>
          <w:p>
            <w:pPr>
              <w:jc w:val="center"/>
            </w:pPr>
            <w:r>
              <w:rPr>
                <w:rFonts w:ascii="宋体" w:hAnsi="宋体" w:eastAsia="宋体"/>
                <w:sz w:val="17"/>
              </w:rPr>
              <w:t>51,000.00</w:t>
            </w:r>
          </w:p>
        </w:tc>
        <w:tc>
          <w:tcPr>
            <w:tcW w:w="807" w:type="dxa"/>
            <w:vAlign w:val="center"/>
          </w:tcPr>
          <w:p>
            <w:pPr>
              <w:jc w:val="center"/>
            </w:pPr>
            <w:r>
              <w:rPr>
                <w:rFonts w:ascii="宋体" w:hAnsi="宋体" w:eastAsia="宋体"/>
                <w:sz w:val="17"/>
              </w:rPr>
              <w:t>23.23%</w:t>
            </w:r>
          </w:p>
        </w:tc>
        <w:tc>
          <w:tcPr>
            <w:tcW w:w="1081" w:type="dxa"/>
            <w:vAlign w:val="center"/>
          </w:tcPr>
          <w:p>
            <w:pPr>
              <w:jc w:val="center"/>
            </w:pPr>
            <w:r>
              <w:rPr>
                <w:rFonts w:ascii="宋体" w:hAnsi="宋体" w:eastAsia="宋体"/>
                <w:sz w:val="17"/>
              </w:rPr>
              <w:t>债务履行期限届满之日起三年</w:t>
            </w:r>
          </w:p>
        </w:tc>
        <w:tc>
          <w:tcPr>
            <w:tcW w:w="441" w:type="dxa"/>
            <w:vAlign w:val="center"/>
          </w:tcPr>
          <w:p>
            <w:pPr>
              <w:jc w:val="center"/>
            </w:pPr>
            <w:r>
              <w:rPr>
                <w:rFonts w:ascii="宋体" w:hAnsi="宋体" w:eastAsia="宋体"/>
                <w:sz w:val="17"/>
              </w:rPr>
              <w:t>否</w:t>
            </w:r>
          </w:p>
        </w:tc>
        <w:tc>
          <w:tcPr>
            <w:tcW w:w="711" w:type="dxa"/>
            <w:vAlign w:val="center"/>
          </w:tcPr>
          <w:p>
            <w:pPr>
              <w:jc w:val="center"/>
            </w:pPr>
            <w:r>
              <w:rPr>
                <w:rFonts w:ascii="宋体" w:hAnsi="宋体" w:eastAsia="宋体"/>
                <w:sz w:val="17"/>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67" w:type="dxa"/>
            <w:vAlign w:val="center"/>
          </w:tcPr>
          <w:p>
            <w:pPr>
              <w:jc w:val="center"/>
            </w:pPr>
            <w:r>
              <w:rPr>
                <w:rFonts w:ascii="宋体" w:hAnsi="宋体" w:eastAsia="宋体"/>
                <w:sz w:val="17"/>
              </w:rPr>
              <w:t>望变</w:t>
            </w:r>
            <w:r>
              <w:rPr>
                <w:rFonts w:ascii="宋体" w:hAnsi="宋体" w:eastAsia="宋体"/>
                <w:sz w:val="17"/>
              </w:rPr>
              <w:br w:type="textWrapping"/>
            </w:r>
            <w:r>
              <w:rPr>
                <w:rFonts w:ascii="宋体" w:hAnsi="宋体" w:eastAsia="宋体"/>
                <w:sz w:val="17"/>
              </w:rPr>
              <w:t>电气</w:t>
            </w:r>
          </w:p>
        </w:tc>
        <w:tc>
          <w:tcPr>
            <w:tcW w:w="573" w:type="dxa"/>
            <w:vAlign w:val="center"/>
          </w:tcPr>
          <w:p>
            <w:pPr>
              <w:jc w:val="center"/>
            </w:pPr>
            <w:r>
              <w:rPr>
                <w:rFonts w:ascii="宋体" w:hAnsi="宋体" w:eastAsia="宋体"/>
                <w:sz w:val="17"/>
              </w:rPr>
              <w:t>惠泽</w:t>
            </w:r>
            <w:r>
              <w:rPr>
                <w:rFonts w:ascii="宋体" w:hAnsi="宋体" w:eastAsia="宋体"/>
                <w:sz w:val="17"/>
              </w:rPr>
              <w:br w:type="textWrapping"/>
            </w:r>
            <w:r>
              <w:rPr>
                <w:rFonts w:ascii="宋体" w:hAnsi="宋体" w:eastAsia="宋体"/>
                <w:sz w:val="17"/>
              </w:rPr>
              <w:t>电器</w:t>
            </w:r>
          </w:p>
        </w:tc>
        <w:tc>
          <w:tcPr>
            <w:tcW w:w="894" w:type="dxa"/>
            <w:vAlign w:val="center"/>
          </w:tcPr>
          <w:p>
            <w:pPr>
              <w:jc w:val="center"/>
            </w:pPr>
            <w:r>
              <w:rPr>
                <w:rFonts w:ascii="宋体" w:hAnsi="宋体" w:eastAsia="宋体"/>
                <w:sz w:val="17"/>
              </w:rPr>
              <w:t>100.00%</w:t>
            </w:r>
          </w:p>
        </w:tc>
        <w:tc>
          <w:tcPr>
            <w:tcW w:w="728" w:type="dxa"/>
            <w:vAlign w:val="center"/>
          </w:tcPr>
          <w:p>
            <w:pPr>
              <w:jc w:val="center"/>
            </w:pPr>
            <w:r>
              <w:rPr>
                <w:rFonts w:ascii="宋体" w:hAnsi="宋体" w:eastAsia="宋体"/>
                <w:sz w:val="17"/>
              </w:rPr>
              <w:t>94.48%</w:t>
            </w:r>
          </w:p>
        </w:tc>
        <w:tc>
          <w:tcPr>
            <w:tcW w:w="1067" w:type="dxa"/>
            <w:vAlign w:val="center"/>
          </w:tcPr>
          <w:p>
            <w:pPr>
              <w:jc w:val="center"/>
            </w:pPr>
            <w:r>
              <w:rPr>
                <w:rFonts w:ascii="宋体" w:hAnsi="宋体" w:eastAsia="宋体"/>
                <w:sz w:val="17"/>
              </w:rPr>
              <w:t>40,000.00</w:t>
            </w:r>
          </w:p>
        </w:tc>
        <w:tc>
          <w:tcPr>
            <w:tcW w:w="1075" w:type="dxa"/>
            <w:vAlign w:val="center"/>
          </w:tcPr>
          <w:p>
            <w:pPr>
              <w:jc w:val="center"/>
            </w:pPr>
            <w:r>
              <w:rPr>
                <w:rFonts w:ascii="宋体" w:hAnsi="宋体" w:eastAsia="宋体"/>
                <w:sz w:val="17"/>
              </w:rPr>
              <w:t>2,161.31</w:t>
            </w:r>
          </w:p>
        </w:tc>
        <w:tc>
          <w:tcPr>
            <w:tcW w:w="1023" w:type="dxa"/>
            <w:vAlign w:val="center"/>
          </w:tcPr>
          <w:p>
            <w:pPr>
              <w:jc w:val="center"/>
            </w:pPr>
            <w:r>
              <w:rPr>
                <w:rFonts w:ascii="宋体" w:hAnsi="宋体" w:eastAsia="宋体"/>
                <w:sz w:val="17"/>
              </w:rPr>
              <w:t>0.00</w:t>
            </w:r>
          </w:p>
        </w:tc>
        <w:tc>
          <w:tcPr>
            <w:tcW w:w="807" w:type="dxa"/>
            <w:vAlign w:val="center"/>
          </w:tcPr>
          <w:p>
            <w:pPr>
              <w:jc w:val="center"/>
            </w:pPr>
            <w:r>
              <w:rPr>
                <w:rFonts w:ascii="宋体" w:hAnsi="宋体" w:eastAsia="宋体"/>
                <w:sz w:val="17"/>
              </w:rPr>
              <w:t>0.87%</w:t>
            </w:r>
          </w:p>
        </w:tc>
        <w:tc>
          <w:tcPr>
            <w:tcW w:w="1081" w:type="dxa"/>
            <w:vAlign w:val="center"/>
          </w:tcPr>
          <w:p>
            <w:pPr>
              <w:jc w:val="center"/>
            </w:pPr>
            <w:r>
              <w:rPr>
                <w:rFonts w:ascii="宋体" w:hAnsi="宋体" w:eastAsia="宋体"/>
                <w:sz w:val="17"/>
              </w:rPr>
              <w:t>-</w:t>
            </w:r>
          </w:p>
        </w:tc>
        <w:tc>
          <w:tcPr>
            <w:tcW w:w="441" w:type="dxa"/>
            <w:vAlign w:val="center"/>
          </w:tcPr>
          <w:p>
            <w:pPr>
              <w:jc w:val="center"/>
            </w:pPr>
            <w:r>
              <w:rPr>
                <w:rFonts w:ascii="宋体" w:hAnsi="宋体" w:eastAsia="宋体"/>
                <w:sz w:val="17"/>
              </w:rPr>
              <w:t>否</w:t>
            </w:r>
          </w:p>
        </w:tc>
        <w:tc>
          <w:tcPr>
            <w:tcW w:w="711" w:type="dxa"/>
            <w:vAlign w:val="center"/>
          </w:tcPr>
          <w:p>
            <w:pPr>
              <w:jc w:val="center"/>
            </w:pPr>
            <w:r>
              <w:rPr>
                <w:rFonts w:ascii="宋体" w:hAnsi="宋体" w:eastAsia="宋体"/>
                <w:sz w:val="17"/>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67" w:type="dxa"/>
            <w:vAlign w:val="center"/>
          </w:tcPr>
          <w:p>
            <w:pPr>
              <w:jc w:val="center"/>
            </w:pPr>
            <w:r>
              <w:rPr>
                <w:rFonts w:ascii="宋体" w:hAnsi="宋体" w:eastAsia="宋体"/>
                <w:sz w:val="17"/>
              </w:rPr>
              <w:t>望变</w:t>
            </w:r>
            <w:r>
              <w:rPr>
                <w:rFonts w:ascii="宋体" w:hAnsi="宋体" w:eastAsia="宋体"/>
                <w:sz w:val="17"/>
              </w:rPr>
              <w:br w:type="textWrapping"/>
            </w:r>
            <w:r>
              <w:rPr>
                <w:rFonts w:ascii="宋体" w:hAnsi="宋体" w:eastAsia="宋体"/>
                <w:sz w:val="17"/>
              </w:rPr>
              <w:t>电气</w:t>
            </w:r>
          </w:p>
        </w:tc>
        <w:tc>
          <w:tcPr>
            <w:tcW w:w="573" w:type="dxa"/>
            <w:vAlign w:val="center"/>
          </w:tcPr>
          <w:p>
            <w:pPr>
              <w:jc w:val="center"/>
            </w:pPr>
            <w:r>
              <w:rPr>
                <w:rFonts w:ascii="宋体" w:hAnsi="宋体" w:eastAsia="宋体"/>
                <w:sz w:val="17"/>
              </w:rPr>
              <w:t>望来充</w:t>
            </w:r>
          </w:p>
        </w:tc>
        <w:tc>
          <w:tcPr>
            <w:tcW w:w="894" w:type="dxa"/>
            <w:vAlign w:val="center"/>
          </w:tcPr>
          <w:p>
            <w:pPr>
              <w:jc w:val="center"/>
            </w:pPr>
            <w:r>
              <w:rPr>
                <w:rFonts w:ascii="宋体" w:hAnsi="宋体" w:eastAsia="宋体"/>
                <w:sz w:val="17"/>
              </w:rPr>
              <w:t>100.00%</w:t>
            </w:r>
          </w:p>
        </w:tc>
        <w:tc>
          <w:tcPr>
            <w:tcW w:w="728" w:type="dxa"/>
            <w:vAlign w:val="center"/>
          </w:tcPr>
          <w:p>
            <w:pPr>
              <w:jc w:val="center"/>
            </w:pPr>
            <w:r>
              <w:rPr>
                <w:rFonts w:ascii="宋体" w:hAnsi="宋体" w:eastAsia="宋体"/>
                <w:sz w:val="17"/>
              </w:rPr>
              <w:t>57.75%</w:t>
            </w:r>
          </w:p>
        </w:tc>
        <w:tc>
          <w:tcPr>
            <w:tcW w:w="1067" w:type="dxa"/>
            <w:vAlign w:val="center"/>
          </w:tcPr>
          <w:p>
            <w:pPr>
              <w:jc w:val="center"/>
            </w:pPr>
            <w:r>
              <w:rPr>
                <w:rFonts w:ascii="宋体" w:hAnsi="宋体" w:eastAsia="宋体"/>
                <w:sz w:val="17"/>
              </w:rPr>
              <w:t>60,000.00</w:t>
            </w:r>
          </w:p>
        </w:tc>
        <w:tc>
          <w:tcPr>
            <w:tcW w:w="1075" w:type="dxa"/>
            <w:vAlign w:val="center"/>
          </w:tcPr>
          <w:p>
            <w:pPr>
              <w:jc w:val="center"/>
            </w:pPr>
            <w:r>
              <w:rPr>
                <w:rFonts w:ascii="宋体" w:hAnsi="宋体" w:eastAsia="宋体"/>
                <w:sz w:val="17"/>
              </w:rPr>
              <w:t>4,915.77</w:t>
            </w:r>
          </w:p>
        </w:tc>
        <w:tc>
          <w:tcPr>
            <w:tcW w:w="1023" w:type="dxa"/>
            <w:vAlign w:val="center"/>
          </w:tcPr>
          <w:p>
            <w:pPr>
              <w:jc w:val="center"/>
            </w:pPr>
            <w:r>
              <w:rPr>
                <w:rFonts w:ascii="宋体" w:hAnsi="宋体" w:eastAsia="宋体"/>
                <w:sz w:val="17"/>
              </w:rPr>
              <w:t>0.00</w:t>
            </w:r>
          </w:p>
        </w:tc>
        <w:tc>
          <w:tcPr>
            <w:tcW w:w="807" w:type="dxa"/>
            <w:vAlign w:val="center"/>
          </w:tcPr>
          <w:p>
            <w:pPr>
              <w:jc w:val="center"/>
            </w:pPr>
            <w:r>
              <w:rPr>
                <w:rFonts w:ascii="宋体" w:hAnsi="宋体" w:eastAsia="宋体"/>
                <w:sz w:val="17"/>
              </w:rPr>
              <w:t>1.97%</w:t>
            </w:r>
          </w:p>
        </w:tc>
        <w:tc>
          <w:tcPr>
            <w:tcW w:w="1081" w:type="dxa"/>
            <w:vAlign w:val="center"/>
          </w:tcPr>
          <w:p>
            <w:pPr>
              <w:jc w:val="center"/>
            </w:pPr>
            <w:r>
              <w:rPr>
                <w:rFonts w:ascii="宋体" w:hAnsi="宋体" w:eastAsia="宋体"/>
                <w:sz w:val="17"/>
              </w:rPr>
              <w:t>-</w:t>
            </w:r>
          </w:p>
        </w:tc>
        <w:tc>
          <w:tcPr>
            <w:tcW w:w="441" w:type="dxa"/>
            <w:vAlign w:val="center"/>
          </w:tcPr>
          <w:p>
            <w:pPr>
              <w:jc w:val="center"/>
            </w:pPr>
            <w:r>
              <w:rPr>
                <w:rFonts w:ascii="宋体" w:hAnsi="宋体" w:eastAsia="宋体"/>
                <w:sz w:val="17"/>
              </w:rPr>
              <w:t>否</w:t>
            </w:r>
          </w:p>
        </w:tc>
        <w:tc>
          <w:tcPr>
            <w:tcW w:w="711" w:type="dxa"/>
            <w:vAlign w:val="center"/>
          </w:tcPr>
          <w:p>
            <w:pPr>
              <w:jc w:val="center"/>
            </w:pPr>
            <w:r>
              <w:rPr>
                <w:rFonts w:ascii="宋体" w:hAnsi="宋体" w:eastAsia="宋体"/>
                <w:sz w:val="17"/>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567" w:type="dxa"/>
            <w:vAlign w:val="center"/>
          </w:tcPr>
          <w:p>
            <w:pPr>
              <w:jc w:val="center"/>
            </w:pPr>
            <w:r>
              <w:rPr>
                <w:rFonts w:ascii="宋体" w:hAnsi="宋体" w:eastAsia="宋体"/>
                <w:sz w:val="17"/>
              </w:rPr>
              <w:t>望变</w:t>
            </w:r>
            <w:r>
              <w:rPr>
                <w:rFonts w:ascii="宋体" w:hAnsi="宋体" w:eastAsia="宋体"/>
                <w:sz w:val="17"/>
              </w:rPr>
              <w:br w:type="textWrapping"/>
            </w:r>
            <w:r>
              <w:rPr>
                <w:rFonts w:ascii="宋体" w:hAnsi="宋体" w:eastAsia="宋体"/>
                <w:sz w:val="17"/>
              </w:rPr>
              <w:t>电气</w:t>
            </w:r>
          </w:p>
        </w:tc>
        <w:tc>
          <w:tcPr>
            <w:tcW w:w="573" w:type="dxa"/>
            <w:vAlign w:val="center"/>
          </w:tcPr>
          <w:p>
            <w:pPr>
              <w:jc w:val="center"/>
            </w:pPr>
            <w:r>
              <w:rPr>
                <w:rFonts w:ascii="宋体" w:hAnsi="宋体" w:eastAsia="宋体"/>
                <w:sz w:val="17"/>
              </w:rPr>
              <w:t>望来电</w:t>
            </w:r>
          </w:p>
        </w:tc>
        <w:tc>
          <w:tcPr>
            <w:tcW w:w="894" w:type="dxa"/>
            <w:vAlign w:val="center"/>
          </w:tcPr>
          <w:p>
            <w:pPr>
              <w:jc w:val="center"/>
            </w:pPr>
            <w:r>
              <w:rPr>
                <w:rFonts w:ascii="宋体" w:hAnsi="宋体" w:eastAsia="宋体"/>
                <w:sz w:val="17"/>
              </w:rPr>
              <w:t>80.00%</w:t>
            </w:r>
          </w:p>
        </w:tc>
        <w:tc>
          <w:tcPr>
            <w:tcW w:w="728" w:type="dxa"/>
            <w:vAlign w:val="center"/>
          </w:tcPr>
          <w:p>
            <w:pPr>
              <w:jc w:val="center"/>
            </w:pPr>
            <w:r>
              <w:rPr>
                <w:rFonts w:ascii="宋体" w:hAnsi="宋体" w:eastAsia="宋体"/>
                <w:sz w:val="17"/>
              </w:rPr>
              <w:t>0.01%</w:t>
            </w:r>
          </w:p>
        </w:tc>
        <w:tc>
          <w:tcPr>
            <w:tcW w:w="1067" w:type="dxa"/>
            <w:vAlign w:val="center"/>
          </w:tcPr>
          <w:p>
            <w:pPr>
              <w:jc w:val="center"/>
            </w:pPr>
            <w:r>
              <w:rPr>
                <w:rFonts w:ascii="宋体" w:hAnsi="宋体" w:eastAsia="宋体"/>
                <w:sz w:val="17"/>
              </w:rPr>
              <w:t>100,000.00</w:t>
            </w:r>
          </w:p>
        </w:tc>
        <w:tc>
          <w:tcPr>
            <w:tcW w:w="1075" w:type="dxa"/>
            <w:vAlign w:val="center"/>
          </w:tcPr>
          <w:p>
            <w:pPr>
              <w:jc w:val="center"/>
            </w:pPr>
            <w:r>
              <w:rPr>
                <w:rFonts w:ascii="宋体" w:hAnsi="宋体" w:eastAsia="宋体"/>
                <w:sz w:val="17"/>
              </w:rPr>
              <w:t>0.00</w:t>
            </w:r>
          </w:p>
        </w:tc>
        <w:tc>
          <w:tcPr>
            <w:tcW w:w="1023" w:type="dxa"/>
            <w:vAlign w:val="center"/>
          </w:tcPr>
          <w:p>
            <w:pPr>
              <w:jc w:val="center"/>
            </w:pPr>
            <w:r>
              <w:rPr>
                <w:rFonts w:ascii="宋体" w:hAnsi="宋体" w:eastAsia="宋体"/>
                <w:sz w:val="17"/>
              </w:rPr>
              <w:t>0.00</w:t>
            </w:r>
          </w:p>
        </w:tc>
        <w:tc>
          <w:tcPr>
            <w:tcW w:w="807" w:type="dxa"/>
            <w:vAlign w:val="center"/>
          </w:tcPr>
          <w:p>
            <w:pPr>
              <w:jc w:val="center"/>
            </w:pPr>
            <w:r>
              <w:rPr>
                <w:rFonts w:ascii="宋体" w:hAnsi="宋体" w:eastAsia="宋体"/>
                <w:sz w:val="17"/>
              </w:rPr>
              <w:t>0.00%</w:t>
            </w:r>
          </w:p>
        </w:tc>
        <w:tc>
          <w:tcPr>
            <w:tcW w:w="1081" w:type="dxa"/>
            <w:vAlign w:val="center"/>
          </w:tcPr>
          <w:p>
            <w:pPr>
              <w:jc w:val="center"/>
            </w:pPr>
            <w:r>
              <w:rPr>
                <w:rFonts w:ascii="宋体" w:hAnsi="宋体" w:eastAsia="宋体"/>
                <w:sz w:val="17"/>
              </w:rPr>
              <w:t>-</w:t>
            </w:r>
          </w:p>
        </w:tc>
        <w:tc>
          <w:tcPr>
            <w:tcW w:w="441" w:type="dxa"/>
            <w:vAlign w:val="center"/>
          </w:tcPr>
          <w:p>
            <w:pPr>
              <w:jc w:val="center"/>
            </w:pPr>
            <w:r>
              <w:rPr>
                <w:rFonts w:ascii="宋体" w:hAnsi="宋体" w:eastAsia="宋体"/>
                <w:sz w:val="17"/>
              </w:rPr>
              <w:t>否</w:t>
            </w:r>
          </w:p>
        </w:tc>
        <w:tc>
          <w:tcPr>
            <w:tcW w:w="711" w:type="dxa"/>
            <w:vAlign w:val="center"/>
          </w:tcPr>
          <w:p>
            <w:pPr>
              <w:jc w:val="center"/>
            </w:pPr>
            <w:r>
              <w:rPr>
                <w:rFonts w:ascii="宋体" w:hAnsi="宋体" w:eastAsia="宋体"/>
                <w:sz w:val="17"/>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7" w:hRule="atLeast"/>
          <w:jc w:val="center"/>
        </w:trPr>
        <w:tc>
          <w:tcPr>
            <w:tcW w:w="1140" w:type="dxa"/>
            <w:gridSpan w:val="2"/>
            <w:vAlign w:val="center"/>
          </w:tcPr>
          <w:p>
            <w:pPr>
              <w:jc w:val="center"/>
            </w:pPr>
            <w:r>
              <w:rPr>
                <w:rFonts w:ascii="宋体" w:hAnsi="宋体" w:eastAsia="宋体"/>
                <w:sz w:val="17"/>
              </w:rPr>
              <w:t>-</w:t>
            </w:r>
          </w:p>
        </w:tc>
        <w:tc>
          <w:tcPr>
            <w:tcW w:w="894" w:type="dxa"/>
            <w:vAlign w:val="center"/>
          </w:tcPr>
          <w:p>
            <w:pPr>
              <w:jc w:val="center"/>
            </w:pPr>
            <w:r>
              <w:rPr>
                <w:rFonts w:ascii="宋体" w:hAnsi="宋体" w:eastAsia="宋体"/>
                <w:sz w:val="17"/>
              </w:rPr>
              <w:t>-</w:t>
            </w:r>
          </w:p>
        </w:tc>
        <w:tc>
          <w:tcPr>
            <w:tcW w:w="728" w:type="dxa"/>
            <w:vAlign w:val="center"/>
          </w:tcPr>
          <w:p>
            <w:pPr>
              <w:jc w:val="center"/>
            </w:pPr>
            <w:r>
              <w:rPr>
                <w:rFonts w:ascii="宋体" w:hAnsi="宋体" w:eastAsia="宋体"/>
                <w:sz w:val="17"/>
              </w:rPr>
              <w:t>-</w:t>
            </w:r>
          </w:p>
        </w:tc>
        <w:tc>
          <w:tcPr>
            <w:tcW w:w="1067" w:type="dxa"/>
            <w:vAlign w:val="center"/>
          </w:tcPr>
          <w:p>
            <w:pPr>
              <w:jc w:val="center"/>
            </w:pPr>
            <w:r>
              <w:rPr>
                <w:rFonts w:ascii="宋体" w:hAnsi="宋体" w:eastAsia="宋体"/>
                <w:sz w:val="17"/>
              </w:rPr>
              <w:t>400,000.00</w:t>
            </w:r>
          </w:p>
        </w:tc>
        <w:tc>
          <w:tcPr>
            <w:tcW w:w="1075" w:type="dxa"/>
            <w:vAlign w:val="center"/>
          </w:tcPr>
          <w:p>
            <w:pPr>
              <w:jc w:val="center"/>
            </w:pPr>
            <w:r>
              <w:rPr>
                <w:rFonts w:ascii="宋体" w:hAnsi="宋体" w:eastAsia="宋体"/>
                <w:sz w:val="17"/>
              </w:rPr>
              <w:t>68,762.85</w:t>
            </w:r>
          </w:p>
        </w:tc>
        <w:tc>
          <w:tcPr>
            <w:tcW w:w="1023" w:type="dxa"/>
            <w:vAlign w:val="center"/>
          </w:tcPr>
          <w:p>
            <w:pPr>
              <w:jc w:val="center"/>
            </w:pPr>
            <w:r>
              <w:rPr>
                <w:rFonts w:ascii="宋体" w:hAnsi="宋体" w:eastAsia="宋体"/>
                <w:sz w:val="17"/>
              </w:rPr>
              <w:t>51,000.00</w:t>
            </w:r>
          </w:p>
        </w:tc>
        <w:tc>
          <w:tcPr>
            <w:tcW w:w="807" w:type="dxa"/>
            <w:vAlign w:val="center"/>
          </w:tcPr>
          <w:p>
            <w:pPr>
              <w:jc w:val="center"/>
            </w:pPr>
            <w:r>
              <w:rPr>
                <w:rFonts w:ascii="宋体" w:hAnsi="宋体" w:eastAsia="宋体"/>
                <w:sz w:val="17"/>
              </w:rPr>
              <w:t>27.56%</w:t>
            </w:r>
          </w:p>
        </w:tc>
        <w:tc>
          <w:tcPr>
            <w:tcW w:w="1081" w:type="dxa"/>
            <w:vAlign w:val="center"/>
          </w:tcPr>
          <w:p>
            <w:pPr>
              <w:jc w:val="center"/>
            </w:pPr>
            <w:r>
              <w:rPr>
                <w:rFonts w:ascii="宋体" w:hAnsi="宋体" w:eastAsia="宋体"/>
                <w:sz w:val="17"/>
              </w:rPr>
              <w:t>-</w:t>
            </w:r>
          </w:p>
        </w:tc>
        <w:tc>
          <w:tcPr>
            <w:tcW w:w="441" w:type="dxa"/>
            <w:vAlign w:val="center"/>
          </w:tcPr>
          <w:p>
            <w:pPr>
              <w:jc w:val="center"/>
            </w:pPr>
            <w:r>
              <w:rPr>
                <w:rFonts w:ascii="宋体" w:hAnsi="宋体" w:eastAsia="宋体"/>
                <w:sz w:val="17"/>
              </w:rPr>
              <w:t>否</w:t>
            </w:r>
          </w:p>
        </w:tc>
        <w:tc>
          <w:tcPr>
            <w:tcW w:w="711" w:type="dxa"/>
            <w:vAlign w:val="center"/>
          </w:tcPr>
          <w:p>
            <w:pPr>
              <w:jc w:val="center"/>
            </w:pPr>
            <w:r>
              <w:rPr>
                <w:rFonts w:ascii="宋体" w:hAnsi="宋体" w:eastAsia="宋体"/>
                <w:sz w:val="17"/>
              </w:rPr>
              <w:t>否</w:t>
            </w:r>
          </w:p>
        </w:tc>
      </w:tr>
    </w:tbl>
    <w:p>
      <w:pPr>
        <w:widowControl/>
        <w:adjustRightInd w:val="0"/>
        <w:snapToGrid w:val="0"/>
        <w:spacing w:line="560" w:lineRule="exact"/>
        <w:jc w:val="left"/>
        <w:rPr>
          <w:rFonts w:asciiTheme="minorEastAsia" w:hAnsiTheme="minorEastAsia" w:cstheme="minorEastAsia"/>
          <w:color w:val="000000"/>
          <w:kern w:val="0"/>
          <w:sz w:val="18"/>
          <w:szCs w:val="18"/>
        </w:rPr>
      </w:pPr>
      <w:r>
        <w:rPr>
          <w:rFonts w:hint="eastAsia" w:asciiTheme="minorEastAsia" w:hAnsiTheme="minorEastAsia" w:cstheme="minorEastAsia"/>
          <w:color w:val="000000"/>
          <w:kern w:val="0"/>
          <w:sz w:val="18"/>
          <w:szCs w:val="18"/>
        </w:rPr>
        <w:t>说明：本表尾差系四舍五入所致。</w:t>
      </w:r>
    </w:p>
    <w:p>
      <w:pPr>
        <w:widowControl/>
        <w:numPr>
          <w:ilvl w:val="0"/>
          <w:numId w:val="2"/>
        </w:numPr>
        <w:adjustRightInd w:val="0"/>
        <w:snapToGrid w:val="0"/>
        <w:spacing w:line="560" w:lineRule="exact"/>
        <w:ind w:firstLine="482" w:firstLineChars="200"/>
        <w:jc w:val="left"/>
        <w:outlineLvl w:val="0"/>
        <w:rPr>
          <w:rFonts w:hint="eastAsia" w:ascii="宋体" w:hAnsi="宋体" w:eastAsia="宋体" w:cs="宋体"/>
          <w:b/>
          <w:bCs/>
          <w:sz w:val="24"/>
          <w:szCs w:val="24"/>
        </w:rPr>
      </w:pPr>
      <w:r>
        <w:rPr>
          <w:rFonts w:hint="eastAsia" w:ascii="宋体" w:hAnsi="宋体" w:eastAsia="宋体" w:cs="宋体"/>
          <w:b/>
          <w:bCs/>
          <w:sz w:val="24"/>
          <w:szCs w:val="24"/>
        </w:rPr>
        <w:t>被担保人基本情况</w:t>
      </w:r>
    </w:p>
    <w:p>
      <w:pPr>
        <w:widowControl/>
        <w:adjustRightInd w:val="0"/>
        <w:snapToGrid w:val="0"/>
        <w:spacing w:line="560" w:lineRule="exact"/>
        <w:ind w:left="480"/>
        <w:jc w:val="left"/>
        <w:outlineLvl w:val="1"/>
        <w:rPr>
          <w:rFonts w:hint="eastAsia" w:ascii="宋体" w:hAnsi="宋体" w:eastAsia="宋体" w:cs="宋体"/>
          <w:sz w:val="24"/>
          <w:szCs w:val="24"/>
        </w:rPr>
      </w:pPr>
      <w:r>
        <w:rPr>
          <w:rFonts w:hint="eastAsia" w:ascii="宋体" w:hAnsi="宋体" w:eastAsia="宋体" w:cs="宋体"/>
          <w:sz w:val="24"/>
          <w:szCs w:val="24"/>
        </w:rPr>
        <w:t>云南变压器电气股份有限公司</w:t>
      </w:r>
    </w:p>
    <w:tbl>
      <w:tblPr>
        <w:tblStyle w:val="12"/>
        <w:tblW w:w="5294" w:type="pct"/>
        <w:jc w:val="center"/>
        <w:tblLayout w:type="autofit"/>
        <w:tblCellMar>
          <w:top w:w="0" w:type="dxa"/>
          <w:left w:w="0" w:type="dxa"/>
          <w:bottom w:w="0" w:type="dxa"/>
          <w:right w:w="0" w:type="dxa"/>
        </w:tblCellMar>
      </w:tblPr>
      <w:tblGrid>
        <w:gridCol w:w="2513"/>
        <w:gridCol w:w="1512"/>
        <w:gridCol w:w="2127"/>
        <w:gridCol w:w="2761"/>
      </w:tblGrid>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被担保人类型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☑法人</w:t>
            </w:r>
          </w:p>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sz w:val="16"/>
                <w:szCs w:val="16"/>
              </w:rPr>
              <w:t>□其他</w:t>
            </w:r>
            <w:r>
              <w:rPr>
                <w:rFonts w:hint="eastAsia" w:eastAsia="宋体" w:asciiTheme="minorEastAsia" w:hAnsiTheme="minorEastAsia" w:cstheme="minorEastAsia"/>
                <w:sz w:val="16"/>
                <w:szCs w:val="16"/>
              </w:rPr>
              <w:t>______________</w:t>
            </w:r>
            <w:r>
              <w:rPr>
                <w:rFonts w:hint="eastAsia" w:eastAsia="宋体" w:asciiTheme="minorEastAsia" w:hAnsiTheme="minorEastAsia" w:cstheme="minorEastAsia"/>
                <w:color w:val="000000"/>
                <w:sz w:val="16"/>
                <w:szCs w:val="16"/>
              </w:rPr>
              <w:t>（请注明）</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sz w:val="16"/>
                <w:szCs w:val="16"/>
              </w:rPr>
              <w:t>被担保人名称</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云南变压器电气股份有限公司</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被担保人类型及上市公司持股情况</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☑全资子公司</w:t>
            </w:r>
          </w:p>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□控股子公司</w:t>
            </w:r>
          </w:p>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□参股公司</w:t>
            </w:r>
          </w:p>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□其他</w:t>
            </w:r>
            <w:r>
              <w:rPr>
                <w:rFonts w:hint="eastAsia" w:eastAsia="宋体" w:asciiTheme="minorEastAsia" w:hAnsiTheme="minorEastAsia" w:cstheme="minorEastAsia"/>
                <w:sz w:val="16"/>
                <w:szCs w:val="16"/>
              </w:rPr>
              <w:t>_______</w:t>
            </w:r>
            <w:r>
              <w:rPr>
                <w:rFonts w:eastAsia="宋体" w:asciiTheme="minorEastAsia" w:hAnsiTheme="minorEastAsia" w:cstheme="minorEastAsia"/>
                <w:sz w:val="16"/>
                <w:szCs w:val="16"/>
              </w:rPr>
              <w:t>_</w:t>
            </w:r>
            <w:r>
              <w:rPr>
                <w:rFonts w:hint="eastAsia" w:eastAsia="宋体" w:asciiTheme="minorEastAsia" w:hAnsiTheme="minorEastAsia" w:cstheme="minorEastAsia"/>
                <w:sz w:val="16"/>
                <w:szCs w:val="16"/>
              </w:rPr>
              <w:t>______</w:t>
            </w:r>
            <w:r>
              <w:rPr>
                <w:rFonts w:hint="eastAsia" w:eastAsia="宋体" w:asciiTheme="minorEastAsia" w:hAnsiTheme="minorEastAsia" w:cstheme="minorEastAsia"/>
                <w:color w:val="000000"/>
                <w:sz w:val="16"/>
                <w:szCs w:val="16"/>
              </w:rPr>
              <w:t>（请注明）</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sz w:val="16"/>
                <w:szCs w:val="16"/>
              </w:rPr>
            </w:pPr>
            <w:r>
              <w:rPr>
                <w:rFonts w:hint="eastAsia" w:eastAsia="宋体" w:asciiTheme="minorEastAsia" w:hAnsiTheme="minorEastAsia" w:cstheme="minorEastAsia"/>
                <w:color w:val="000000"/>
                <w:sz w:val="16"/>
                <w:szCs w:val="16"/>
              </w:rPr>
              <w:t>主要股东及持股比例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望变电气持股100%</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sz w:val="16"/>
                <w:szCs w:val="16"/>
              </w:rPr>
              <w:t>法定代表人</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肖斌</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统一社会信用代码</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ascii="宋体" w:hAnsi="宋体" w:eastAsia="宋体" w:cs="宋体"/>
                <w:bCs/>
                <w:snapToGrid w:val="0"/>
                <w:kern w:val="0"/>
                <w:sz w:val="16"/>
                <w:szCs w:val="16"/>
              </w:rPr>
              <w:t>91530000713402501X</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成立时间</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ascii="宋体" w:hAnsi="宋体" w:eastAsia="宋体" w:cs="宋体"/>
                <w:bCs/>
                <w:snapToGrid w:val="0"/>
                <w:kern w:val="0"/>
                <w:sz w:val="16"/>
                <w:szCs w:val="16"/>
              </w:rPr>
              <w:t>1999年1月23日</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注册地</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中国（云南）自由贸易试验区昆明片区经开区洛羊街道办事处拓翔路</w:t>
            </w:r>
            <w:r>
              <w:rPr>
                <w:rFonts w:eastAsia="宋体" w:asciiTheme="minorEastAsia" w:hAnsiTheme="minorEastAsia" w:cstheme="minorEastAsia"/>
                <w:color w:val="000000"/>
                <w:kern w:val="0"/>
                <w:sz w:val="16"/>
                <w:szCs w:val="16"/>
              </w:rPr>
              <w:t>212号</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注册资本</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人民币</w:t>
            </w:r>
            <w:r>
              <w:rPr>
                <w:rFonts w:eastAsia="宋体" w:asciiTheme="minorEastAsia" w:hAnsiTheme="minorEastAsia" w:cstheme="minorEastAsia"/>
                <w:color w:val="000000"/>
                <w:kern w:val="0"/>
                <w:sz w:val="16"/>
                <w:szCs w:val="16"/>
              </w:rPr>
              <w:t>10,041.3641万元</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公司类型</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其他股份有限公司（非上市）</w:t>
            </w:r>
          </w:p>
        </w:tc>
      </w:tr>
      <w:tr>
        <w:tblPrEx>
          <w:tblCellMar>
            <w:top w:w="0" w:type="dxa"/>
            <w:left w:w="0" w:type="dxa"/>
            <w:bottom w:w="0" w:type="dxa"/>
            <w:right w:w="0" w:type="dxa"/>
          </w:tblCellMar>
        </w:tblPrEx>
        <w:trPr>
          <w:trHeight w:val="397" w:hRule="atLeast"/>
          <w:jc w:val="center"/>
        </w:trPr>
        <w:tc>
          <w:tcPr>
            <w:tcW w:w="1410"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经营范围</w:t>
            </w:r>
          </w:p>
        </w:tc>
        <w:tc>
          <w:tcPr>
            <w:tcW w:w="3590" w:type="pct"/>
            <w:gridSpan w:val="3"/>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各种变压器的生产制造、销售；变压器产品生产所需的原辅助材料、电磁线、硅钢片、机械设备、仪器仪表、备品、备件、零配件、高低压开关柜、箱式变电站、电线电缆及相关技术，变压器修理，电子电器产品；货物进出口、技术进出口业务；电力工程施工总承包；电力设施承装（修、试）业务。</w:t>
            </w:r>
          </w:p>
        </w:tc>
      </w:tr>
      <w:tr>
        <w:tblPrEx>
          <w:tblCellMar>
            <w:top w:w="0" w:type="dxa"/>
            <w:left w:w="0" w:type="dxa"/>
            <w:bottom w:w="0" w:type="dxa"/>
            <w:right w:w="0" w:type="dxa"/>
          </w:tblCellMar>
        </w:tblPrEx>
        <w:trPr>
          <w:trHeight w:val="397" w:hRule="atLeast"/>
          <w:jc w:val="center"/>
        </w:trPr>
        <w:tc>
          <w:tcPr>
            <w:tcW w:w="1410" w:type="pct"/>
            <w:vMerge w:val="restar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主要财务指标（万元）</w:t>
            </w: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项目</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ascii="宋体" w:hAnsi="宋体" w:cs="宋体"/>
                <w:kern w:val="0"/>
                <w:sz w:val="16"/>
                <w:szCs w:val="16"/>
              </w:rPr>
            </w:pPr>
            <w:r>
              <w:rPr>
                <w:rFonts w:hint="eastAsia" w:ascii="宋体" w:hAnsi="宋体" w:eastAsia="宋体" w:cs="宋体"/>
                <w:kern w:val="0"/>
                <w:sz w:val="16"/>
                <w:szCs w:val="16"/>
              </w:rPr>
              <w:t>2026年3月</w:t>
            </w:r>
            <w:r>
              <w:rPr>
                <w:rFonts w:ascii="宋体" w:hAnsi="宋体" w:eastAsia="宋体" w:cs="宋体"/>
                <w:kern w:val="0"/>
                <w:sz w:val="16"/>
                <w:szCs w:val="16"/>
              </w:rPr>
              <w:t>3</w:t>
            </w:r>
            <w:r>
              <w:rPr>
                <w:rFonts w:hint="eastAsia" w:ascii="宋体" w:hAnsi="宋体" w:eastAsia="宋体" w:cs="宋体"/>
                <w:kern w:val="0"/>
                <w:sz w:val="16"/>
                <w:szCs w:val="16"/>
              </w:rPr>
              <w:t>1日</w:t>
            </w:r>
          </w:p>
          <w:p>
            <w:pPr>
              <w:widowControl/>
              <w:adjustRightInd w:val="0"/>
              <w:snapToGrid w:val="0"/>
              <w:jc w:val="center"/>
              <w:rPr>
                <w:rFonts w:asciiTheme="minorEastAsia" w:hAnsiTheme="minorEastAsia" w:cstheme="minorEastAsia"/>
                <w:color w:val="FF0000"/>
                <w:kern w:val="0"/>
                <w:sz w:val="16"/>
                <w:szCs w:val="16"/>
              </w:rPr>
            </w:pPr>
            <w:r>
              <w:rPr>
                <w:rFonts w:hint="eastAsia" w:ascii="宋体" w:hAnsi="宋体" w:eastAsia="宋体" w:cs="宋体"/>
                <w:kern w:val="0"/>
                <w:sz w:val="16"/>
                <w:szCs w:val="16"/>
              </w:rPr>
              <w:t>（未经审计）</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center"/>
              <w:rPr>
                <w:rFonts w:ascii="宋体" w:hAnsi="宋体" w:cs="宋体"/>
                <w:kern w:val="0"/>
                <w:sz w:val="16"/>
                <w:szCs w:val="16"/>
              </w:rPr>
            </w:pPr>
            <w:r>
              <w:rPr>
                <w:rFonts w:hint="eastAsia" w:ascii="宋体" w:hAnsi="宋体" w:eastAsia="宋体" w:cs="宋体"/>
                <w:kern w:val="0"/>
                <w:sz w:val="16"/>
                <w:szCs w:val="16"/>
              </w:rPr>
              <w:t>2025年12月31日</w:t>
            </w:r>
          </w:p>
          <w:p>
            <w:pPr>
              <w:widowControl/>
              <w:adjustRightInd w:val="0"/>
              <w:snapToGrid w:val="0"/>
              <w:jc w:val="center"/>
              <w:rPr>
                <w:rFonts w:asciiTheme="minorEastAsia" w:hAnsiTheme="minorEastAsia" w:cstheme="minorEastAsia"/>
                <w:color w:val="FF0000"/>
                <w:kern w:val="0"/>
                <w:sz w:val="16"/>
                <w:szCs w:val="16"/>
              </w:rPr>
            </w:pPr>
            <w:r>
              <w:rPr>
                <w:rFonts w:hint="eastAsia" w:ascii="宋体" w:hAnsi="宋体" w:eastAsia="宋体" w:cs="宋体"/>
                <w:kern w:val="0"/>
                <w:sz w:val="16"/>
                <w:szCs w:val="16"/>
              </w:rPr>
              <w:t>（经审计）</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bookmarkStart w:id="8" w:name="_Hlk229146614"/>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资产总额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217,253.49</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220,749.60</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负债总额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149,425.36</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154,795.20</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资产净额</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67,828.13</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65,954.40</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jc w:val="center"/>
              <w:textAlignment w:val="center"/>
              <w:rPr>
                <w:rFonts w:ascii="宋体" w:hAnsi="宋体" w:cs="宋体"/>
                <w:color w:val="000000"/>
                <w:kern w:val="0"/>
                <w:sz w:val="16"/>
                <w:szCs w:val="16"/>
                <w:lang w:bidi="ar"/>
              </w:rPr>
            </w:pPr>
            <w:r>
              <w:rPr>
                <w:rFonts w:hint="eastAsia" w:ascii="宋体" w:hAnsi="宋体" w:eastAsia="宋体" w:cs="宋体"/>
                <w:color w:val="000000"/>
                <w:kern w:val="0"/>
                <w:sz w:val="16"/>
                <w:szCs w:val="16"/>
                <w:lang w:bidi="ar"/>
              </w:rPr>
              <w:t>2026年1-3月</w:t>
            </w:r>
          </w:p>
          <w:p>
            <w:pPr>
              <w:widowControl/>
              <w:jc w:val="center"/>
              <w:textAlignment w:val="center"/>
              <w:rPr>
                <w:rFonts w:asciiTheme="minorEastAsia" w:hAnsiTheme="minorEastAsia" w:cstheme="minorEastAsia"/>
                <w:color w:val="000000"/>
                <w:kern w:val="0"/>
                <w:sz w:val="16"/>
                <w:szCs w:val="16"/>
              </w:rPr>
            </w:pPr>
            <w:r>
              <w:rPr>
                <w:rFonts w:hint="eastAsia" w:ascii="宋体" w:hAnsi="宋体" w:eastAsia="宋体" w:cs="宋体"/>
                <w:color w:val="000000"/>
                <w:kern w:val="0"/>
                <w:sz w:val="16"/>
                <w:szCs w:val="16"/>
                <w:lang w:bidi="ar"/>
              </w:rPr>
              <w:t>（未经审计）</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jc w:val="center"/>
              <w:textAlignment w:val="center"/>
              <w:rPr>
                <w:rFonts w:ascii="宋体" w:hAnsi="宋体" w:cs="宋体"/>
                <w:color w:val="000000"/>
                <w:kern w:val="0"/>
                <w:sz w:val="16"/>
                <w:szCs w:val="16"/>
                <w:lang w:bidi="ar"/>
              </w:rPr>
            </w:pPr>
            <w:r>
              <w:rPr>
                <w:rFonts w:hint="eastAsia" w:ascii="宋体" w:hAnsi="宋体" w:eastAsia="宋体" w:cs="宋体"/>
                <w:color w:val="000000"/>
                <w:kern w:val="0"/>
                <w:sz w:val="16"/>
                <w:szCs w:val="16"/>
                <w:lang w:bidi="ar"/>
              </w:rPr>
              <w:t>2025年1-12月</w:t>
            </w:r>
          </w:p>
          <w:p>
            <w:pPr>
              <w:widowControl/>
              <w:jc w:val="center"/>
              <w:textAlignment w:val="center"/>
              <w:rPr>
                <w:rFonts w:asciiTheme="minorEastAsia" w:hAnsiTheme="minorEastAsia" w:cstheme="minorEastAsia"/>
                <w:color w:val="000000"/>
                <w:kern w:val="0"/>
                <w:sz w:val="16"/>
                <w:szCs w:val="16"/>
              </w:rPr>
            </w:pPr>
            <w:r>
              <w:rPr>
                <w:rFonts w:hint="eastAsia" w:ascii="宋体" w:hAnsi="宋体" w:eastAsia="宋体" w:cs="宋体"/>
                <w:color w:val="000000"/>
                <w:kern w:val="0"/>
                <w:sz w:val="16"/>
                <w:szCs w:val="16"/>
                <w:lang w:bidi="ar"/>
              </w:rPr>
              <w:t>（经审计）</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营业收入</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26,546.92</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130,858.57</w:t>
            </w:r>
          </w:p>
        </w:tc>
      </w:tr>
      <w:tr>
        <w:tblPrEx>
          <w:tblCellMar>
            <w:top w:w="0" w:type="dxa"/>
            <w:left w:w="0" w:type="dxa"/>
            <w:bottom w:w="0" w:type="dxa"/>
            <w:right w:w="0" w:type="dxa"/>
          </w:tblCellMar>
        </w:tblPrEx>
        <w:trPr>
          <w:trHeight w:val="397" w:hRule="atLeast"/>
          <w:jc w:val="center"/>
        </w:trPr>
        <w:tc>
          <w:tcPr>
            <w:tcW w:w="1410" w:type="pct"/>
            <w:vMerge w:val="continue"/>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p>
        </w:tc>
        <w:tc>
          <w:tcPr>
            <w:tcW w:w="848"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rPr>
                <w:rFonts w:asciiTheme="minorEastAsia" w:hAnsiTheme="minorEastAsia" w:cstheme="minorEastAsia"/>
                <w:color w:val="000000"/>
                <w:kern w:val="0"/>
                <w:sz w:val="16"/>
                <w:szCs w:val="16"/>
              </w:rPr>
            </w:pPr>
            <w:r>
              <w:rPr>
                <w:rFonts w:hint="eastAsia" w:eastAsia="宋体" w:asciiTheme="minorEastAsia" w:hAnsiTheme="minorEastAsia" w:cstheme="minorEastAsia"/>
                <w:color w:val="000000"/>
                <w:kern w:val="0"/>
                <w:sz w:val="16"/>
                <w:szCs w:val="16"/>
              </w:rPr>
              <w:t>净利润</w:t>
            </w:r>
          </w:p>
        </w:tc>
        <w:tc>
          <w:tcPr>
            <w:tcW w:w="1193"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1,830.11</w:t>
            </w:r>
          </w:p>
        </w:tc>
        <w:tc>
          <w:tcPr>
            <w:tcW w:w="1549" w:type="pct"/>
            <w:tcBorders>
              <w:top w:val="single" w:color="4D4D4D" w:sz="4" w:space="0"/>
              <w:left w:val="single" w:color="4D4D4D" w:sz="4" w:space="0"/>
              <w:bottom w:val="single" w:color="4D4D4D" w:sz="4" w:space="0"/>
              <w:right w:val="single" w:color="4D4D4D" w:sz="4" w:space="0"/>
            </w:tcBorders>
            <w:tcMar>
              <w:top w:w="56" w:type="dxa"/>
              <w:left w:w="56" w:type="dxa"/>
              <w:bottom w:w="56" w:type="dxa"/>
              <w:right w:w="56" w:type="dxa"/>
            </w:tcMar>
            <w:vAlign w:val="center"/>
          </w:tcPr>
          <w:p>
            <w:pPr>
              <w:widowControl/>
              <w:adjustRightInd w:val="0"/>
              <w:snapToGrid w:val="0"/>
              <w:jc w:val="right"/>
              <w:rPr>
                <w:rFonts w:asciiTheme="minorEastAsia" w:hAnsiTheme="minorEastAsia" w:cstheme="minorEastAsia"/>
                <w:color w:val="000000"/>
                <w:kern w:val="0"/>
                <w:sz w:val="16"/>
                <w:szCs w:val="16"/>
              </w:rPr>
            </w:pPr>
            <w:r>
              <w:rPr>
                <w:rFonts w:eastAsia="宋体" w:asciiTheme="minorEastAsia" w:hAnsiTheme="minorEastAsia" w:cstheme="minorEastAsia"/>
                <w:color w:val="000000"/>
                <w:kern w:val="0"/>
                <w:sz w:val="16"/>
                <w:szCs w:val="16"/>
              </w:rPr>
              <w:t>4,206.06</w:t>
            </w:r>
          </w:p>
        </w:tc>
      </w:tr>
      <w:bookmarkEnd w:id="8"/>
    </w:tbl>
    <w:p/>
    <w:p>
      <w:pPr>
        <w:widowControl/>
        <w:numPr>
          <w:ilvl w:val="0"/>
          <w:numId w:val="2"/>
        </w:numPr>
        <w:adjustRightInd w:val="0"/>
        <w:snapToGrid w:val="0"/>
        <w:spacing w:line="560" w:lineRule="exact"/>
        <w:ind w:firstLine="482" w:firstLineChars="200"/>
        <w:jc w:val="left"/>
        <w:outlineLvl w:val="0"/>
        <w:rPr>
          <w:rFonts w:hint="eastAsia" w:ascii="宋体" w:hAnsi="宋体" w:eastAsia="宋体" w:cs="宋体"/>
          <w:b/>
          <w:bCs/>
          <w:sz w:val="24"/>
          <w:szCs w:val="24"/>
        </w:rPr>
      </w:pPr>
      <w:r>
        <w:rPr>
          <w:rFonts w:hint="eastAsia" w:ascii="宋体" w:hAnsi="宋体" w:eastAsia="宋体" w:cs="宋体"/>
          <w:b/>
          <w:bCs/>
          <w:sz w:val="24"/>
          <w:szCs w:val="24"/>
        </w:rPr>
        <w:t>担保协议的主要内容</w:t>
      </w:r>
    </w:p>
    <w:p>
      <w:pPr>
        <w:widowControl/>
        <w:adjustRightInd w:val="0"/>
        <w:snapToGrid w:val="0"/>
        <w:spacing w:line="560" w:lineRule="exact"/>
        <w:ind w:firstLine="480" w:firstLineChars="200"/>
        <w:jc w:val="left"/>
        <w:outlineLvl w:val="0"/>
        <w:rPr>
          <w:rFonts w:hint="eastAsia" w:ascii="宋体" w:hAnsi="宋体" w:eastAsia="宋体" w:cs="宋体"/>
          <w:b/>
          <w:bCs/>
          <w:sz w:val="24"/>
          <w:szCs w:val="24"/>
        </w:rPr>
      </w:pPr>
      <w:r>
        <w:rPr>
          <w:rFonts w:hint="eastAsia" w:ascii="宋体" w:hAnsi="宋体" w:eastAsia="宋体" w:cs="宋体"/>
          <w:sz w:val="24"/>
          <w:szCs w:val="24"/>
        </w:rPr>
        <w:t>（一）公司与广发银行股份有限公司昆明和谐世纪支行签署的《最高额保证合同》</w:t>
      </w:r>
    </w:p>
    <w:p>
      <w:pPr>
        <w:pStyle w:val="10"/>
        <w:spacing w:beforeAutospacing="0" w:afterAutospacing="0"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1、保证人：重庆望变电气（集团）股份有限公司</w:t>
      </w:r>
    </w:p>
    <w:p>
      <w:pPr>
        <w:numPr>
          <w:ilvl w:val="255"/>
          <w:numId w:val="0"/>
        </w:numPr>
        <w:autoSpaceDE w:val="0"/>
        <w:autoSpaceDN w:val="0"/>
        <w:adjustRightInd w:val="0"/>
        <w:spacing w:line="560" w:lineRule="exact"/>
        <w:ind w:firstLine="480" w:firstLineChars="200"/>
        <w:rPr>
          <w:rFonts w:hint="eastAsia" w:ascii="宋体" w:hAnsi="宋体" w:eastAsia="宋体" w:cs="宋体"/>
          <w:kern w:val="0"/>
          <w:sz w:val="24"/>
          <w:szCs w:val="24"/>
        </w:rPr>
      </w:pPr>
      <w:r>
        <w:rPr>
          <w:rFonts w:hint="eastAsia" w:ascii="宋体" w:hAnsi="宋体" w:eastAsia="宋体" w:cs="宋体"/>
          <w:sz w:val="24"/>
          <w:szCs w:val="24"/>
        </w:rPr>
        <w:t>2、保证方式：连带责任保证</w:t>
      </w:r>
    </w:p>
    <w:p>
      <w:pPr>
        <w:numPr>
          <w:ilvl w:val="255"/>
          <w:numId w:val="0"/>
        </w:numPr>
        <w:autoSpaceDE w:val="0"/>
        <w:autoSpaceDN w:val="0"/>
        <w:adjustRightInd w:val="0"/>
        <w:spacing w:line="56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3、保证范围：</w:t>
      </w:r>
    </w:p>
    <w:p>
      <w:pPr>
        <w:numPr>
          <w:ilvl w:val="255"/>
          <w:numId w:val="0"/>
        </w:numPr>
        <w:autoSpaceDE w:val="0"/>
        <w:autoSpaceDN w:val="0"/>
        <w:adjustRightInd w:val="0"/>
        <w:spacing w:line="560" w:lineRule="exact"/>
        <w:ind w:firstLine="480"/>
        <w:rPr>
          <w:rFonts w:hint="eastAsia" w:ascii="宋体" w:hAnsi="宋体" w:eastAsia="宋体" w:cs="宋体"/>
          <w:kern w:val="0"/>
          <w:sz w:val="24"/>
          <w:szCs w:val="24"/>
        </w:rPr>
      </w:pPr>
      <w:r>
        <w:rPr>
          <w:rFonts w:hint="eastAsia" w:ascii="宋体" w:hAnsi="宋体" w:eastAsia="宋体" w:cs="宋体"/>
          <w:sz w:val="24"/>
          <w:szCs w:val="24"/>
        </w:rPr>
        <w:t>本合同担保的范围包括主合同项下的债务本金、利息、罚息、复利、违约金、损害赔偿金、为实现债权而发生的费用及其他所有应付费用，其中最高债权本金余额为人民币12,000.00万元。</w:t>
      </w:r>
    </w:p>
    <w:p>
      <w:pPr>
        <w:numPr>
          <w:ilvl w:val="255"/>
          <w:numId w:val="0"/>
        </w:numPr>
        <w:autoSpaceDE w:val="0"/>
        <w:autoSpaceDN w:val="0"/>
        <w:adjustRightInd w:val="0"/>
        <w:spacing w:line="560" w:lineRule="exact"/>
        <w:ind w:firstLine="480"/>
        <w:rPr>
          <w:rFonts w:hint="eastAsia" w:ascii="宋体" w:hAnsi="宋体" w:eastAsia="宋体" w:cs="宋体"/>
          <w:kern w:val="0"/>
          <w:sz w:val="24"/>
          <w:szCs w:val="24"/>
        </w:rPr>
      </w:pPr>
      <w:r>
        <w:rPr>
          <w:rFonts w:hint="eastAsia" w:ascii="宋体" w:hAnsi="宋体" w:eastAsia="宋体" w:cs="宋体"/>
          <w:kern w:val="0"/>
          <w:sz w:val="24"/>
          <w:szCs w:val="24"/>
        </w:rPr>
        <w:t>4、保证期限：</w:t>
      </w:r>
    </w:p>
    <w:p>
      <w:pPr>
        <w:widowControl/>
        <w:adjustRightInd w:val="0"/>
        <w:snapToGrid w:val="0"/>
        <w:spacing w:line="560" w:lineRule="exact"/>
        <w:ind w:firstLine="480" w:firstLineChars="200"/>
        <w:outlineLvl w:val="0"/>
        <w:rPr>
          <w:rFonts w:hint="eastAsia" w:ascii="宋体" w:hAnsi="宋体" w:eastAsia="宋体" w:cs="宋体"/>
          <w:kern w:val="0"/>
          <w:sz w:val="24"/>
          <w:szCs w:val="24"/>
        </w:rPr>
      </w:pPr>
      <w:r>
        <w:rPr>
          <w:rFonts w:hint="eastAsia" w:ascii="宋体" w:hAnsi="宋体" w:eastAsia="宋体" w:cs="宋体"/>
          <w:sz w:val="24"/>
          <w:szCs w:val="24"/>
        </w:rPr>
        <w:t>保证期间为自主合同项下债务人履行债务期限届满之日起三年；债务提前到期的，自提前履行债务期限届满之日起三年；分期清偿的，自本合同生效之日起至最后一期债务履行期限届满之日后三年；主合同展期的，保证期间为展期协议约定的债务履行期限届满之日起三年。</w:t>
      </w:r>
    </w:p>
    <w:p>
      <w:pPr>
        <w:widowControl/>
        <w:adjustRightInd w:val="0"/>
        <w:snapToGrid w:val="0"/>
        <w:spacing w:line="560" w:lineRule="exact"/>
        <w:ind w:firstLine="480" w:firstLineChars="200"/>
        <w:jc w:val="left"/>
        <w:outlineLvl w:val="0"/>
        <w:rPr>
          <w:rFonts w:hint="eastAsia" w:ascii="宋体" w:hAnsi="宋体" w:eastAsia="宋体" w:cs="宋体"/>
          <w:b/>
          <w:bCs/>
          <w:sz w:val="24"/>
          <w:szCs w:val="24"/>
        </w:rPr>
      </w:pPr>
      <w:r>
        <w:rPr>
          <w:rFonts w:hint="eastAsia" w:ascii="宋体" w:hAnsi="宋体" w:eastAsia="宋体" w:cs="宋体"/>
          <w:sz w:val="24"/>
          <w:szCs w:val="24"/>
        </w:rPr>
        <w:t>（二）公司与中国银行股份有限公司昆明市西山支行签署的《最高额保证合同》</w:t>
      </w:r>
    </w:p>
    <w:p>
      <w:pPr>
        <w:pStyle w:val="10"/>
        <w:spacing w:beforeAutospacing="0" w:afterAutospacing="0"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1、保证人：重庆望变电气（集团）股份有限公司</w:t>
      </w:r>
    </w:p>
    <w:p>
      <w:pPr>
        <w:numPr>
          <w:ilvl w:val="255"/>
          <w:numId w:val="0"/>
        </w:numPr>
        <w:autoSpaceDE w:val="0"/>
        <w:autoSpaceDN w:val="0"/>
        <w:adjustRightInd w:val="0"/>
        <w:spacing w:line="560" w:lineRule="exact"/>
        <w:ind w:firstLine="480" w:firstLineChars="200"/>
        <w:rPr>
          <w:rFonts w:hint="eastAsia" w:ascii="宋体" w:hAnsi="宋体" w:eastAsia="宋体" w:cs="宋体"/>
          <w:kern w:val="0"/>
          <w:sz w:val="24"/>
          <w:szCs w:val="24"/>
        </w:rPr>
      </w:pPr>
      <w:r>
        <w:rPr>
          <w:rFonts w:hint="eastAsia" w:ascii="宋体" w:hAnsi="宋体" w:eastAsia="宋体" w:cs="宋体"/>
          <w:sz w:val="24"/>
          <w:szCs w:val="24"/>
        </w:rPr>
        <w:t>2、保证方式：连带责任保证</w:t>
      </w:r>
    </w:p>
    <w:p>
      <w:pPr>
        <w:numPr>
          <w:ilvl w:val="255"/>
          <w:numId w:val="0"/>
        </w:numPr>
        <w:autoSpaceDE w:val="0"/>
        <w:autoSpaceDN w:val="0"/>
        <w:adjustRightInd w:val="0"/>
        <w:spacing w:line="56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3、保证范围：</w:t>
      </w:r>
    </w:p>
    <w:p>
      <w:pPr>
        <w:numPr>
          <w:ilvl w:val="255"/>
          <w:numId w:val="0"/>
        </w:numPr>
        <w:autoSpaceDE w:val="0"/>
        <w:autoSpaceDN w:val="0"/>
        <w:adjustRightInd w:val="0"/>
        <w:spacing w:line="560" w:lineRule="exact"/>
        <w:ind w:firstLine="480"/>
        <w:rPr>
          <w:rFonts w:hint="eastAsia" w:ascii="宋体" w:hAnsi="宋体" w:eastAsia="宋体" w:cs="宋体"/>
          <w:kern w:val="0"/>
          <w:sz w:val="24"/>
          <w:szCs w:val="24"/>
        </w:rPr>
      </w:pPr>
      <w:r>
        <w:rPr>
          <w:rFonts w:hint="eastAsia" w:ascii="宋体" w:hAnsi="宋体" w:eastAsia="宋体" w:cs="宋体"/>
          <w:sz w:val="24"/>
          <w:szCs w:val="24"/>
        </w:rPr>
        <w:t>本合同所担保债权的最高本金余额为人民币29,000.00万元；被确定属于本合同之被担保主债权的，基于该主债权本金所发生的利息（包括利息、复利、罚息）、违约金、损害赔偿金、实现债权的费用，以及因债务人违约给债权人造成的损失和其他所有应付费用等，亦属于被担保债权。</w:t>
      </w:r>
    </w:p>
    <w:p>
      <w:pPr>
        <w:numPr>
          <w:ilvl w:val="255"/>
          <w:numId w:val="0"/>
        </w:numPr>
        <w:autoSpaceDE w:val="0"/>
        <w:autoSpaceDN w:val="0"/>
        <w:adjustRightInd w:val="0"/>
        <w:spacing w:line="560" w:lineRule="exact"/>
        <w:ind w:firstLine="480"/>
        <w:rPr>
          <w:rFonts w:hint="eastAsia" w:ascii="宋体" w:hAnsi="宋体" w:eastAsia="宋体" w:cs="宋体"/>
          <w:kern w:val="0"/>
          <w:sz w:val="24"/>
          <w:szCs w:val="24"/>
        </w:rPr>
      </w:pPr>
      <w:r>
        <w:rPr>
          <w:rFonts w:hint="eastAsia" w:ascii="宋体" w:hAnsi="宋体" w:eastAsia="宋体" w:cs="宋体"/>
          <w:kern w:val="0"/>
          <w:sz w:val="24"/>
          <w:szCs w:val="24"/>
        </w:rPr>
        <w:t>4、保证期限：</w:t>
      </w:r>
    </w:p>
    <w:p>
      <w:pPr>
        <w:widowControl/>
        <w:adjustRightInd w:val="0"/>
        <w:snapToGrid w:val="0"/>
        <w:spacing w:line="560" w:lineRule="exact"/>
        <w:ind w:firstLine="480" w:firstLineChars="200"/>
        <w:outlineLvl w:val="0"/>
        <w:rPr>
          <w:rFonts w:hint="eastAsia" w:ascii="宋体" w:hAnsi="宋体" w:eastAsia="宋体" w:cs="宋体"/>
          <w:kern w:val="0"/>
          <w:sz w:val="24"/>
          <w:szCs w:val="24"/>
        </w:rPr>
      </w:pPr>
      <w:r>
        <w:rPr>
          <w:rFonts w:hint="eastAsia" w:ascii="宋体" w:hAnsi="宋体" w:eastAsia="宋体" w:cs="宋体"/>
          <w:sz w:val="24"/>
          <w:szCs w:val="24"/>
        </w:rPr>
        <w:t>本合同项下所担保的债务逐笔单独计算保证期间，各债务保证期间为该笔债务履行期限届满之日起三年；在该保证期间内，债权人有权就所涉主债权的全部或部分、多笔或单笔，一并或分别要求保证人承担保证责任。</w:t>
      </w:r>
    </w:p>
    <w:p>
      <w:pPr>
        <w:widowControl/>
        <w:adjustRightInd w:val="0"/>
        <w:snapToGrid w:val="0"/>
        <w:spacing w:line="560" w:lineRule="exact"/>
        <w:ind w:firstLine="480" w:firstLineChars="200"/>
        <w:jc w:val="left"/>
        <w:outlineLvl w:val="0"/>
        <w:rPr>
          <w:rFonts w:hint="eastAsia" w:ascii="宋体" w:hAnsi="宋体" w:eastAsia="宋体" w:cs="宋体"/>
          <w:b/>
          <w:bCs/>
          <w:sz w:val="24"/>
          <w:szCs w:val="24"/>
        </w:rPr>
      </w:pPr>
      <w:r>
        <w:rPr>
          <w:rFonts w:hint="eastAsia" w:ascii="宋体" w:hAnsi="宋体" w:eastAsia="宋体" w:cs="宋体"/>
          <w:sz w:val="24"/>
          <w:szCs w:val="24"/>
        </w:rPr>
        <w:t>（三）公司与中信银行股份有限公司昆明分行签署的《最高额保证合同》（合同编号：2026信银云最保字第003309号）</w:t>
      </w:r>
    </w:p>
    <w:p>
      <w:pPr>
        <w:pStyle w:val="10"/>
        <w:spacing w:beforeAutospacing="0" w:afterAutospacing="0"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1、保证人：重庆望变电气（集团）股份有限公司</w:t>
      </w:r>
    </w:p>
    <w:p>
      <w:pPr>
        <w:numPr>
          <w:ilvl w:val="255"/>
          <w:numId w:val="0"/>
        </w:numPr>
        <w:autoSpaceDE w:val="0"/>
        <w:autoSpaceDN w:val="0"/>
        <w:adjustRightInd w:val="0"/>
        <w:spacing w:line="560" w:lineRule="exact"/>
        <w:ind w:firstLine="480" w:firstLineChars="200"/>
        <w:rPr>
          <w:rFonts w:hint="eastAsia" w:ascii="宋体" w:hAnsi="宋体" w:eastAsia="宋体" w:cs="宋体"/>
          <w:kern w:val="0"/>
          <w:sz w:val="24"/>
          <w:szCs w:val="24"/>
        </w:rPr>
      </w:pPr>
      <w:r>
        <w:rPr>
          <w:rFonts w:hint="eastAsia" w:ascii="宋体" w:hAnsi="宋体" w:eastAsia="宋体" w:cs="宋体"/>
          <w:sz w:val="24"/>
          <w:szCs w:val="24"/>
        </w:rPr>
        <w:t>2、保证方式：连带责任保证</w:t>
      </w:r>
    </w:p>
    <w:p>
      <w:pPr>
        <w:numPr>
          <w:ilvl w:val="255"/>
          <w:numId w:val="0"/>
        </w:numPr>
        <w:autoSpaceDE w:val="0"/>
        <w:autoSpaceDN w:val="0"/>
        <w:adjustRightInd w:val="0"/>
        <w:spacing w:line="56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3、保证范围：</w:t>
      </w:r>
    </w:p>
    <w:p>
      <w:pPr>
        <w:numPr>
          <w:ilvl w:val="255"/>
          <w:numId w:val="0"/>
        </w:numPr>
        <w:autoSpaceDE w:val="0"/>
        <w:autoSpaceDN w:val="0"/>
        <w:adjustRightInd w:val="0"/>
        <w:spacing w:line="560" w:lineRule="exact"/>
        <w:ind w:firstLine="480"/>
        <w:rPr>
          <w:rFonts w:hint="eastAsia" w:ascii="宋体" w:hAnsi="宋体" w:eastAsia="宋体" w:cs="宋体"/>
          <w:kern w:val="0"/>
          <w:sz w:val="24"/>
          <w:szCs w:val="24"/>
        </w:rPr>
      </w:pPr>
      <w:r>
        <w:rPr>
          <w:rFonts w:hint="eastAsia" w:ascii="宋体" w:hAnsi="宋体" w:eastAsia="宋体" w:cs="宋体"/>
          <w:sz w:val="24"/>
          <w:szCs w:val="24"/>
        </w:rPr>
        <w:t>本合同担保范围包括主合同项下的主债权、利息、罚息、复利、违约金、损害赔偿金、迟延履行期间的债务利息、迟延履行金、为实现债权和担保权利所发生的一切费用及其他所有应付费用，其中最高债权本金余额为人民币10,000.00万元。</w:t>
      </w:r>
    </w:p>
    <w:p>
      <w:pPr>
        <w:numPr>
          <w:ilvl w:val="255"/>
          <w:numId w:val="0"/>
        </w:numPr>
        <w:autoSpaceDE w:val="0"/>
        <w:autoSpaceDN w:val="0"/>
        <w:adjustRightInd w:val="0"/>
        <w:spacing w:line="560" w:lineRule="exact"/>
        <w:ind w:firstLine="480"/>
        <w:rPr>
          <w:rFonts w:hint="eastAsia" w:ascii="宋体" w:hAnsi="宋体" w:eastAsia="宋体" w:cs="宋体"/>
          <w:kern w:val="0"/>
          <w:sz w:val="24"/>
          <w:szCs w:val="24"/>
        </w:rPr>
      </w:pPr>
      <w:r>
        <w:rPr>
          <w:rFonts w:hint="eastAsia" w:ascii="宋体" w:hAnsi="宋体" w:eastAsia="宋体" w:cs="宋体"/>
          <w:kern w:val="0"/>
          <w:sz w:val="24"/>
          <w:szCs w:val="24"/>
        </w:rPr>
        <w:t>4、保证期限：</w:t>
      </w:r>
    </w:p>
    <w:p>
      <w:pPr>
        <w:widowControl/>
        <w:adjustRightInd w:val="0"/>
        <w:snapToGrid w:val="0"/>
        <w:spacing w:line="560" w:lineRule="exact"/>
        <w:ind w:firstLine="480" w:firstLineChars="200"/>
        <w:outlineLvl w:val="0"/>
        <w:rPr>
          <w:rFonts w:hint="eastAsia" w:ascii="宋体" w:hAnsi="宋体" w:eastAsia="宋体" w:cs="宋体"/>
          <w:kern w:val="0"/>
          <w:sz w:val="24"/>
          <w:szCs w:val="24"/>
        </w:rPr>
      </w:pPr>
      <w:r>
        <w:rPr>
          <w:rFonts w:hint="eastAsia" w:ascii="宋体" w:hAnsi="宋体" w:eastAsia="宋体" w:cs="宋体"/>
          <w:sz w:val="24"/>
          <w:szCs w:val="24"/>
        </w:rPr>
        <w:t>本合同项下的保证期间为主合同项下债务履行期限届满之日起三年，即自债务人依具体业务合同约定的债务履行期限届满之日起三年，每一具体业务合同项下的保证期间单独计算；主合同债务提前到期或展期的，保证期间按照合同约定相应计算。</w:t>
      </w:r>
    </w:p>
    <w:p>
      <w:pPr>
        <w:widowControl/>
        <w:adjustRightInd w:val="0"/>
        <w:snapToGrid w:val="0"/>
        <w:spacing w:line="560" w:lineRule="exact"/>
        <w:ind w:firstLine="482" w:firstLineChars="200"/>
        <w:outlineLvl w:val="0"/>
        <w:rPr>
          <w:rFonts w:hint="eastAsia" w:ascii="宋体" w:hAnsi="宋体" w:eastAsia="宋体" w:cs="宋体"/>
          <w:b/>
          <w:bCs/>
          <w:sz w:val="24"/>
          <w:szCs w:val="24"/>
        </w:rPr>
      </w:pPr>
      <w:r>
        <w:rPr>
          <w:rFonts w:hint="eastAsia" w:ascii="宋体" w:hAnsi="宋体" w:eastAsia="宋体" w:cs="宋体"/>
          <w:b/>
          <w:bCs/>
          <w:sz w:val="24"/>
          <w:szCs w:val="24"/>
        </w:rPr>
        <w:t>四、担保的必要性和合理性</w:t>
      </w:r>
    </w:p>
    <w:p>
      <w:pPr>
        <w:widowControl/>
        <w:adjustRightInd w:val="0"/>
        <w:snapToGrid w:val="0"/>
        <w:spacing w:line="56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公司本月新增的对外担保主要为满足子公司日常生产经营需要，保证其生产经营活动的顺利开展，符合公司实际经营情况和整体发展战略，具有必要性和合理性。被担保对象为公司全资子公司，公司对其日常经营活动和资信状况能够及时掌握，担保风险总体可控，不会对公司及股东特别是中小股东利益造成重大不利影响。</w:t>
      </w:r>
    </w:p>
    <w:p>
      <w:pPr>
        <w:widowControl/>
        <w:adjustRightInd w:val="0"/>
        <w:snapToGrid w:val="0"/>
        <w:spacing w:line="560" w:lineRule="exact"/>
        <w:ind w:left="562"/>
        <w:jc w:val="left"/>
        <w:outlineLvl w:val="0"/>
        <w:rPr>
          <w:rFonts w:hint="eastAsia" w:ascii="宋体" w:hAnsi="宋体" w:eastAsia="宋体" w:cs="宋体"/>
          <w:b/>
          <w:bCs/>
          <w:sz w:val="24"/>
          <w:szCs w:val="24"/>
        </w:rPr>
      </w:pPr>
      <w:r>
        <w:rPr>
          <w:rFonts w:hint="eastAsia" w:ascii="宋体" w:hAnsi="宋体" w:eastAsia="宋体" w:cs="宋体"/>
          <w:b/>
          <w:bCs/>
          <w:sz w:val="24"/>
          <w:szCs w:val="24"/>
        </w:rPr>
        <w:t>五、董事会意见</w:t>
      </w:r>
    </w:p>
    <w:p>
      <w:pPr>
        <w:widowControl/>
        <w:adjustRightInd w:val="0"/>
        <w:snapToGrid w:val="0"/>
        <w:spacing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上述担保事项属于公司2025年第一次临时股东会授权范围并在有效期内，无需再次提交公司董事会、股东会审议。</w:t>
      </w:r>
    </w:p>
    <w:p>
      <w:pPr>
        <w:widowControl/>
        <w:adjustRightInd w:val="0"/>
        <w:snapToGrid w:val="0"/>
        <w:spacing w:line="560" w:lineRule="exact"/>
        <w:ind w:left="562"/>
        <w:jc w:val="left"/>
        <w:outlineLvl w:val="0"/>
        <w:rPr>
          <w:rFonts w:hint="eastAsia" w:ascii="宋体" w:hAnsi="宋体" w:eastAsia="宋体" w:cs="宋体"/>
          <w:b/>
          <w:bCs/>
          <w:sz w:val="24"/>
          <w:szCs w:val="24"/>
        </w:rPr>
      </w:pPr>
      <w:r>
        <w:rPr>
          <w:rFonts w:hint="eastAsia" w:ascii="宋体" w:hAnsi="宋体" w:eastAsia="宋体" w:cs="宋体"/>
          <w:b/>
          <w:bCs/>
          <w:sz w:val="24"/>
          <w:szCs w:val="24"/>
        </w:rPr>
        <w:t>六、累计对外担保数量及逾期担保的数量</w:t>
      </w:r>
    </w:p>
    <w:p>
      <w:pPr>
        <w:autoSpaceDE w:val="0"/>
        <w:autoSpaceDN w:val="0"/>
        <w:adjustRightInd w:val="0"/>
        <w:spacing w:before="156" w:beforeLines="50" w:line="360" w:lineRule="auto"/>
        <w:ind w:firstLine="480" w:firstLineChars="200"/>
        <w:rPr>
          <w:rFonts w:hint="eastAsia" w:ascii="宋体" w:hAnsi="宋体" w:eastAsia="宋体" w:cs="宋体"/>
          <w:bCs/>
          <w:sz w:val="24"/>
          <w:szCs w:val="24"/>
        </w:rPr>
      </w:pPr>
      <w:r>
        <w:rPr>
          <w:rFonts w:hint="eastAsia" w:ascii="宋体" w:hAnsi="宋体" w:eastAsia="宋体" w:cs="宋体"/>
          <w:sz w:val="24"/>
          <w:szCs w:val="24"/>
        </w:rPr>
        <w:t>截至2026年7月末，公司对外担保均为对子公司的担保，累计担保总额为400,000万元（其中已签署担保合同的担保总额为</w:t>
      </w:r>
      <w:bookmarkStart w:id="9" w:name="OLE_LINK3"/>
      <w:r>
        <w:rPr>
          <w:rFonts w:hint="eastAsia" w:ascii="宋体" w:hAnsi="宋体" w:eastAsia="宋体" w:cs="宋体"/>
          <w:sz w:val="24"/>
          <w:szCs w:val="24"/>
        </w:rPr>
        <w:t>202,074.10</w:t>
      </w:r>
      <w:bookmarkEnd w:id="9"/>
      <w:r>
        <w:rPr>
          <w:rFonts w:hint="eastAsia" w:ascii="宋体" w:hAnsi="宋体" w:eastAsia="宋体" w:cs="宋体"/>
          <w:sz w:val="24"/>
          <w:szCs w:val="24"/>
        </w:rPr>
        <w:t>万元），担保余额为68,762.85万元，已签署担保合同的担保总额占公司最近一期经审计净资产的81.00%，担保余额占公司最近一期经审计净资产的27.56%；不存在逾期担保。</w:t>
      </w:r>
    </w:p>
    <w:p>
      <w:pPr>
        <w:adjustRightInd w:val="0"/>
        <w:snapToGrid w:val="0"/>
        <w:spacing w:line="360" w:lineRule="auto"/>
        <w:rPr>
          <w:rFonts w:hint="eastAsia" w:ascii="宋体" w:hAnsi="宋体" w:eastAsia="宋体" w:cs="宋体"/>
          <w:bCs/>
          <w:sz w:val="24"/>
          <w:szCs w:val="24"/>
        </w:rPr>
      </w:pPr>
    </w:p>
    <w:p>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特此公告。</w:t>
      </w:r>
    </w:p>
    <w:p>
      <w:pPr>
        <w:adjustRightInd w:val="0"/>
        <w:snapToGrid w:val="0"/>
        <w:spacing w:line="360" w:lineRule="auto"/>
        <w:jc w:val="right"/>
        <w:rPr>
          <w:rFonts w:hint="eastAsia" w:ascii="宋体" w:hAnsi="宋体" w:eastAsia="宋体" w:cs="宋体"/>
          <w:bCs/>
          <w:sz w:val="24"/>
          <w:szCs w:val="24"/>
        </w:rPr>
      </w:pPr>
      <w:r>
        <w:rPr>
          <w:rFonts w:hint="eastAsia" w:ascii="宋体" w:hAnsi="宋体" w:eastAsia="宋体" w:cs="宋体"/>
          <w:bCs/>
          <w:sz w:val="24"/>
          <w:szCs w:val="24"/>
        </w:rPr>
        <w:t>重庆望变电气（集团）股份有限公司董事会</w:t>
      </w:r>
    </w:p>
    <w:p>
      <w:pPr>
        <w:adjustRightInd w:val="0"/>
        <w:snapToGrid w:val="0"/>
        <w:spacing w:line="360" w:lineRule="auto"/>
        <w:jc w:val="right"/>
        <w:rPr>
          <w:rFonts w:hint="eastAsia" w:ascii="宋体" w:hAnsi="宋体" w:eastAsia="宋体" w:cs="宋体"/>
          <w:sz w:val="24"/>
          <w:szCs w:val="24"/>
        </w:rPr>
      </w:pPr>
      <w:r>
        <w:rPr>
          <w:rFonts w:hint="eastAsia" w:ascii="宋体" w:hAnsi="宋体" w:eastAsia="宋体" w:cs="宋体"/>
          <w:sz w:val="24"/>
          <w:szCs w:val="24"/>
        </w:rPr>
        <w:t>2026年8月</w:t>
      </w:r>
      <w:r>
        <w:rPr>
          <w:rFonts w:hint="eastAsia" w:ascii="宋体" w:hAnsi="宋体" w:eastAsia="宋体" w:cs="宋体"/>
          <w:sz w:val="24"/>
          <w:szCs w:val="24"/>
          <w:lang w:val="en-US" w:eastAsia="zh-CN"/>
        </w:rPr>
        <w:t>7</w:t>
      </w:r>
      <w:r>
        <w:rPr>
          <w:rFonts w:hint="eastAsia" w:ascii="宋体" w:hAnsi="宋体" w:eastAsia="宋体" w:cs="宋体"/>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66AE4B8-EA41-4347-939A-21D5B1204B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仿宋_GB2312">
    <w:altName w:val="仿宋"/>
    <w:panose1 w:val="00000000000000000000"/>
    <w:charset w:val="86"/>
    <w:family w:val="modern"/>
    <w:pitch w:val="default"/>
    <w:sig w:usb0="00000000" w:usb1="00000000" w:usb2="00000000" w:usb3="00000000" w:csb0="00040000" w:csb1="00000000"/>
    <w:embedRegular r:id="rId2" w:fontKey="{36C9B713-408C-43CD-9D12-89183F185FCA}"/>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8B4FAA"/>
    <w:multiLevelType w:val="singleLevel"/>
    <w:tmpl w:val="168B4FAA"/>
    <w:lvl w:ilvl="0" w:tentative="0">
      <w:start w:val="1"/>
      <w:numFmt w:val="bullet"/>
      <w:lvlText w:val=""/>
      <w:lvlJc w:val="left"/>
      <w:pPr>
        <w:ind w:left="420" w:hanging="420"/>
      </w:pPr>
      <w:rPr>
        <w:rFonts w:hint="default" w:ascii="Wingdings" w:hAnsi="Wingdings"/>
      </w:rPr>
    </w:lvl>
  </w:abstractNum>
  <w:abstractNum w:abstractNumId="1">
    <w:nsid w:val="52EA2A72"/>
    <w:multiLevelType w:val="singleLevel"/>
    <w:tmpl w:val="52EA2A72"/>
    <w:lvl w:ilvl="0" w:tentative="0">
      <w:start w:val="1"/>
      <w:numFmt w:val="chineseCounting"/>
      <w:suff w:val="nothing"/>
      <w:lvlText w:val="%1、"/>
      <w:lvlJc w:val="left"/>
      <w:rPr>
        <w:rFonts w:hint="eastAsia"/>
      </w:rPr>
    </w:lvl>
  </w:abstractNum>
  <w:abstractNum w:abstractNumId="2">
    <w:nsid w:val="580E64DF"/>
    <w:multiLevelType w:val="multilevel"/>
    <w:tmpl w:val="580E64DF"/>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 w:name="Disclosure_Version" w:val="true"/>
    <w:docVar w:name="RemovedBindingXPath" w:val="true"/>
  </w:docVars>
  <w:rsids>
    <w:rsidRoot w:val="008C5DB8"/>
    <w:rsid w:val="00004EF0"/>
    <w:rsid w:val="0000622B"/>
    <w:rsid w:val="00007894"/>
    <w:rsid w:val="00011B58"/>
    <w:rsid w:val="00011D6B"/>
    <w:rsid w:val="00011E7C"/>
    <w:rsid w:val="000134A9"/>
    <w:rsid w:val="00013C7A"/>
    <w:rsid w:val="00014DAA"/>
    <w:rsid w:val="0001513D"/>
    <w:rsid w:val="00015213"/>
    <w:rsid w:val="00016A68"/>
    <w:rsid w:val="000209EB"/>
    <w:rsid w:val="00023FE2"/>
    <w:rsid w:val="00024791"/>
    <w:rsid w:val="00024B0F"/>
    <w:rsid w:val="000316A0"/>
    <w:rsid w:val="000316DE"/>
    <w:rsid w:val="000320FF"/>
    <w:rsid w:val="000368E2"/>
    <w:rsid w:val="00036E39"/>
    <w:rsid w:val="000415E2"/>
    <w:rsid w:val="00041AFF"/>
    <w:rsid w:val="00041B70"/>
    <w:rsid w:val="00046446"/>
    <w:rsid w:val="0005296D"/>
    <w:rsid w:val="0005330F"/>
    <w:rsid w:val="000552DE"/>
    <w:rsid w:val="00055BB1"/>
    <w:rsid w:val="00055D12"/>
    <w:rsid w:val="0005649D"/>
    <w:rsid w:val="00057954"/>
    <w:rsid w:val="00057AAF"/>
    <w:rsid w:val="0006154D"/>
    <w:rsid w:val="00061916"/>
    <w:rsid w:val="0006356A"/>
    <w:rsid w:val="00064281"/>
    <w:rsid w:val="000657A0"/>
    <w:rsid w:val="00071209"/>
    <w:rsid w:val="00071335"/>
    <w:rsid w:val="00071DCE"/>
    <w:rsid w:val="00071DFD"/>
    <w:rsid w:val="00071EFB"/>
    <w:rsid w:val="0007584E"/>
    <w:rsid w:val="0007700C"/>
    <w:rsid w:val="00083DB8"/>
    <w:rsid w:val="000843BF"/>
    <w:rsid w:val="000847A8"/>
    <w:rsid w:val="0008599D"/>
    <w:rsid w:val="0008617F"/>
    <w:rsid w:val="00091B04"/>
    <w:rsid w:val="00091E1F"/>
    <w:rsid w:val="00093210"/>
    <w:rsid w:val="00093A5E"/>
    <w:rsid w:val="00094CDA"/>
    <w:rsid w:val="00095035"/>
    <w:rsid w:val="0009529B"/>
    <w:rsid w:val="0009688B"/>
    <w:rsid w:val="00097314"/>
    <w:rsid w:val="00097EF7"/>
    <w:rsid w:val="000A0447"/>
    <w:rsid w:val="000A0B83"/>
    <w:rsid w:val="000A0BA2"/>
    <w:rsid w:val="000A2CC0"/>
    <w:rsid w:val="000A2F81"/>
    <w:rsid w:val="000A3309"/>
    <w:rsid w:val="000A5346"/>
    <w:rsid w:val="000A581B"/>
    <w:rsid w:val="000A6385"/>
    <w:rsid w:val="000A777E"/>
    <w:rsid w:val="000A779D"/>
    <w:rsid w:val="000B1C0F"/>
    <w:rsid w:val="000B26F4"/>
    <w:rsid w:val="000B5402"/>
    <w:rsid w:val="000B61DD"/>
    <w:rsid w:val="000B6EFB"/>
    <w:rsid w:val="000C0227"/>
    <w:rsid w:val="000C126A"/>
    <w:rsid w:val="000C1CD5"/>
    <w:rsid w:val="000C26F1"/>
    <w:rsid w:val="000C2BA7"/>
    <w:rsid w:val="000C4D9C"/>
    <w:rsid w:val="000C4F6E"/>
    <w:rsid w:val="000D0554"/>
    <w:rsid w:val="000D408E"/>
    <w:rsid w:val="000D4135"/>
    <w:rsid w:val="000D46D2"/>
    <w:rsid w:val="000D70E1"/>
    <w:rsid w:val="000D71C2"/>
    <w:rsid w:val="000E2BD7"/>
    <w:rsid w:val="000E4C4B"/>
    <w:rsid w:val="000E5CEE"/>
    <w:rsid w:val="000E5D69"/>
    <w:rsid w:val="000E607B"/>
    <w:rsid w:val="000E65BF"/>
    <w:rsid w:val="000F2FE3"/>
    <w:rsid w:val="000F32A6"/>
    <w:rsid w:val="000F39F7"/>
    <w:rsid w:val="000F4243"/>
    <w:rsid w:val="000F590A"/>
    <w:rsid w:val="00102EE0"/>
    <w:rsid w:val="00105374"/>
    <w:rsid w:val="00110400"/>
    <w:rsid w:val="00110C53"/>
    <w:rsid w:val="00110FD3"/>
    <w:rsid w:val="00111FD6"/>
    <w:rsid w:val="00117BC7"/>
    <w:rsid w:val="00120E15"/>
    <w:rsid w:val="001211A0"/>
    <w:rsid w:val="00123A27"/>
    <w:rsid w:val="0013329D"/>
    <w:rsid w:val="001337D8"/>
    <w:rsid w:val="001345D6"/>
    <w:rsid w:val="00135412"/>
    <w:rsid w:val="00136B4D"/>
    <w:rsid w:val="00142572"/>
    <w:rsid w:val="00142BE7"/>
    <w:rsid w:val="00144A2D"/>
    <w:rsid w:val="00145904"/>
    <w:rsid w:val="00145AE4"/>
    <w:rsid w:val="00146AE6"/>
    <w:rsid w:val="00147BA3"/>
    <w:rsid w:val="001509BD"/>
    <w:rsid w:val="00151523"/>
    <w:rsid w:val="00152CD1"/>
    <w:rsid w:val="00153D9F"/>
    <w:rsid w:val="001543A9"/>
    <w:rsid w:val="00154ECD"/>
    <w:rsid w:val="00154F63"/>
    <w:rsid w:val="001559AA"/>
    <w:rsid w:val="00157662"/>
    <w:rsid w:val="0016101B"/>
    <w:rsid w:val="001627BA"/>
    <w:rsid w:val="00162C64"/>
    <w:rsid w:val="001635C5"/>
    <w:rsid w:val="001656ED"/>
    <w:rsid w:val="001745A0"/>
    <w:rsid w:val="00174FAC"/>
    <w:rsid w:val="001763D0"/>
    <w:rsid w:val="00180494"/>
    <w:rsid w:val="00183AD3"/>
    <w:rsid w:val="001868A3"/>
    <w:rsid w:val="00186AC7"/>
    <w:rsid w:val="0019044B"/>
    <w:rsid w:val="00191AE4"/>
    <w:rsid w:val="00192312"/>
    <w:rsid w:val="00192656"/>
    <w:rsid w:val="00192FA9"/>
    <w:rsid w:val="001953C1"/>
    <w:rsid w:val="00196816"/>
    <w:rsid w:val="001A2E2D"/>
    <w:rsid w:val="001A3084"/>
    <w:rsid w:val="001A41D6"/>
    <w:rsid w:val="001A4B40"/>
    <w:rsid w:val="001A5AD2"/>
    <w:rsid w:val="001A6EA4"/>
    <w:rsid w:val="001B0753"/>
    <w:rsid w:val="001B0861"/>
    <w:rsid w:val="001B0FAE"/>
    <w:rsid w:val="001B11FC"/>
    <w:rsid w:val="001B3894"/>
    <w:rsid w:val="001B39F3"/>
    <w:rsid w:val="001C0B03"/>
    <w:rsid w:val="001C1F7E"/>
    <w:rsid w:val="001C2826"/>
    <w:rsid w:val="001C2A00"/>
    <w:rsid w:val="001C3E4D"/>
    <w:rsid w:val="001C3E6D"/>
    <w:rsid w:val="001C61C9"/>
    <w:rsid w:val="001C6DB0"/>
    <w:rsid w:val="001D05A4"/>
    <w:rsid w:val="001D091E"/>
    <w:rsid w:val="001D0AAF"/>
    <w:rsid w:val="001D157D"/>
    <w:rsid w:val="001D269D"/>
    <w:rsid w:val="001D5956"/>
    <w:rsid w:val="001D5AFC"/>
    <w:rsid w:val="001D5BCD"/>
    <w:rsid w:val="001D6ABC"/>
    <w:rsid w:val="001E0E4D"/>
    <w:rsid w:val="001E1D88"/>
    <w:rsid w:val="001E6D93"/>
    <w:rsid w:val="001E75C4"/>
    <w:rsid w:val="001F00E1"/>
    <w:rsid w:val="001F2083"/>
    <w:rsid w:val="001F422F"/>
    <w:rsid w:val="001F6B2B"/>
    <w:rsid w:val="00202534"/>
    <w:rsid w:val="002048A3"/>
    <w:rsid w:val="00206BC7"/>
    <w:rsid w:val="00207652"/>
    <w:rsid w:val="00207743"/>
    <w:rsid w:val="00213781"/>
    <w:rsid w:val="00214ACE"/>
    <w:rsid w:val="00215E68"/>
    <w:rsid w:val="002160DD"/>
    <w:rsid w:val="00216775"/>
    <w:rsid w:val="002217D3"/>
    <w:rsid w:val="00224529"/>
    <w:rsid w:val="0022784F"/>
    <w:rsid w:val="00230F96"/>
    <w:rsid w:val="00231D36"/>
    <w:rsid w:val="0023362A"/>
    <w:rsid w:val="00235137"/>
    <w:rsid w:val="00235F3E"/>
    <w:rsid w:val="002370D9"/>
    <w:rsid w:val="002432E5"/>
    <w:rsid w:val="00244577"/>
    <w:rsid w:val="00244EAA"/>
    <w:rsid w:val="00250A64"/>
    <w:rsid w:val="00254100"/>
    <w:rsid w:val="00254558"/>
    <w:rsid w:val="0025534A"/>
    <w:rsid w:val="002604F9"/>
    <w:rsid w:val="0026315D"/>
    <w:rsid w:val="00264A3A"/>
    <w:rsid w:val="00264CAD"/>
    <w:rsid w:val="002659BF"/>
    <w:rsid w:val="00265D6C"/>
    <w:rsid w:val="00265E5F"/>
    <w:rsid w:val="0026718A"/>
    <w:rsid w:val="00272C91"/>
    <w:rsid w:val="00272F07"/>
    <w:rsid w:val="00275078"/>
    <w:rsid w:val="00276EB0"/>
    <w:rsid w:val="00277C1E"/>
    <w:rsid w:val="00281CD4"/>
    <w:rsid w:val="002820C2"/>
    <w:rsid w:val="0028573B"/>
    <w:rsid w:val="002859DB"/>
    <w:rsid w:val="00290FC6"/>
    <w:rsid w:val="002930BD"/>
    <w:rsid w:val="002948E5"/>
    <w:rsid w:val="00295147"/>
    <w:rsid w:val="00295A30"/>
    <w:rsid w:val="00296B71"/>
    <w:rsid w:val="002A0D99"/>
    <w:rsid w:val="002A2075"/>
    <w:rsid w:val="002A20B3"/>
    <w:rsid w:val="002A3368"/>
    <w:rsid w:val="002A40E8"/>
    <w:rsid w:val="002A5BD6"/>
    <w:rsid w:val="002A6062"/>
    <w:rsid w:val="002A64B0"/>
    <w:rsid w:val="002B03CC"/>
    <w:rsid w:val="002B0DEC"/>
    <w:rsid w:val="002B3462"/>
    <w:rsid w:val="002B5FF1"/>
    <w:rsid w:val="002B7FB0"/>
    <w:rsid w:val="002C07EF"/>
    <w:rsid w:val="002C0A13"/>
    <w:rsid w:val="002C1998"/>
    <w:rsid w:val="002C4298"/>
    <w:rsid w:val="002C51A6"/>
    <w:rsid w:val="002C578E"/>
    <w:rsid w:val="002C73D0"/>
    <w:rsid w:val="002D11F5"/>
    <w:rsid w:val="002D1C0D"/>
    <w:rsid w:val="002D3246"/>
    <w:rsid w:val="002D7A46"/>
    <w:rsid w:val="002E0F85"/>
    <w:rsid w:val="002E17BB"/>
    <w:rsid w:val="002E3CFE"/>
    <w:rsid w:val="002E5862"/>
    <w:rsid w:val="002E5ACE"/>
    <w:rsid w:val="002E6FED"/>
    <w:rsid w:val="002F0218"/>
    <w:rsid w:val="002F42DE"/>
    <w:rsid w:val="002F4615"/>
    <w:rsid w:val="002F7887"/>
    <w:rsid w:val="00300E0C"/>
    <w:rsid w:val="003068DE"/>
    <w:rsid w:val="00306CA5"/>
    <w:rsid w:val="003071F3"/>
    <w:rsid w:val="003102ED"/>
    <w:rsid w:val="0031228F"/>
    <w:rsid w:val="00313D6A"/>
    <w:rsid w:val="00317BC2"/>
    <w:rsid w:val="003216A9"/>
    <w:rsid w:val="003216CC"/>
    <w:rsid w:val="0032367F"/>
    <w:rsid w:val="00323A21"/>
    <w:rsid w:val="0032458D"/>
    <w:rsid w:val="003253F1"/>
    <w:rsid w:val="00325654"/>
    <w:rsid w:val="0032604F"/>
    <w:rsid w:val="003315CC"/>
    <w:rsid w:val="00331C12"/>
    <w:rsid w:val="00333180"/>
    <w:rsid w:val="00335113"/>
    <w:rsid w:val="00337BE0"/>
    <w:rsid w:val="003402FE"/>
    <w:rsid w:val="003428F3"/>
    <w:rsid w:val="0034755D"/>
    <w:rsid w:val="00352FEF"/>
    <w:rsid w:val="0035344A"/>
    <w:rsid w:val="00353872"/>
    <w:rsid w:val="00354510"/>
    <w:rsid w:val="00355E1B"/>
    <w:rsid w:val="00356E10"/>
    <w:rsid w:val="00357EA0"/>
    <w:rsid w:val="00361700"/>
    <w:rsid w:val="003651DF"/>
    <w:rsid w:val="00366CCD"/>
    <w:rsid w:val="00367453"/>
    <w:rsid w:val="00370B90"/>
    <w:rsid w:val="00374A19"/>
    <w:rsid w:val="00375B9C"/>
    <w:rsid w:val="00376606"/>
    <w:rsid w:val="003766EF"/>
    <w:rsid w:val="003834BA"/>
    <w:rsid w:val="003843C8"/>
    <w:rsid w:val="0038738F"/>
    <w:rsid w:val="003914D9"/>
    <w:rsid w:val="00393988"/>
    <w:rsid w:val="00394A8C"/>
    <w:rsid w:val="00395211"/>
    <w:rsid w:val="00395F09"/>
    <w:rsid w:val="003966B0"/>
    <w:rsid w:val="003A016D"/>
    <w:rsid w:val="003A041B"/>
    <w:rsid w:val="003A3353"/>
    <w:rsid w:val="003A5862"/>
    <w:rsid w:val="003A594F"/>
    <w:rsid w:val="003A6E06"/>
    <w:rsid w:val="003B142A"/>
    <w:rsid w:val="003B5C0B"/>
    <w:rsid w:val="003B6F09"/>
    <w:rsid w:val="003B772C"/>
    <w:rsid w:val="003C0DA5"/>
    <w:rsid w:val="003C16A8"/>
    <w:rsid w:val="003C2A48"/>
    <w:rsid w:val="003C419C"/>
    <w:rsid w:val="003C6D08"/>
    <w:rsid w:val="003D0C6A"/>
    <w:rsid w:val="003D2966"/>
    <w:rsid w:val="003D4895"/>
    <w:rsid w:val="003D508E"/>
    <w:rsid w:val="003E1749"/>
    <w:rsid w:val="003E2F2A"/>
    <w:rsid w:val="003E2F5B"/>
    <w:rsid w:val="003E3361"/>
    <w:rsid w:val="003E4198"/>
    <w:rsid w:val="003E4F31"/>
    <w:rsid w:val="003E6330"/>
    <w:rsid w:val="003F2C3B"/>
    <w:rsid w:val="003F333E"/>
    <w:rsid w:val="003F4556"/>
    <w:rsid w:val="003F59BF"/>
    <w:rsid w:val="003F619C"/>
    <w:rsid w:val="003F651E"/>
    <w:rsid w:val="00404DF5"/>
    <w:rsid w:val="00405849"/>
    <w:rsid w:val="00405F2E"/>
    <w:rsid w:val="0040650F"/>
    <w:rsid w:val="00410144"/>
    <w:rsid w:val="004119E8"/>
    <w:rsid w:val="00413896"/>
    <w:rsid w:val="004150E8"/>
    <w:rsid w:val="00423B5B"/>
    <w:rsid w:val="004240D4"/>
    <w:rsid w:val="00424E22"/>
    <w:rsid w:val="00425642"/>
    <w:rsid w:val="00426491"/>
    <w:rsid w:val="00427543"/>
    <w:rsid w:val="00430B69"/>
    <w:rsid w:val="0043754A"/>
    <w:rsid w:val="00437CE1"/>
    <w:rsid w:val="0044168F"/>
    <w:rsid w:val="00442A1B"/>
    <w:rsid w:val="00443BB9"/>
    <w:rsid w:val="004443A8"/>
    <w:rsid w:val="00444D15"/>
    <w:rsid w:val="004452CF"/>
    <w:rsid w:val="00445C36"/>
    <w:rsid w:val="004462D1"/>
    <w:rsid w:val="00447880"/>
    <w:rsid w:val="00453D3D"/>
    <w:rsid w:val="004544C4"/>
    <w:rsid w:val="00456A7E"/>
    <w:rsid w:val="0046022C"/>
    <w:rsid w:val="00460544"/>
    <w:rsid w:val="0046389B"/>
    <w:rsid w:val="004640B3"/>
    <w:rsid w:val="004677A9"/>
    <w:rsid w:val="004700D5"/>
    <w:rsid w:val="00471C18"/>
    <w:rsid w:val="00472CF3"/>
    <w:rsid w:val="004770E5"/>
    <w:rsid w:val="00481F48"/>
    <w:rsid w:val="00482007"/>
    <w:rsid w:val="004824A9"/>
    <w:rsid w:val="0048261B"/>
    <w:rsid w:val="0048475F"/>
    <w:rsid w:val="00484A20"/>
    <w:rsid w:val="00484CD8"/>
    <w:rsid w:val="00490CC5"/>
    <w:rsid w:val="004912C1"/>
    <w:rsid w:val="00491A22"/>
    <w:rsid w:val="00491D85"/>
    <w:rsid w:val="004923D4"/>
    <w:rsid w:val="00493080"/>
    <w:rsid w:val="00496916"/>
    <w:rsid w:val="00497DCE"/>
    <w:rsid w:val="004A1747"/>
    <w:rsid w:val="004A1FDB"/>
    <w:rsid w:val="004A2D0E"/>
    <w:rsid w:val="004A330D"/>
    <w:rsid w:val="004A3F7D"/>
    <w:rsid w:val="004A4875"/>
    <w:rsid w:val="004A4FC9"/>
    <w:rsid w:val="004A6E8A"/>
    <w:rsid w:val="004B1154"/>
    <w:rsid w:val="004B1C50"/>
    <w:rsid w:val="004B35E5"/>
    <w:rsid w:val="004B6EAD"/>
    <w:rsid w:val="004B72D1"/>
    <w:rsid w:val="004B735F"/>
    <w:rsid w:val="004B744D"/>
    <w:rsid w:val="004C2C49"/>
    <w:rsid w:val="004C7913"/>
    <w:rsid w:val="004D2D6C"/>
    <w:rsid w:val="004D2FF1"/>
    <w:rsid w:val="004D4A66"/>
    <w:rsid w:val="004D55A9"/>
    <w:rsid w:val="004D6C6D"/>
    <w:rsid w:val="004D6D5C"/>
    <w:rsid w:val="004D76A4"/>
    <w:rsid w:val="004E0A6F"/>
    <w:rsid w:val="004E35CE"/>
    <w:rsid w:val="004E6841"/>
    <w:rsid w:val="004F0C29"/>
    <w:rsid w:val="004F0C8D"/>
    <w:rsid w:val="004F383D"/>
    <w:rsid w:val="004F3E45"/>
    <w:rsid w:val="004F5D84"/>
    <w:rsid w:val="004F75C1"/>
    <w:rsid w:val="004F7871"/>
    <w:rsid w:val="005008F9"/>
    <w:rsid w:val="00501DE4"/>
    <w:rsid w:val="00502892"/>
    <w:rsid w:val="00503448"/>
    <w:rsid w:val="00503EC5"/>
    <w:rsid w:val="00504C06"/>
    <w:rsid w:val="00504E27"/>
    <w:rsid w:val="0050528F"/>
    <w:rsid w:val="0050633D"/>
    <w:rsid w:val="00507910"/>
    <w:rsid w:val="0051261C"/>
    <w:rsid w:val="0051318F"/>
    <w:rsid w:val="00513AA2"/>
    <w:rsid w:val="005173B0"/>
    <w:rsid w:val="00520E8A"/>
    <w:rsid w:val="00521184"/>
    <w:rsid w:val="005223BE"/>
    <w:rsid w:val="0052623E"/>
    <w:rsid w:val="00526671"/>
    <w:rsid w:val="00530B9D"/>
    <w:rsid w:val="00530BC3"/>
    <w:rsid w:val="0053277A"/>
    <w:rsid w:val="00533839"/>
    <w:rsid w:val="0053497E"/>
    <w:rsid w:val="00536579"/>
    <w:rsid w:val="00536BBF"/>
    <w:rsid w:val="00537CD7"/>
    <w:rsid w:val="00540BFA"/>
    <w:rsid w:val="00541D93"/>
    <w:rsid w:val="00543F21"/>
    <w:rsid w:val="00544318"/>
    <w:rsid w:val="005443EB"/>
    <w:rsid w:val="00544AD0"/>
    <w:rsid w:val="00545344"/>
    <w:rsid w:val="005465C2"/>
    <w:rsid w:val="00547C23"/>
    <w:rsid w:val="0055150E"/>
    <w:rsid w:val="00552D74"/>
    <w:rsid w:val="005543F1"/>
    <w:rsid w:val="00554723"/>
    <w:rsid w:val="0055573D"/>
    <w:rsid w:val="00555DE5"/>
    <w:rsid w:val="005568D3"/>
    <w:rsid w:val="00557E2E"/>
    <w:rsid w:val="00560B7B"/>
    <w:rsid w:val="00561A5A"/>
    <w:rsid w:val="005633F3"/>
    <w:rsid w:val="005658C9"/>
    <w:rsid w:val="005755D1"/>
    <w:rsid w:val="00580A5C"/>
    <w:rsid w:val="0058191C"/>
    <w:rsid w:val="00581D6A"/>
    <w:rsid w:val="005876FC"/>
    <w:rsid w:val="0059056B"/>
    <w:rsid w:val="00591B49"/>
    <w:rsid w:val="0059356D"/>
    <w:rsid w:val="00594A91"/>
    <w:rsid w:val="00595464"/>
    <w:rsid w:val="005970A7"/>
    <w:rsid w:val="005A1457"/>
    <w:rsid w:val="005A1EDA"/>
    <w:rsid w:val="005A26F2"/>
    <w:rsid w:val="005A2FBD"/>
    <w:rsid w:val="005A53C1"/>
    <w:rsid w:val="005A5B25"/>
    <w:rsid w:val="005A5C2E"/>
    <w:rsid w:val="005B0EDC"/>
    <w:rsid w:val="005B236C"/>
    <w:rsid w:val="005B2BCD"/>
    <w:rsid w:val="005B2EBC"/>
    <w:rsid w:val="005B4D00"/>
    <w:rsid w:val="005B4EB2"/>
    <w:rsid w:val="005B5F6B"/>
    <w:rsid w:val="005C0F43"/>
    <w:rsid w:val="005C1B88"/>
    <w:rsid w:val="005C5D26"/>
    <w:rsid w:val="005D4820"/>
    <w:rsid w:val="005D5B49"/>
    <w:rsid w:val="005D6A27"/>
    <w:rsid w:val="005D7D35"/>
    <w:rsid w:val="005E05A5"/>
    <w:rsid w:val="005E0600"/>
    <w:rsid w:val="005E0636"/>
    <w:rsid w:val="005E1DCC"/>
    <w:rsid w:val="005E1F3C"/>
    <w:rsid w:val="005E2BF5"/>
    <w:rsid w:val="005E344D"/>
    <w:rsid w:val="005E70DF"/>
    <w:rsid w:val="005F0F25"/>
    <w:rsid w:val="005F0FC0"/>
    <w:rsid w:val="005F24D8"/>
    <w:rsid w:val="005F5073"/>
    <w:rsid w:val="005F6043"/>
    <w:rsid w:val="006026D7"/>
    <w:rsid w:val="00603347"/>
    <w:rsid w:val="00604BA9"/>
    <w:rsid w:val="00606026"/>
    <w:rsid w:val="0060615A"/>
    <w:rsid w:val="006075FB"/>
    <w:rsid w:val="00607A44"/>
    <w:rsid w:val="00610692"/>
    <w:rsid w:val="00610DA7"/>
    <w:rsid w:val="00611348"/>
    <w:rsid w:val="006136ED"/>
    <w:rsid w:val="006149BA"/>
    <w:rsid w:val="00617BE8"/>
    <w:rsid w:val="006208E7"/>
    <w:rsid w:val="00621CB3"/>
    <w:rsid w:val="00622196"/>
    <w:rsid w:val="006249D3"/>
    <w:rsid w:val="00624BC4"/>
    <w:rsid w:val="00630145"/>
    <w:rsid w:val="006310D7"/>
    <w:rsid w:val="006315A8"/>
    <w:rsid w:val="00637BBF"/>
    <w:rsid w:val="00637D27"/>
    <w:rsid w:val="00637D82"/>
    <w:rsid w:val="00640106"/>
    <w:rsid w:val="00643A3E"/>
    <w:rsid w:val="00644C25"/>
    <w:rsid w:val="0064661F"/>
    <w:rsid w:val="0064773D"/>
    <w:rsid w:val="0064798C"/>
    <w:rsid w:val="00650B0F"/>
    <w:rsid w:val="00652AAD"/>
    <w:rsid w:val="00654590"/>
    <w:rsid w:val="00654F20"/>
    <w:rsid w:val="0065550D"/>
    <w:rsid w:val="006634E1"/>
    <w:rsid w:val="00667F7F"/>
    <w:rsid w:val="00674103"/>
    <w:rsid w:val="00674AEB"/>
    <w:rsid w:val="00675CB6"/>
    <w:rsid w:val="006775D3"/>
    <w:rsid w:val="006800B3"/>
    <w:rsid w:val="00681310"/>
    <w:rsid w:val="00681474"/>
    <w:rsid w:val="00681F63"/>
    <w:rsid w:val="00684C23"/>
    <w:rsid w:val="00686268"/>
    <w:rsid w:val="00691E10"/>
    <w:rsid w:val="00692118"/>
    <w:rsid w:val="00692532"/>
    <w:rsid w:val="00694107"/>
    <w:rsid w:val="00695C7D"/>
    <w:rsid w:val="0069742F"/>
    <w:rsid w:val="006A0A03"/>
    <w:rsid w:val="006A2470"/>
    <w:rsid w:val="006A2D38"/>
    <w:rsid w:val="006A7E6C"/>
    <w:rsid w:val="006B040A"/>
    <w:rsid w:val="006B3409"/>
    <w:rsid w:val="006B56A9"/>
    <w:rsid w:val="006B6815"/>
    <w:rsid w:val="006C1BEB"/>
    <w:rsid w:val="006C3189"/>
    <w:rsid w:val="006C6684"/>
    <w:rsid w:val="006C6BCF"/>
    <w:rsid w:val="006C6E81"/>
    <w:rsid w:val="006C7B57"/>
    <w:rsid w:val="006D219E"/>
    <w:rsid w:val="006D26B5"/>
    <w:rsid w:val="006D2DEE"/>
    <w:rsid w:val="006D420A"/>
    <w:rsid w:val="006D47BA"/>
    <w:rsid w:val="006D4D88"/>
    <w:rsid w:val="006D553C"/>
    <w:rsid w:val="006D6908"/>
    <w:rsid w:val="006D6B22"/>
    <w:rsid w:val="006E4344"/>
    <w:rsid w:val="006E58EC"/>
    <w:rsid w:val="006E5D45"/>
    <w:rsid w:val="006E5EA3"/>
    <w:rsid w:val="006E6123"/>
    <w:rsid w:val="006E6358"/>
    <w:rsid w:val="006F42F8"/>
    <w:rsid w:val="006F53B5"/>
    <w:rsid w:val="006F6D69"/>
    <w:rsid w:val="006F7462"/>
    <w:rsid w:val="00700132"/>
    <w:rsid w:val="007014E3"/>
    <w:rsid w:val="00702F53"/>
    <w:rsid w:val="007030FE"/>
    <w:rsid w:val="00703E29"/>
    <w:rsid w:val="0070411A"/>
    <w:rsid w:val="00704EED"/>
    <w:rsid w:val="00707527"/>
    <w:rsid w:val="0071102F"/>
    <w:rsid w:val="00713304"/>
    <w:rsid w:val="007138A7"/>
    <w:rsid w:val="007138E6"/>
    <w:rsid w:val="00714974"/>
    <w:rsid w:val="00715DED"/>
    <w:rsid w:val="00722B3D"/>
    <w:rsid w:val="0072538A"/>
    <w:rsid w:val="0072567D"/>
    <w:rsid w:val="007258B1"/>
    <w:rsid w:val="00730012"/>
    <w:rsid w:val="007303A5"/>
    <w:rsid w:val="007313FD"/>
    <w:rsid w:val="007324A9"/>
    <w:rsid w:val="007360F2"/>
    <w:rsid w:val="00740988"/>
    <w:rsid w:val="00740AA9"/>
    <w:rsid w:val="00741673"/>
    <w:rsid w:val="007456C7"/>
    <w:rsid w:val="007475E2"/>
    <w:rsid w:val="0075159E"/>
    <w:rsid w:val="00751CB0"/>
    <w:rsid w:val="007530BA"/>
    <w:rsid w:val="00754B42"/>
    <w:rsid w:val="0075511E"/>
    <w:rsid w:val="00755AB7"/>
    <w:rsid w:val="00760C74"/>
    <w:rsid w:val="00761840"/>
    <w:rsid w:val="00764B52"/>
    <w:rsid w:val="00765194"/>
    <w:rsid w:val="007664EE"/>
    <w:rsid w:val="00766608"/>
    <w:rsid w:val="007672B9"/>
    <w:rsid w:val="0077016A"/>
    <w:rsid w:val="00772113"/>
    <w:rsid w:val="0077427C"/>
    <w:rsid w:val="007755A3"/>
    <w:rsid w:val="00775E7C"/>
    <w:rsid w:val="00781F4C"/>
    <w:rsid w:val="00783EEA"/>
    <w:rsid w:val="00783FAF"/>
    <w:rsid w:val="00792C7B"/>
    <w:rsid w:val="00794DE8"/>
    <w:rsid w:val="007951BF"/>
    <w:rsid w:val="0079698F"/>
    <w:rsid w:val="007A02EA"/>
    <w:rsid w:val="007A1462"/>
    <w:rsid w:val="007A1735"/>
    <w:rsid w:val="007A1EA2"/>
    <w:rsid w:val="007A4620"/>
    <w:rsid w:val="007A4CF8"/>
    <w:rsid w:val="007A580E"/>
    <w:rsid w:val="007A5EEB"/>
    <w:rsid w:val="007A63DB"/>
    <w:rsid w:val="007B0851"/>
    <w:rsid w:val="007B1BBD"/>
    <w:rsid w:val="007B2222"/>
    <w:rsid w:val="007B2CD1"/>
    <w:rsid w:val="007B40F7"/>
    <w:rsid w:val="007B54AA"/>
    <w:rsid w:val="007C0558"/>
    <w:rsid w:val="007C270D"/>
    <w:rsid w:val="007C28AA"/>
    <w:rsid w:val="007C2908"/>
    <w:rsid w:val="007C3027"/>
    <w:rsid w:val="007C4C7C"/>
    <w:rsid w:val="007C4D82"/>
    <w:rsid w:val="007C5260"/>
    <w:rsid w:val="007C6C50"/>
    <w:rsid w:val="007D43E7"/>
    <w:rsid w:val="007D6893"/>
    <w:rsid w:val="007E01D7"/>
    <w:rsid w:val="007E26F1"/>
    <w:rsid w:val="007E275A"/>
    <w:rsid w:val="007E57E6"/>
    <w:rsid w:val="007E5D35"/>
    <w:rsid w:val="007F1A07"/>
    <w:rsid w:val="007F23D2"/>
    <w:rsid w:val="007F2DFB"/>
    <w:rsid w:val="007F2F92"/>
    <w:rsid w:val="007F3AEE"/>
    <w:rsid w:val="007F4653"/>
    <w:rsid w:val="007F471F"/>
    <w:rsid w:val="00800893"/>
    <w:rsid w:val="00801DB9"/>
    <w:rsid w:val="00801EFA"/>
    <w:rsid w:val="00803176"/>
    <w:rsid w:val="00803391"/>
    <w:rsid w:val="008037AC"/>
    <w:rsid w:val="00806033"/>
    <w:rsid w:val="0080670C"/>
    <w:rsid w:val="00806E59"/>
    <w:rsid w:val="008073A7"/>
    <w:rsid w:val="00807B57"/>
    <w:rsid w:val="00810BF8"/>
    <w:rsid w:val="008113D9"/>
    <w:rsid w:val="00813917"/>
    <w:rsid w:val="00813F09"/>
    <w:rsid w:val="00814CAB"/>
    <w:rsid w:val="0081586E"/>
    <w:rsid w:val="00816032"/>
    <w:rsid w:val="00820210"/>
    <w:rsid w:val="00820C09"/>
    <w:rsid w:val="00821EE5"/>
    <w:rsid w:val="008222E6"/>
    <w:rsid w:val="008224C8"/>
    <w:rsid w:val="00822AA8"/>
    <w:rsid w:val="008240B5"/>
    <w:rsid w:val="00824D3A"/>
    <w:rsid w:val="008264FB"/>
    <w:rsid w:val="0083010A"/>
    <w:rsid w:val="00831FC0"/>
    <w:rsid w:val="008328FA"/>
    <w:rsid w:val="0083307E"/>
    <w:rsid w:val="0083648C"/>
    <w:rsid w:val="008367F5"/>
    <w:rsid w:val="008442E4"/>
    <w:rsid w:val="00846D95"/>
    <w:rsid w:val="00847576"/>
    <w:rsid w:val="008531D2"/>
    <w:rsid w:val="008573C5"/>
    <w:rsid w:val="00861AE5"/>
    <w:rsid w:val="00862B46"/>
    <w:rsid w:val="00862EC3"/>
    <w:rsid w:val="00865F95"/>
    <w:rsid w:val="0087074B"/>
    <w:rsid w:val="00871507"/>
    <w:rsid w:val="00873ADE"/>
    <w:rsid w:val="0087601E"/>
    <w:rsid w:val="00876218"/>
    <w:rsid w:val="00876CAD"/>
    <w:rsid w:val="00876D1B"/>
    <w:rsid w:val="008804AB"/>
    <w:rsid w:val="00882C4D"/>
    <w:rsid w:val="0088305F"/>
    <w:rsid w:val="00885291"/>
    <w:rsid w:val="0088596B"/>
    <w:rsid w:val="00895C85"/>
    <w:rsid w:val="00895E83"/>
    <w:rsid w:val="008A2795"/>
    <w:rsid w:val="008A2A43"/>
    <w:rsid w:val="008A402C"/>
    <w:rsid w:val="008A5DB4"/>
    <w:rsid w:val="008A5F7E"/>
    <w:rsid w:val="008A6969"/>
    <w:rsid w:val="008A7CCB"/>
    <w:rsid w:val="008A7D7C"/>
    <w:rsid w:val="008B188A"/>
    <w:rsid w:val="008B379F"/>
    <w:rsid w:val="008B3809"/>
    <w:rsid w:val="008B5D12"/>
    <w:rsid w:val="008B74D6"/>
    <w:rsid w:val="008C1E16"/>
    <w:rsid w:val="008C2F86"/>
    <w:rsid w:val="008C307D"/>
    <w:rsid w:val="008C441C"/>
    <w:rsid w:val="008C4C7B"/>
    <w:rsid w:val="008C5451"/>
    <w:rsid w:val="008C5DB8"/>
    <w:rsid w:val="008C6A69"/>
    <w:rsid w:val="008C6EF5"/>
    <w:rsid w:val="008C7C1D"/>
    <w:rsid w:val="008D068D"/>
    <w:rsid w:val="008D0764"/>
    <w:rsid w:val="008D27ED"/>
    <w:rsid w:val="008D3A24"/>
    <w:rsid w:val="008D75D1"/>
    <w:rsid w:val="008E2909"/>
    <w:rsid w:val="008E371A"/>
    <w:rsid w:val="008E4F0C"/>
    <w:rsid w:val="008E596B"/>
    <w:rsid w:val="008F054A"/>
    <w:rsid w:val="008F15CA"/>
    <w:rsid w:val="008F2ACB"/>
    <w:rsid w:val="008F3D66"/>
    <w:rsid w:val="008F7EB1"/>
    <w:rsid w:val="009003F6"/>
    <w:rsid w:val="00902240"/>
    <w:rsid w:val="00904E4D"/>
    <w:rsid w:val="00913296"/>
    <w:rsid w:val="009154D9"/>
    <w:rsid w:val="00916FD9"/>
    <w:rsid w:val="009174BD"/>
    <w:rsid w:val="009178E3"/>
    <w:rsid w:val="00926436"/>
    <w:rsid w:val="009278A1"/>
    <w:rsid w:val="00927CC9"/>
    <w:rsid w:val="00930785"/>
    <w:rsid w:val="00930E04"/>
    <w:rsid w:val="00931325"/>
    <w:rsid w:val="0093179D"/>
    <w:rsid w:val="00932D84"/>
    <w:rsid w:val="00933ABB"/>
    <w:rsid w:val="00933BFC"/>
    <w:rsid w:val="00935948"/>
    <w:rsid w:val="00941234"/>
    <w:rsid w:val="0094186D"/>
    <w:rsid w:val="00942575"/>
    <w:rsid w:val="0094357B"/>
    <w:rsid w:val="009456C6"/>
    <w:rsid w:val="00945D56"/>
    <w:rsid w:val="00946D24"/>
    <w:rsid w:val="00947FFA"/>
    <w:rsid w:val="00950AAF"/>
    <w:rsid w:val="00951D84"/>
    <w:rsid w:val="0095268E"/>
    <w:rsid w:val="009540D5"/>
    <w:rsid w:val="0095546D"/>
    <w:rsid w:val="00955841"/>
    <w:rsid w:val="0095624A"/>
    <w:rsid w:val="00961884"/>
    <w:rsid w:val="009620A2"/>
    <w:rsid w:val="009628E8"/>
    <w:rsid w:val="00966207"/>
    <w:rsid w:val="00966C93"/>
    <w:rsid w:val="00966D57"/>
    <w:rsid w:val="00967711"/>
    <w:rsid w:val="00967785"/>
    <w:rsid w:val="009704A2"/>
    <w:rsid w:val="00970E60"/>
    <w:rsid w:val="009717F8"/>
    <w:rsid w:val="00971E03"/>
    <w:rsid w:val="009722CB"/>
    <w:rsid w:val="00974212"/>
    <w:rsid w:val="009753BB"/>
    <w:rsid w:val="00975A09"/>
    <w:rsid w:val="0097707A"/>
    <w:rsid w:val="00977C25"/>
    <w:rsid w:val="009828C4"/>
    <w:rsid w:val="00983F0D"/>
    <w:rsid w:val="0099203A"/>
    <w:rsid w:val="0099345F"/>
    <w:rsid w:val="00995DCF"/>
    <w:rsid w:val="00996537"/>
    <w:rsid w:val="00997254"/>
    <w:rsid w:val="009A1B98"/>
    <w:rsid w:val="009A240C"/>
    <w:rsid w:val="009A415C"/>
    <w:rsid w:val="009A5C7D"/>
    <w:rsid w:val="009A5DAF"/>
    <w:rsid w:val="009A6862"/>
    <w:rsid w:val="009A6874"/>
    <w:rsid w:val="009A7601"/>
    <w:rsid w:val="009B026F"/>
    <w:rsid w:val="009B3ABD"/>
    <w:rsid w:val="009B7AEF"/>
    <w:rsid w:val="009B7EEF"/>
    <w:rsid w:val="009C0EFD"/>
    <w:rsid w:val="009C16F8"/>
    <w:rsid w:val="009C4C43"/>
    <w:rsid w:val="009D3111"/>
    <w:rsid w:val="009D3181"/>
    <w:rsid w:val="009D334A"/>
    <w:rsid w:val="009D6FBE"/>
    <w:rsid w:val="009E0F21"/>
    <w:rsid w:val="009E13E0"/>
    <w:rsid w:val="009E1B59"/>
    <w:rsid w:val="009E2422"/>
    <w:rsid w:val="009E3118"/>
    <w:rsid w:val="009E3815"/>
    <w:rsid w:val="009E3C2D"/>
    <w:rsid w:val="009E3F9D"/>
    <w:rsid w:val="009E5CAD"/>
    <w:rsid w:val="009E714A"/>
    <w:rsid w:val="009F0C0E"/>
    <w:rsid w:val="009F0CC1"/>
    <w:rsid w:val="009F0D77"/>
    <w:rsid w:val="009F1A88"/>
    <w:rsid w:val="009F36BE"/>
    <w:rsid w:val="009F3885"/>
    <w:rsid w:val="009F3DA9"/>
    <w:rsid w:val="009F43ED"/>
    <w:rsid w:val="009F505D"/>
    <w:rsid w:val="009F5743"/>
    <w:rsid w:val="009F5C91"/>
    <w:rsid w:val="009F5CB0"/>
    <w:rsid w:val="009F61D8"/>
    <w:rsid w:val="00A00EF8"/>
    <w:rsid w:val="00A056CC"/>
    <w:rsid w:val="00A06C7A"/>
    <w:rsid w:val="00A10C5C"/>
    <w:rsid w:val="00A11286"/>
    <w:rsid w:val="00A11394"/>
    <w:rsid w:val="00A12811"/>
    <w:rsid w:val="00A2010A"/>
    <w:rsid w:val="00A203FC"/>
    <w:rsid w:val="00A20428"/>
    <w:rsid w:val="00A2230A"/>
    <w:rsid w:val="00A2244E"/>
    <w:rsid w:val="00A23612"/>
    <w:rsid w:val="00A23A2C"/>
    <w:rsid w:val="00A24451"/>
    <w:rsid w:val="00A25B82"/>
    <w:rsid w:val="00A3014C"/>
    <w:rsid w:val="00A304A8"/>
    <w:rsid w:val="00A30B9D"/>
    <w:rsid w:val="00A31830"/>
    <w:rsid w:val="00A327AA"/>
    <w:rsid w:val="00A3732D"/>
    <w:rsid w:val="00A409D2"/>
    <w:rsid w:val="00A4105C"/>
    <w:rsid w:val="00A41507"/>
    <w:rsid w:val="00A41B30"/>
    <w:rsid w:val="00A41D14"/>
    <w:rsid w:val="00A4206C"/>
    <w:rsid w:val="00A455B0"/>
    <w:rsid w:val="00A473BE"/>
    <w:rsid w:val="00A47ADF"/>
    <w:rsid w:val="00A51842"/>
    <w:rsid w:val="00A52454"/>
    <w:rsid w:val="00A52A9E"/>
    <w:rsid w:val="00A530BC"/>
    <w:rsid w:val="00A5503D"/>
    <w:rsid w:val="00A62093"/>
    <w:rsid w:val="00A625EC"/>
    <w:rsid w:val="00A670B9"/>
    <w:rsid w:val="00A72546"/>
    <w:rsid w:val="00A74559"/>
    <w:rsid w:val="00A7526A"/>
    <w:rsid w:val="00A75709"/>
    <w:rsid w:val="00A8232E"/>
    <w:rsid w:val="00A84995"/>
    <w:rsid w:val="00A84BAD"/>
    <w:rsid w:val="00A85E4A"/>
    <w:rsid w:val="00A86143"/>
    <w:rsid w:val="00A86B82"/>
    <w:rsid w:val="00A87A5F"/>
    <w:rsid w:val="00A87FBF"/>
    <w:rsid w:val="00A92E02"/>
    <w:rsid w:val="00A93829"/>
    <w:rsid w:val="00A94E34"/>
    <w:rsid w:val="00A964BD"/>
    <w:rsid w:val="00A979DD"/>
    <w:rsid w:val="00AA1C47"/>
    <w:rsid w:val="00AA3C83"/>
    <w:rsid w:val="00AA5E72"/>
    <w:rsid w:val="00AA6069"/>
    <w:rsid w:val="00AA7102"/>
    <w:rsid w:val="00AA7415"/>
    <w:rsid w:val="00AB0831"/>
    <w:rsid w:val="00AB1F2F"/>
    <w:rsid w:val="00AB4698"/>
    <w:rsid w:val="00AB6B5F"/>
    <w:rsid w:val="00AB6CDA"/>
    <w:rsid w:val="00AC0223"/>
    <w:rsid w:val="00AC0EEE"/>
    <w:rsid w:val="00AC14B1"/>
    <w:rsid w:val="00AC4F9E"/>
    <w:rsid w:val="00AC6058"/>
    <w:rsid w:val="00AD1B3E"/>
    <w:rsid w:val="00AD1D01"/>
    <w:rsid w:val="00AD2B2A"/>
    <w:rsid w:val="00AD3237"/>
    <w:rsid w:val="00AD5304"/>
    <w:rsid w:val="00AD589B"/>
    <w:rsid w:val="00AD70C1"/>
    <w:rsid w:val="00AE16B6"/>
    <w:rsid w:val="00AE24BF"/>
    <w:rsid w:val="00AE34ED"/>
    <w:rsid w:val="00AF1BCF"/>
    <w:rsid w:val="00AF3530"/>
    <w:rsid w:val="00AF519C"/>
    <w:rsid w:val="00AF5826"/>
    <w:rsid w:val="00AF6BD7"/>
    <w:rsid w:val="00AF78B6"/>
    <w:rsid w:val="00B00964"/>
    <w:rsid w:val="00B0118B"/>
    <w:rsid w:val="00B02A59"/>
    <w:rsid w:val="00B03C06"/>
    <w:rsid w:val="00B079F8"/>
    <w:rsid w:val="00B1112F"/>
    <w:rsid w:val="00B12B9F"/>
    <w:rsid w:val="00B153FE"/>
    <w:rsid w:val="00B16B54"/>
    <w:rsid w:val="00B21775"/>
    <w:rsid w:val="00B220C8"/>
    <w:rsid w:val="00B232A4"/>
    <w:rsid w:val="00B2503F"/>
    <w:rsid w:val="00B25514"/>
    <w:rsid w:val="00B30E28"/>
    <w:rsid w:val="00B335A3"/>
    <w:rsid w:val="00B33BF1"/>
    <w:rsid w:val="00B413F2"/>
    <w:rsid w:val="00B423B7"/>
    <w:rsid w:val="00B46BAB"/>
    <w:rsid w:val="00B47730"/>
    <w:rsid w:val="00B47C6F"/>
    <w:rsid w:val="00B47D6F"/>
    <w:rsid w:val="00B47F45"/>
    <w:rsid w:val="00B50D6B"/>
    <w:rsid w:val="00B523BF"/>
    <w:rsid w:val="00B5278E"/>
    <w:rsid w:val="00B53A02"/>
    <w:rsid w:val="00B555DE"/>
    <w:rsid w:val="00B6051E"/>
    <w:rsid w:val="00B6154C"/>
    <w:rsid w:val="00B66F4C"/>
    <w:rsid w:val="00B70394"/>
    <w:rsid w:val="00B72F06"/>
    <w:rsid w:val="00B73783"/>
    <w:rsid w:val="00B73C2D"/>
    <w:rsid w:val="00B74DC3"/>
    <w:rsid w:val="00B76C1C"/>
    <w:rsid w:val="00B818F0"/>
    <w:rsid w:val="00B82274"/>
    <w:rsid w:val="00B82B7A"/>
    <w:rsid w:val="00B82C84"/>
    <w:rsid w:val="00B849F2"/>
    <w:rsid w:val="00B84BB2"/>
    <w:rsid w:val="00B85437"/>
    <w:rsid w:val="00B9532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0AB1"/>
    <w:rsid w:val="00BB2FFC"/>
    <w:rsid w:val="00BB496A"/>
    <w:rsid w:val="00BB6105"/>
    <w:rsid w:val="00BB76A0"/>
    <w:rsid w:val="00BB7816"/>
    <w:rsid w:val="00BC2958"/>
    <w:rsid w:val="00BC33E9"/>
    <w:rsid w:val="00BC4521"/>
    <w:rsid w:val="00BC5DE4"/>
    <w:rsid w:val="00BC7D3B"/>
    <w:rsid w:val="00BD129B"/>
    <w:rsid w:val="00BD13DC"/>
    <w:rsid w:val="00BD27AB"/>
    <w:rsid w:val="00BD42DE"/>
    <w:rsid w:val="00BD4E92"/>
    <w:rsid w:val="00BD5079"/>
    <w:rsid w:val="00BD574A"/>
    <w:rsid w:val="00BD5E7C"/>
    <w:rsid w:val="00BE062F"/>
    <w:rsid w:val="00BE14A3"/>
    <w:rsid w:val="00BE17F4"/>
    <w:rsid w:val="00BE22B3"/>
    <w:rsid w:val="00BE3BA4"/>
    <w:rsid w:val="00BE422C"/>
    <w:rsid w:val="00BE614C"/>
    <w:rsid w:val="00BE67AE"/>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235"/>
    <w:rsid w:val="00C176BF"/>
    <w:rsid w:val="00C17AE0"/>
    <w:rsid w:val="00C3028C"/>
    <w:rsid w:val="00C3055C"/>
    <w:rsid w:val="00C30D11"/>
    <w:rsid w:val="00C31861"/>
    <w:rsid w:val="00C3247C"/>
    <w:rsid w:val="00C3330C"/>
    <w:rsid w:val="00C356F5"/>
    <w:rsid w:val="00C36CB8"/>
    <w:rsid w:val="00C415DA"/>
    <w:rsid w:val="00C4327A"/>
    <w:rsid w:val="00C446BC"/>
    <w:rsid w:val="00C448F8"/>
    <w:rsid w:val="00C44970"/>
    <w:rsid w:val="00C44CAA"/>
    <w:rsid w:val="00C4655E"/>
    <w:rsid w:val="00C47C71"/>
    <w:rsid w:val="00C50EFF"/>
    <w:rsid w:val="00C52357"/>
    <w:rsid w:val="00C525BD"/>
    <w:rsid w:val="00C52D17"/>
    <w:rsid w:val="00C53580"/>
    <w:rsid w:val="00C5731A"/>
    <w:rsid w:val="00C57A49"/>
    <w:rsid w:val="00C6058E"/>
    <w:rsid w:val="00C60C47"/>
    <w:rsid w:val="00C6371D"/>
    <w:rsid w:val="00C6533B"/>
    <w:rsid w:val="00C65853"/>
    <w:rsid w:val="00C65A02"/>
    <w:rsid w:val="00C66296"/>
    <w:rsid w:val="00C67A0D"/>
    <w:rsid w:val="00C7509C"/>
    <w:rsid w:val="00C76965"/>
    <w:rsid w:val="00C76AE5"/>
    <w:rsid w:val="00C7718C"/>
    <w:rsid w:val="00C81131"/>
    <w:rsid w:val="00C823BD"/>
    <w:rsid w:val="00C823C0"/>
    <w:rsid w:val="00C82ADF"/>
    <w:rsid w:val="00C85898"/>
    <w:rsid w:val="00C85AB9"/>
    <w:rsid w:val="00C85B23"/>
    <w:rsid w:val="00C85DFC"/>
    <w:rsid w:val="00C87D04"/>
    <w:rsid w:val="00C87EFC"/>
    <w:rsid w:val="00C914B2"/>
    <w:rsid w:val="00C93E0F"/>
    <w:rsid w:val="00C96AA0"/>
    <w:rsid w:val="00C96B4E"/>
    <w:rsid w:val="00C9754C"/>
    <w:rsid w:val="00CA0B24"/>
    <w:rsid w:val="00CA2A83"/>
    <w:rsid w:val="00CA40B0"/>
    <w:rsid w:val="00CA5963"/>
    <w:rsid w:val="00CA5F3C"/>
    <w:rsid w:val="00CA6285"/>
    <w:rsid w:val="00CA62D8"/>
    <w:rsid w:val="00CB23BD"/>
    <w:rsid w:val="00CB3998"/>
    <w:rsid w:val="00CB5618"/>
    <w:rsid w:val="00CB577A"/>
    <w:rsid w:val="00CB5B4B"/>
    <w:rsid w:val="00CC290D"/>
    <w:rsid w:val="00CC483E"/>
    <w:rsid w:val="00CD0519"/>
    <w:rsid w:val="00CD09B1"/>
    <w:rsid w:val="00CD2075"/>
    <w:rsid w:val="00CD4232"/>
    <w:rsid w:val="00CD4E82"/>
    <w:rsid w:val="00CD5F14"/>
    <w:rsid w:val="00CD6A04"/>
    <w:rsid w:val="00CE00E1"/>
    <w:rsid w:val="00CE374C"/>
    <w:rsid w:val="00CE4A6D"/>
    <w:rsid w:val="00CE5795"/>
    <w:rsid w:val="00CE63C1"/>
    <w:rsid w:val="00CF18C5"/>
    <w:rsid w:val="00CF1E4D"/>
    <w:rsid w:val="00CF2A56"/>
    <w:rsid w:val="00CF44E4"/>
    <w:rsid w:val="00CF46A3"/>
    <w:rsid w:val="00CF5FE7"/>
    <w:rsid w:val="00D07067"/>
    <w:rsid w:val="00D075AA"/>
    <w:rsid w:val="00D101BD"/>
    <w:rsid w:val="00D10370"/>
    <w:rsid w:val="00D11861"/>
    <w:rsid w:val="00D11D57"/>
    <w:rsid w:val="00D15067"/>
    <w:rsid w:val="00D1557F"/>
    <w:rsid w:val="00D16C7C"/>
    <w:rsid w:val="00D16E03"/>
    <w:rsid w:val="00D17158"/>
    <w:rsid w:val="00D200F8"/>
    <w:rsid w:val="00D208E9"/>
    <w:rsid w:val="00D2146D"/>
    <w:rsid w:val="00D234C0"/>
    <w:rsid w:val="00D23EC6"/>
    <w:rsid w:val="00D25D68"/>
    <w:rsid w:val="00D2601F"/>
    <w:rsid w:val="00D27CC0"/>
    <w:rsid w:val="00D30E41"/>
    <w:rsid w:val="00D31534"/>
    <w:rsid w:val="00D32EF8"/>
    <w:rsid w:val="00D338A7"/>
    <w:rsid w:val="00D35734"/>
    <w:rsid w:val="00D35A83"/>
    <w:rsid w:val="00D40975"/>
    <w:rsid w:val="00D40E5E"/>
    <w:rsid w:val="00D41A97"/>
    <w:rsid w:val="00D42DF0"/>
    <w:rsid w:val="00D432B7"/>
    <w:rsid w:val="00D514A9"/>
    <w:rsid w:val="00D526AB"/>
    <w:rsid w:val="00D56390"/>
    <w:rsid w:val="00D564D7"/>
    <w:rsid w:val="00D5664C"/>
    <w:rsid w:val="00D578DE"/>
    <w:rsid w:val="00D605E6"/>
    <w:rsid w:val="00D61E8C"/>
    <w:rsid w:val="00D62577"/>
    <w:rsid w:val="00D62CAD"/>
    <w:rsid w:val="00D6300E"/>
    <w:rsid w:val="00D662D3"/>
    <w:rsid w:val="00D6663F"/>
    <w:rsid w:val="00D6718D"/>
    <w:rsid w:val="00D67AAC"/>
    <w:rsid w:val="00D70021"/>
    <w:rsid w:val="00D70156"/>
    <w:rsid w:val="00D72C3E"/>
    <w:rsid w:val="00D72E1C"/>
    <w:rsid w:val="00D74508"/>
    <w:rsid w:val="00D75432"/>
    <w:rsid w:val="00D776E0"/>
    <w:rsid w:val="00D81B90"/>
    <w:rsid w:val="00D81E99"/>
    <w:rsid w:val="00D83B77"/>
    <w:rsid w:val="00D83E3D"/>
    <w:rsid w:val="00D84631"/>
    <w:rsid w:val="00D9330E"/>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0E2"/>
    <w:rsid w:val="00DC5BD7"/>
    <w:rsid w:val="00DC678B"/>
    <w:rsid w:val="00DD0F39"/>
    <w:rsid w:val="00DD1C1A"/>
    <w:rsid w:val="00DD1D73"/>
    <w:rsid w:val="00DD24C7"/>
    <w:rsid w:val="00DD2C71"/>
    <w:rsid w:val="00DD402D"/>
    <w:rsid w:val="00DD5114"/>
    <w:rsid w:val="00DD63D0"/>
    <w:rsid w:val="00DD6882"/>
    <w:rsid w:val="00DE1E8E"/>
    <w:rsid w:val="00DE4050"/>
    <w:rsid w:val="00DE6293"/>
    <w:rsid w:val="00DE6C13"/>
    <w:rsid w:val="00DE71AD"/>
    <w:rsid w:val="00DF0B58"/>
    <w:rsid w:val="00DF13E9"/>
    <w:rsid w:val="00DF3259"/>
    <w:rsid w:val="00DF3935"/>
    <w:rsid w:val="00DF66F8"/>
    <w:rsid w:val="00E00586"/>
    <w:rsid w:val="00E03013"/>
    <w:rsid w:val="00E05768"/>
    <w:rsid w:val="00E06E01"/>
    <w:rsid w:val="00E07261"/>
    <w:rsid w:val="00E10295"/>
    <w:rsid w:val="00E163F5"/>
    <w:rsid w:val="00E16CF4"/>
    <w:rsid w:val="00E17AAA"/>
    <w:rsid w:val="00E2023C"/>
    <w:rsid w:val="00E22FD2"/>
    <w:rsid w:val="00E24040"/>
    <w:rsid w:val="00E254DE"/>
    <w:rsid w:val="00E279C7"/>
    <w:rsid w:val="00E27F47"/>
    <w:rsid w:val="00E30737"/>
    <w:rsid w:val="00E337B2"/>
    <w:rsid w:val="00E36046"/>
    <w:rsid w:val="00E368C1"/>
    <w:rsid w:val="00E36F0D"/>
    <w:rsid w:val="00E42686"/>
    <w:rsid w:val="00E45713"/>
    <w:rsid w:val="00E46E94"/>
    <w:rsid w:val="00E5141A"/>
    <w:rsid w:val="00E525EF"/>
    <w:rsid w:val="00E52B61"/>
    <w:rsid w:val="00E542ED"/>
    <w:rsid w:val="00E54D91"/>
    <w:rsid w:val="00E54EA4"/>
    <w:rsid w:val="00E551C4"/>
    <w:rsid w:val="00E5608B"/>
    <w:rsid w:val="00E564F8"/>
    <w:rsid w:val="00E56FD8"/>
    <w:rsid w:val="00E57237"/>
    <w:rsid w:val="00E57487"/>
    <w:rsid w:val="00E57F99"/>
    <w:rsid w:val="00E61E73"/>
    <w:rsid w:val="00E64429"/>
    <w:rsid w:val="00E646EE"/>
    <w:rsid w:val="00E65054"/>
    <w:rsid w:val="00E6534B"/>
    <w:rsid w:val="00E66780"/>
    <w:rsid w:val="00E6678D"/>
    <w:rsid w:val="00E705B8"/>
    <w:rsid w:val="00E711DA"/>
    <w:rsid w:val="00E7715F"/>
    <w:rsid w:val="00E773DC"/>
    <w:rsid w:val="00E810AC"/>
    <w:rsid w:val="00E828AC"/>
    <w:rsid w:val="00E87CC3"/>
    <w:rsid w:val="00E90841"/>
    <w:rsid w:val="00E91098"/>
    <w:rsid w:val="00E9210B"/>
    <w:rsid w:val="00EA3AE2"/>
    <w:rsid w:val="00EA4CD3"/>
    <w:rsid w:val="00EA4FFB"/>
    <w:rsid w:val="00EA5F42"/>
    <w:rsid w:val="00EA6164"/>
    <w:rsid w:val="00EA7A01"/>
    <w:rsid w:val="00EA7CCD"/>
    <w:rsid w:val="00EB154B"/>
    <w:rsid w:val="00EB234D"/>
    <w:rsid w:val="00EB3F6F"/>
    <w:rsid w:val="00EB5C44"/>
    <w:rsid w:val="00EB5FE0"/>
    <w:rsid w:val="00EC185B"/>
    <w:rsid w:val="00EC3165"/>
    <w:rsid w:val="00EC428E"/>
    <w:rsid w:val="00EC50AD"/>
    <w:rsid w:val="00EC6872"/>
    <w:rsid w:val="00ED0449"/>
    <w:rsid w:val="00ED1087"/>
    <w:rsid w:val="00ED5A7B"/>
    <w:rsid w:val="00ED769C"/>
    <w:rsid w:val="00EE1525"/>
    <w:rsid w:val="00EE1C35"/>
    <w:rsid w:val="00EE2292"/>
    <w:rsid w:val="00EE372B"/>
    <w:rsid w:val="00EE4651"/>
    <w:rsid w:val="00EE7822"/>
    <w:rsid w:val="00EE7ED0"/>
    <w:rsid w:val="00EF07A4"/>
    <w:rsid w:val="00EF09B7"/>
    <w:rsid w:val="00EF16B0"/>
    <w:rsid w:val="00EF18F6"/>
    <w:rsid w:val="00EF6CA7"/>
    <w:rsid w:val="00EF7B9C"/>
    <w:rsid w:val="00F00F7F"/>
    <w:rsid w:val="00F02848"/>
    <w:rsid w:val="00F03447"/>
    <w:rsid w:val="00F05B1C"/>
    <w:rsid w:val="00F119AC"/>
    <w:rsid w:val="00F12B7F"/>
    <w:rsid w:val="00F135AB"/>
    <w:rsid w:val="00F14B55"/>
    <w:rsid w:val="00F154D3"/>
    <w:rsid w:val="00F15DF3"/>
    <w:rsid w:val="00F16609"/>
    <w:rsid w:val="00F16AE3"/>
    <w:rsid w:val="00F2023C"/>
    <w:rsid w:val="00F20512"/>
    <w:rsid w:val="00F23425"/>
    <w:rsid w:val="00F23596"/>
    <w:rsid w:val="00F244D4"/>
    <w:rsid w:val="00F26062"/>
    <w:rsid w:val="00F30CEE"/>
    <w:rsid w:val="00F330F8"/>
    <w:rsid w:val="00F33971"/>
    <w:rsid w:val="00F34586"/>
    <w:rsid w:val="00F350B8"/>
    <w:rsid w:val="00F375BA"/>
    <w:rsid w:val="00F378BC"/>
    <w:rsid w:val="00F37EDA"/>
    <w:rsid w:val="00F4014E"/>
    <w:rsid w:val="00F41415"/>
    <w:rsid w:val="00F437CD"/>
    <w:rsid w:val="00F4394B"/>
    <w:rsid w:val="00F44A63"/>
    <w:rsid w:val="00F45334"/>
    <w:rsid w:val="00F476B3"/>
    <w:rsid w:val="00F477AC"/>
    <w:rsid w:val="00F479E9"/>
    <w:rsid w:val="00F51A25"/>
    <w:rsid w:val="00F533E4"/>
    <w:rsid w:val="00F5587C"/>
    <w:rsid w:val="00F56CFF"/>
    <w:rsid w:val="00F57183"/>
    <w:rsid w:val="00F600C5"/>
    <w:rsid w:val="00F618BE"/>
    <w:rsid w:val="00F63E7B"/>
    <w:rsid w:val="00F65DB9"/>
    <w:rsid w:val="00F6669E"/>
    <w:rsid w:val="00F666D6"/>
    <w:rsid w:val="00F67D23"/>
    <w:rsid w:val="00F7320A"/>
    <w:rsid w:val="00F74046"/>
    <w:rsid w:val="00F74414"/>
    <w:rsid w:val="00F75D20"/>
    <w:rsid w:val="00F80FF3"/>
    <w:rsid w:val="00F82D72"/>
    <w:rsid w:val="00F83E12"/>
    <w:rsid w:val="00F85225"/>
    <w:rsid w:val="00F87EFB"/>
    <w:rsid w:val="00F90C71"/>
    <w:rsid w:val="00F91F35"/>
    <w:rsid w:val="00F922A6"/>
    <w:rsid w:val="00F94792"/>
    <w:rsid w:val="00F96A74"/>
    <w:rsid w:val="00FA2572"/>
    <w:rsid w:val="00FA28FE"/>
    <w:rsid w:val="00FA4372"/>
    <w:rsid w:val="00FA5CE2"/>
    <w:rsid w:val="00FB0403"/>
    <w:rsid w:val="00FB33C3"/>
    <w:rsid w:val="00FB5F54"/>
    <w:rsid w:val="00FB6C04"/>
    <w:rsid w:val="00FC3301"/>
    <w:rsid w:val="00FC4C29"/>
    <w:rsid w:val="00FD1625"/>
    <w:rsid w:val="00FD179F"/>
    <w:rsid w:val="00FD1905"/>
    <w:rsid w:val="00FD20A5"/>
    <w:rsid w:val="00FD3374"/>
    <w:rsid w:val="00FD7736"/>
    <w:rsid w:val="00FE102D"/>
    <w:rsid w:val="00FE1CA2"/>
    <w:rsid w:val="00FE4655"/>
    <w:rsid w:val="00FE46A9"/>
    <w:rsid w:val="00FE4A6A"/>
    <w:rsid w:val="00FE6863"/>
    <w:rsid w:val="00FF1D89"/>
    <w:rsid w:val="00FF1E2E"/>
    <w:rsid w:val="00FF22CF"/>
    <w:rsid w:val="00FF2991"/>
    <w:rsid w:val="00FF4DF1"/>
    <w:rsid w:val="00FF5B20"/>
    <w:rsid w:val="00FF5D8D"/>
    <w:rsid w:val="015123B9"/>
    <w:rsid w:val="052B38A3"/>
    <w:rsid w:val="082F25E4"/>
    <w:rsid w:val="0A8F5D00"/>
    <w:rsid w:val="0D75742F"/>
    <w:rsid w:val="0E552DBD"/>
    <w:rsid w:val="0EA7186A"/>
    <w:rsid w:val="0EE330C9"/>
    <w:rsid w:val="0F3D375A"/>
    <w:rsid w:val="10C04E65"/>
    <w:rsid w:val="10D017D9"/>
    <w:rsid w:val="12032D2D"/>
    <w:rsid w:val="1348114C"/>
    <w:rsid w:val="138B5786"/>
    <w:rsid w:val="1CA0145B"/>
    <w:rsid w:val="1E1E31CB"/>
    <w:rsid w:val="21603540"/>
    <w:rsid w:val="22CE1EEF"/>
    <w:rsid w:val="24011B01"/>
    <w:rsid w:val="25A067AC"/>
    <w:rsid w:val="261F3F85"/>
    <w:rsid w:val="27F7686E"/>
    <w:rsid w:val="29E03A2B"/>
    <w:rsid w:val="2B7ED06F"/>
    <w:rsid w:val="2D3D4257"/>
    <w:rsid w:val="2DDA0928"/>
    <w:rsid w:val="32B41128"/>
    <w:rsid w:val="35DE565D"/>
    <w:rsid w:val="369547EC"/>
    <w:rsid w:val="37AE5168"/>
    <w:rsid w:val="3A3D4F53"/>
    <w:rsid w:val="3D3A7EAF"/>
    <w:rsid w:val="3EA0216F"/>
    <w:rsid w:val="3F7E74F8"/>
    <w:rsid w:val="42925DB2"/>
    <w:rsid w:val="448B464D"/>
    <w:rsid w:val="4B887C1D"/>
    <w:rsid w:val="4C115F9A"/>
    <w:rsid w:val="4C2537F3"/>
    <w:rsid w:val="4D037D0C"/>
    <w:rsid w:val="4EE778FC"/>
    <w:rsid w:val="50446580"/>
    <w:rsid w:val="513525FF"/>
    <w:rsid w:val="520934A3"/>
    <w:rsid w:val="53093721"/>
    <w:rsid w:val="535029F5"/>
    <w:rsid w:val="53B322F3"/>
    <w:rsid w:val="5CDE4274"/>
    <w:rsid w:val="5DFE4393"/>
    <w:rsid w:val="5DFF29E0"/>
    <w:rsid w:val="5EDF3AF6"/>
    <w:rsid w:val="5FD94BDB"/>
    <w:rsid w:val="613B41DF"/>
    <w:rsid w:val="615835BC"/>
    <w:rsid w:val="62FA5B29"/>
    <w:rsid w:val="64632CB3"/>
    <w:rsid w:val="68B41309"/>
    <w:rsid w:val="68FF6CAB"/>
    <w:rsid w:val="69CA7F8E"/>
    <w:rsid w:val="6B32428E"/>
    <w:rsid w:val="6B9F0575"/>
    <w:rsid w:val="6CEF7485"/>
    <w:rsid w:val="6D464B59"/>
    <w:rsid w:val="6D517150"/>
    <w:rsid w:val="739E1612"/>
    <w:rsid w:val="73EF1F12"/>
    <w:rsid w:val="75AF62D4"/>
    <w:rsid w:val="760E16AB"/>
    <w:rsid w:val="784244D4"/>
    <w:rsid w:val="7BC14284"/>
    <w:rsid w:val="7C624CE5"/>
    <w:rsid w:val="7F921D31"/>
    <w:rsid w:val="AEFF9737"/>
    <w:rsid w:val="AEFFAB2F"/>
    <w:rsid w:val="DDFFD477"/>
    <w:rsid w:val="FADAB0B6"/>
    <w:rsid w:val="FFBBF84C"/>
    <w:rsid w:val="FFED0BA2"/>
    <w:rsid w:val="FFFB1921"/>
    <w:rsid w:val="FFFFE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24"/>
    <w:semiHidden/>
    <w:unhideWhenUsed/>
    <w:qFormat/>
    <w:uiPriority w:val="99"/>
    <w:rPr>
      <w:rFonts w:ascii="宋体" w:eastAsia="宋体"/>
      <w:sz w:val="18"/>
      <w:szCs w:val="18"/>
    </w:rPr>
  </w:style>
  <w:style w:type="paragraph" w:styleId="5">
    <w:name w:val="annotation text"/>
    <w:basedOn w:val="1"/>
    <w:link w:val="32"/>
    <w:unhideWhenUsed/>
    <w:qFormat/>
    <w:uiPriority w:val="99"/>
    <w:pPr>
      <w:jc w:val="left"/>
    </w:pPr>
  </w:style>
  <w:style w:type="paragraph" w:styleId="6">
    <w:name w:val="Date"/>
    <w:basedOn w:val="1"/>
    <w:next w:val="1"/>
    <w:link w:val="44"/>
    <w:semiHidden/>
    <w:unhideWhenUsed/>
    <w:qFormat/>
    <w:uiPriority w:val="99"/>
    <w:pPr>
      <w:ind w:left="100" w:leftChars="2500"/>
    </w:pPr>
  </w:style>
  <w:style w:type="paragraph" w:styleId="7">
    <w:name w:val="Balloon Text"/>
    <w:basedOn w:val="1"/>
    <w:link w:val="19"/>
    <w:semiHidden/>
    <w:unhideWhenUsed/>
    <w:qFormat/>
    <w:uiPriority w:val="99"/>
    <w:rPr>
      <w:sz w:val="18"/>
      <w:szCs w:val="18"/>
    </w:rPr>
  </w:style>
  <w:style w:type="paragraph" w:styleId="8">
    <w:name w:val="footer"/>
    <w:basedOn w:val="1"/>
    <w:link w:val="23"/>
    <w:unhideWhenUsed/>
    <w:qFormat/>
    <w:uiPriority w:val="99"/>
    <w:pPr>
      <w:tabs>
        <w:tab w:val="center" w:pos="4153"/>
        <w:tab w:val="right" w:pos="8306"/>
      </w:tabs>
      <w:snapToGrid w:val="0"/>
      <w:jc w:val="left"/>
    </w:pPr>
    <w:rPr>
      <w:sz w:val="18"/>
      <w:szCs w:val="18"/>
    </w:rPr>
  </w:style>
  <w:style w:type="paragraph" w:styleId="9">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Autospacing="1" w:afterAutospacing="1"/>
      <w:jc w:val="left"/>
    </w:pPr>
    <w:rPr>
      <w:kern w:val="0"/>
      <w:sz w:val="24"/>
    </w:rPr>
  </w:style>
  <w:style w:type="paragraph" w:styleId="11">
    <w:name w:val="annotation subject"/>
    <w:basedOn w:val="5"/>
    <w:next w:val="5"/>
    <w:link w:val="34"/>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styleId="16">
    <w:name w:val="annotation reference"/>
    <w:basedOn w:val="14"/>
    <w:semiHidden/>
    <w:unhideWhenUsed/>
    <w:qFormat/>
    <w:uiPriority w:val="99"/>
    <w:rPr>
      <w:sz w:val="21"/>
      <w:szCs w:val="21"/>
    </w:rPr>
  </w:style>
  <w:style w:type="character" w:customStyle="1" w:styleId="17">
    <w:name w:val="标题 1 字符"/>
    <w:basedOn w:val="14"/>
    <w:link w:val="2"/>
    <w:qFormat/>
    <w:uiPriority w:val="9"/>
    <w:rPr>
      <w:b/>
      <w:bCs/>
      <w:kern w:val="44"/>
      <w:sz w:val="44"/>
      <w:szCs w:val="44"/>
    </w:rPr>
  </w:style>
  <w:style w:type="character" w:customStyle="1" w:styleId="18">
    <w:name w:val="标题 2 字符"/>
    <w:basedOn w:val="14"/>
    <w:link w:val="3"/>
    <w:qFormat/>
    <w:uiPriority w:val="9"/>
    <w:rPr>
      <w:rFonts w:asciiTheme="majorHAnsi" w:hAnsiTheme="majorHAnsi" w:eastAsiaTheme="majorEastAsia" w:cstheme="majorBidi"/>
      <w:b/>
      <w:bCs/>
      <w:sz w:val="32"/>
      <w:szCs w:val="32"/>
    </w:rPr>
  </w:style>
  <w:style w:type="character" w:customStyle="1" w:styleId="19">
    <w:name w:val="批注框文本 字符"/>
    <w:basedOn w:val="14"/>
    <w:link w:val="7"/>
    <w:semiHidden/>
    <w:qFormat/>
    <w:uiPriority w:val="99"/>
    <w:rPr>
      <w:sz w:val="18"/>
      <w:szCs w:val="18"/>
    </w:rPr>
  </w:style>
  <w:style w:type="paragraph" w:styleId="20">
    <w:name w:val="List Paragraph"/>
    <w:basedOn w:val="1"/>
    <w:qFormat/>
    <w:uiPriority w:val="34"/>
    <w:pPr>
      <w:ind w:firstLine="420" w:firstLineChars="200"/>
    </w:pPr>
  </w:style>
  <w:style w:type="character" w:styleId="21">
    <w:name w:val="Placeholder Text"/>
    <w:basedOn w:val="14"/>
    <w:semiHidden/>
    <w:qFormat/>
    <w:uiPriority w:val="99"/>
    <w:rPr>
      <w:color w:val="auto"/>
    </w:rPr>
  </w:style>
  <w:style w:type="character" w:customStyle="1" w:styleId="22">
    <w:name w:val="页眉 字符"/>
    <w:basedOn w:val="14"/>
    <w:link w:val="9"/>
    <w:qFormat/>
    <w:uiPriority w:val="99"/>
    <w:rPr>
      <w:sz w:val="18"/>
      <w:szCs w:val="18"/>
    </w:rPr>
  </w:style>
  <w:style w:type="character" w:customStyle="1" w:styleId="23">
    <w:name w:val="页脚 字符"/>
    <w:basedOn w:val="14"/>
    <w:link w:val="8"/>
    <w:qFormat/>
    <w:uiPriority w:val="99"/>
    <w:rPr>
      <w:sz w:val="18"/>
      <w:szCs w:val="18"/>
    </w:rPr>
  </w:style>
  <w:style w:type="character" w:customStyle="1" w:styleId="24">
    <w:name w:val="文档结构图 字符"/>
    <w:basedOn w:val="14"/>
    <w:link w:val="4"/>
    <w:semiHidden/>
    <w:qFormat/>
    <w:uiPriority w:val="99"/>
    <w:rPr>
      <w:rFonts w:ascii="宋体" w:eastAsia="宋体"/>
      <w:sz w:val="18"/>
      <w:szCs w:val="18"/>
    </w:rPr>
  </w:style>
  <w:style w:type="character" w:customStyle="1" w:styleId="25">
    <w:name w:val="样式1"/>
    <w:qFormat/>
    <w:uiPriority w:val="1"/>
  </w:style>
  <w:style w:type="character" w:customStyle="1" w:styleId="26">
    <w:name w:val="样式2"/>
    <w:basedOn w:val="25"/>
    <w:qFormat/>
    <w:uiPriority w:val="1"/>
  </w:style>
  <w:style w:type="character" w:customStyle="1" w:styleId="27">
    <w:name w:val="样式3"/>
    <w:basedOn w:val="25"/>
    <w:qFormat/>
    <w:uiPriority w:val="1"/>
  </w:style>
  <w:style w:type="character" w:customStyle="1" w:styleId="28">
    <w:name w:val="样式4"/>
    <w:basedOn w:val="25"/>
    <w:qFormat/>
    <w:uiPriority w:val="1"/>
  </w:style>
  <w:style w:type="character" w:customStyle="1" w:styleId="29">
    <w:name w:val="样式5"/>
    <w:basedOn w:val="25"/>
    <w:qFormat/>
    <w:uiPriority w:val="1"/>
  </w:style>
  <w:style w:type="character" w:customStyle="1" w:styleId="30">
    <w:name w:val="样式6"/>
    <w:basedOn w:val="28"/>
    <w:qFormat/>
    <w:uiPriority w:val="1"/>
  </w:style>
  <w:style w:type="character" w:customStyle="1" w:styleId="31">
    <w:name w:val="样式7"/>
    <w:basedOn w:val="28"/>
    <w:qFormat/>
    <w:uiPriority w:val="1"/>
  </w:style>
  <w:style w:type="character" w:customStyle="1" w:styleId="32">
    <w:name w:val="批注文字 字符"/>
    <w:basedOn w:val="14"/>
    <w:link w:val="5"/>
    <w:qFormat/>
    <w:uiPriority w:val="99"/>
  </w:style>
  <w:style w:type="paragraph" w:customStyle="1" w:styleId="33">
    <w:name w:val="p0"/>
    <w:basedOn w:val="1"/>
    <w:qFormat/>
    <w:uiPriority w:val="0"/>
    <w:pPr>
      <w:widowControl/>
    </w:pPr>
    <w:rPr>
      <w:rFonts w:ascii="Book Antiqua" w:hAnsi="Book Antiqua" w:eastAsia="宋体" w:cs="宋体"/>
      <w:kern w:val="0"/>
      <w:sz w:val="24"/>
      <w:szCs w:val="24"/>
    </w:rPr>
  </w:style>
  <w:style w:type="character" w:customStyle="1" w:styleId="34">
    <w:name w:val="批注主题 字符"/>
    <w:basedOn w:val="32"/>
    <w:link w:val="11"/>
    <w:semiHidden/>
    <w:qFormat/>
    <w:uiPriority w:val="99"/>
    <w:rPr>
      <w:b/>
      <w:bCs/>
    </w:rPr>
  </w:style>
  <w:style w:type="paragraph" w:customStyle="1" w:styleId="35">
    <w:name w:val="Table Text"/>
    <w:basedOn w:val="1"/>
    <w:semiHidden/>
    <w:qFormat/>
    <w:uiPriority w:val="0"/>
    <w:pPr>
      <w:spacing w:before="64" w:line="284" w:lineRule="auto"/>
      <w:ind w:left="18" w:right="30" w:hanging="7"/>
      <w:jc w:val="left"/>
    </w:pPr>
    <w:rPr>
      <w:rFonts w:ascii="Times New Roman" w:hAnsi="Times New Roman" w:eastAsia="Times New Roman"/>
      <w:sz w:val="24"/>
      <w:szCs w:val="24"/>
      <w:lang w:eastAsia="en-US"/>
    </w:rPr>
  </w:style>
  <w:style w:type="table" w:customStyle="1" w:styleId="36">
    <w:name w:val="Table Normal"/>
    <w:semiHidden/>
    <w:unhideWhenUsed/>
    <w:qFormat/>
    <w:uiPriority w:val="0"/>
    <w:tblPr>
      <w:tblCellMar>
        <w:top w:w="0" w:type="dxa"/>
        <w:left w:w="0" w:type="dxa"/>
        <w:bottom w:w="0" w:type="dxa"/>
        <w:right w:w="0" w:type="dxa"/>
      </w:tblCellMar>
    </w:tblPr>
  </w:style>
  <w:style w:type="paragraph" w:customStyle="1" w:styleId="3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8">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9">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0">
    <w:name w:val="修订4"/>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1">
    <w:name w:val="未处理的提及1"/>
    <w:basedOn w:val="14"/>
    <w:semiHidden/>
    <w:unhideWhenUsed/>
    <w:qFormat/>
    <w:uiPriority w:val="99"/>
    <w:rPr>
      <w:color w:val="605E5C"/>
      <w:shd w:val="clear" w:color="auto" w:fill="E1DFDD"/>
    </w:rPr>
  </w:style>
  <w:style w:type="paragraph" w:customStyle="1" w:styleId="42">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3">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4">
    <w:name w:val="日期 字符"/>
    <w:basedOn w:val="14"/>
    <w:link w:val="6"/>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B-ZB-009\AppData\Roaming\Kingsoft\office6\templates\wps\zh_CN\SSEReport.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template xmlns:t="http://mapping.word.org/2012/template">
  <t:sse><![CDATA[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]]></t:sse>
</t:template>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]]></m:sse>
</m:mapping>
</file>

<file path=customXml/item4.xml><?xml version="1.0" encoding="utf-8"?>
<b:binding xmlns:clcta-gie="clcta-gie" xmlns:b="http://mapping.word.org/2012/binding" xmlns:clcta-taf="clcta-taf" xmlns:clcta-fte="clcta-fte" xmlns:xlink="xlink" xmlns:clcta-be="clcta-be"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Props1.xml><?xml version="1.0" encoding="utf-8"?>
<ds:datastoreItem xmlns:ds="http://schemas.openxmlformats.org/officeDocument/2006/customXml" ds:itemID="{4D712232-0D2F-4918-AFFB-BA045CC0B17B}">
  <ds:schemaRefs/>
</ds:datastoreItem>
</file>

<file path=customXml/itemProps2.xml><?xml version="1.0" encoding="utf-8"?>
<ds:datastoreItem xmlns:ds="http://schemas.openxmlformats.org/officeDocument/2006/customXml" ds:itemID="{4511FAB5-2CDB-48CD-B312-58EE4B3BFC5C}">
  <ds:schemaRefs/>
</ds:datastoreItem>
</file>

<file path=customXml/itemProps3.xml><?xml version="1.0" encoding="utf-8"?>
<ds:datastoreItem xmlns:ds="http://schemas.openxmlformats.org/officeDocument/2006/customXml" ds:itemID="{6946C436-FBFE-4818-858F-57D7285C98D3}">
  <ds:schemaRefs/>
</ds:datastoreItem>
</file>

<file path=customXml/itemProps4.xml><?xml version="1.0" encoding="utf-8"?>
<ds:datastoreItem xmlns:ds="http://schemas.openxmlformats.org/officeDocument/2006/customXml" ds:itemID="{BA98B501-917D-472D-AC19-F30F1EB82784}">
  <ds:schemaRefs/>
</ds:datastoreItem>
</file>

<file path=docProps/app.xml><?xml version="1.0" encoding="utf-8"?>
<Properties xmlns="http://schemas.openxmlformats.org/officeDocument/2006/extended-properties" xmlns:vt="http://schemas.openxmlformats.org/officeDocument/2006/docPropsVTypes">
  <Template>SSEReport.dotm</Template>
  <Company>HP</Company>
  <Pages>7</Pages>
  <Words>3883</Words>
  <Characters>4631</Characters>
  <Lines>34</Lines>
  <Paragraphs>9</Paragraphs>
  <TotalTime>1182</TotalTime>
  <ScaleCrop>false</ScaleCrop>
  <LinksUpToDate>false</LinksUpToDate>
  <CharactersWithSpaces>4670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2026-05-08T05:10:00Z</dcterms:created>
  <dc:creator>lanjiang</dc:creator>
  <cp:lastModifiedBy>雯亦</cp:lastModifiedBy>
  <dcterms:modified xsi:type="dcterms:W3CDTF">2026-08-06T03:25:38Z</dcterms:modified>
  <dc:subject>对子公司担保进展公告</dc:subject>
  <dc:title>2026年7月对子公司提供担保的进展公告</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eyJoZGlkIjoiZjA0MDY0YWU2NTBjNGFiY2ZjOTQ3OTMxZWYyYzI4ZDYiLCJ1c2VySWQiOiIzMjIxMjU5MDUifQ==</vt:lpwstr>
  </property>
  <property fmtid="{D5CDD505-2E9C-101B-9397-08002B2CF9AE}" pid="3" name="KSOProductBuildVer">
    <vt:lpwstr>2052-11.1.0.12165</vt:lpwstr>
  </property>
  <property fmtid="{D5CDD505-2E9C-101B-9397-08002B2CF9AE}" pid="4" name="ICV">
    <vt:lpwstr>934376E1F8FF4434A4349AA1C532B4C8</vt:lpwstr>
  </property>
</Properties>
</file>