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highlight w:val="none"/>
        </w:rPr>
      </w:pPr>
      <w:r>
        <w:rPr>
          <w:rFonts w:hint="eastAsia"/>
          <w:kern w:val="0"/>
          <w:highlight w:val="none"/>
          <w:lang w:bidi="ar"/>
        </w:rPr>
        <w:t>证券代码：603191                              证券简称：望变电气</w:t>
      </w:r>
    </w:p>
    <w:p>
      <w:pPr>
        <w:spacing w:after="249" w:line="265" w:lineRule="auto"/>
        <w:ind w:left="68" w:right="182" w:hanging="10"/>
        <w:jc w:val="center"/>
        <w:rPr>
          <w:rFonts w:hint="eastAsia"/>
          <w:sz w:val="48"/>
          <w:highlight w:val="none"/>
        </w:rPr>
      </w:pPr>
    </w:p>
    <w:p>
      <w:pPr>
        <w:spacing w:after="249" w:line="265" w:lineRule="auto"/>
        <w:ind w:left="68" w:right="182" w:hanging="10"/>
        <w:jc w:val="center"/>
        <w:rPr>
          <w:rFonts w:hint="eastAsia"/>
          <w:sz w:val="48"/>
          <w:highlight w:val="none"/>
        </w:rPr>
      </w:pPr>
    </w:p>
    <w:p>
      <w:pPr>
        <w:spacing w:after="249" w:line="265" w:lineRule="auto"/>
        <w:ind w:left="68" w:right="182" w:hanging="10"/>
        <w:jc w:val="center"/>
        <w:rPr>
          <w:rFonts w:hint="eastAsia"/>
          <w:b/>
          <w:bCs/>
          <w:highlight w:val="none"/>
        </w:rPr>
      </w:pPr>
      <w:r>
        <w:rPr>
          <w:b/>
          <w:bCs/>
          <w:sz w:val="48"/>
          <w:highlight w:val="none"/>
        </w:rPr>
        <w:t>重庆望变电气（集团）股份有限公司</w:t>
      </w:r>
    </w:p>
    <w:p>
      <w:pPr>
        <w:spacing w:after="0" w:line="360" w:lineRule="auto"/>
        <w:ind w:left="68" w:right="181" w:hanging="11"/>
        <w:jc w:val="center"/>
        <w:rPr>
          <w:rFonts w:hint="eastAsia"/>
          <w:b/>
          <w:bCs/>
          <w:sz w:val="48"/>
          <w:highlight w:val="none"/>
        </w:rPr>
      </w:pPr>
      <w:r>
        <w:rPr>
          <w:b/>
          <w:bCs/>
          <w:sz w:val="48"/>
          <w:highlight w:val="none"/>
        </w:rPr>
        <w:t>收购报告书</w:t>
      </w:r>
    </w:p>
    <w:p>
      <w:pPr>
        <w:rPr>
          <w:rFonts w:hint="eastAsia"/>
          <w:b/>
          <w:bCs/>
          <w:kern w:val="0"/>
          <w:highlight w:val="none"/>
          <w:lang w:bidi="ar"/>
        </w:rPr>
      </w:pPr>
    </w:p>
    <w:p>
      <w:pPr>
        <w:rPr>
          <w:rFonts w:hint="eastAsia"/>
          <w:b/>
          <w:bCs/>
          <w:kern w:val="0"/>
          <w:highlight w:val="none"/>
          <w:lang w:bidi="ar"/>
        </w:rPr>
      </w:pPr>
    </w:p>
    <w:p>
      <w:pPr>
        <w:spacing w:after="0" w:line="360" w:lineRule="auto"/>
        <w:ind w:firstLine="471"/>
        <w:rPr>
          <w:rFonts w:hint="eastAsia"/>
          <w:sz w:val="28"/>
          <w:szCs w:val="28"/>
          <w:highlight w:val="none"/>
        </w:rPr>
      </w:pPr>
      <w:r>
        <w:rPr>
          <w:rFonts w:hint="eastAsia"/>
          <w:b/>
          <w:bCs/>
          <w:kern w:val="0"/>
          <w:sz w:val="28"/>
          <w:szCs w:val="28"/>
          <w:highlight w:val="none"/>
          <w:lang w:bidi="ar"/>
        </w:rPr>
        <w:t>上市公司名称：</w:t>
      </w:r>
      <w:r>
        <w:rPr>
          <w:rFonts w:hint="eastAsia"/>
          <w:kern w:val="0"/>
          <w:sz w:val="28"/>
          <w:szCs w:val="28"/>
          <w:highlight w:val="none"/>
          <w:lang w:bidi="ar"/>
        </w:rPr>
        <w:t>重庆望变电气(集团)股份有限公司</w:t>
      </w:r>
    </w:p>
    <w:p>
      <w:pPr>
        <w:spacing w:after="0" w:line="360" w:lineRule="auto"/>
        <w:ind w:firstLine="471"/>
        <w:rPr>
          <w:rFonts w:hint="eastAsia"/>
          <w:sz w:val="28"/>
          <w:szCs w:val="28"/>
          <w:highlight w:val="none"/>
        </w:rPr>
      </w:pPr>
      <w:r>
        <w:rPr>
          <w:rFonts w:hint="eastAsia"/>
          <w:b/>
          <w:bCs/>
          <w:kern w:val="0"/>
          <w:sz w:val="28"/>
          <w:szCs w:val="28"/>
          <w:highlight w:val="none"/>
          <w:lang w:bidi="ar"/>
        </w:rPr>
        <w:t>股票上市地点：</w:t>
      </w:r>
      <w:r>
        <w:rPr>
          <w:rFonts w:hint="eastAsia"/>
          <w:kern w:val="0"/>
          <w:sz w:val="28"/>
          <w:szCs w:val="28"/>
          <w:highlight w:val="none"/>
          <w:lang w:bidi="ar"/>
        </w:rPr>
        <w:t>上海证券交易所</w:t>
      </w:r>
    </w:p>
    <w:p>
      <w:pPr>
        <w:spacing w:after="0" w:line="360" w:lineRule="auto"/>
        <w:ind w:firstLine="471"/>
        <w:rPr>
          <w:rFonts w:hint="eastAsia"/>
          <w:sz w:val="28"/>
          <w:szCs w:val="28"/>
          <w:highlight w:val="none"/>
        </w:rPr>
      </w:pPr>
      <w:r>
        <w:rPr>
          <w:rFonts w:hint="eastAsia"/>
          <w:b/>
          <w:bCs/>
          <w:kern w:val="0"/>
          <w:sz w:val="28"/>
          <w:szCs w:val="28"/>
          <w:highlight w:val="none"/>
          <w:lang w:bidi="ar"/>
        </w:rPr>
        <w:t>股票简称：</w:t>
      </w:r>
      <w:r>
        <w:rPr>
          <w:rFonts w:hint="eastAsia"/>
          <w:kern w:val="0"/>
          <w:sz w:val="28"/>
          <w:szCs w:val="28"/>
          <w:highlight w:val="none"/>
          <w:lang w:bidi="ar"/>
        </w:rPr>
        <w:t>望变电气</w:t>
      </w:r>
    </w:p>
    <w:p>
      <w:pPr>
        <w:spacing w:after="0" w:line="360" w:lineRule="auto"/>
        <w:ind w:firstLine="471"/>
        <w:rPr>
          <w:rFonts w:hint="eastAsia"/>
          <w:sz w:val="28"/>
          <w:szCs w:val="28"/>
          <w:highlight w:val="none"/>
        </w:rPr>
      </w:pPr>
      <w:r>
        <w:rPr>
          <w:rFonts w:hint="eastAsia"/>
          <w:b/>
          <w:bCs/>
          <w:kern w:val="0"/>
          <w:sz w:val="28"/>
          <w:szCs w:val="28"/>
          <w:highlight w:val="none"/>
          <w:lang w:bidi="ar"/>
        </w:rPr>
        <w:t>股票代码：</w:t>
      </w:r>
      <w:r>
        <w:rPr>
          <w:rFonts w:ascii="Times New Roman" w:hAnsi="Times New Roman" w:cs="Times New Roman"/>
          <w:kern w:val="0"/>
          <w:sz w:val="28"/>
          <w:szCs w:val="28"/>
          <w:highlight w:val="none"/>
          <w:lang w:bidi="ar"/>
        </w:rPr>
        <w:t>60</w:t>
      </w:r>
      <w:r>
        <w:rPr>
          <w:rFonts w:hint="eastAsia" w:ascii="Times New Roman" w:hAnsi="Times New Roman" w:cs="Times New Roman"/>
          <w:kern w:val="0"/>
          <w:sz w:val="28"/>
          <w:szCs w:val="28"/>
          <w:highlight w:val="none"/>
          <w:lang w:bidi="ar"/>
        </w:rPr>
        <w:t>3191</w:t>
      </w:r>
    </w:p>
    <w:p>
      <w:pPr>
        <w:spacing w:after="0" w:line="360" w:lineRule="auto"/>
        <w:ind w:firstLine="471"/>
        <w:rPr>
          <w:rFonts w:hint="eastAsia"/>
          <w:b/>
          <w:bCs/>
          <w:kern w:val="0"/>
          <w:sz w:val="28"/>
          <w:szCs w:val="28"/>
          <w:highlight w:val="none"/>
          <w:lang w:bidi="ar"/>
        </w:rPr>
      </w:pPr>
    </w:p>
    <w:p>
      <w:pPr>
        <w:spacing w:after="0" w:line="360" w:lineRule="auto"/>
        <w:ind w:firstLine="471"/>
        <w:rPr>
          <w:rFonts w:hint="eastAsia"/>
          <w:sz w:val="28"/>
          <w:szCs w:val="28"/>
          <w:highlight w:val="none"/>
        </w:rPr>
      </w:pPr>
      <w:r>
        <w:rPr>
          <w:rFonts w:hint="eastAsia"/>
          <w:b/>
          <w:bCs/>
          <w:kern w:val="0"/>
          <w:sz w:val="28"/>
          <w:szCs w:val="28"/>
          <w:highlight w:val="none"/>
          <w:lang w:bidi="ar"/>
        </w:rPr>
        <w:t>收购人：</w:t>
      </w:r>
      <w:r>
        <w:rPr>
          <w:rFonts w:hint="eastAsia"/>
          <w:kern w:val="0"/>
          <w:sz w:val="28"/>
          <w:szCs w:val="28"/>
          <w:highlight w:val="none"/>
          <w:lang w:bidi="ar"/>
        </w:rPr>
        <w:t>重庆耀泽商业管理有限公司</w:t>
      </w:r>
    </w:p>
    <w:p>
      <w:pPr>
        <w:spacing w:after="0" w:line="360" w:lineRule="auto"/>
        <w:ind w:firstLine="471"/>
        <w:rPr>
          <w:rFonts w:hint="eastAsia"/>
          <w:sz w:val="28"/>
          <w:szCs w:val="28"/>
          <w:highlight w:val="none"/>
        </w:rPr>
      </w:pPr>
      <w:r>
        <w:rPr>
          <w:rFonts w:hint="eastAsia"/>
          <w:b/>
          <w:bCs/>
          <w:kern w:val="0"/>
          <w:sz w:val="28"/>
          <w:szCs w:val="28"/>
          <w:highlight w:val="none"/>
          <w:lang w:bidi="ar"/>
        </w:rPr>
        <w:t>住所</w:t>
      </w:r>
      <w:r>
        <w:rPr>
          <w:rFonts w:ascii="Times New Roman" w:hAnsi="Times New Roman" w:cs="Times New Roman"/>
          <w:b/>
          <w:bCs/>
          <w:kern w:val="0"/>
          <w:sz w:val="28"/>
          <w:szCs w:val="28"/>
          <w:highlight w:val="none"/>
          <w:lang w:bidi="ar"/>
        </w:rPr>
        <w:t>/</w:t>
      </w:r>
      <w:r>
        <w:rPr>
          <w:rFonts w:hint="eastAsia"/>
          <w:b/>
          <w:bCs/>
          <w:kern w:val="0"/>
          <w:sz w:val="28"/>
          <w:szCs w:val="28"/>
          <w:highlight w:val="none"/>
          <w:lang w:bidi="ar"/>
        </w:rPr>
        <w:t>通讯地址：</w:t>
      </w:r>
      <w:r>
        <w:rPr>
          <w:rFonts w:hint="eastAsia"/>
          <w:kern w:val="0"/>
          <w:sz w:val="28"/>
          <w:szCs w:val="28"/>
          <w:highlight w:val="none"/>
          <w:lang w:bidi="ar"/>
        </w:rPr>
        <w:t>重庆市两江新区石马河街道盘溪路422号3幢47-15至47-19、48-14至48-17（集群注册）</w:t>
      </w:r>
    </w:p>
    <w:p>
      <w:pPr>
        <w:spacing w:after="0" w:line="360" w:lineRule="auto"/>
        <w:ind w:left="68" w:right="180" w:hanging="10"/>
        <w:jc w:val="center"/>
        <w:rPr>
          <w:rFonts w:hint="eastAsia"/>
          <w:sz w:val="48"/>
          <w:highlight w:val="none"/>
        </w:rPr>
      </w:pPr>
    </w:p>
    <w:p>
      <w:pPr>
        <w:spacing w:after="0" w:line="360" w:lineRule="auto"/>
        <w:ind w:left="68" w:right="180" w:hanging="10"/>
        <w:jc w:val="center"/>
        <w:rPr>
          <w:rFonts w:hint="eastAsia"/>
          <w:sz w:val="48"/>
          <w:highlight w:val="none"/>
        </w:rPr>
      </w:pPr>
    </w:p>
    <w:p>
      <w:pPr>
        <w:spacing w:after="0" w:line="360" w:lineRule="auto"/>
        <w:ind w:right="161" w:firstLine="0"/>
        <w:jc w:val="center"/>
        <w:rPr>
          <w:rFonts w:hint="eastAsia"/>
          <w:highlight w:val="none"/>
        </w:rPr>
      </w:pPr>
      <w:r>
        <w:rPr>
          <w:sz w:val="36"/>
          <w:highlight w:val="none"/>
        </w:rPr>
        <w:t>二〇二</w:t>
      </w:r>
      <w:r>
        <w:rPr>
          <w:rFonts w:hint="eastAsia"/>
          <w:sz w:val="36"/>
          <w:highlight w:val="none"/>
        </w:rPr>
        <w:t>六</w:t>
      </w:r>
      <w:r>
        <w:rPr>
          <w:sz w:val="36"/>
          <w:highlight w:val="none"/>
        </w:rPr>
        <w:t>年</w:t>
      </w:r>
      <w:r>
        <w:rPr>
          <w:rFonts w:hint="eastAsia"/>
          <w:sz w:val="36"/>
          <w:highlight w:val="none"/>
          <w:lang w:val="en-US" w:eastAsia="zh-CN"/>
        </w:rPr>
        <w:t>九</w:t>
      </w:r>
      <w:r>
        <w:rPr>
          <w:sz w:val="36"/>
          <w:highlight w:val="none"/>
        </w:rPr>
        <w:t>月</w:t>
      </w:r>
    </w:p>
    <w:p>
      <w:pPr>
        <w:rPr>
          <w:rFonts w:hint="eastAsia"/>
          <w:highlight w:val="none"/>
        </w:rPr>
        <w:sectPr>
          <w:footerReference r:id="rId5" w:type="default"/>
          <w:pgSz w:w="11906" w:h="16838"/>
          <w:pgMar w:top="1440" w:right="1800" w:bottom="1440" w:left="1800" w:header="851" w:footer="992" w:gutter="0"/>
          <w:cols w:space="425" w:num="1"/>
          <w:docGrid w:type="lines" w:linePitch="312" w:charSpace="0"/>
        </w:sectPr>
      </w:pPr>
    </w:p>
    <w:p>
      <w:pPr>
        <w:pStyle w:val="16"/>
        <w:spacing w:before="156" w:after="156"/>
        <w:rPr>
          <w:highlight w:val="none"/>
        </w:rPr>
      </w:pPr>
      <w:bookmarkStart w:id="0" w:name="_Toc22551"/>
      <w:r>
        <w:rPr>
          <w:rFonts w:hint="eastAsia"/>
          <w:highlight w:val="none"/>
        </w:rPr>
        <w:t>收购人声明</w:t>
      </w:r>
      <w:bookmarkEnd w:id="0"/>
    </w:p>
    <w:p>
      <w:pPr>
        <w:rPr>
          <w:rFonts w:hint="eastAsia"/>
          <w:highlight w:val="none"/>
        </w:rPr>
      </w:pPr>
      <w:r>
        <w:rPr>
          <w:rFonts w:hint="eastAsia"/>
          <w:kern w:val="0"/>
          <w:highlight w:val="none"/>
          <w:lang w:bidi="ar"/>
        </w:rPr>
        <w:t>本声明的相关用语与本报告书“释义”中的相关用语具有相同含义。</w:t>
      </w:r>
    </w:p>
    <w:p>
      <w:pPr>
        <w:rPr>
          <w:rFonts w:hint="eastAsia"/>
          <w:highlight w:val="none"/>
        </w:rPr>
      </w:pPr>
      <w:r>
        <w:rPr>
          <w:rFonts w:hint="eastAsia"/>
          <w:kern w:val="0"/>
          <w:highlight w:val="none"/>
          <w:lang w:bidi="ar"/>
        </w:rPr>
        <w:t>一、本报告书系收购人依据《公司法》《证券法》《收购管理办法》《公开发行证券的公司信息披露内容与格式准则第</w:t>
      </w:r>
      <w:r>
        <w:rPr>
          <w:rFonts w:ascii="Times New Roman" w:hAnsi="Times New Roman" w:cs="Times New Roman"/>
          <w:kern w:val="0"/>
          <w:highlight w:val="none"/>
          <w:lang w:bidi="ar"/>
        </w:rPr>
        <w:t>16</w:t>
      </w:r>
      <w:r>
        <w:rPr>
          <w:rFonts w:hint="eastAsia"/>
          <w:kern w:val="0"/>
          <w:highlight w:val="none"/>
          <w:lang w:bidi="ar"/>
        </w:rPr>
        <w:t>号—上市公司收购报告书》等相关法律、法规及部门规章的有关规定编制。</w:t>
      </w:r>
    </w:p>
    <w:p>
      <w:pPr>
        <w:rPr>
          <w:rFonts w:hint="eastAsia"/>
          <w:highlight w:val="none"/>
        </w:rPr>
      </w:pPr>
      <w:r>
        <w:rPr>
          <w:rFonts w:hint="eastAsia"/>
          <w:kern w:val="0"/>
          <w:highlight w:val="none"/>
          <w:lang w:bidi="ar"/>
        </w:rPr>
        <w:t>二、依据《证券法》《收购管理办法》的规定，本报告书已全面披露收购人在望变电气拥有权益的股份；截至本报告书签署日，除本报告书披露的持股信息外，收购人没有通过任何其他方式在望变电气拥有权益。</w:t>
      </w:r>
    </w:p>
    <w:p>
      <w:pPr>
        <w:rPr>
          <w:rFonts w:hint="eastAsia"/>
          <w:highlight w:val="none"/>
        </w:rPr>
      </w:pPr>
      <w:r>
        <w:rPr>
          <w:rFonts w:hint="eastAsia"/>
          <w:kern w:val="0"/>
          <w:highlight w:val="none"/>
          <w:lang w:bidi="ar"/>
        </w:rPr>
        <w:t>三、收购人签署本报告书已获得必要的授权和批准，其履行亦不违反收购人章程或内部规则中的任何条款，或与之相冲突。</w:t>
      </w:r>
    </w:p>
    <w:p>
      <w:pPr>
        <w:rPr>
          <w:rFonts w:hint="eastAsia"/>
          <w:kern w:val="0"/>
          <w:highlight w:val="none"/>
          <w:lang w:bidi="ar"/>
        </w:rPr>
      </w:pPr>
      <w:r>
        <w:rPr>
          <w:rFonts w:hint="eastAsia"/>
          <w:kern w:val="0"/>
          <w:highlight w:val="none"/>
          <w:lang w:bidi="ar"/>
        </w:rPr>
        <w:t>四、本次向特定对象发行股票将触发《收购管理办法》规定的要约收购义务。根据《收购管理办法》第六十三条投资者可以免于发出要约的情形之“（三）经上市公司股东会非关联股东批准，投资者取得上市公司向其发行的新股，导致其在该公司拥有权益的股份超过该公司已发行股份的</w:t>
      </w:r>
      <w:r>
        <w:rPr>
          <w:rFonts w:ascii="Times New Roman" w:hAnsi="Times New Roman" w:cs="Times New Roman"/>
          <w:kern w:val="0"/>
          <w:highlight w:val="none"/>
          <w:lang w:bidi="ar"/>
        </w:rPr>
        <w:t>30%</w:t>
      </w:r>
      <w:r>
        <w:rPr>
          <w:rFonts w:hint="eastAsia"/>
          <w:kern w:val="0"/>
          <w:highlight w:val="none"/>
          <w:lang w:bidi="ar"/>
        </w:rPr>
        <w:t>，投资者承诺</w:t>
      </w:r>
      <w:r>
        <w:rPr>
          <w:rFonts w:ascii="Times New Roman" w:hAnsi="Times New Roman" w:cs="Times New Roman"/>
          <w:kern w:val="0"/>
          <w:highlight w:val="none"/>
          <w:lang w:bidi="ar"/>
        </w:rPr>
        <w:t>3</w:t>
      </w:r>
      <w:r>
        <w:rPr>
          <w:rFonts w:hint="eastAsia"/>
          <w:kern w:val="0"/>
          <w:highlight w:val="none"/>
          <w:lang w:bidi="ar"/>
        </w:rPr>
        <w:t>年内不转让本次向其发行的新股，且公司股东会同意投资者免于发出要约”的相关规定，耀泽商管已承诺本次发行中所取得的股份自本次发行完成之日起</w:t>
      </w:r>
      <w:r>
        <w:rPr>
          <w:rFonts w:ascii="Times New Roman" w:hAnsi="Times New Roman" w:cs="Times New Roman"/>
          <w:kern w:val="0"/>
          <w:highlight w:val="none"/>
          <w:lang w:bidi="ar"/>
        </w:rPr>
        <w:t>3</w:t>
      </w:r>
      <w:r>
        <w:rPr>
          <w:rFonts w:hint="eastAsia"/>
          <w:kern w:val="0"/>
          <w:highlight w:val="none"/>
          <w:lang w:bidi="ar"/>
        </w:rPr>
        <w:t>年内不进行转让，公司股东会非关联股东已批准同意耀泽商管免于发出要约，本次收购可免于发出要约。</w:t>
      </w:r>
    </w:p>
    <w:p>
      <w:pPr>
        <w:rPr>
          <w:rFonts w:hint="eastAsia"/>
          <w:highlight w:val="none"/>
        </w:rPr>
      </w:pPr>
      <w:r>
        <w:rPr>
          <w:rFonts w:hint="eastAsia"/>
          <w:kern w:val="0"/>
          <w:highlight w:val="none"/>
          <w:lang w:bidi="ar"/>
        </w:rPr>
        <w:t>五、本次收购所涉及的向特定对象发行股票事项已经上市公司董事会、股东会审议通过，已获得上海证券交易所审核通过并取得中国证券监督管理委员会同意注册的批复。</w:t>
      </w:r>
    </w:p>
    <w:p>
      <w:pPr>
        <w:rPr>
          <w:rFonts w:hint="eastAsia"/>
          <w:kern w:val="0"/>
          <w:highlight w:val="none"/>
          <w:lang w:bidi="ar"/>
        </w:rPr>
        <w:sectPr>
          <w:pgSz w:w="11906" w:h="16838"/>
          <w:pgMar w:top="1440" w:right="1800" w:bottom="1440" w:left="1800" w:header="851" w:footer="992" w:gutter="0"/>
          <w:cols w:space="425" w:num="1"/>
          <w:docGrid w:type="lines" w:linePitch="312" w:charSpace="0"/>
        </w:sectPr>
      </w:pPr>
      <w:r>
        <w:rPr>
          <w:rFonts w:hint="eastAsia"/>
          <w:kern w:val="0"/>
          <w:highlight w:val="none"/>
          <w:lang w:bidi="ar"/>
        </w:rPr>
        <w:t>六、本次收购是根据本报告书所载明的资料进行的。除本收购人和所聘请的专业机构外，没有委托或者授权任何其他人提供未在本报告书中列载的信息和对本报告书做出任何解释或者说明。</w:t>
      </w:r>
    </w:p>
    <w:sdt>
      <w:sdtPr>
        <w:rPr>
          <w:rFonts w:ascii="宋体" w:hAnsi="宋体" w:eastAsia="宋体" w:cs="宋体"/>
          <w:b w:val="0"/>
          <w:bCs w:val="0"/>
          <w:color w:val="000000"/>
          <w:sz w:val="24"/>
          <w:szCs w:val="24"/>
          <w:highlight w:val="none"/>
          <w14:ligatures w14:val="standardContextual"/>
        </w:rPr>
        <w:id w:val="147452005"/>
        <w15:color w:val="DBDBDB"/>
        <w:docPartObj>
          <w:docPartGallery w:val="Table of Contents"/>
          <w:docPartUnique/>
        </w:docPartObj>
      </w:sdtPr>
      <w:sdtEndPr>
        <w:rPr>
          <w:rFonts w:ascii="宋体" w:hAnsi="宋体" w:eastAsia="宋体" w:cs="宋体"/>
          <w:b w:val="0"/>
          <w:bCs w:val="0"/>
          <w:color w:val="000000"/>
          <w:sz w:val="24"/>
          <w:szCs w:val="24"/>
          <w:highlight w:val="none"/>
          <w14:ligatures w14:val="standardContextual"/>
        </w:rPr>
      </w:sdtEndPr>
      <w:sdtContent>
        <w:p>
          <w:pPr>
            <w:pStyle w:val="16"/>
            <w:spacing w:before="156" w:after="156"/>
            <w:rPr>
              <w:highlight w:val="none"/>
            </w:rPr>
          </w:pPr>
          <w:bookmarkStart w:id="1" w:name="_Toc5466"/>
          <w:r>
            <w:rPr>
              <w:highlight w:val="none"/>
            </w:rPr>
            <w:t>目</w:t>
          </w:r>
          <w:r>
            <w:rPr>
              <w:rFonts w:hint="eastAsia"/>
              <w:highlight w:val="none"/>
            </w:rPr>
            <w:t xml:space="preserve"> </w:t>
          </w:r>
          <w:r>
            <w:rPr>
              <w:highlight w:val="none"/>
            </w:rPr>
            <w:t>录</w:t>
          </w:r>
          <w:bookmarkEnd w:id="1"/>
        </w:p>
        <w:p>
          <w:pPr>
            <w:pStyle w:val="7"/>
            <w:tabs>
              <w:tab w:val="right" w:leader="dot" w:pos="8306"/>
            </w:tabs>
            <w:spacing w:after="0" w:line="360" w:lineRule="auto"/>
            <w:ind w:firstLine="0"/>
            <w:rPr>
              <w:rFonts w:ascii="Times New Roman" w:hAnsi="Times New Roman" w:cs="Times New Roman"/>
              <w:highlight w:val="none"/>
            </w:rPr>
          </w:pPr>
          <w:r>
            <w:rPr>
              <w:rFonts w:ascii="Times New Roman" w:hAnsi="Times New Roman" w:cs="Times New Roman"/>
              <w:highlight w:val="none"/>
            </w:rPr>
            <w:fldChar w:fldCharType="begin"/>
          </w:r>
          <w:r>
            <w:rPr>
              <w:rFonts w:ascii="Times New Roman" w:hAnsi="Times New Roman" w:cs="Times New Roman"/>
              <w:highlight w:val="none"/>
            </w:rPr>
            <w:instrText xml:space="preserve">TOC \o "1-3" \h \u </w:instrText>
          </w:r>
          <w:r>
            <w:rPr>
              <w:rFonts w:ascii="Times New Roman" w:hAnsi="Times New Roman" w:cs="Times New Roman"/>
              <w:highlight w:val="none"/>
            </w:rPr>
            <w:fldChar w:fldCharType="separate"/>
          </w:r>
          <w:r>
            <w:rPr>
              <w:highlight w:val="none"/>
            </w:rPr>
            <w:fldChar w:fldCharType="begin"/>
          </w:r>
          <w:r>
            <w:rPr>
              <w:highlight w:val="none"/>
            </w:rPr>
            <w:instrText xml:space="preserve"> HYPERLINK \l "_Toc22551" </w:instrText>
          </w:r>
          <w:r>
            <w:rPr>
              <w:highlight w:val="none"/>
            </w:rPr>
            <w:fldChar w:fldCharType="separate"/>
          </w:r>
          <w:r>
            <w:rPr>
              <w:rFonts w:ascii="Times New Roman" w:hAnsi="Times New Roman" w:cs="Times New Roman"/>
              <w:highlight w:val="none"/>
            </w:rPr>
            <w:t>收购人声明</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_Toc22551 \h </w:instrText>
          </w:r>
          <w:r>
            <w:rPr>
              <w:rFonts w:ascii="Times New Roman" w:hAnsi="Times New Roman" w:cs="Times New Roman"/>
              <w:highlight w:val="none"/>
            </w:rPr>
            <w:fldChar w:fldCharType="separate"/>
          </w:r>
          <w:r>
            <w:rPr>
              <w:rFonts w:ascii="Times New Roman" w:hAnsi="Times New Roman" w:cs="Times New Roman"/>
              <w:highlight w:val="none"/>
            </w:rPr>
            <w:t>2</w:t>
          </w:r>
          <w:r>
            <w:rPr>
              <w:rFonts w:ascii="Times New Roman" w:hAnsi="Times New Roman" w:cs="Times New Roman"/>
              <w:highlight w:val="none"/>
            </w:rPr>
            <w:fldChar w:fldCharType="end"/>
          </w:r>
          <w:r>
            <w:rPr>
              <w:rFonts w:ascii="Times New Roman" w:hAnsi="Times New Roman" w:cs="Times New Roman"/>
              <w:highlight w:val="none"/>
            </w:rPr>
            <w:fldChar w:fldCharType="end"/>
          </w:r>
        </w:p>
        <w:p>
          <w:pPr>
            <w:pStyle w:val="7"/>
            <w:tabs>
              <w:tab w:val="right" w:leader="dot" w:pos="8306"/>
            </w:tabs>
            <w:spacing w:after="0" w:line="360" w:lineRule="auto"/>
            <w:ind w:firstLine="0"/>
            <w:rPr>
              <w:rFonts w:ascii="Times New Roman" w:hAnsi="Times New Roman" w:cs="Times New Roman"/>
              <w:highlight w:val="none"/>
            </w:rPr>
          </w:pPr>
          <w:r>
            <w:rPr>
              <w:highlight w:val="none"/>
            </w:rPr>
            <w:fldChar w:fldCharType="begin"/>
          </w:r>
          <w:r>
            <w:rPr>
              <w:highlight w:val="none"/>
            </w:rPr>
            <w:instrText xml:space="preserve"> HYPERLINK \l "_Toc5466" </w:instrText>
          </w:r>
          <w:r>
            <w:rPr>
              <w:highlight w:val="none"/>
            </w:rPr>
            <w:fldChar w:fldCharType="separate"/>
          </w:r>
          <w:r>
            <w:rPr>
              <w:rFonts w:ascii="Times New Roman" w:hAnsi="Times New Roman" w:cs="Times New Roman"/>
              <w:highlight w:val="none"/>
            </w:rPr>
            <w:t>目录</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_Toc5466 \h </w:instrText>
          </w:r>
          <w:r>
            <w:rPr>
              <w:rFonts w:ascii="Times New Roman" w:hAnsi="Times New Roman" w:cs="Times New Roman"/>
              <w:highlight w:val="none"/>
            </w:rPr>
            <w:fldChar w:fldCharType="separate"/>
          </w:r>
          <w:r>
            <w:rPr>
              <w:rFonts w:ascii="Times New Roman" w:hAnsi="Times New Roman" w:cs="Times New Roman"/>
              <w:highlight w:val="none"/>
            </w:rPr>
            <w:t>3</w:t>
          </w:r>
          <w:r>
            <w:rPr>
              <w:rFonts w:ascii="Times New Roman" w:hAnsi="Times New Roman" w:cs="Times New Roman"/>
              <w:highlight w:val="none"/>
            </w:rPr>
            <w:fldChar w:fldCharType="end"/>
          </w:r>
          <w:r>
            <w:rPr>
              <w:rFonts w:ascii="Times New Roman" w:hAnsi="Times New Roman" w:cs="Times New Roman"/>
              <w:highlight w:val="none"/>
            </w:rPr>
            <w:fldChar w:fldCharType="end"/>
          </w:r>
        </w:p>
        <w:p>
          <w:pPr>
            <w:pStyle w:val="7"/>
            <w:tabs>
              <w:tab w:val="right" w:leader="dot" w:pos="8306"/>
            </w:tabs>
            <w:spacing w:after="0" w:line="360" w:lineRule="auto"/>
            <w:ind w:firstLine="0"/>
            <w:rPr>
              <w:rFonts w:ascii="Times New Roman" w:hAnsi="Times New Roman" w:cs="Times New Roman"/>
              <w:highlight w:val="none"/>
            </w:rPr>
          </w:pPr>
          <w:r>
            <w:rPr>
              <w:highlight w:val="none"/>
            </w:rPr>
            <w:fldChar w:fldCharType="begin"/>
          </w:r>
          <w:r>
            <w:rPr>
              <w:highlight w:val="none"/>
            </w:rPr>
            <w:instrText xml:space="preserve"> HYPERLINK \l "_Toc25505" </w:instrText>
          </w:r>
          <w:r>
            <w:rPr>
              <w:highlight w:val="none"/>
            </w:rPr>
            <w:fldChar w:fldCharType="separate"/>
          </w:r>
          <w:r>
            <w:rPr>
              <w:rFonts w:ascii="Times New Roman" w:hAnsi="Times New Roman" w:cs="Times New Roman"/>
              <w:highlight w:val="none"/>
            </w:rPr>
            <w:t>释义</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_Toc25505 \h </w:instrText>
          </w:r>
          <w:r>
            <w:rPr>
              <w:rFonts w:ascii="Times New Roman" w:hAnsi="Times New Roman" w:cs="Times New Roman"/>
              <w:highlight w:val="none"/>
            </w:rPr>
            <w:fldChar w:fldCharType="separate"/>
          </w:r>
          <w:r>
            <w:rPr>
              <w:rFonts w:ascii="Times New Roman" w:hAnsi="Times New Roman" w:cs="Times New Roman"/>
              <w:highlight w:val="none"/>
            </w:rPr>
            <w:t>4</w:t>
          </w:r>
          <w:r>
            <w:rPr>
              <w:rFonts w:ascii="Times New Roman" w:hAnsi="Times New Roman" w:cs="Times New Roman"/>
              <w:highlight w:val="none"/>
            </w:rPr>
            <w:fldChar w:fldCharType="end"/>
          </w:r>
          <w:r>
            <w:rPr>
              <w:rFonts w:ascii="Times New Roman" w:hAnsi="Times New Roman" w:cs="Times New Roman"/>
              <w:highlight w:val="none"/>
            </w:rPr>
            <w:fldChar w:fldCharType="end"/>
          </w:r>
        </w:p>
        <w:p>
          <w:pPr>
            <w:pStyle w:val="7"/>
            <w:tabs>
              <w:tab w:val="right" w:leader="dot" w:pos="8306"/>
            </w:tabs>
            <w:spacing w:after="0" w:line="360" w:lineRule="auto"/>
            <w:ind w:firstLine="0"/>
            <w:rPr>
              <w:rFonts w:ascii="Times New Roman" w:hAnsi="Times New Roman" w:cs="Times New Roman"/>
              <w:highlight w:val="none"/>
            </w:rPr>
          </w:pPr>
          <w:r>
            <w:rPr>
              <w:highlight w:val="none"/>
            </w:rPr>
            <w:fldChar w:fldCharType="begin"/>
          </w:r>
          <w:r>
            <w:rPr>
              <w:highlight w:val="none"/>
            </w:rPr>
            <w:instrText xml:space="preserve"> HYPERLINK \l "_Toc23246" </w:instrText>
          </w:r>
          <w:r>
            <w:rPr>
              <w:highlight w:val="none"/>
            </w:rPr>
            <w:fldChar w:fldCharType="separate"/>
          </w:r>
          <w:r>
            <w:rPr>
              <w:rFonts w:ascii="Times New Roman" w:hAnsi="Times New Roman" w:cs="Times New Roman"/>
              <w:highlight w:val="none"/>
            </w:rPr>
            <w:t>第一节收购人介绍</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_Toc23246 \h </w:instrText>
          </w:r>
          <w:r>
            <w:rPr>
              <w:rFonts w:ascii="Times New Roman" w:hAnsi="Times New Roman" w:cs="Times New Roman"/>
              <w:highlight w:val="none"/>
            </w:rPr>
            <w:fldChar w:fldCharType="separate"/>
          </w:r>
          <w:r>
            <w:rPr>
              <w:rFonts w:ascii="Times New Roman" w:hAnsi="Times New Roman" w:cs="Times New Roman"/>
              <w:highlight w:val="none"/>
            </w:rPr>
            <w:t>5</w:t>
          </w:r>
          <w:r>
            <w:rPr>
              <w:rFonts w:ascii="Times New Roman" w:hAnsi="Times New Roman" w:cs="Times New Roman"/>
              <w:highlight w:val="none"/>
            </w:rPr>
            <w:fldChar w:fldCharType="end"/>
          </w:r>
          <w:r>
            <w:rPr>
              <w:rFonts w:ascii="Times New Roman" w:hAnsi="Times New Roman" w:cs="Times New Roman"/>
              <w:highlight w:val="none"/>
            </w:rPr>
            <w:fldChar w:fldCharType="end"/>
          </w:r>
        </w:p>
        <w:p>
          <w:pPr>
            <w:pStyle w:val="7"/>
            <w:tabs>
              <w:tab w:val="right" w:leader="dot" w:pos="8306"/>
            </w:tabs>
            <w:spacing w:after="0" w:line="360" w:lineRule="auto"/>
            <w:ind w:firstLine="0"/>
            <w:rPr>
              <w:rFonts w:ascii="Times New Roman" w:hAnsi="Times New Roman" w:cs="Times New Roman"/>
              <w:highlight w:val="none"/>
            </w:rPr>
          </w:pPr>
          <w:r>
            <w:rPr>
              <w:highlight w:val="none"/>
            </w:rPr>
            <w:fldChar w:fldCharType="begin"/>
          </w:r>
          <w:r>
            <w:rPr>
              <w:highlight w:val="none"/>
            </w:rPr>
            <w:instrText xml:space="preserve"> HYPERLINK \l "_Toc5981" </w:instrText>
          </w:r>
          <w:r>
            <w:rPr>
              <w:highlight w:val="none"/>
            </w:rPr>
            <w:fldChar w:fldCharType="separate"/>
          </w:r>
          <w:r>
            <w:rPr>
              <w:rFonts w:ascii="Times New Roman" w:hAnsi="Times New Roman" w:cs="Times New Roman"/>
              <w:highlight w:val="none"/>
            </w:rPr>
            <w:t>第二节收购决定及收购目的</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_Toc5981 \h </w:instrText>
          </w:r>
          <w:r>
            <w:rPr>
              <w:rFonts w:ascii="Times New Roman" w:hAnsi="Times New Roman" w:cs="Times New Roman"/>
              <w:highlight w:val="none"/>
            </w:rPr>
            <w:fldChar w:fldCharType="separate"/>
          </w:r>
          <w:r>
            <w:rPr>
              <w:rFonts w:ascii="Times New Roman" w:hAnsi="Times New Roman" w:cs="Times New Roman"/>
              <w:highlight w:val="none"/>
            </w:rPr>
            <w:t>8</w:t>
          </w:r>
          <w:r>
            <w:rPr>
              <w:rFonts w:ascii="Times New Roman" w:hAnsi="Times New Roman" w:cs="Times New Roman"/>
              <w:highlight w:val="none"/>
            </w:rPr>
            <w:fldChar w:fldCharType="end"/>
          </w:r>
          <w:r>
            <w:rPr>
              <w:rFonts w:ascii="Times New Roman" w:hAnsi="Times New Roman" w:cs="Times New Roman"/>
              <w:highlight w:val="none"/>
            </w:rPr>
            <w:fldChar w:fldCharType="end"/>
          </w:r>
        </w:p>
        <w:p>
          <w:pPr>
            <w:pStyle w:val="7"/>
            <w:tabs>
              <w:tab w:val="right" w:leader="dot" w:pos="8306"/>
            </w:tabs>
            <w:spacing w:after="0" w:line="360" w:lineRule="auto"/>
            <w:ind w:firstLine="0"/>
            <w:rPr>
              <w:rFonts w:ascii="Times New Roman" w:hAnsi="Times New Roman" w:cs="Times New Roman"/>
              <w:highlight w:val="none"/>
            </w:rPr>
          </w:pPr>
          <w:r>
            <w:rPr>
              <w:highlight w:val="none"/>
            </w:rPr>
            <w:fldChar w:fldCharType="begin"/>
          </w:r>
          <w:r>
            <w:rPr>
              <w:highlight w:val="none"/>
            </w:rPr>
            <w:instrText xml:space="preserve"> HYPERLINK \l "_Toc1540" </w:instrText>
          </w:r>
          <w:r>
            <w:rPr>
              <w:highlight w:val="none"/>
            </w:rPr>
            <w:fldChar w:fldCharType="separate"/>
          </w:r>
          <w:r>
            <w:rPr>
              <w:rFonts w:ascii="Times New Roman" w:hAnsi="Times New Roman" w:cs="Times New Roman"/>
              <w:highlight w:val="none"/>
            </w:rPr>
            <w:t>第三节收购方式</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_Toc1540 \h </w:instrText>
          </w:r>
          <w:r>
            <w:rPr>
              <w:rFonts w:ascii="Times New Roman" w:hAnsi="Times New Roman" w:cs="Times New Roman"/>
              <w:highlight w:val="none"/>
            </w:rPr>
            <w:fldChar w:fldCharType="separate"/>
          </w:r>
          <w:r>
            <w:rPr>
              <w:rFonts w:ascii="Times New Roman" w:hAnsi="Times New Roman" w:cs="Times New Roman"/>
              <w:highlight w:val="none"/>
            </w:rPr>
            <w:t>10</w:t>
          </w:r>
          <w:r>
            <w:rPr>
              <w:rFonts w:ascii="Times New Roman" w:hAnsi="Times New Roman" w:cs="Times New Roman"/>
              <w:highlight w:val="none"/>
            </w:rPr>
            <w:fldChar w:fldCharType="end"/>
          </w:r>
          <w:r>
            <w:rPr>
              <w:rFonts w:ascii="Times New Roman" w:hAnsi="Times New Roman" w:cs="Times New Roman"/>
              <w:highlight w:val="none"/>
            </w:rPr>
            <w:fldChar w:fldCharType="end"/>
          </w:r>
        </w:p>
        <w:p>
          <w:pPr>
            <w:pStyle w:val="7"/>
            <w:tabs>
              <w:tab w:val="right" w:leader="dot" w:pos="8306"/>
            </w:tabs>
            <w:spacing w:after="0" w:line="360" w:lineRule="auto"/>
            <w:ind w:firstLine="0"/>
            <w:rPr>
              <w:rFonts w:ascii="Times New Roman" w:hAnsi="Times New Roman" w:cs="Times New Roman"/>
              <w:highlight w:val="none"/>
            </w:rPr>
          </w:pPr>
          <w:r>
            <w:rPr>
              <w:highlight w:val="none"/>
            </w:rPr>
            <w:fldChar w:fldCharType="begin"/>
          </w:r>
          <w:r>
            <w:rPr>
              <w:highlight w:val="none"/>
            </w:rPr>
            <w:instrText xml:space="preserve"> HYPERLINK \l "_Toc27757" </w:instrText>
          </w:r>
          <w:r>
            <w:rPr>
              <w:highlight w:val="none"/>
            </w:rPr>
            <w:fldChar w:fldCharType="separate"/>
          </w:r>
          <w:r>
            <w:rPr>
              <w:rFonts w:ascii="Times New Roman" w:hAnsi="Times New Roman" w:cs="Times New Roman"/>
              <w:highlight w:val="none"/>
            </w:rPr>
            <w:t>第四节资金来源</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_Toc27757 \h </w:instrText>
          </w:r>
          <w:r>
            <w:rPr>
              <w:rFonts w:ascii="Times New Roman" w:hAnsi="Times New Roman" w:cs="Times New Roman"/>
              <w:highlight w:val="none"/>
            </w:rPr>
            <w:fldChar w:fldCharType="separate"/>
          </w:r>
          <w:r>
            <w:rPr>
              <w:rFonts w:ascii="Times New Roman" w:hAnsi="Times New Roman" w:cs="Times New Roman"/>
              <w:highlight w:val="none"/>
            </w:rPr>
            <w:t>12</w:t>
          </w:r>
          <w:r>
            <w:rPr>
              <w:rFonts w:ascii="Times New Roman" w:hAnsi="Times New Roman" w:cs="Times New Roman"/>
              <w:highlight w:val="none"/>
            </w:rPr>
            <w:fldChar w:fldCharType="end"/>
          </w:r>
          <w:r>
            <w:rPr>
              <w:rFonts w:ascii="Times New Roman" w:hAnsi="Times New Roman" w:cs="Times New Roman"/>
              <w:highlight w:val="none"/>
            </w:rPr>
            <w:fldChar w:fldCharType="end"/>
          </w:r>
        </w:p>
        <w:p>
          <w:pPr>
            <w:pStyle w:val="7"/>
            <w:tabs>
              <w:tab w:val="right" w:leader="dot" w:pos="8306"/>
            </w:tabs>
            <w:spacing w:after="0" w:line="360" w:lineRule="auto"/>
            <w:ind w:firstLine="0"/>
            <w:rPr>
              <w:rFonts w:ascii="Times New Roman" w:hAnsi="Times New Roman" w:cs="Times New Roman"/>
              <w:highlight w:val="none"/>
            </w:rPr>
          </w:pPr>
          <w:r>
            <w:rPr>
              <w:highlight w:val="none"/>
            </w:rPr>
            <w:fldChar w:fldCharType="begin"/>
          </w:r>
          <w:r>
            <w:rPr>
              <w:highlight w:val="none"/>
            </w:rPr>
            <w:instrText xml:space="preserve"> HYPERLINK \l "_Toc22963" </w:instrText>
          </w:r>
          <w:r>
            <w:rPr>
              <w:highlight w:val="none"/>
            </w:rPr>
            <w:fldChar w:fldCharType="separate"/>
          </w:r>
          <w:r>
            <w:rPr>
              <w:rFonts w:ascii="Times New Roman" w:hAnsi="Times New Roman" w:cs="Times New Roman"/>
              <w:highlight w:val="none"/>
            </w:rPr>
            <w:t>第五节免于发出要约的情况</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_Toc22963 \h </w:instrText>
          </w:r>
          <w:r>
            <w:rPr>
              <w:rFonts w:ascii="Times New Roman" w:hAnsi="Times New Roman" w:cs="Times New Roman"/>
              <w:highlight w:val="none"/>
            </w:rPr>
            <w:fldChar w:fldCharType="separate"/>
          </w:r>
          <w:r>
            <w:rPr>
              <w:rFonts w:ascii="Times New Roman" w:hAnsi="Times New Roman" w:cs="Times New Roman"/>
              <w:highlight w:val="none"/>
            </w:rPr>
            <w:t>13</w:t>
          </w:r>
          <w:r>
            <w:rPr>
              <w:rFonts w:ascii="Times New Roman" w:hAnsi="Times New Roman" w:cs="Times New Roman"/>
              <w:highlight w:val="none"/>
            </w:rPr>
            <w:fldChar w:fldCharType="end"/>
          </w:r>
          <w:r>
            <w:rPr>
              <w:rFonts w:ascii="Times New Roman" w:hAnsi="Times New Roman" w:cs="Times New Roman"/>
              <w:highlight w:val="none"/>
            </w:rPr>
            <w:fldChar w:fldCharType="end"/>
          </w:r>
        </w:p>
        <w:p>
          <w:pPr>
            <w:pStyle w:val="7"/>
            <w:tabs>
              <w:tab w:val="right" w:leader="dot" w:pos="8306"/>
            </w:tabs>
            <w:spacing w:after="0" w:line="360" w:lineRule="auto"/>
            <w:ind w:firstLine="0"/>
            <w:rPr>
              <w:rFonts w:ascii="Times New Roman" w:hAnsi="Times New Roman" w:cs="Times New Roman"/>
              <w:highlight w:val="none"/>
            </w:rPr>
          </w:pPr>
          <w:r>
            <w:rPr>
              <w:highlight w:val="none"/>
            </w:rPr>
            <w:fldChar w:fldCharType="begin"/>
          </w:r>
          <w:r>
            <w:rPr>
              <w:highlight w:val="none"/>
            </w:rPr>
            <w:instrText xml:space="preserve"> HYPERLINK \l "_Toc17769" </w:instrText>
          </w:r>
          <w:r>
            <w:rPr>
              <w:highlight w:val="none"/>
            </w:rPr>
            <w:fldChar w:fldCharType="separate"/>
          </w:r>
          <w:r>
            <w:rPr>
              <w:rFonts w:ascii="Times New Roman" w:hAnsi="Times New Roman" w:cs="Times New Roman"/>
              <w:highlight w:val="none"/>
            </w:rPr>
            <w:t>第六节后续计划</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_Toc17769 \h </w:instrText>
          </w:r>
          <w:r>
            <w:rPr>
              <w:rFonts w:ascii="Times New Roman" w:hAnsi="Times New Roman" w:cs="Times New Roman"/>
              <w:highlight w:val="none"/>
            </w:rPr>
            <w:fldChar w:fldCharType="separate"/>
          </w:r>
          <w:r>
            <w:rPr>
              <w:rFonts w:ascii="Times New Roman" w:hAnsi="Times New Roman" w:cs="Times New Roman"/>
              <w:highlight w:val="none"/>
            </w:rPr>
            <w:t>14</w:t>
          </w:r>
          <w:r>
            <w:rPr>
              <w:rFonts w:ascii="Times New Roman" w:hAnsi="Times New Roman" w:cs="Times New Roman"/>
              <w:highlight w:val="none"/>
            </w:rPr>
            <w:fldChar w:fldCharType="end"/>
          </w:r>
          <w:r>
            <w:rPr>
              <w:rFonts w:ascii="Times New Roman" w:hAnsi="Times New Roman" w:cs="Times New Roman"/>
              <w:highlight w:val="none"/>
            </w:rPr>
            <w:fldChar w:fldCharType="end"/>
          </w:r>
        </w:p>
        <w:p>
          <w:pPr>
            <w:pStyle w:val="7"/>
            <w:tabs>
              <w:tab w:val="right" w:leader="dot" w:pos="8306"/>
            </w:tabs>
            <w:spacing w:after="0" w:line="360" w:lineRule="auto"/>
            <w:ind w:firstLine="0"/>
            <w:rPr>
              <w:rFonts w:ascii="Times New Roman" w:hAnsi="Times New Roman" w:cs="Times New Roman"/>
              <w:highlight w:val="none"/>
            </w:rPr>
          </w:pPr>
          <w:r>
            <w:rPr>
              <w:highlight w:val="none"/>
            </w:rPr>
            <w:fldChar w:fldCharType="begin"/>
          </w:r>
          <w:r>
            <w:rPr>
              <w:highlight w:val="none"/>
            </w:rPr>
            <w:instrText xml:space="preserve"> HYPERLINK \l "_Toc27394" </w:instrText>
          </w:r>
          <w:r>
            <w:rPr>
              <w:highlight w:val="none"/>
            </w:rPr>
            <w:fldChar w:fldCharType="separate"/>
          </w:r>
          <w:r>
            <w:rPr>
              <w:rFonts w:ascii="Times New Roman" w:hAnsi="Times New Roman" w:cs="Times New Roman"/>
              <w:highlight w:val="none"/>
            </w:rPr>
            <w:t>第七节对上市公司的影响分析</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_Toc27394 \h </w:instrText>
          </w:r>
          <w:r>
            <w:rPr>
              <w:rFonts w:ascii="Times New Roman" w:hAnsi="Times New Roman" w:cs="Times New Roman"/>
              <w:highlight w:val="none"/>
            </w:rPr>
            <w:fldChar w:fldCharType="separate"/>
          </w:r>
          <w:r>
            <w:rPr>
              <w:rFonts w:ascii="Times New Roman" w:hAnsi="Times New Roman" w:cs="Times New Roman"/>
              <w:highlight w:val="none"/>
            </w:rPr>
            <w:t>16</w:t>
          </w:r>
          <w:r>
            <w:rPr>
              <w:rFonts w:ascii="Times New Roman" w:hAnsi="Times New Roman" w:cs="Times New Roman"/>
              <w:highlight w:val="none"/>
            </w:rPr>
            <w:fldChar w:fldCharType="end"/>
          </w:r>
          <w:r>
            <w:rPr>
              <w:rFonts w:ascii="Times New Roman" w:hAnsi="Times New Roman" w:cs="Times New Roman"/>
              <w:highlight w:val="none"/>
            </w:rPr>
            <w:fldChar w:fldCharType="end"/>
          </w:r>
        </w:p>
        <w:p>
          <w:pPr>
            <w:pStyle w:val="7"/>
            <w:tabs>
              <w:tab w:val="right" w:leader="dot" w:pos="8306"/>
            </w:tabs>
            <w:spacing w:after="0" w:line="360" w:lineRule="auto"/>
            <w:ind w:firstLine="0"/>
            <w:rPr>
              <w:rFonts w:ascii="Times New Roman" w:hAnsi="Times New Roman" w:cs="Times New Roman"/>
              <w:highlight w:val="none"/>
            </w:rPr>
          </w:pPr>
          <w:r>
            <w:rPr>
              <w:highlight w:val="none"/>
            </w:rPr>
            <w:fldChar w:fldCharType="begin"/>
          </w:r>
          <w:r>
            <w:rPr>
              <w:highlight w:val="none"/>
            </w:rPr>
            <w:instrText xml:space="preserve"> HYPERLINK \l "_Toc25332" </w:instrText>
          </w:r>
          <w:r>
            <w:rPr>
              <w:highlight w:val="none"/>
            </w:rPr>
            <w:fldChar w:fldCharType="separate"/>
          </w:r>
          <w:r>
            <w:rPr>
              <w:rFonts w:ascii="Times New Roman" w:hAnsi="Times New Roman" w:cs="Times New Roman"/>
              <w:highlight w:val="none"/>
            </w:rPr>
            <w:t>第八节与上市公司之间的重大交易</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_Toc25332 \h </w:instrText>
          </w:r>
          <w:r>
            <w:rPr>
              <w:rFonts w:ascii="Times New Roman" w:hAnsi="Times New Roman" w:cs="Times New Roman"/>
              <w:highlight w:val="none"/>
            </w:rPr>
            <w:fldChar w:fldCharType="separate"/>
          </w:r>
          <w:r>
            <w:rPr>
              <w:rFonts w:ascii="Times New Roman" w:hAnsi="Times New Roman" w:cs="Times New Roman"/>
              <w:highlight w:val="none"/>
            </w:rPr>
            <w:t>17</w:t>
          </w:r>
          <w:r>
            <w:rPr>
              <w:rFonts w:ascii="Times New Roman" w:hAnsi="Times New Roman" w:cs="Times New Roman"/>
              <w:highlight w:val="none"/>
            </w:rPr>
            <w:fldChar w:fldCharType="end"/>
          </w:r>
          <w:r>
            <w:rPr>
              <w:rFonts w:ascii="Times New Roman" w:hAnsi="Times New Roman" w:cs="Times New Roman"/>
              <w:highlight w:val="none"/>
            </w:rPr>
            <w:fldChar w:fldCharType="end"/>
          </w:r>
        </w:p>
        <w:p>
          <w:pPr>
            <w:pStyle w:val="7"/>
            <w:tabs>
              <w:tab w:val="right" w:leader="dot" w:pos="8306"/>
            </w:tabs>
            <w:spacing w:after="0" w:line="360" w:lineRule="auto"/>
            <w:ind w:firstLine="0"/>
            <w:rPr>
              <w:rFonts w:ascii="Times New Roman" w:hAnsi="Times New Roman" w:cs="Times New Roman"/>
              <w:highlight w:val="none"/>
            </w:rPr>
          </w:pPr>
          <w:r>
            <w:rPr>
              <w:highlight w:val="none"/>
            </w:rPr>
            <w:fldChar w:fldCharType="begin"/>
          </w:r>
          <w:r>
            <w:rPr>
              <w:highlight w:val="none"/>
            </w:rPr>
            <w:instrText xml:space="preserve"> HYPERLINK \l "_Toc23936" </w:instrText>
          </w:r>
          <w:r>
            <w:rPr>
              <w:highlight w:val="none"/>
            </w:rPr>
            <w:fldChar w:fldCharType="separate"/>
          </w:r>
          <w:r>
            <w:rPr>
              <w:rFonts w:ascii="Times New Roman" w:hAnsi="Times New Roman" w:cs="Times New Roman"/>
              <w:highlight w:val="none"/>
            </w:rPr>
            <w:t>第九节前6个月内买卖上市公司股份的情况</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_Toc23936 \h </w:instrText>
          </w:r>
          <w:r>
            <w:rPr>
              <w:rFonts w:ascii="Times New Roman" w:hAnsi="Times New Roman" w:cs="Times New Roman"/>
              <w:highlight w:val="none"/>
            </w:rPr>
            <w:fldChar w:fldCharType="separate"/>
          </w:r>
          <w:r>
            <w:rPr>
              <w:rFonts w:ascii="Times New Roman" w:hAnsi="Times New Roman" w:cs="Times New Roman"/>
              <w:highlight w:val="none"/>
            </w:rPr>
            <w:t>18</w:t>
          </w:r>
          <w:r>
            <w:rPr>
              <w:rFonts w:ascii="Times New Roman" w:hAnsi="Times New Roman" w:cs="Times New Roman"/>
              <w:highlight w:val="none"/>
            </w:rPr>
            <w:fldChar w:fldCharType="end"/>
          </w:r>
          <w:r>
            <w:rPr>
              <w:rFonts w:ascii="Times New Roman" w:hAnsi="Times New Roman" w:cs="Times New Roman"/>
              <w:highlight w:val="none"/>
            </w:rPr>
            <w:fldChar w:fldCharType="end"/>
          </w:r>
        </w:p>
        <w:p>
          <w:pPr>
            <w:pStyle w:val="7"/>
            <w:tabs>
              <w:tab w:val="right" w:leader="dot" w:pos="8306"/>
            </w:tabs>
            <w:spacing w:after="0" w:line="360" w:lineRule="auto"/>
            <w:ind w:firstLine="0"/>
            <w:rPr>
              <w:rFonts w:ascii="Times New Roman" w:hAnsi="Times New Roman" w:cs="Times New Roman"/>
              <w:highlight w:val="none"/>
            </w:rPr>
          </w:pPr>
          <w:r>
            <w:rPr>
              <w:highlight w:val="none"/>
            </w:rPr>
            <w:fldChar w:fldCharType="begin"/>
          </w:r>
          <w:r>
            <w:rPr>
              <w:highlight w:val="none"/>
            </w:rPr>
            <w:instrText xml:space="preserve"> HYPERLINK \l "_Toc23150" </w:instrText>
          </w:r>
          <w:r>
            <w:rPr>
              <w:highlight w:val="none"/>
            </w:rPr>
            <w:fldChar w:fldCharType="separate"/>
          </w:r>
          <w:r>
            <w:rPr>
              <w:rFonts w:ascii="Times New Roman" w:hAnsi="Times New Roman" w:cs="Times New Roman"/>
              <w:highlight w:val="none"/>
            </w:rPr>
            <w:t>第十节收购人的财务资料</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_Toc23150 \h </w:instrText>
          </w:r>
          <w:r>
            <w:rPr>
              <w:rFonts w:ascii="Times New Roman" w:hAnsi="Times New Roman" w:cs="Times New Roman"/>
              <w:highlight w:val="none"/>
            </w:rPr>
            <w:fldChar w:fldCharType="separate"/>
          </w:r>
          <w:r>
            <w:rPr>
              <w:rFonts w:ascii="Times New Roman" w:hAnsi="Times New Roman" w:cs="Times New Roman"/>
              <w:highlight w:val="none"/>
            </w:rPr>
            <w:t>19</w:t>
          </w:r>
          <w:r>
            <w:rPr>
              <w:rFonts w:ascii="Times New Roman" w:hAnsi="Times New Roman" w:cs="Times New Roman"/>
              <w:highlight w:val="none"/>
            </w:rPr>
            <w:fldChar w:fldCharType="end"/>
          </w:r>
          <w:r>
            <w:rPr>
              <w:rFonts w:ascii="Times New Roman" w:hAnsi="Times New Roman" w:cs="Times New Roman"/>
              <w:highlight w:val="none"/>
            </w:rPr>
            <w:fldChar w:fldCharType="end"/>
          </w:r>
        </w:p>
        <w:p>
          <w:pPr>
            <w:pStyle w:val="7"/>
            <w:tabs>
              <w:tab w:val="right" w:leader="dot" w:pos="8306"/>
            </w:tabs>
            <w:spacing w:after="0" w:line="360" w:lineRule="auto"/>
            <w:ind w:firstLine="0"/>
            <w:rPr>
              <w:rFonts w:ascii="Times New Roman" w:hAnsi="Times New Roman" w:cs="Times New Roman"/>
              <w:highlight w:val="none"/>
            </w:rPr>
          </w:pPr>
          <w:r>
            <w:rPr>
              <w:highlight w:val="none"/>
            </w:rPr>
            <w:fldChar w:fldCharType="begin"/>
          </w:r>
          <w:r>
            <w:rPr>
              <w:highlight w:val="none"/>
            </w:rPr>
            <w:instrText xml:space="preserve"> HYPERLINK \l "_Toc26112" </w:instrText>
          </w:r>
          <w:r>
            <w:rPr>
              <w:highlight w:val="none"/>
            </w:rPr>
            <w:fldChar w:fldCharType="separate"/>
          </w:r>
          <w:r>
            <w:rPr>
              <w:rFonts w:ascii="Times New Roman" w:hAnsi="Times New Roman" w:cs="Times New Roman"/>
              <w:highlight w:val="none"/>
            </w:rPr>
            <w:t>第十一节其他重要事项</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_Toc26112 \h </w:instrText>
          </w:r>
          <w:r>
            <w:rPr>
              <w:rFonts w:ascii="Times New Roman" w:hAnsi="Times New Roman" w:cs="Times New Roman"/>
              <w:highlight w:val="none"/>
            </w:rPr>
            <w:fldChar w:fldCharType="separate"/>
          </w:r>
          <w:r>
            <w:rPr>
              <w:rFonts w:ascii="Times New Roman" w:hAnsi="Times New Roman" w:cs="Times New Roman"/>
              <w:highlight w:val="none"/>
            </w:rPr>
            <w:t>20</w:t>
          </w:r>
          <w:r>
            <w:rPr>
              <w:rFonts w:ascii="Times New Roman" w:hAnsi="Times New Roman" w:cs="Times New Roman"/>
              <w:highlight w:val="none"/>
            </w:rPr>
            <w:fldChar w:fldCharType="end"/>
          </w:r>
          <w:r>
            <w:rPr>
              <w:rFonts w:ascii="Times New Roman" w:hAnsi="Times New Roman" w:cs="Times New Roman"/>
              <w:highlight w:val="none"/>
            </w:rPr>
            <w:fldChar w:fldCharType="end"/>
          </w:r>
        </w:p>
        <w:p>
          <w:pPr>
            <w:pStyle w:val="7"/>
            <w:tabs>
              <w:tab w:val="right" w:leader="dot" w:pos="8306"/>
            </w:tabs>
            <w:spacing w:after="0" w:line="360" w:lineRule="auto"/>
            <w:ind w:firstLine="0"/>
            <w:rPr>
              <w:rFonts w:ascii="Times New Roman" w:hAnsi="Times New Roman" w:cs="Times New Roman"/>
              <w:highlight w:val="none"/>
            </w:rPr>
          </w:pPr>
          <w:r>
            <w:rPr>
              <w:highlight w:val="none"/>
            </w:rPr>
            <w:fldChar w:fldCharType="begin"/>
          </w:r>
          <w:r>
            <w:rPr>
              <w:highlight w:val="none"/>
            </w:rPr>
            <w:instrText xml:space="preserve"> HYPERLINK \l "_Toc12842" </w:instrText>
          </w:r>
          <w:r>
            <w:rPr>
              <w:highlight w:val="none"/>
            </w:rPr>
            <w:fldChar w:fldCharType="separate"/>
          </w:r>
          <w:r>
            <w:rPr>
              <w:rFonts w:ascii="Times New Roman" w:hAnsi="Times New Roman" w:cs="Times New Roman"/>
              <w:highlight w:val="none"/>
            </w:rPr>
            <w:t>第十二节备查文件</w:t>
          </w:r>
          <w:r>
            <w:rPr>
              <w:rFonts w:ascii="Times New Roman" w:hAnsi="Times New Roman" w:cs="Times New Roman"/>
              <w:highlight w:val="none"/>
            </w:rPr>
            <w:tab/>
          </w:r>
          <w:r>
            <w:rPr>
              <w:rFonts w:ascii="Times New Roman" w:hAnsi="Times New Roman" w:cs="Times New Roman"/>
              <w:highlight w:val="none"/>
            </w:rPr>
            <w:fldChar w:fldCharType="begin"/>
          </w:r>
          <w:r>
            <w:rPr>
              <w:rFonts w:ascii="Times New Roman" w:hAnsi="Times New Roman" w:cs="Times New Roman"/>
              <w:highlight w:val="none"/>
            </w:rPr>
            <w:instrText xml:space="preserve"> PAGEREF _Toc12842 \h </w:instrText>
          </w:r>
          <w:r>
            <w:rPr>
              <w:rFonts w:ascii="Times New Roman" w:hAnsi="Times New Roman" w:cs="Times New Roman"/>
              <w:highlight w:val="none"/>
            </w:rPr>
            <w:fldChar w:fldCharType="separate"/>
          </w:r>
          <w:r>
            <w:rPr>
              <w:rFonts w:ascii="Times New Roman" w:hAnsi="Times New Roman" w:cs="Times New Roman"/>
              <w:highlight w:val="none"/>
            </w:rPr>
            <w:t>21</w:t>
          </w:r>
          <w:r>
            <w:rPr>
              <w:rFonts w:ascii="Times New Roman" w:hAnsi="Times New Roman" w:cs="Times New Roman"/>
              <w:highlight w:val="none"/>
            </w:rPr>
            <w:fldChar w:fldCharType="end"/>
          </w:r>
          <w:r>
            <w:rPr>
              <w:rFonts w:ascii="Times New Roman" w:hAnsi="Times New Roman" w:cs="Times New Roman"/>
              <w:highlight w:val="none"/>
            </w:rPr>
            <w:fldChar w:fldCharType="end"/>
          </w:r>
        </w:p>
        <w:p>
          <w:pPr>
            <w:spacing w:after="0" w:line="360" w:lineRule="auto"/>
            <w:ind w:firstLine="0"/>
            <w:rPr>
              <w:rFonts w:hint="eastAsia"/>
              <w:highlight w:val="none"/>
            </w:rPr>
          </w:pPr>
          <w:r>
            <w:rPr>
              <w:rFonts w:ascii="Times New Roman" w:hAnsi="Times New Roman" w:cs="Times New Roman"/>
              <w:highlight w:val="none"/>
            </w:rPr>
            <w:fldChar w:fldCharType="end"/>
          </w:r>
        </w:p>
      </w:sdtContent>
    </w:sdt>
    <w:p>
      <w:pPr>
        <w:rPr>
          <w:rFonts w:hint="eastAsia"/>
          <w:highlight w:val="none"/>
        </w:rPr>
        <w:sectPr>
          <w:pgSz w:w="11906" w:h="16838"/>
          <w:pgMar w:top="1440" w:right="1800" w:bottom="1440" w:left="1800" w:header="851" w:footer="992" w:gutter="0"/>
          <w:cols w:space="425" w:num="1"/>
          <w:docGrid w:type="lines" w:linePitch="312" w:charSpace="0"/>
        </w:sectPr>
      </w:pPr>
    </w:p>
    <w:p>
      <w:pPr>
        <w:pStyle w:val="16"/>
        <w:spacing w:before="156" w:after="156"/>
        <w:rPr>
          <w:highlight w:val="none"/>
        </w:rPr>
      </w:pPr>
      <w:bookmarkStart w:id="2" w:name="_Toc226932748"/>
      <w:bookmarkStart w:id="3" w:name="_Toc135009958"/>
      <w:bookmarkStart w:id="4" w:name="_Toc25505"/>
      <w:r>
        <w:rPr>
          <w:rFonts w:hint="eastAsia"/>
          <w:highlight w:val="none"/>
        </w:rPr>
        <w:t>释 义</w:t>
      </w:r>
      <w:bookmarkEnd w:id="2"/>
      <w:bookmarkEnd w:id="3"/>
      <w:bookmarkEnd w:id="4"/>
    </w:p>
    <w:p>
      <w:pPr>
        <w:pStyle w:val="17"/>
        <w:spacing w:before="156"/>
        <w:ind w:firstLine="480"/>
        <w:rPr>
          <w:highlight w:val="none"/>
        </w:rPr>
      </w:pPr>
      <w:r>
        <w:rPr>
          <w:rFonts w:hint="eastAsia"/>
          <w:highlight w:val="none"/>
        </w:rPr>
        <w:t>本收购报告中，除非文意另有所指，下列简称具有如下含义：</w:t>
      </w:r>
    </w:p>
    <w:tbl>
      <w:tblPr>
        <w:tblStyle w:val="1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296"/>
        <w:gridCol w:w="496"/>
        <w:gridCol w:w="573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highlight w:val="none"/>
              </w:rPr>
            </w:pPr>
            <w:bookmarkStart w:id="5" w:name="_Hlk133369496"/>
            <w:r>
              <w:rPr>
                <w:rFonts w:ascii="Times New Roman" w:hAnsi="Times New Roman"/>
                <w:bCs/>
                <w:sz w:val="21"/>
                <w:szCs w:val="21"/>
                <w:highlight w:val="none"/>
              </w:rPr>
              <w:t>公司/发行人/</w:t>
            </w:r>
            <w:r>
              <w:rPr>
                <w:rFonts w:hint="eastAsia" w:ascii="Times New Roman" w:hAnsi="Times New Roman"/>
                <w:bCs/>
                <w:sz w:val="21"/>
                <w:szCs w:val="21"/>
                <w:highlight w:val="none"/>
              </w:rPr>
              <w:t>望变电气/上市公司</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sz w:val="21"/>
                <w:szCs w:val="21"/>
                <w:highlight w:val="none"/>
              </w:rPr>
            </w:pPr>
            <w:r>
              <w:rPr>
                <w:rFonts w:ascii="Times New Roman" w:hAnsi="Times New Roman"/>
                <w:sz w:val="21"/>
                <w:szCs w:val="21"/>
                <w:highlight w:val="none"/>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r>
              <w:rPr>
                <w:rFonts w:hint="eastAsia" w:ascii="Times New Roman" w:hAnsi="Times New Roman"/>
                <w:sz w:val="21"/>
                <w:szCs w:val="21"/>
                <w:highlight w:val="none"/>
              </w:rPr>
              <w:t>重庆望变电气（集团）股份有限公司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highlight w:val="none"/>
              </w:rPr>
            </w:pPr>
            <w:r>
              <w:rPr>
                <w:rFonts w:hint="eastAsia" w:ascii="Times New Roman" w:hAnsi="Times New Roman"/>
                <w:bCs/>
                <w:sz w:val="21"/>
                <w:szCs w:val="21"/>
                <w:highlight w:val="none"/>
              </w:rPr>
              <w:t>收购人/</w:t>
            </w:r>
            <w:r>
              <w:rPr>
                <w:rFonts w:hint="eastAsia" w:ascii="Times New Roman" w:hAnsi="Times New Roman"/>
                <w:sz w:val="21"/>
                <w:szCs w:val="21"/>
                <w:highlight w:val="none"/>
              </w:rPr>
              <w:t>耀泽商管</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sz w:val="21"/>
                <w:szCs w:val="21"/>
                <w:highlight w:val="none"/>
              </w:rPr>
            </w:pPr>
            <w:r>
              <w:rPr>
                <w:rFonts w:hint="eastAsia" w:ascii="Times New Roman" w:hAnsi="Times New Roman"/>
                <w:sz w:val="21"/>
                <w:szCs w:val="21"/>
                <w:highlight w:val="none"/>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r>
              <w:rPr>
                <w:rFonts w:hint="eastAsia" w:ascii="Times New Roman" w:hAnsi="Times New Roman"/>
                <w:sz w:val="21"/>
                <w:szCs w:val="21"/>
                <w:highlight w:val="none"/>
              </w:rPr>
              <w:t>重庆耀泽商业管理有限公司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highlight w:val="none"/>
              </w:rPr>
            </w:pPr>
            <w:r>
              <w:rPr>
                <w:rFonts w:hint="eastAsia" w:ascii="Times New Roman" w:hAnsi="Times New Roman"/>
                <w:bCs/>
                <w:sz w:val="21"/>
                <w:szCs w:val="21"/>
                <w:highlight w:val="none"/>
              </w:rPr>
              <w:t>控股股东</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sz w:val="21"/>
                <w:szCs w:val="21"/>
                <w:highlight w:val="none"/>
              </w:rPr>
            </w:pPr>
            <w:r>
              <w:rPr>
                <w:rFonts w:ascii="Times New Roman" w:hAnsi="Times New Roman"/>
                <w:sz w:val="21"/>
                <w:szCs w:val="21"/>
                <w:highlight w:val="none"/>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r>
              <w:rPr>
                <w:rFonts w:hint="eastAsia" w:ascii="Times New Roman" w:hAnsi="Times New Roman"/>
                <w:sz w:val="21"/>
                <w:szCs w:val="21"/>
                <w:highlight w:val="none"/>
              </w:rPr>
              <w:t>杨泽民先生、秦惠兰女士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highlight w:val="none"/>
              </w:rPr>
            </w:pPr>
            <w:r>
              <w:rPr>
                <w:sz w:val="21"/>
                <w:szCs w:val="21"/>
                <w:highlight w:val="none"/>
              </w:rPr>
              <w:t>实际控制人</w:t>
            </w:r>
            <w:r>
              <w:rPr>
                <w:rFonts w:hint="eastAsia"/>
                <w:sz w:val="21"/>
                <w:szCs w:val="21"/>
                <w:highlight w:val="none"/>
              </w:rPr>
              <w:t>/实际控制人及其一致行动人</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sz w:val="21"/>
                <w:szCs w:val="21"/>
                <w:highlight w:val="none"/>
              </w:rPr>
            </w:pPr>
            <w:r>
              <w:rPr>
                <w:sz w:val="21"/>
                <w:szCs w:val="21"/>
                <w:highlight w:val="none"/>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r>
              <w:rPr>
                <w:rFonts w:hint="eastAsia" w:ascii="Times New Roman" w:hAnsi="Times New Roman"/>
                <w:sz w:val="21"/>
                <w:szCs w:val="21"/>
                <w:highlight w:val="none"/>
              </w:rPr>
              <w:t>杨泽民先生、秦惠兰女士、杨耀先生、杨秦女士</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r>
              <w:rPr>
                <w:rFonts w:ascii="Times New Roman" w:hAnsi="Times New Roman"/>
                <w:sz w:val="21"/>
                <w:szCs w:val="21"/>
                <w:highlight w:val="none"/>
              </w:rPr>
              <w:t>中国证监会</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sz w:val="21"/>
                <w:szCs w:val="21"/>
                <w:highlight w:val="none"/>
              </w:rPr>
            </w:pPr>
            <w:r>
              <w:rPr>
                <w:rFonts w:ascii="Times New Roman" w:hAnsi="Times New Roman"/>
                <w:sz w:val="21"/>
                <w:szCs w:val="21"/>
                <w:highlight w:val="none"/>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r>
              <w:rPr>
                <w:rFonts w:ascii="Times New Roman" w:hAnsi="Times New Roman"/>
                <w:sz w:val="21"/>
                <w:szCs w:val="21"/>
                <w:highlight w:val="none"/>
              </w:rPr>
              <w:t>中国证券监督管理委员会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bookmarkStart w:id="6" w:name="OLE_LINK30"/>
            <w:r>
              <w:rPr>
                <w:rFonts w:ascii="Times New Roman" w:hAnsi="Times New Roman"/>
                <w:sz w:val="21"/>
                <w:szCs w:val="21"/>
                <w:highlight w:val="none"/>
              </w:rPr>
              <w:t>交易所</w:t>
            </w:r>
            <w:bookmarkEnd w:id="6"/>
            <w:r>
              <w:rPr>
                <w:rFonts w:ascii="Times New Roman" w:hAnsi="Times New Roman"/>
                <w:sz w:val="21"/>
                <w:szCs w:val="21"/>
                <w:highlight w:val="none"/>
              </w:rPr>
              <w:t>、</w:t>
            </w:r>
            <w:r>
              <w:rPr>
                <w:rFonts w:hint="eastAsia" w:ascii="Times New Roman" w:hAnsi="Times New Roman"/>
                <w:sz w:val="21"/>
                <w:szCs w:val="21"/>
                <w:highlight w:val="none"/>
              </w:rPr>
              <w:t>上</w:t>
            </w:r>
            <w:r>
              <w:rPr>
                <w:rFonts w:ascii="Times New Roman" w:hAnsi="Times New Roman"/>
                <w:sz w:val="21"/>
                <w:szCs w:val="21"/>
                <w:highlight w:val="none"/>
              </w:rPr>
              <w:t>交所</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sz w:val="21"/>
                <w:szCs w:val="21"/>
                <w:highlight w:val="none"/>
              </w:rPr>
            </w:pPr>
            <w:r>
              <w:rPr>
                <w:rFonts w:ascii="Times New Roman" w:hAnsi="Times New Roman"/>
                <w:sz w:val="21"/>
                <w:szCs w:val="21"/>
                <w:highlight w:val="none"/>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r>
              <w:rPr>
                <w:rFonts w:hint="eastAsia" w:ascii="Times New Roman" w:hAnsi="Times New Roman"/>
                <w:sz w:val="21"/>
                <w:szCs w:val="21"/>
                <w:highlight w:val="none"/>
              </w:rPr>
              <w:t>上海</w:t>
            </w:r>
            <w:r>
              <w:rPr>
                <w:rFonts w:ascii="Times New Roman" w:hAnsi="Times New Roman"/>
                <w:sz w:val="21"/>
                <w:szCs w:val="21"/>
                <w:highlight w:val="none"/>
              </w:rPr>
              <w:t>证券交易所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r>
              <w:rPr>
                <w:rFonts w:ascii="Times New Roman" w:hAnsi="Times New Roman"/>
                <w:sz w:val="21"/>
                <w:szCs w:val="21"/>
                <w:highlight w:val="none"/>
              </w:rPr>
              <w:t>本收购报告书、报告书</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sz w:val="21"/>
                <w:szCs w:val="21"/>
                <w:highlight w:val="none"/>
              </w:rPr>
            </w:pPr>
            <w:r>
              <w:rPr>
                <w:rFonts w:ascii="Times New Roman" w:hAnsi="Times New Roman"/>
                <w:sz w:val="21"/>
                <w:szCs w:val="21"/>
                <w:highlight w:val="none"/>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r>
              <w:rPr>
                <w:rFonts w:hint="eastAsia" w:ascii="Times New Roman" w:hAnsi="Times New Roman"/>
                <w:sz w:val="21"/>
                <w:szCs w:val="21"/>
                <w:highlight w:val="none"/>
              </w:rPr>
              <w:t>重庆望变电气（集团）股份有限公司收购报告书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r>
              <w:rPr>
                <w:rFonts w:ascii="Times New Roman" w:hAnsi="Times New Roman"/>
                <w:sz w:val="21"/>
                <w:szCs w:val="21"/>
                <w:highlight w:val="none"/>
              </w:rPr>
              <w:t>本次发行、本次向特定对象发行</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sz w:val="21"/>
                <w:szCs w:val="21"/>
                <w:highlight w:val="none"/>
              </w:rPr>
            </w:pPr>
            <w:r>
              <w:rPr>
                <w:rFonts w:ascii="Times New Roman" w:hAnsi="Times New Roman"/>
                <w:sz w:val="21"/>
                <w:szCs w:val="21"/>
                <w:highlight w:val="none"/>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r>
              <w:rPr>
                <w:rFonts w:hint="eastAsia" w:ascii="Times New Roman" w:hAnsi="Times New Roman"/>
                <w:sz w:val="21"/>
                <w:szCs w:val="21"/>
                <w:highlight w:val="none"/>
              </w:rPr>
              <w:t>重庆望变电气（集团）股份有限公司2026年</w:t>
            </w:r>
            <w:r>
              <w:rPr>
                <w:rFonts w:ascii="Times New Roman" w:hAnsi="Times New Roman"/>
                <w:sz w:val="21"/>
                <w:szCs w:val="21"/>
                <w:highlight w:val="none"/>
              </w:rPr>
              <w:t>向特定对象发行人民币普通股（A股）股票的行为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highlight w:val="none"/>
              </w:rPr>
            </w:pPr>
            <w:r>
              <w:rPr>
                <w:rFonts w:ascii="Times New Roman" w:hAnsi="Times New Roman"/>
                <w:sz w:val="21"/>
                <w:szCs w:val="21"/>
                <w:highlight w:val="none"/>
              </w:rPr>
              <w:t>《公司法》</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bCs/>
                <w:sz w:val="21"/>
                <w:szCs w:val="21"/>
                <w:highlight w:val="none"/>
              </w:rPr>
            </w:pPr>
            <w:r>
              <w:rPr>
                <w:rFonts w:ascii="Times New Roman" w:hAnsi="Times New Roman"/>
                <w:sz w:val="21"/>
                <w:szCs w:val="21"/>
                <w:highlight w:val="none"/>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r>
              <w:rPr>
                <w:rFonts w:ascii="Times New Roman" w:hAnsi="Times New Roman"/>
                <w:sz w:val="21"/>
                <w:szCs w:val="21"/>
                <w:highlight w:val="none"/>
              </w:rPr>
              <w:t>《中华人民共和国公司法》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highlight w:val="none"/>
              </w:rPr>
            </w:pPr>
            <w:r>
              <w:rPr>
                <w:rFonts w:ascii="Times New Roman" w:hAnsi="Times New Roman"/>
                <w:sz w:val="21"/>
                <w:szCs w:val="21"/>
                <w:highlight w:val="none"/>
              </w:rPr>
              <w:t>《证券法》</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bCs/>
                <w:sz w:val="21"/>
                <w:szCs w:val="21"/>
                <w:highlight w:val="none"/>
              </w:rPr>
            </w:pPr>
            <w:r>
              <w:rPr>
                <w:rFonts w:ascii="Times New Roman" w:hAnsi="Times New Roman"/>
                <w:sz w:val="21"/>
                <w:szCs w:val="21"/>
                <w:highlight w:val="none"/>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r>
              <w:rPr>
                <w:rFonts w:ascii="Times New Roman" w:hAnsi="Times New Roman"/>
                <w:sz w:val="21"/>
                <w:szCs w:val="21"/>
                <w:highlight w:val="none"/>
              </w:rPr>
              <w:t>《中华人民共和国证券法》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highlight w:val="none"/>
              </w:rPr>
            </w:pPr>
            <w:r>
              <w:rPr>
                <w:rFonts w:ascii="Times New Roman" w:hAnsi="Times New Roman"/>
                <w:sz w:val="21"/>
                <w:szCs w:val="21"/>
                <w:highlight w:val="none"/>
              </w:rPr>
              <w:t>《上市规则》</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bCs/>
                <w:sz w:val="21"/>
                <w:szCs w:val="21"/>
                <w:highlight w:val="none"/>
              </w:rPr>
            </w:pPr>
            <w:r>
              <w:rPr>
                <w:rFonts w:ascii="Times New Roman" w:hAnsi="Times New Roman"/>
                <w:sz w:val="21"/>
                <w:szCs w:val="21"/>
                <w:highlight w:val="none"/>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r>
              <w:rPr>
                <w:rFonts w:ascii="Times New Roman" w:hAnsi="Times New Roman"/>
                <w:sz w:val="21"/>
                <w:szCs w:val="21"/>
                <w:highlight w:val="none"/>
              </w:rPr>
              <w:t>《</w:t>
            </w:r>
            <w:r>
              <w:rPr>
                <w:rFonts w:hint="eastAsia" w:ascii="Times New Roman" w:hAnsi="Times New Roman"/>
                <w:sz w:val="21"/>
                <w:szCs w:val="21"/>
                <w:highlight w:val="none"/>
              </w:rPr>
              <w:t>上海</w:t>
            </w:r>
            <w:r>
              <w:rPr>
                <w:rFonts w:ascii="Times New Roman" w:hAnsi="Times New Roman"/>
                <w:sz w:val="21"/>
                <w:szCs w:val="21"/>
                <w:highlight w:val="none"/>
              </w:rPr>
              <w:t>证券交易所股票上市规则》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r>
              <w:rPr>
                <w:rFonts w:ascii="Times New Roman" w:hAnsi="Times New Roman"/>
                <w:sz w:val="21"/>
                <w:szCs w:val="21"/>
                <w:highlight w:val="none"/>
              </w:rPr>
              <w:t>《注册管理办法》</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sz w:val="21"/>
                <w:szCs w:val="21"/>
                <w:highlight w:val="none"/>
              </w:rPr>
            </w:pPr>
            <w:r>
              <w:rPr>
                <w:rFonts w:ascii="Times New Roman" w:hAnsi="Times New Roman"/>
                <w:sz w:val="21"/>
                <w:szCs w:val="21"/>
                <w:highlight w:val="none"/>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r>
              <w:rPr>
                <w:rFonts w:ascii="Times New Roman" w:hAnsi="Times New Roman"/>
                <w:sz w:val="21"/>
                <w:szCs w:val="21"/>
                <w:highlight w:val="none"/>
              </w:rPr>
              <w:t>《上市公司证券发行注册管理办法》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r>
              <w:rPr>
                <w:rFonts w:ascii="Times New Roman" w:hAnsi="Times New Roman"/>
                <w:sz w:val="21"/>
                <w:szCs w:val="21"/>
                <w:highlight w:val="none"/>
              </w:rPr>
              <w:t>《证券期货法律适用意见第18号》</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sz w:val="21"/>
                <w:szCs w:val="21"/>
                <w:highlight w:val="none"/>
              </w:rPr>
            </w:pPr>
            <w:r>
              <w:rPr>
                <w:rFonts w:ascii="Times New Roman" w:hAnsi="Times New Roman"/>
                <w:sz w:val="21"/>
                <w:szCs w:val="21"/>
                <w:highlight w:val="none"/>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r>
              <w:rPr>
                <w:rFonts w:ascii="Times New Roman" w:hAnsi="Times New Roman"/>
                <w:sz w:val="21"/>
                <w:szCs w:val="21"/>
                <w:highlight w:val="none"/>
              </w:rPr>
              <w:t>《〈上市公司证券发行注册管理办法〉第九条、第十条、第十一条、第十三条、第四十条、第五十七条、第六十条有关规定的适用意见——证券期货法律适用意见第18号》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highlight w:val="none"/>
              </w:rPr>
            </w:pPr>
            <w:r>
              <w:rPr>
                <w:rFonts w:ascii="Times New Roman" w:hAnsi="Times New Roman"/>
                <w:bCs/>
                <w:sz w:val="21"/>
                <w:szCs w:val="21"/>
                <w:highlight w:val="none"/>
              </w:rPr>
              <w:t>元、万元、亿元</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bCs/>
                <w:sz w:val="21"/>
                <w:szCs w:val="21"/>
                <w:highlight w:val="none"/>
              </w:rPr>
            </w:pPr>
            <w:r>
              <w:rPr>
                <w:rFonts w:ascii="Times New Roman" w:hAnsi="Times New Roman"/>
                <w:sz w:val="21"/>
                <w:szCs w:val="21"/>
                <w:highlight w:val="none"/>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highlight w:val="none"/>
              </w:rPr>
            </w:pPr>
            <w:r>
              <w:rPr>
                <w:rFonts w:ascii="Times New Roman" w:hAnsi="Times New Roman"/>
                <w:sz w:val="21"/>
                <w:szCs w:val="21"/>
                <w:highlight w:val="none"/>
              </w:rPr>
              <w:t>人民币元、人民币万元、人民币亿元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highlight w:val="none"/>
              </w:rPr>
            </w:pPr>
            <w:r>
              <w:rPr>
                <w:rFonts w:ascii="Times New Roman" w:hAnsi="Times New Roman"/>
                <w:bCs/>
                <w:sz w:val="21"/>
                <w:szCs w:val="21"/>
                <w:highlight w:val="none"/>
              </w:rPr>
              <w:t>股东会</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bCs/>
                <w:sz w:val="21"/>
                <w:szCs w:val="21"/>
                <w:highlight w:val="none"/>
              </w:rPr>
            </w:pPr>
            <w:r>
              <w:rPr>
                <w:rFonts w:ascii="Times New Roman" w:hAnsi="Times New Roman"/>
                <w:sz w:val="21"/>
                <w:szCs w:val="21"/>
                <w:highlight w:val="none"/>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r>
              <w:rPr>
                <w:rFonts w:hint="eastAsia" w:ascii="Times New Roman" w:hAnsi="Times New Roman"/>
                <w:sz w:val="21"/>
                <w:szCs w:val="21"/>
                <w:highlight w:val="none"/>
              </w:rPr>
              <w:t>重庆望变电气（集团）股份有限公司</w:t>
            </w:r>
            <w:r>
              <w:rPr>
                <w:rFonts w:ascii="Times New Roman" w:hAnsi="Times New Roman"/>
                <w:sz w:val="21"/>
                <w:szCs w:val="21"/>
                <w:highlight w:val="none"/>
              </w:rPr>
              <w:t>股东会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7" w:type="pct"/>
            <w:tcMar>
              <w:top w:w="0" w:type="dxa"/>
              <w:left w:w="108" w:type="dxa"/>
              <w:bottom w:w="0" w:type="dxa"/>
              <w:right w:w="108" w:type="dxa"/>
            </w:tcMar>
            <w:vAlign w:val="center"/>
          </w:tcPr>
          <w:p>
            <w:pPr>
              <w:spacing w:after="0" w:line="240" w:lineRule="auto"/>
              <w:ind w:firstLine="0"/>
              <w:rPr>
                <w:rFonts w:ascii="Times New Roman" w:hAnsi="Times New Roman"/>
                <w:bCs/>
                <w:sz w:val="21"/>
                <w:szCs w:val="21"/>
                <w:highlight w:val="none"/>
              </w:rPr>
            </w:pPr>
            <w:r>
              <w:rPr>
                <w:rFonts w:ascii="Times New Roman" w:hAnsi="Times New Roman"/>
                <w:bCs/>
                <w:sz w:val="21"/>
                <w:szCs w:val="21"/>
                <w:highlight w:val="none"/>
              </w:rPr>
              <w:t>董事会</w:t>
            </w:r>
          </w:p>
        </w:tc>
        <w:tc>
          <w:tcPr>
            <w:tcW w:w="291" w:type="pct"/>
            <w:tcMar>
              <w:top w:w="0" w:type="dxa"/>
              <w:left w:w="108" w:type="dxa"/>
              <w:bottom w:w="0" w:type="dxa"/>
              <w:right w:w="108" w:type="dxa"/>
            </w:tcMar>
            <w:vAlign w:val="center"/>
          </w:tcPr>
          <w:p>
            <w:pPr>
              <w:spacing w:after="0" w:line="240" w:lineRule="auto"/>
              <w:ind w:firstLine="0"/>
              <w:jc w:val="center"/>
              <w:rPr>
                <w:rFonts w:ascii="Times New Roman" w:hAnsi="Times New Roman"/>
                <w:bCs/>
                <w:sz w:val="21"/>
                <w:szCs w:val="21"/>
                <w:highlight w:val="none"/>
              </w:rPr>
            </w:pPr>
            <w:r>
              <w:rPr>
                <w:rFonts w:ascii="Times New Roman" w:hAnsi="Times New Roman"/>
                <w:sz w:val="21"/>
                <w:szCs w:val="21"/>
                <w:highlight w:val="none"/>
              </w:rPr>
              <w:t>指</w:t>
            </w:r>
          </w:p>
        </w:tc>
        <w:tc>
          <w:tcPr>
            <w:tcW w:w="3361" w:type="pct"/>
            <w:tcMar>
              <w:top w:w="0" w:type="dxa"/>
              <w:left w:w="108" w:type="dxa"/>
              <w:bottom w:w="0" w:type="dxa"/>
              <w:right w:w="108" w:type="dxa"/>
            </w:tcMar>
            <w:vAlign w:val="center"/>
          </w:tcPr>
          <w:p>
            <w:pPr>
              <w:spacing w:after="0" w:line="240" w:lineRule="auto"/>
              <w:ind w:firstLine="0"/>
              <w:rPr>
                <w:rFonts w:ascii="Times New Roman" w:hAnsi="Times New Roman"/>
                <w:sz w:val="21"/>
                <w:szCs w:val="21"/>
                <w:highlight w:val="none"/>
              </w:rPr>
            </w:pPr>
            <w:r>
              <w:rPr>
                <w:rFonts w:hint="eastAsia" w:ascii="Times New Roman" w:hAnsi="Times New Roman"/>
                <w:sz w:val="21"/>
                <w:szCs w:val="21"/>
                <w:highlight w:val="none"/>
              </w:rPr>
              <w:t>重庆望变电气（集团）股份有限公司</w:t>
            </w:r>
            <w:r>
              <w:rPr>
                <w:rFonts w:ascii="Times New Roman" w:hAnsi="Times New Roman"/>
                <w:sz w:val="21"/>
                <w:szCs w:val="21"/>
                <w:highlight w:val="none"/>
              </w:rPr>
              <w:t>董事会</w:t>
            </w:r>
          </w:p>
        </w:tc>
      </w:tr>
      <w:bookmarkEnd w:id="5"/>
    </w:tbl>
    <w:p>
      <w:pPr>
        <w:rPr>
          <w:rFonts w:hint="eastAsia"/>
          <w:highlight w:val="none"/>
        </w:rPr>
      </w:pPr>
      <w:r>
        <w:rPr>
          <w:rFonts w:hint="eastAsia"/>
          <w:kern w:val="0"/>
          <w:sz w:val="20"/>
          <w:szCs w:val="20"/>
          <w:highlight w:val="none"/>
          <w:lang w:bidi="ar"/>
        </w:rPr>
        <w:t>注：本收购报告书中若出现合计数与所列数值总和尾数不符，均为四舍五入原因所致。</w:t>
      </w:r>
    </w:p>
    <w:p>
      <w:pPr>
        <w:rPr>
          <w:rFonts w:hint="eastAsia"/>
          <w:highlight w:val="none"/>
        </w:rPr>
        <w:sectPr>
          <w:pgSz w:w="11906" w:h="16838"/>
          <w:pgMar w:top="1440" w:right="1800" w:bottom="1440" w:left="1800" w:header="851" w:footer="992" w:gutter="0"/>
          <w:cols w:space="425" w:num="1"/>
          <w:docGrid w:type="lines" w:linePitch="312" w:charSpace="0"/>
        </w:sectPr>
      </w:pPr>
    </w:p>
    <w:p>
      <w:pPr>
        <w:pStyle w:val="16"/>
        <w:spacing w:before="156" w:after="156"/>
        <w:rPr>
          <w:highlight w:val="none"/>
        </w:rPr>
      </w:pPr>
      <w:bookmarkStart w:id="7" w:name="_Toc23246"/>
      <w:r>
        <w:rPr>
          <w:rFonts w:hint="eastAsia"/>
          <w:highlight w:val="none"/>
        </w:rPr>
        <w:t>第一节 收购人介绍</w:t>
      </w:r>
      <w:bookmarkEnd w:id="7"/>
    </w:p>
    <w:p>
      <w:pPr>
        <w:pStyle w:val="22"/>
        <w:spacing w:before="156" w:after="156"/>
        <w:rPr>
          <w:highlight w:val="none"/>
        </w:rPr>
      </w:pPr>
      <w:bookmarkStart w:id="8" w:name="_Toc23351"/>
      <w:bookmarkStart w:id="9" w:name="_Toc12976"/>
      <w:bookmarkStart w:id="10" w:name="_Toc226551286"/>
      <w:bookmarkStart w:id="11" w:name="_Hlk182123986"/>
      <w:r>
        <w:rPr>
          <w:rFonts w:hint="eastAsia"/>
          <w:highlight w:val="none"/>
        </w:rPr>
        <w:t>一、收购人的基本情况</w:t>
      </w:r>
      <w:bookmarkEnd w:id="8"/>
      <w:bookmarkEnd w:id="9"/>
      <w:bookmarkEnd w:id="10"/>
    </w:p>
    <w:bookmarkEnd w:id="11"/>
    <w:tbl>
      <w:tblPr>
        <w:tblStyle w:val="11"/>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175"/>
        <w:gridCol w:w="634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highlight w:val="none"/>
              </w:rPr>
            </w:pPr>
            <w:r>
              <w:rPr>
                <w:rFonts w:ascii="Times New Roman" w:hAnsi="Times New Roman"/>
                <w:b/>
                <w:bCs/>
                <w:highlight w:val="none"/>
              </w:rPr>
              <w:t>公司名称</w:t>
            </w:r>
          </w:p>
        </w:tc>
        <w:tc>
          <w:tcPr>
            <w:tcW w:w="3723" w:type="pct"/>
            <w:vAlign w:val="center"/>
          </w:tcPr>
          <w:p>
            <w:pPr>
              <w:widowControl/>
              <w:spacing w:after="0" w:line="240" w:lineRule="auto"/>
              <w:ind w:firstLine="0"/>
              <w:jc w:val="both"/>
              <w:rPr>
                <w:rFonts w:ascii="Times New Roman" w:hAnsi="Times New Roman"/>
                <w:highlight w:val="none"/>
              </w:rPr>
            </w:pPr>
            <w:r>
              <w:rPr>
                <w:rFonts w:hint="eastAsia" w:ascii="Times New Roman" w:hAnsi="Times New Roman"/>
                <w:highlight w:val="none"/>
              </w:rPr>
              <w:t>重庆耀泽商业管理有限公司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highlight w:val="none"/>
              </w:rPr>
            </w:pPr>
            <w:r>
              <w:rPr>
                <w:rFonts w:ascii="Times New Roman" w:hAnsi="Times New Roman"/>
                <w:b/>
                <w:bCs/>
                <w:highlight w:val="none"/>
              </w:rPr>
              <w:t>公司类型</w:t>
            </w:r>
          </w:p>
        </w:tc>
        <w:tc>
          <w:tcPr>
            <w:tcW w:w="3723" w:type="pct"/>
            <w:vAlign w:val="center"/>
          </w:tcPr>
          <w:p>
            <w:pPr>
              <w:widowControl/>
              <w:spacing w:after="0" w:line="240" w:lineRule="auto"/>
              <w:ind w:firstLine="0"/>
              <w:jc w:val="both"/>
              <w:rPr>
                <w:rFonts w:ascii="Times New Roman" w:hAnsi="Times New Roman"/>
                <w:highlight w:val="none"/>
              </w:rPr>
            </w:pPr>
            <w:r>
              <w:rPr>
                <w:rFonts w:hint="eastAsia" w:ascii="Times New Roman" w:hAnsi="Times New Roman"/>
                <w:highlight w:val="none"/>
              </w:rPr>
              <w:t>有限责任公司（自然人投资或控股）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highlight w:val="none"/>
              </w:rPr>
            </w:pPr>
            <w:r>
              <w:rPr>
                <w:rFonts w:ascii="Times New Roman" w:hAnsi="Times New Roman"/>
                <w:b/>
                <w:bCs/>
                <w:highlight w:val="none"/>
              </w:rPr>
              <w:t>法定代表人</w:t>
            </w:r>
          </w:p>
        </w:tc>
        <w:tc>
          <w:tcPr>
            <w:tcW w:w="3723" w:type="pct"/>
            <w:vAlign w:val="center"/>
          </w:tcPr>
          <w:p>
            <w:pPr>
              <w:widowControl/>
              <w:spacing w:after="0" w:line="240" w:lineRule="auto"/>
              <w:ind w:firstLine="0"/>
              <w:jc w:val="both"/>
              <w:rPr>
                <w:rFonts w:ascii="Times New Roman" w:hAnsi="Times New Roman"/>
                <w:highlight w:val="none"/>
              </w:rPr>
            </w:pPr>
            <w:r>
              <w:rPr>
                <w:rFonts w:hint="eastAsia" w:ascii="Times New Roman" w:hAnsi="Times New Roman"/>
                <w:highlight w:val="none"/>
              </w:rPr>
              <w:t>杨耀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highlight w:val="none"/>
              </w:rPr>
            </w:pPr>
            <w:r>
              <w:rPr>
                <w:rFonts w:ascii="Times New Roman" w:hAnsi="Times New Roman"/>
                <w:b/>
                <w:bCs/>
                <w:highlight w:val="none"/>
              </w:rPr>
              <w:t>统一社会信用代码</w:t>
            </w:r>
          </w:p>
        </w:tc>
        <w:tc>
          <w:tcPr>
            <w:tcW w:w="3723" w:type="pct"/>
            <w:vAlign w:val="center"/>
          </w:tcPr>
          <w:p>
            <w:pPr>
              <w:widowControl/>
              <w:spacing w:after="0" w:line="240" w:lineRule="auto"/>
              <w:ind w:firstLine="0"/>
              <w:jc w:val="both"/>
              <w:rPr>
                <w:rFonts w:ascii="Times New Roman" w:hAnsi="Times New Roman"/>
                <w:highlight w:val="none"/>
              </w:rPr>
            </w:pPr>
            <w:r>
              <w:rPr>
                <w:rFonts w:ascii="Times New Roman" w:hAnsi="Times New Roman"/>
                <w:highlight w:val="none"/>
              </w:rPr>
              <w:t>91500157MAK8JJYX26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highlight w:val="none"/>
              </w:rPr>
            </w:pPr>
            <w:r>
              <w:rPr>
                <w:rFonts w:ascii="Times New Roman" w:hAnsi="Times New Roman"/>
                <w:b/>
                <w:bCs/>
                <w:highlight w:val="none"/>
              </w:rPr>
              <w:t>注册资本</w:t>
            </w:r>
          </w:p>
        </w:tc>
        <w:tc>
          <w:tcPr>
            <w:tcW w:w="3723" w:type="pct"/>
            <w:vAlign w:val="center"/>
          </w:tcPr>
          <w:p>
            <w:pPr>
              <w:widowControl/>
              <w:spacing w:after="0" w:line="240" w:lineRule="auto"/>
              <w:ind w:firstLine="0"/>
              <w:jc w:val="both"/>
              <w:rPr>
                <w:rFonts w:ascii="Times New Roman" w:hAnsi="Times New Roman"/>
                <w:highlight w:val="none"/>
              </w:rPr>
            </w:pPr>
            <w:r>
              <w:rPr>
                <w:rFonts w:hint="eastAsia" w:ascii="Times New Roman" w:hAnsi="Times New Roman"/>
                <w:highlight w:val="none"/>
              </w:rPr>
              <w:t>6,000万元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highlight w:val="none"/>
              </w:rPr>
            </w:pPr>
            <w:r>
              <w:rPr>
                <w:rFonts w:ascii="Times New Roman" w:hAnsi="Times New Roman"/>
                <w:b/>
                <w:bCs/>
                <w:highlight w:val="none"/>
              </w:rPr>
              <w:t>成立日期</w:t>
            </w:r>
          </w:p>
        </w:tc>
        <w:tc>
          <w:tcPr>
            <w:tcW w:w="3723" w:type="pct"/>
            <w:vAlign w:val="center"/>
          </w:tcPr>
          <w:p>
            <w:pPr>
              <w:widowControl/>
              <w:spacing w:after="0" w:line="240" w:lineRule="auto"/>
              <w:ind w:firstLine="0"/>
              <w:jc w:val="both"/>
              <w:rPr>
                <w:rFonts w:ascii="Times New Roman" w:hAnsi="Times New Roman"/>
                <w:highlight w:val="none"/>
              </w:rPr>
            </w:pPr>
            <w:r>
              <w:rPr>
                <w:rFonts w:ascii="Times New Roman" w:hAnsi="Times New Roman"/>
                <w:highlight w:val="none"/>
              </w:rPr>
              <w:t>2026-03-06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highlight w:val="none"/>
              </w:rPr>
            </w:pPr>
            <w:r>
              <w:rPr>
                <w:rFonts w:hint="eastAsia" w:ascii="Times New Roman" w:hAnsi="Times New Roman"/>
                <w:b/>
                <w:bCs/>
                <w:highlight w:val="none"/>
              </w:rPr>
              <w:t>经营期限</w:t>
            </w:r>
          </w:p>
        </w:tc>
        <w:tc>
          <w:tcPr>
            <w:tcW w:w="3723" w:type="pct"/>
            <w:vAlign w:val="center"/>
          </w:tcPr>
          <w:p>
            <w:pPr>
              <w:widowControl/>
              <w:spacing w:after="0" w:line="240" w:lineRule="auto"/>
              <w:ind w:firstLine="0"/>
              <w:jc w:val="both"/>
              <w:rPr>
                <w:rFonts w:ascii="Times New Roman" w:hAnsi="Times New Roman"/>
                <w:highlight w:val="none"/>
              </w:rPr>
            </w:pPr>
            <w:r>
              <w:rPr>
                <w:rFonts w:hint="eastAsia" w:ascii="Times New Roman" w:hAnsi="Times New Roman"/>
                <w:highlight w:val="none"/>
              </w:rPr>
              <w:t>无固定期限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highlight w:val="none"/>
              </w:rPr>
            </w:pPr>
            <w:r>
              <w:rPr>
                <w:rFonts w:hint="eastAsia" w:ascii="Times New Roman" w:hAnsi="Times New Roman"/>
                <w:b/>
                <w:bCs/>
                <w:highlight w:val="none"/>
              </w:rPr>
              <w:t>股东姓名</w:t>
            </w:r>
          </w:p>
        </w:tc>
        <w:tc>
          <w:tcPr>
            <w:tcW w:w="3723" w:type="pct"/>
            <w:vAlign w:val="center"/>
          </w:tcPr>
          <w:p>
            <w:pPr>
              <w:widowControl/>
              <w:spacing w:after="0" w:line="240" w:lineRule="auto"/>
              <w:ind w:firstLine="0"/>
              <w:jc w:val="both"/>
              <w:rPr>
                <w:rFonts w:ascii="Times New Roman" w:hAnsi="Times New Roman"/>
                <w:highlight w:val="none"/>
              </w:rPr>
            </w:pPr>
            <w:r>
              <w:rPr>
                <w:highlight w:val="none"/>
              </w:rPr>
              <w:fldChar w:fldCharType="begin"/>
            </w:r>
            <w:r>
              <w:rPr>
                <w:highlight w:val="none"/>
              </w:rPr>
              <w:instrText xml:space="preserve"> HYPERLINK "https://www.qcc.com/pl/pr9f50a73cf69e30173cceeae375702d.html" \t "https://www.qcc.com/firm/_blank" </w:instrText>
            </w:r>
            <w:r>
              <w:rPr>
                <w:highlight w:val="none"/>
              </w:rPr>
              <w:fldChar w:fldCharType="separate"/>
            </w:r>
            <w:r>
              <w:rPr>
                <w:rFonts w:ascii="Times New Roman" w:hAnsi="Times New Roman"/>
                <w:highlight w:val="none"/>
              </w:rPr>
              <w:t>杨泽民</w:t>
            </w:r>
            <w:r>
              <w:rPr>
                <w:rFonts w:ascii="Times New Roman" w:hAnsi="Times New Roman"/>
                <w:highlight w:val="none"/>
              </w:rPr>
              <w:fldChar w:fldCharType="end"/>
            </w:r>
            <w:r>
              <w:rPr>
                <w:rFonts w:hint="eastAsia" w:ascii="Times New Roman" w:hAnsi="Times New Roman"/>
                <w:highlight w:val="none"/>
              </w:rPr>
              <w:t>、</w:t>
            </w:r>
            <w:r>
              <w:rPr>
                <w:highlight w:val="none"/>
              </w:rPr>
              <w:fldChar w:fldCharType="begin"/>
            </w:r>
            <w:r>
              <w:rPr>
                <w:highlight w:val="none"/>
              </w:rPr>
              <w:instrText xml:space="preserve"> HYPERLINK "https://www.qcc.com/pl/pra08c066f575206b45da52afac0e2a9.html" \t "https://www.qcc.com/firm/_blank" </w:instrText>
            </w:r>
            <w:r>
              <w:rPr>
                <w:highlight w:val="none"/>
              </w:rPr>
              <w:fldChar w:fldCharType="separate"/>
            </w:r>
            <w:r>
              <w:rPr>
                <w:rFonts w:ascii="Times New Roman" w:hAnsi="Times New Roman"/>
                <w:highlight w:val="none"/>
              </w:rPr>
              <w:t>杨耀</w:t>
            </w:r>
            <w:r>
              <w:rPr>
                <w:rFonts w:ascii="Times New Roman" w:hAnsi="Times New Roman"/>
                <w:highlight w:val="none"/>
              </w:rPr>
              <w:fldChar w:fldCharType="end"/>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highlight w:val="none"/>
              </w:rPr>
            </w:pPr>
            <w:r>
              <w:rPr>
                <w:rFonts w:ascii="Times New Roman" w:hAnsi="Times New Roman"/>
                <w:b/>
                <w:bCs/>
                <w:highlight w:val="none"/>
              </w:rPr>
              <w:t>注册地址</w:t>
            </w:r>
            <w:r>
              <w:rPr>
                <w:rFonts w:hint="eastAsia" w:ascii="Times New Roman" w:hAnsi="Times New Roman"/>
                <w:b/>
                <w:bCs/>
                <w:highlight w:val="none"/>
              </w:rPr>
              <w:t>/通讯地址</w:t>
            </w:r>
          </w:p>
        </w:tc>
        <w:tc>
          <w:tcPr>
            <w:tcW w:w="3723" w:type="pct"/>
            <w:vAlign w:val="center"/>
          </w:tcPr>
          <w:p>
            <w:pPr>
              <w:widowControl/>
              <w:spacing w:after="0" w:line="240" w:lineRule="auto"/>
              <w:ind w:firstLine="0"/>
              <w:jc w:val="both"/>
              <w:rPr>
                <w:rFonts w:ascii="Times New Roman" w:hAnsi="Times New Roman"/>
                <w:highlight w:val="none"/>
              </w:rPr>
            </w:pPr>
            <w:r>
              <w:rPr>
                <w:rFonts w:hint="eastAsia" w:ascii="Times New Roman" w:hAnsi="Times New Roman"/>
                <w:highlight w:val="none"/>
              </w:rPr>
              <w:t>重庆市两江新区石马河街道盘溪路422号3幢47-15至47-19、48-14至48-17（集群注册）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highlight w:val="none"/>
              </w:rPr>
            </w:pPr>
            <w:r>
              <w:rPr>
                <w:rFonts w:ascii="Times New Roman" w:hAnsi="Times New Roman"/>
                <w:b/>
                <w:bCs/>
                <w:highlight w:val="none"/>
              </w:rPr>
              <w:t>通讯方式</w:t>
            </w:r>
          </w:p>
        </w:tc>
        <w:tc>
          <w:tcPr>
            <w:tcW w:w="3723" w:type="pct"/>
            <w:vAlign w:val="center"/>
          </w:tcPr>
          <w:p>
            <w:pPr>
              <w:widowControl/>
              <w:spacing w:after="0" w:line="240" w:lineRule="auto"/>
              <w:ind w:firstLine="0"/>
              <w:jc w:val="both"/>
              <w:rPr>
                <w:rFonts w:ascii="Times New Roman" w:hAnsi="Times New Roman"/>
                <w:highlight w:val="none"/>
              </w:rPr>
            </w:pPr>
            <w:r>
              <w:rPr>
                <w:rFonts w:hint="eastAsia" w:ascii="Times New Roman" w:hAnsi="Times New Roman"/>
                <w:highlight w:val="none"/>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6" w:type="pct"/>
            <w:vAlign w:val="center"/>
          </w:tcPr>
          <w:p>
            <w:pPr>
              <w:widowControl/>
              <w:spacing w:after="0" w:line="240" w:lineRule="auto"/>
              <w:ind w:firstLine="0"/>
              <w:jc w:val="left"/>
              <w:rPr>
                <w:rFonts w:ascii="Times New Roman" w:hAnsi="Times New Roman"/>
                <w:b/>
                <w:bCs/>
                <w:highlight w:val="none"/>
              </w:rPr>
            </w:pPr>
            <w:r>
              <w:rPr>
                <w:rFonts w:ascii="Times New Roman" w:hAnsi="Times New Roman"/>
                <w:b/>
                <w:bCs/>
                <w:highlight w:val="none"/>
              </w:rPr>
              <w:t>经营范围</w:t>
            </w:r>
          </w:p>
        </w:tc>
        <w:tc>
          <w:tcPr>
            <w:tcW w:w="3723" w:type="pct"/>
            <w:vAlign w:val="center"/>
          </w:tcPr>
          <w:p>
            <w:pPr>
              <w:widowControl/>
              <w:spacing w:after="0" w:line="240" w:lineRule="auto"/>
              <w:ind w:firstLine="0"/>
              <w:jc w:val="both"/>
              <w:rPr>
                <w:rFonts w:ascii="Times New Roman" w:hAnsi="Times New Roman"/>
                <w:highlight w:val="none"/>
              </w:rPr>
            </w:pPr>
            <w:r>
              <w:rPr>
                <w:rFonts w:hint="eastAsia" w:ascii="Times New Roman" w:hAnsi="Times New Roman"/>
                <w:highlight w:val="none"/>
              </w:rPr>
              <w:t>一般项目：商业综合体管理服务；企业管理；企业管理咨询；社会经济咨询服务；信息咨询服务（不含许可类信息咨询服务）；票据信息咨询服务；供应链管理服务；市场营销策划；集贸市场管理服务；信息技术咨询服务；企业总部管理。（除依法须经批准的项目外，凭营业执照依法自主开展经营活动）</w:t>
            </w:r>
          </w:p>
        </w:tc>
      </w:tr>
    </w:tbl>
    <w:p>
      <w:pPr>
        <w:pStyle w:val="22"/>
        <w:spacing w:before="156" w:after="156"/>
        <w:rPr>
          <w:highlight w:val="none"/>
        </w:rPr>
      </w:pPr>
      <w:bookmarkStart w:id="12" w:name="_Toc28080"/>
      <w:r>
        <w:rPr>
          <w:rFonts w:hint="eastAsia"/>
          <w:highlight w:val="none"/>
        </w:rPr>
        <w:t>二、股权控制关系</w:t>
      </w:r>
      <w:bookmarkEnd w:id="12"/>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截至本报告书签署之日</w:t>
      </w:r>
      <w:r>
        <w:rPr>
          <w:rFonts w:ascii="Times New Roman" w:hAnsi="Times New Roman"/>
          <w:highlight w:val="none"/>
        </w:rPr>
        <w:t>，</w:t>
      </w:r>
      <w:r>
        <w:rPr>
          <w:rFonts w:hint="eastAsia" w:ascii="Times New Roman" w:hAnsi="Times New Roman"/>
          <w:highlight w:val="none"/>
        </w:rPr>
        <w:t>耀泽商管系望变电气控股股东、实际控制人之一的杨泽民先生控制的企业，公司实际控制人杨泽民先生、杨耀先生分别持有51.00%股权、49.00%股权。耀泽商管及其股东、实际控制人的股权控制关系如下图所示：</w:t>
      </w:r>
    </w:p>
    <w:p>
      <w:pPr>
        <w:spacing w:before="156" w:beforeLines="50" w:line="360" w:lineRule="auto"/>
        <w:jc w:val="center"/>
        <w:rPr>
          <w:rFonts w:ascii="Times New Roman" w:hAnsi="Times New Roman"/>
          <w:highlight w:val="none"/>
        </w:rPr>
      </w:pPr>
      <w:r>
        <w:rPr>
          <w:rFonts w:ascii="Times New Roman" w:hAnsi="Times New Roman"/>
          <w:highlight w:val="none"/>
        </w:rPr>
        <w:drawing>
          <wp:inline distT="0" distB="0" distL="0" distR="0">
            <wp:extent cx="2657475" cy="1115060"/>
            <wp:effectExtent l="0" t="0" r="9525" b="0"/>
            <wp:docPr id="15177175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17507"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675404" cy="1123103"/>
                    </a:xfrm>
                    <a:prstGeom prst="rect">
                      <a:avLst/>
                    </a:prstGeom>
                    <a:noFill/>
                  </pic:spPr>
                </pic:pic>
              </a:graphicData>
            </a:graphic>
          </wp:inline>
        </w:drawing>
      </w:r>
    </w:p>
    <w:p>
      <w:pPr>
        <w:pStyle w:val="22"/>
        <w:spacing w:before="156" w:after="156"/>
        <w:rPr>
          <w:highlight w:val="none"/>
        </w:rPr>
      </w:pPr>
      <w:bookmarkStart w:id="13" w:name="_Toc19839"/>
      <w:r>
        <w:rPr>
          <w:rFonts w:hint="eastAsia"/>
          <w:highlight w:val="none"/>
        </w:rPr>
        <w:t>三、主营业务情况</w:t>
      </w:r>
      <w:bookmarkEnd w:id="13"/>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截至本报告书签署之日</w:t>
      </w:r>
      <w:r>
        <w:rPr>
          <w:rFonts w:ascii="Times New Roman" w:hAnsi="Times New Roman"/>
          <w:highlight w:val="none"/>
        </w:rPr>
        <w:t>，</w:t>
      </w:r>
      <w:r>
        <w:rPr>
          <w:rFonts w:hint="eastAsia" w:ascii="Times New Roman" w:hAnsi="Times New Roman"/>
          <w:highlight w:val="none"/>
        </w:rPr>
        <w:t>耀泽商管未实际开展业务。</w:t>
      </w:r>
    </w:p>
    <w:p>
      <w:pPr>
        <w:pStyle w:val="22"/>
        <w:spacing w:before="156" w:after="156"/>
        <w:rPr>
          <w:highlight w:val="none"/>
        </w:rPr>
      </w:pPr>
      <w:bookmarkStart w:id="14" w:name="_Toc30272"/>
      <w:r>
        <w:rPr>
          <w:rFonts w:hint="eastAsia"/>
          <w:highlight w:val="none"/>
        </w:rPr>
        <w:t>四、简要财务情况</w:t>
      </w:r>
      <w:bookmarkEnd w:id="14"/>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截至本报告书签署之日</w:t>
      </w:r>
      <w:r>
        <w:rPr>
          <w:rFonts w:ascii="Times New Roman" w:hAnsi="Times New Roman"/>
          <w:highlight w:val="none"/>
        </w:rPr>
        <w:t>，</w:t>
      </w:r>
      <w:r>
        <w:rPr>
          <w:rFonts w:hint="eastAsia" w:ascii="Times New Roman" w:hAnsi="Times New Roman"/>
          <w:highlight w:val="none"/>
        </w:rPr>
        <w:t>耀泽商管未实际开展业务，无财务数据情况。</w:t>
      </w:r>
    </w:p>
    <w:p>
      <w:pPr>
        <w:pStyle w:val="22"/>
        <w:spacing w:before="156" w:after="156"/>
        <w:rPr>
          <w:highlight w:val="none"/>
        </w:rPr>
      </w:pPr>
      <w:bookmarkStart w:id="15" w:name="_Toc31"/>
      <w:r>
        <w:rPr>
          <w:rFonts w:hint="eastAsia"/>
          <w:highlight w:val="none"/>
        </w:rPr>
        <w:t>五、</w:t>
      </w:r>
      <w:bookmarkEnd w:id="15"/>
      <w:r>
        <w:rPr>
          <w:rFonts w:hint="eastAsia"/>
          <w:highlight w:val="none"/>
        </w:rPr>
        <w:t>收购人违法违规情况</w:t>
      </w:r>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截至本报告书签署日，收购人耀泽商管不存在下列情形：1、负有数额较大债务，到期未清偿，且处于持续状态；2、有重大违法行为或者涉嫌有重大违法行为；3、有严重的证券市场失信行为。</w:t>
      </w:r>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截至本报告书签署日，收购人未受过行政处罚、刑事处罚，不涉及与经济纠纷有关的重大民事诉讼或者仲裁、</w:t>
      </w:r>
      <w:r>
        <w:rPr>
          <w:rFonts w:ascii="Times New Roman" w:hAnsi="Times New Roman"/>
          <w:highlight w:val="none"/>
        </w:rPr>
        <w:t>不存在因涉嫌犯罪正被司法机关立案侦查或涉嫌违法违规正被中国证监会立案调查的情形。</w:t>
      </w:r>
    </w:p>
    <w:p>
      <w:pPr>
        <w:pStyle w:val="22"/>
        <w:spacing w:before="156" w:after="156"/>
        <w:rPr>
          <w:highlight w:val="none"/>
        </w:rPr>
      </w:pPr>
      <w:bookmarkStart w:id="16" w:name="_Toc12"/>
      <w:bookmarkStart w:id="17" w:name="_Hlk185165268"/>
      <w:r>
        <w:rPr>
          <w:rFonts w:hint="eastAsia"/>
          <w:highlight w:val="none"/>
        </w:rPr>
        <w:t>六、</w:t>
      </w:r>
      <w:bookmarkEnd w:id="16"/>
      <w:r>
        <w:rPr>
          <w:rFonts w:hint="eastAsia"/>
          <w:highlight w:val="none"/>
        </w:rPr>
        <w:t>收购人董事、高级管理人员情况</w:t>
      </w:r>
    </w:p>
    <w:bookmarkEnd w:id="17"/>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截至本报告书签署之日</w:t>
      </w:r>
      <w:r>
        <w:rPr>
          <w:rFonts w:ascii="Times New Roman" w:hAnsi="Times New Roman"/>
          <w:highlight w:val="none"/>
        </w:rPr>
        <w:t>，</w:t>
      </w:r>
      <w:r>
        <w:rPr>
          <w:rFonts w:hint="eastAsia" w:ascii="Times New Roman" w:hAnsi="Times New Roman"/>
          <w:highlight w:val="none"/>
        </w:rPr>
        <w:t>耀泽商管未实际开展业务，法定代表人为杨耀，股东为</w:t>
      </w:r>
      <w:r>
        <w:rPr>
          <w:highlight w:val="none"/>
        </w:rPr>
        <w:fldChar w:fldCharType="begin"/>
      </w:r>
      <w:r>
        <w:rPr>
          <w:highlight w:val="none"/>
        </w:rPr>
        <w:instrText xml:space="preserve"> HYPERLINK "https://www.qcc.com/pl/pr9f50a73cf69e30173cceeae375702d.html" \t "https://www.qcc.com/firm/_blank" </w:instrText>
      </w:r>
      <w:r>
        <w:rPr>
          <w:highlight w:val="none"/>
        </w:rPr>
        <w:fldChar w:fldCharType="separate"/>
      </w:r>
      <w:r>
        <w:rPr>
          <w:rFonts w:ascii="Times New Roman" w:hAnsi="Times New Roman"/>
          <w:highlight w:val="none"/>
        </w:rPr>
        <w:t>杨泽民</w:t>
      </w:r>
      <w:r>
        <w:rPr>
          <w:rFonts w:ascii="Times New Roman" w:hAnsi="Times New Roman"/>
          <w:highlight w:val="none"/>
        </w:rPr>
        <w:fldChar w:fldCharType="end"/>
      </w:r>
      <w:r>
        <w:rPr>
          <w:rFonts w:hint="eastAsia" w:ascii="Times New Roman" w:hAnsi="Times New Roman"/>
          <w:highlight w:val="none"/>
        </w:rPr>
        <w:t>、</w:t>
      </w:r>
      <w:r>
        <w:rPr>
          <w:highlight w:val="none"/>
        </w:rPr>
        <w:fldChar w:fldCharType="begin"/>
      </w:r>
      <w:r>
        <w:rPr>
          <w:highlight w:val="none"/>
        </w:rPr>
        <w:instrText xml:space="preserve"> HYPERLINK "https://www.qcc.com/pl/pra08c066f575206b45da52afac0e2a9.html" \t "https://www.qcc.com/firm/_blank" </w:instrText>
      </w:r>
      <w:r>
        <w:rPr>
          <w:highlight w:val="none"/>
        </w:rPr>
        <w:fldChar w:fldCharType="separate"/>
      </w:r>
      <w:r>
        <w:rPr>
          <w:rFonts w:ascii="Times New Roman" w:hAnsi="Times New Roman"/>
          <w:highlight w:val="none"/>
        </w:rPr>
        <w:t>杨耀</w:t>
      </w:r>
      <w:r>
        <w:rPr>
          <w:rFonts w:ascii="Times New Roman" w:hAnsi="Times New Roman"/>
          <w:highlight w:val="none"/>
        </w:rPr>
        <w:fldChar w:fldCharType="end"/>
      </w:r>
      <w:r>
        <w:rPr>
          <w:rFonts w:hint="eastAsia" w:ascii="Times New Roman" w:hAnsi="Times New Roman"/>
          <w:highlight w:val="none"/>
        </w:rPr>
        <w:t>。</w:t>
      </w:r>
    </w:p>
    <w:tbl>
      <w:tblPr>
        <w:tblStyle w:val="10"/>
        <w:tblW w:w="5166" w:type="pct"/>
        <w:tblInd w:w="-284" w:type="dxa"/>
        <w:tblLayout w:type="fixed"/>
        <w:tblCellMar>
          <w:top w:w="0" w:type="dxa"/>
          <w:left w:w="108" w:type="dxa"/>
          <w:bottom w:w="0" w:type="dxa"/>
          <w:right w:w="108" w:type="dxa"/>
        </w:tblCellMar>
      </w:tblPr>
      <w:tblGrid>
        <w:gridCol w:w="978"/>
        <w:gridCol w:w="704"/>
        <w:gridCol w:w="1857"/>
        <w:gridCol w:w="2357"/>
        <w:gridCol w:w="910"/>
        <w:gridCol w:w="999"/>
        <w:gridCol w:w="1001"/>
      </w:tblGrid>
      <w:tr>
        <w:tblPrEx>
          <w:tblCellMar>
            <w:top w:w="0" w:type="dxa"/>
            <w:left w:w="108" w:type="dxa"/>
            <w:bottom w:w="0" w:type="dxa"/>
            <w:right w:w="108" w:type="dxa"/>
          </w:tblCellMar>
        </w:tblPrEx>
        <w:trPr>
          <w:trHeight w:val="280" w:hRule="atLeast"/>
        </w:trPr>
        <w:tc>
          <w:tcPr>
            <w:tcW w:w="555"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b/>
                <w:bCs/>
                <w:sz w:val="21"/>
                <w:szCs w:val="21"/>
                <w:highlight w:val="none"/>
              </w:rPr>
            </w:pPr>
            <w:r>
              <w:rPr>
                <w:rFonts w:ascii="Times New Roman" w:hAnsi="Times New Roman" w:cs="Times New Roman"/>
                <w:b/>
                <w:bCs/>
                <w:kern w:val="0"/>
                <w:sz w:val="21"/>
                <w:szCs w:val="21"/>
                <w:highlight w:val="none"/>
                <w:lang w:bidi="ar"/>
              </w:rPr>
              <w:t>姓名</w:t>
            </w:r>
          </w:p>
        </w:tc>
        <w:tc>
          <w:tcPr>
            <w:tcW w:w="399"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b/>
                <w:bCs/>
                <w:sz w:val="21"/>
                <w:szCs w:val="21"/>
                <w:highlight w:val="none"/>
              </w:rPr>
            </w:pPr>
            <w:r>
              <w:rPr>
                <w:rFonts w:ascii="Times New Roman" w:hAnsi="Times New Roman" w:cs="Times New Roman"/>
                <w:b/>
                <w:bCs/>
                <w:kern w:val="0"/>
                <w:sz w:val="21"/>
                <w:szCs w:val="21"/>
                <w:highlight w:val="none"/>
                <w:lang w:bidi="ar"/>
              </w:rPr>
              <w:t>性别</w:t>
            </w:r>
          </w:p>
        </w:tc>
        <w:tc>
          <w:tcPr>
            <w:tcW w:w="1053"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b/>
                <w:bCs/>
                <w:sz w:val="21"/>
                <w:szCs w:val="21"/>
                <w:highlight w:val="none"/>
              </w:rPr>
            </w:pPr>
            <w:r>
              <w:rPr>
                <w:rFonts w:ascii="Times New Roman" w:hAnsi="Times New Roman" w:cs="Times New Roman"/>
                <w:b/>
                <w:bCs/>
                <w:kern w:val="0"/>
                <w:sz w:val="21"/>
                <w:szCs w:val="21"/>
                <w:highlight w:val="none"/>
                <w:lang w:bidi="ar"/>
              </w:rPr>
              <w:t>职务</w:t>
            </w:r>
          </w:p>
        </w:tc>
        <w:tc>
          <w:tcPr>
            <w:tcW w:w="1337"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b/>
                <w:bCs/>
                <w:sz w:val="21"/>
                <w:szCs w:val="21"/>
                <w:highlight w:val="none"/>
              </w:rPr>
            </w:pPr>
            <w:r>
              <w:rPr>
                <w:rFonts w:ascii="Times New Roman" w:hAnsi="Times New Roman" w:cs="Times New Roman"/>
                <w:b/>
                <w:bCs/>
                <w:kern w:val="0"/>
                <w:sz w:val="21"/>
                <w:szCs w:val="21"/>
                <w:highlight w:val="none"/>
                <w:lang w:bidi="ar"/>
              </w:rPr>
              <w:t>身份证号码</w:t>
            </w:r>
          </w:p>
        </w:tc>
        <w:tc>
          <w:tcPr>
            <w:tcW w:w="517"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b/>
                <w:bCs/>
                <w:sz w:val="21"/>
                <w:szCs w:val="21"/>
                <w:highlight w:val="none"/>
              </w:rPr>
            </w:pPr>
            <w:r>
              <w:rPr>
                <w:rFonts w:ascii="Times New Roman" w:hAnsi="Times New Roman" w:cs="Times New Roman"/>
                <w:b/>
                <w:bCs/>
                <w:kern w:val="0"/>
                <w:sz w:val="21"/>
                <w:szCs w:val="21"/>
                <w:highlight w:val="none"/>
                <w:lang w:bidi="ar"/>
              </w:rPr>
              <w:t>国籍</w:t>
            </w:r>
          </w:p>
        </w:tc>
        <w:tc>
          <w:tcPr>
            <w:tcW w:w="567"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b/>
                <w:bCs/>
                <w:sz w:val="21"/>
                <w:szCs w:val="21"/>
                <w:highlight w:val="none"/>
              </w:rPr>
            </w:pPr>
            <w:r>
              <w:rPr>
                <w:rFonts w:ascii="Times New Roman" w:hAnsi="Times New Roman" w:cs="Times New Roman"/>
                <w:b/>
                <w:bCs/>
                <w:kern w:val="0"/>
                <w:sz w:val="21"/>
                <w:szCs w:val="21"/>
                <w:highlight w:val="none"/>
                <w:lang w:bidi="ar"/>
              </w:rPr>
              <w:t>长期居住地</w:t>
            </w:r>
          </w:p>
        </w:tc>
        <w:tc>
          <w:tcPr>
            <w:tcW w:w="568"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ind w:firstLine="0"/>
              <w:jc w:val="center"/>
              <w:textAlignment w:val="center"/>
              <w:rPr>
                <w:rFonts w:ascii="Times New Roman" w:hAnsi="Times New Roman" w:cs="Times New Roman"/>
                <w:b/>
                <w:bCs/>
                <w:sz w:val="21"/>
                <w:szCs w:val="21"/>
                <w:highlight w:val="none"/>
              </w:rPr>
            </w:pPr>
            <w:r>
              <w:rPr>
                <w:rFonts w:ascii="Times New Roman" w:hAnsi="Times New Roman" w:cs="Times New Roman"/>
                <w:b/>
                <w:bCs/>
                <w:kern w:val="0"/>
                <w:sz w:val="21"/>
                <w:szCs w:val="21"/>
                <w:highlight w:val="none"/>
                <w:lang w:bidi="ar"/>
              </w:rPr>
              <w:t>有无境外永久居留权</w:t>
            </w:r>
          </w:p>
        </w:tc>
      </w:tr>
      <w:tr>
        <w:tblPrEx>
          <w:tblCellMar>
            <w:top w:w="0" w:type="dxa"/>
            <w:left w:w="108" w:type="dxa"/>
            <w:bottom w:w="0" w:type="dxa"/>
            <w:right w:w="108" w:type="dxa"/>
          </w:tblCellMar>
        </w:tblPrEx>
        <w:trPr>
          <w:trHeight w:val="280" w:hRule="atLeast"/>
        </w:trPr>
        <w:tc>
          <w:tcPr>
            <w:tcW w:w="555"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highlight w:val="none"/>
              </w:rPr>
            </w:pPr>
            <w:r>
              <w:rPr>
                <w:rFonts w:ascii="Times New Roman" w:hAnsi="Times New Roman" w:cs="Times New Roman"/>
                <w:kern w:val="0"/>
                <w:sz w:val="21"/>
                <w:szCs w:val="21"/>
                <w:highlight w:val="none"/>
                <w:lang w:bidi="ar"/>
              </w:rPr>
              <w:t>杨泽民</w:t>
            </w:r>
          </w:p>
        </w:tc>
        <w:tc>
          <w:tcPr>
            <w:tcW w:w="399"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highlight w:val="none"/>
              </w:rPr>
            </w:pPr>
            <w:r>
              <w:rPr>
                <w:rFonts w:ascii="Times New Roman" w:hAnsi="Times New Roman" w:cs="Times New Roman"/>
                <w:kern w:val="0"/>
                <w:sz w:val="21"/>
                <w:szCs w:val="21"/>
                <w:highlight w:val="none"/>
                <w:lang w:bidi="ar"/>
              </w:rPr>
              <w:t>男</w:t>
            </w:r>
          </w:p>
        </w:tc>
        <w:tc>
          <w:tcPr>
            <w:tcW w:w="1053"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highlight w:val="none"/>
              </w:rPr>
            </w:pPr>
            <w:r>
              <w:rPr>
                <w:rFonts w:ascii="Times New Roman" w:hAnsi="Times New Roman" w:cs="Times New Roman"/>
                <w:sz w:val="21"/>
                <w:szCs w:val="21"/>
                <w:highlight w:val="none"/>
              </w:rPr>
              <w:t>受益所有人</w:t>
            </w:r>
          </w:p>
        </w:tc>
        <w:tc>
          <w:tcPr>
            <w:tcW w:w="1337"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highlight w:val="none"/>
              </w:rPr>
            </w:pPr>
            <w:r>
              <w:rPr>
                <w:rFonts w:ascii="Times New Roman" w:hAnsi="Times New Roman" w:cs="Times New Roman"/>
                <w:kern w:val="0"/>
                <w:sz w:val="21"/>
                <w:szCs w:val="21"/>
                <w:highlight w:val="none"/>
                <w:lang w:bidi="ar"/>
              </w:rPr>
              <w:t>5102211967********</w:t>
            </w:r>
          </w:p>
        </w:tc>
        <w:tc>
          <w:tcPr>
            <w:tcW w:w="517"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highlight w:val="none"/>
              </w:rPr>
            </w:pPr>
            <w:r>
              <w:rPr>
                <w:rFonts w:ascii="Times New Roman" w:hAnsi="Times New Roman" w:cs="Times New Roman"/>
                <w:kern w:val="0"/>
                <w:sz w:val="21"/>
                <w:szCs w:val="21"/>
                <w:highlight w:val="none"/>
                <w:lang w:bidi="ar"/>
              </w:rPr>
              <w:t>中国</w:t>
            </w:r>
          </w:p>
        </w:tc>
        <w:tc>
          <w:tcPr>
            <w:tcW w:w="567"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highlight w:val="none"/>
              </w:rPr>
            </w:pPr>
            <w:r>
              <w:rPr>
                <w:rFonts w:ascii="Times New Roman" w:hAnsi="Times New Roman" w:cs="Times New Roman"/>
                <w:kern w:val="0"/>
                <w:sz w:val="21"/>
                <w:szCs w:val="21"/>
                <w:highlight w:val="none"/>
                <w:lang w:bidi="ar"/>
              </w:rPr>
              <w:t>中国</w:t>
            </w:r>
          </w:p>
        </w:tc>
        <w:tc>
          <w:tcPr>
            <w:tcW w:w="568"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highlight w:val="none"/>
              </w:rPr>
            </w:pPr>
            <w:r>
              <w:rPr>
                <w:rFonts w:ascii="Times New Roman" w:hAnsi="Times New Roman" w:cs="Times New Roman"/>
                <w:kern w:val="0"/>
                <w:sz w:val="21"/>
                <w:szCs w:val="21"/>
                <w:highlight w:val="none"/>
                <w:lang w:bidi="ar"/>
              </w:rPr>
              <w:t>无</w:t>
            </w:r>
          </w:p>
        </w:tc>
      </w:tr>
      <w:tr>
        <w:tblPrEx>
          <w:tblCellMar>
            <w:top w:w="0" w:type="dxa"/>
            <w:left w:w="108" w:type="dxa"/>
            <w:bottom w:w="0" w:type="dxa"/>
            <w:right w:w="108" w:type="dxa"/>
          </w:tblCellMar>
        </w:tblPrEx>
        <w:trPr>
          <w:trHeight w:val="280" w:hRule="atLeast"/>
        </w:trPr>
        <w:tc>
          <w:tcPr>
            <w:tcW w:w="555"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highlight w:val="none"/>
              </w:rPr>
            </w:pPr>
            <w:r>
              <w:rPr>
                <w:rFonts w:ascii="Times New Roman" w:hAnsi="Times New Roman" w:cs="Times New Roman"/>
                <w:kern w:val="0"/>
                <w:sz w:val="21"/>
                <w:szCs w:val="21"/>
                <w:highlight w:val="none"/>
                <w:lang w:bidi="ar"/>
              </w:rPr>
              <w:t>杨耀</w:t>
            </w:r>
          </w:p>
        </w:tc>
        <w:tc>
          <w:tcPr>
            <w:tcW w:w="399"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highlight w:val="none"/>
              </w:rPr>
            </w:pPr>
            <w:r>
              <w:rPr>
                <w:rFonts w:ascii="Times New Roman" w:hAnsi="Times New Roman" w:cs="Times New Roman"/>
                <w:kern w:val="0"/>
                <w:sz w:val="21"/>
                <w:szCs w:val="21"/>
                <w:highlight w:val="none"/>
                <w:lang w:bidi="ar"/>
              </w:rPr>
              <w:t>男</w:t>
            </w:r>
          </w:p>
        </w:tc>
        <w:tc>
          <w:tcPr>
            <w:tcW w:w="1053"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highlight w:val="none"/>
              </w:rPr>
            </w:pPr>
            <w:r>
              <w:rPr>
                <w:rFonts w:ascii="Times New Roman" w:hAnsi="Times New Roman" w:cs="Times New Roman"/>
                <w:sz w:val="21"/>
                <w:szCs w:val="21"/>
                <w:highlight w:val="none"/>
              </w:rPr>
              <w:t>法定代表人/董事</w:t>
            </w:r>
          </w:p>
        </w:tc>
        <w:tc>
          <w:tcPr>
            <w:tcW w:w="1337"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highlight w:val="none"/>
              </w:rPr>
            </w:pPr>
            <w:r>
              <w:rPr>
                <w:rFonts w:ascii="Times New Roman" w:hAnsi="Times New Roman" w:cs="Times New Roman"/>
                <w:kern w:val="0"/>
                <w:sz w:val="21"/>
                <w:szCs w:val="21"/>
                <w:highlight w:val="none"/>
                <w:lang w:bidi="ar"/>
              </w:rPr>
              <w:t>5002212000********</w:t>
            </w:r>
          </w:p>
        </w:tc>
        <w:tc>
          <w:tcPr>
            <w:tcW w:w="517"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highlight w:val="none"/>
              </w:rPr>
            </w:pPr>
            <w:r>
              <w:rPr>
                <w:rFonts w:ascii="Times New Roman" w:hAnsi="Times New Roman" w:cs="Times New Roman"/>
                <w:kern w:val="0"/>
                <w:sz w:val="21"/>
                <w:szCs w:val="21"/>
                <w:highlight w:val="none"/>
                <w:lang w:bidi="ar"/>
              </w:rPr>
              <w:t>中国</w:t>
            </w:r>
          </w:p>
        </w:tc>
        <w:tc>
          <w:tcPr>
            <w:tcW w:w="567"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highlight w:val="none"/>
              </w:rPr>
            </w:pPr>
            <w:r>
              <w:rPr>
                <w:rFonts w:ascii="Times New Roman" w:hAnsi="Times New Roman" w:cs="Times New Roman"/>
                <w:kern w:val="0"/>
                <w:sz w:val="21"/>
                <w:szCs w:val="21"/>
                <w:highlight w:val="none"/>
                <w:lang w:bidi="ar"/>
              </w:rPr>
              <w:t>中国</w:t>
            </w:r>
          </w:p>
        </w:tc>
        <w:tc>
          <w:tcPr>
            <w:tcW w:w="568" w:type="pct"/>
            <w:tcBorders>
              <w:top w:val="single" w:color="000000" w:sz="4" w:space="0"/>
              <w:left w:val="single" w:color="000000" w:sz="4" w:space="0"/>
              <w:bottom w:val="single" w:color="000000" w:sz="4" w:space="0"/>
              <w:right w:val="single" w:color="000000" w:sz="4" w:space="0"/>
            </w:tcBorders>
            <w:noWrap/>
            <w:vAlign w:val="center"/>
          </w:tcPr>
          <w:p>
            <w:pPr>
              <w:spacing w:after="0" w:line="360" w:lineRule="auto"/>
              <w:ind w:firstLine="0"/>
              <w:jc w:val="center"/>
              <w:textAlignment w:val="center"/>
              <w:rPr>
                <w:rFonts w:ascii="Times New Roman" w:hAnsi="Times New Roman" w:cs="Times New Roman"/>
                <w:sz w:val="21"/>
                <w:szCs w:val="21"/>
                <w:highlight w:val="none"/>
              </w:rPr>
            </w:pPr>
            <w:r>
              <w:rPr>
                <w:rFonts w:ascii="Times New Roman" w:hAnsi="Times New Roman" w:cs="Times New Roman"/>
                <w:kern w:val="0"/>
                <w:sz w:val="21"/>
                <w:szCs w:val="21"/>
                <w:highlight w:val="none"/>
                <w:lang w:bidi="ar"/>
              </w:rPr>
              <w:t>无</w:t>
            </w:r>
          </w:p>
        </w:tc>
      </w:tr>
    </w:tbl>
    <w:p>
      <w:pPr>
        <w:pStyle w:val="17"/>
        <w:spacing w:before="156"/>
        <w:ind w:firstLine="480"/>
        <w:rPr>
          <w:highlight w:val="none"/>
        </w:rPr>
      </w:pPr>
      <w:r>
        <w:rPr>
          <w:rFonts w:hint="eastAsia"/>
          <w:highlight w:val="none"/>
        </w:rPr>
        <w:t>杨泽民，男，中国国籍，无境外永久居留权，身份证号：5102211967********。1967年出生。1983年3月至1984年11月，在长寿县制糖厂担任业务员；1984年12月至1985年7月，在长寿养鸡场担任团支部书记、车间主任；1985年8月至1993年12月，在重庆市长寿长江变压器厂担任车间主任、销售主管；1994年8月至2009年11月，在重庆望江变压器厂担任厂长；2002年11月至2026年2月，在重庆惠泽电器有限公司担任总经理；2009年11月至2014年12月，在重庆望江变压器厂有限公司担任执行董事、总经理；2014年12月至今，在公司担任董事长、总经理，全面统筹公司战略及经营管理工作。</w:t>
      </w:r>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杨耀，男，中国国籍，无境外永久居留权，身份证号：</w:t>
      </w:r>
      <w:r>
        <w:rPr>
          <w:rFonts w:ascii="Times New Roman" w:hAnsi="Times New Roman"/>
          <w:highlight w:val="none"/>
        </w:rPr>
        <w:t>5002212000********</w:t>
      </w:r>
      <w:r>
        <w:rPr>
          <w:rFonts w:hint="eastAsia" w:ascii="Times New Roman" w:hAnsi="Times New Roman"/>
          <w:highlight w:val="none"/>
        </w:rPr>
        <w:t>。2000年出生。2024年4月至今，在公司担任新材料事业部销售部经理；</w:t>
      </w:r>
      <w:r>
        <w:rPr>
          <w:rFonts w:ascii="Times New Roman" w:hAnsi="Times New Roman"/>
          <w:highlight w:val="none"/>
        </w:rPr>
        <w:t>2025</w:t>
      </w:r>
      <w:r>
        <w:rPr>
          <w:rFonts w:hint="eastAsia" w:ascii="Times New Roman" w:hAnsi="Times New Roman"/>
          <w:highlight w:val="none"/>
        </w:rPr>
        <w:t>年</w:t>
      </w:r>
      <w:r>
        <w:rPr>
          <w:rFonts w:ascii="Times New Roman" w:hAnsi="Times New Roman"/>
          <w:highlight w:val="none"/>
        </w:rPr>
        <w:t>7</w:t>
      </w:r>
      <w:r>
        <w:rPr>
          <w:rFonts w:hint="eastAsia" w:ascii="Times New Roman" w:hAnsi="Times New Roman"/>
          <w:highlight w:val="none"/>
        </w:rPr>
        <w:t>月至今，在望来充（重庆）科技有限责任公司担任董事；2026年3月至今，在重庆耀泽商业管理有限公司担任董事。</w:t>
      </w:r>
    </w:p>
    <w:p>
      <w:pPr>
        <w:rPr>
          <w:rFonts w:hint="eastAsia"/>
          <w:highlight w:val="none"/>
        </w:rPr>
      </w:pPr>
      <w:r>
        <w:rPr>
          <w:rFonts w:hint="eastAsia"/>
          <w:kern w:val="0"/>
          <w:highlight w:val="none"/>
          <w:lang w:bidi="ar"/>
        </w:rPr>
        <w:t>截至本报告书签署日，上述人员最近五年内未受过行政处罚（与证券市场明显无关的除外）、刑事处罚，不涉及与经济纠纷有关的重大民事诉讼或者仲裁，不存在未按期偿还大额债务、未履行承诺的情况，不存在与证券市场相关的重大不良诚信记录。</w:t>
      </w:r>
    </w:p>
    <w:p>
      <w:pPr>
        <w:pStyle w:val="22"/>
        <w:spacing w:before="156" w:after="156"/>
        <w:rPr>
          <w:highlight w:val="none"/>
        </w:rPr>
      </w:pPr>
      <w:bookmarkStart w:id="18" w:name="_Toc27094"/>
      <w:r>
        <w:rPr>
          <w:rFonts w:hint="eastAsia"/>
          <w:highlight w:val="none"/>
        </w:rPr>
        <w:t>七、</w:t>
      </w:r>
      <w:bookmarkEnd w:id="18"/>
      <w:bookmarkStart w:id="19" w:name="_Toc26937"/>
      <w:r>
        <w:rPr>
          <w:rFonts w:hint="eastAsia"/>
          <w:highlight w:val="none"/>
        </w:rPr>
        <w:t>收购人及其控股股东、实际控制人在境内、境外其他上市公司拥有权益的股份达到或超过该公司已发行股份</w:t>
      </w:r>
      <w:r>
        <w:rPr>
          <w:highlight w:val="none"/>
        </w:rPr>
        <w:t>5%</w:t>
      </w:r>
      <w:r>
        <w:rPr>
          <w:rFonts w:hint="eastAsia"/>
          <w:highlight w:val="none"/>
        </w:rPr>
        <w:t>的情况</w:t>
      </w:r>
      <w:bookmarkEnd w:id="19"/>
    </w:p>
    <w:p>
      <w:pPr>
        <w:rPr>
          <w:rFonts w:hint="eastAsia"/>
          <w:highlight w:val="none"/>
        </w:rPr>
      </w:pPr>
      <w:r>
        <w:rPr>
          <w:rFonts w:hint="eastAsia"/>
          <w:kern w:val="0"/>
          <w:highlight w:val="none"/>
          <w:lang w:bidi="ar"/>
        </w:rPr>
        <w:t>截至本报告书签署日，收购人及其控股股东、实际控制人不存在境内、境外其他上市公司拥有权益的股份达到或超过该公司已发行股份</w:t>
      </w:r>
      <w:r>
        <w:rPr>
          <w:rFonts w:ascii="Times New Roman" w:hAnsi="Times New Roman" w:cs="Times New Roman"/>
          <w:kern w:val="0"/>
          <w:highlight w:val="none"/>
          <w:lang w:bidi="ar"/>
        </w:rPr>
        <w:t>5%</w:t>
      </w:r>
      <w:r>
        <w:rPr>
          <w:rFonts w:hint="eastAsia"/>
          <w:kern w:val="0"/>
          <w:highlight w:val="none"/>
          <w:lang w:bidi="ar"/>
        </w:rPr>
        <w:t>的情况，亦不存在为两个以上上市公司的控股股东或实际控制人的情况。</w:t>
      </w:r>
    </w:p>
    <w:p>
      <w:pPr>
        <w:spacing w:before="156" w:beforeLines="50" w:line="360" w:lineRule="auto"/>
        <w:ind w:firstLine="480" w:firstLineChars="200"/>
        <w:rPr>
          <w:rFonts w:ascii="Times New Roman" w:hAnsi="Times New Roman"/>
          <w:highlight w:val="none"/>
        </w:rPr>
        <w:sectPr>
          <w:pgSz w:w="11906" w:h="16838"/>
          <w:pgMar w:top="1440" w:right="1800" w:bottom="1440" w:left="1800" w:header="851" w:footer="992" w:gutter="0"/>
          <w:cols w:space="425" w:num="1"/>
          <w:docGrid w:type="lines" w:linePitch="312" w:charSpace="0"/>
        </w:sectPr>
      </w:pPr>
    </w:p>
    <w:p>
      <w:pPr>
        <w:pStyle w:val="16"/>
        <w:spacing w:before="156" w:after="156"/>
        <w:rPr>
          <w:highlight w:val="none"/>
        </w:rPr>
      </w:pPr>
      <w:bookmarkStart w:id="20" w:name="_Toc5981"/>
      <w:r>
        <w:rPr>
          <w:rFonts w:hint="eastAsia"/>
          <w:highlight w:val="none"/>
        </w:rPr>
        <w:t>第二节 收购决定及收购目的</w:t>
      </w:r>
      <w:bookmarkEnd w:id="20"/>
    </w:p>
    <w:p>
      <w:pPr>
        <w:pStyle w:val="22"/>
        <w:spacing w:before="156" w:after="156"/>
        <w:rPr>
          <w:highlight w:val="none"/>
        </w:rPr>
      </w:pPr>
      <w:bookmarkStart w:id="21" w:name="_Toc5611"/>
      <w:r>
        <w:rPr>
          <w:rFonts w:hint="eastAsia"/>
          <w:highlight w:val="none"/>
        </w:rPr>
        <w:t>一、本次收购目的</w:t>
      </w:r>
      <w:bookmarkEnd w:id="21"/>
    </w:p>
    <w:p>
      <w:pPr>
        <w:pStyle w:val="21"/>
        <w:spacing w:before="156" w:after="156"/>
        <w:rPr>
          <w:highlight w:val="none"/>
        </w:rPr>
      </w:pPr>
      <w:bookmarkStart w:id="22" w:name="_Toc1313"/>
      <w:r>
        <w:rPr>
          <w:rFonts w:hint="eastAsia"/>
          <w:highlight w:val="none"/>
        </w:rPr>
        <w:t>（一）巩固控股股东的控制地位，提振市场信心</w:t>
      </w:r>
      <w:bookmarkEnd w:id="22"/>
    </w:p>
    <w:p>
      <w:pPr>
        <w:spacing w:before="156" w:beforeLines="50" w:line="360" w:lineRule="auto"/>
        <w:ind w:firstLine="480" w:firstLineChars="200"/>
        <w:rPr>
          <w:rFonts w:ascii="Times New Roman" w:hAnsi="Times New Roman"/>
          <w:kern w:val="0"/>
          <w:highlight w:val="none"/>
        </w:rPr>
      </w:pPr>
      <w:r>
        <w:rPr>
          <w:rFonts w:hint="eastAsia" w:ascii="Times New Roman" w:hAnsi="Times New Roman"/>
          <w:kern w:val="0"/>
          <w:highlight w:val="none"/>
        </w:rPr>
        <w:t>通过认购望变电气本次向特定对象发行股票，望变电气控股股东的持股比例将得到提升，有助于进一步增强上市公司控制权的稳定性。同时，上市公司控股股东之一的杨泽民先生控制的企业全额认购此次发行的股票，彰显其对上市公司未来发展前景的坚定信心，有利于向市场以及中小股东传递积极信号。</w:t>
      </w:r>
    </w:p>
    <w:p>
      <w:pPr>
        <w:pStyle w:val="21"/>
        <w:spacing w:before="156" w:after="156"/>
        <w:rPr>
          <w:highlight w:val="none"/>
        </w:rPr>
      </w:pPr>
      <w:bookmarkStart w:id="23" w:name="_Toc29073"/>
      <w:r>
        <w:rPr>
          <w:rFonts w:hint="eastAsia"/>
          <w:highlight w:val="none"/>
        </w:rPr>
        <w:t>（二）优化公司资本结构，满足业务增长需求</w:t>
      </w:r>
      <w:bookmarkEnd w:id="23"/>
    </w:p>
    <w:p>
      <w:pPr>
        <w:spacing w:before="156" w:beforeLines="50" w:line="360" w:lineRule="auto"/>
        <w:ind w:firstLine="480" w:firstLineChars="200"/>
        <w:rPr>
          <w:rFonts w:ascii="Times New Roman" w:hAnsi="Times New Roman"/>
          <w:kern w:val="0"/>
          <w:highlight w:val="none"/>
        </w:rPr>
      </w:pPr>
      <w:r>
        <w:rPr>
          <w:rFonts w:hint="eastAsia" w:ascii="Times New Roman" w:hAnsi="Times New Roman"/>
          <w:kern w:val="0"/>
          <w:highlight w:val="none"/>
        </w:rPr>
        <w:t>本次向特定对象发行股票募集资金扣除发行费用后拟用于补充流动资金，将有效提升上市公司的资金实力。随着上市公司业务规模的扩张以及公司发展战略的实施，公司资金需求逐步增加。本次向特定对象发行股票募集资金以补充流动资金，可以为上市公司业务发展提供资金支持，实现战略发展目标。同时，有利于上市公司增强资本实力，优化资本结构，提高上市公司抗风险能力。</w:t>
      </w:r>
    </w:p>
    <w:p>
      <w:pPr>
        <w:pStyle w:val="22"/>
        <w:spacing w:before="156" w:after="156"/>
        <w:rPr>
          <w:highlight w:val="none"/>
        </w:rPr>
      </w:pPr>
      <w:bookmarkStart w:id="24" w:name="_Toc19960"/>
      <w:r>
        <w:rPr>
          <w:rFonts w:hint="eastAsia"/>
          <w:highlight w:val="none"/>
        </w:rPr>
        <w:t>二、收购人在未来</w:t>
      </w:r>
      <w:r>
        <w:rPr>
          <w:highlight w:val="none"/>
        </w:rPr>
        <w:t>12</w:t>
      </w:r>
      <w:r>
        <w:rPr>
          <w:rFonts w:hint="eastAsia"/>
          <w:highlight w:val="none"/>
        </w:rPr>
        <w:t>个月内继续增持上市公司股份或者处置已拥有权益的股份的计划</w:t>
      </w:r>
      <w:bookmarkEnd w:id="24"/>
    </w:p>
    <w:p>
      <w:pPr>
        <w:rPr>
          <w:rFonts w:hint="eastAsia"/>
          <w:highlight w:val="none"/>
        </w:rPr>
      </w:pPr>
      <w:r>
        <w:rPr>
          <w:rFonts w:hint="eastAsia"/>
          <w:kern w:val="0"/>
          <w:highlight w:val="none"/>
          <w:lang w:bidi="ar"/>
        </w:rPr>
        <w:t>截至本报告书签署日，收购人无在未来</w:t>
      </w:r>
      <w:r>
        <w:rPr>
          <w:rFonts w:ascii="Times New Roman" w:hAnsi="Times New Roman" w:cs="Times New Roman"/>
          <w:kern w:val="0"/>
          <w:highlight w:val="none"/>
          <w:lang w:bidi="ar"/>
        </w:rPr>
        <w:t>12</w:t>
      </w:r>
      <w:r>
        <w:rPr>
          <w:rFonts w:hint="eastAsia"/>
          <w:kern w:val="0"/>
          <w:highlight w:val="none"/>
          <w:lang w:bidi="ar"/>
        </w:rPr>
        <w:t>个月内继续增持上市公司股份或者处置其已拥有权益的股份的计划。若收购人持有的上市公司股份变动幅度达到信息披露义务标准，收购人将严格按照相关法律、法规的要求，依法履行相关批准程序及信息披露义务。</w:t>
      </w:r>
    </w:p>
    <w:p>
      <w:pPr>
        <w:rPr>
          <w:rFonts w:hint="eastAsia"/>
          <w:highlight w:val="none"/>
        </w:rPr>
      </w:pPr>
      <w:r>
        <w:rPr>
          <w:rFonts w:hint="eastAsia"/>
          <w:kern w:val="0"/>
          <w:highlight w:val="none"/>
          <w:lang w:bidi="ar"/>
        </w:rPr>
        <w:t>收购人</w:t>
      </w:r>
      <w:r>
        <w:rPr>
          <w:rFonts w:hint="eastAsia"/>
          <w:highlight w:val="none"/>
          <w:lang w:val="en-US" w:eastAsia="zh-CN"/>
        </w:rPr>
        <w:t>的实际控制人及一致行动人</w:t>
      </w:r>
      <w:r>
        <w:rPr>
          <w:rFonts w:hint="eastAsia"/>
          <w:kern w:val="0"/>
          <w:highlight w:val="none"/>
          <w:lang w:bidi="ar"/>
        </w:rPr>
        <w:t>已承诺在本次发行前已经持有的望变电气股份，自望变电气本次新增股份发行结束之日起</w:t>
      </w:r>
      <w:r>
        <w:rPr>
          <w:rFonts w:ascii="Times New Roman" w:hAnsi="Times New Roman" w:cs="Times New Roman"/>
          <w:kern w:val="0"/>
          <w:highlight w:val="none"/>
          <w:lang w:bidi="ar"/>
        </w:rPr>
        <w:t>18</w:t>
      </w:r>
      <w:r>
        <w:rPr>
          <w:rFonts w:hint="eastAsia"/>
          <w:kern w:val="0"/>
          <w:highlight w:val="none"/>
          <w:lang w:bidi="ar"/>
        </w:rPr>
        <w:t>个月内不得转让。但是，在适用法律许可前提下的转让不受此限。</w:t>
      </w:r>
    </w:p>
    <w:p>
      <w:pPr>
        <w:rPr>
          <w:rFonts w:hint="eastAsia"/>
          <w:highlight w:val="none"/>
        </w:rPr>
      </w:pPr>
      <w:r>
        <w:rPr>
          <w:rFonts w:hint="eastAsia"/>
          <w:kern w:val="0"/>
          <w:highlight w:val="none"/>
          <w:lang w:bidi="ar"/>
        </w:rPr>
        <w:t>收购人已承诺所认购的望变电气本次发行的股份自新增股份发行结束之日（即本次发行的新增股票登记至耀泽商管名下之日）起</w:t>
      </w:r>
      <w:r>
        <w:rPr>
          <w:rFonts w:ascii="Times New Roman" w:hAnsi="Times New Roman" w:cs="Times New Roman"/>
          <w:kern w:val="0"/>
          <w:highlight w:val="none"/>
          <w:lang w:bidi="ar"/>
        </w:rPr>
        <w:t>36</w:t>
      </w:r>
      <w:r>
        <w:rPr>
          <w:rFonts w:hint="eastAsia"/>
          <w:kern w:val="0"/>
          <w:highlight w:val="none"/>
          <w:lang w:bidi="ar"/>
        </w:rPr>
        <w:t>个月内不得转让，收购人</w:t>
      </w:r>
      <w:r>
        <w:rPr>
          <w:rFonts w:hint="eastAsia" w:ascii="Times New Roman" w:hAnsi="Times New Roman"/>
          <w:highlight w:val="none"/>
        </w:rPr>
        <w:t>就其所认购的本次发行的股票，因公司配股、送红股、转增股本等原因增持的部分亦应遵守上述限售安排。若上述股份限售安排与中国证监会、上交所等监管部门的最新监管意见不相符，将根据相关监管意见进行调整。</w:t>
      </w:r>
    </w:p>
    <w:p>
      <w:pPr>
        <w:pStyle w:val="22"/>
        <w:spacing w:before="156" w:after="156"/>
        <w:rPr>
          <w:highlight w:val="none"/>
        </w:rPr>
      </w:pPr>
      <w:bookmarkStart w:id="25" w:name="_Toc9166"/>
      <w:r>
        <w:rPr>
          <w:rFonts w:hint="eastAsia"/>
          <w:highlight w:val="none"/>
        </w:rPr>
        <w:t>三、本次收购履行的程序</w:t>
      </w:r>
      <w:bookmarkEnd w:id="25"/>
    </w:p>
    <w:p>
      <w:pPr>
        <w:pStyle w:val="21"/>
        <w:spacing w:before="156" w:after="156"/>
        <w:rPr>
          <w:highlight w:val="none"/>
        </w:rPr>
      </w:pPr>
      <w:bookmarkStart w:id="26" w:name="_Toc12438"/>
      <w:r>
        <w:rPr>
          <w:rFonts w:hint="eastAsia"/>
          <w:highlight w:val="none"/>
        </w:rPr>
        <w:t>（一）本次发行已获取的批准</w:t>
      </w:r>
      <w:bookmarkEnd w:id="26"/>
    </w:p>
    <w:p>
      <w:pPr>
        <w:spacing w:after="0" w:line="360" w:lineRule="auto"/>
        <w:rPr>
          <w:rFonts w:hint="eastAsia"/>
          <w:highlight w:val="none"/>
        </w:rPr>
      </w:pPr>
      <w:bookmarkStart w:id="27" w:name="_Toc12565"/>
      <w:r>
        <w:rPr>
          <w:rFonts w:hint="eastAsia"/>
          <w:highlight w:val="none"/>
        </w:rPr>
        <w:t>耀泽商管全体股东已于2026年3月10日做出决定，同意本次收购事项，收购人已完成内部审议决策相关程序。</w:t>
      </w:r>
    </w:p>
    <w:p>
      <w:pPr>
        <w:spacing w:after="0" w:line="360" w:lineRule="auto"/>
        <w:rPr>
          <w:rFonts w:hint="eastAsia"/>
          <w:highlight w:val="none"/>
        </w:rPr>
      </w:pPr>
      <w:r>
        <w:rPr>
          <w:rFonts w:hint="eastAsia"/>
          <w:highlight w:val="none"/>
        </w:rPr>
        <w:t>本次向特定对象发行股票相关议案，分别经望变电气第四届董事会第十七次会议（2026年02月06日）、第四届董事会第十九次会议（2026年04月03日）、第四届董事会第二十一次会议（2026年06月05日）审议通过；先后经2026年第一次临时股东会（2026年04月20日）、2026年第二次临时股东会（2026年06月22日）审议通过，就本次发行方案、方案调整、认购协议及其补充协议、免于发出要约等事项履行完整内部决策程序。</w:t>
      </w:r>
    </w:p>
    <w:p>
      <w:pPr>
        <w:spacing w:after="0" w:line="360" w:lineRule="auto"/>
        <w:rPr>
          <w:rFonts w:hint="eastAsia"/>
          <w:highlight w:val="none"/>
        </w:rPr>
      </w:pPr>
      <w:r>
        <w:rPr>
          <w:rFonts w:hint="eastAsia"/>
          <w:highlight w:val="none"/>
        </w:rPr>
        <w:t>本次向特定对象发行股票申请，于2026年6月30日获得上海证券交易所审核通过，上交所认为本次申请符合发行条件、上市条件和信息披露要求，并按程序报送中国证监会履行注册程序。</w:t>
      </w:r>
    </w:p>
    <w:p>
      <w:pPr>
        <w:spacing w:after="0" w:line="360" w:lineRule="auto"/>
        <w:rPr>
          <w:rFonts w:hint="eastAsia"/>
          <w:highlight w:val="none"/>
        </w:rPr>
      </w:pPr>
      <w:r>
        <w:rPr>
          <w:rFonts w:hint="eastAsia"/>
          <w:highlight w:val="none"/>
        </w:rPr>
        <w:t>本次向特定对象发行股票于2026年7月27日获得中国证监会同意注册批复（证监许可〔2026〕1834号），注册批复有效期十二个月。</w:t>
      </w:r>
    </w:p>
    <w:bookmarkEnd w:id="27"/>
    <w:p>
      <w:pPr>
        <w:pStyle w:val="16"/>
        <w:spacing w:before="156" w:after="156"/>
        <w:rPr>
          <w:highlight w:val="none"/>
        </w:rPr>
      </w:pPr>
      <w:bookmarkStart w:id="28" w:name="_Toc1540"/>
      <w:r>
        <w:rPr>
          <w:rFonts w:hint="eastAsia"/>
          <w:highlight w:val="none"/>
        </w:rPr>
        <w:t>第三节 收购方式</w:t>
      </w:r>
      <w:bookmarkEnd w:id="28"/>
    </w:p>
    <w:p>
      <w:pPr>
        <w:pStyle w:val="22"/>
        <w:spacing w:before="156" w:after="156"/>
        <w:rPr>
          <w:highlight w:val="none"/>
        </w:rPr>
      </w:pPr>
      <w:bookmarkStart w:id="29" w:name="_Toc25374"/>
      <w:r>
        <w:rPr>
          <w:rFonts w:hint="eastAsia"/>
          <w:highlight w:val="none"/>
        </w:rPr>
        <w:t>一、本次收购前后收购人持有上市公司股份情况</w:t>
      </w:r>
      <w:bookmarkEnd w:id="29"/>
    </w:p>
    <w:p>
      <w:pPr>
        <w:spacing w:before="156" w:beforeLines="50" w:line="360" w:lineRule="auto"/>
        <w:ind w:firstLine="480" w:firstLineChars="200"/>
        <w:rPr>
          <w:rFonts w:hint="eastAsia" w:ascii="Times New Roman" w:hAnsi="Times New Roman"/>
          <w:highlight w:val="none"/>
        </w:rPr>
      </w:pPr>
      <w:r>
        <w:rPr>
          <w:rFonts w:hint="eastAsia" w:ascii="Times New Roman" w:hAnsi="Times New Roman"/>
          <w:highlight w:val="none"/>
        </w:rPr>
        <w:t>本次收购前，望变电气总股本为</w:t>
      </w:r>
      <w:r>
        <w:rPr>
          <w:rFonts w:ascii="Times New Roman" w:hAnsi="Times New Roman"/>
          <w:highlight w:val="none"/>
        </w:rPr>
        <w:t>329,964,639</w:t>
      </w:r>
      <w:r>
        <w:rPr>
          <w:rFonts w:hint="eastAsia" w:ascii="Times New Roman" w:hAnsi="Times New Roman"/>
          <w:highlight w:val="none"/>
        </w:rPr>
        <w:t>股，杨泽民先生、秦惠兰女士、杨耀先生、杨秦女士分别直接持有上市公司52,618,391股、40,841,700股、18,000,050股和18,015,000股股票，合计持股比例为</w:t>
      </w:r>
      <w:r>
        <w:rPr>
          <w:rFonts w:ascii="Times New Roman" w:hAnsi="Times New Roman"/>
          <w:highlight w:val="none"/>
        </w:rPr>
        <w:t>39.24%</w:t>
      </w:r>
      <w:r>
        <w:rPr>
          <w:rFonts w:hint="eastAsia" w:ascii="Times New Roman" w:hAnsi="Times New Roman"/>
          <w:highlight w:val="none"/>
        </w:rPr>
        <w:t>，为公司实际控制人。其中，杨泽民先生、秦惠兰女士系夫妻关系，为公司的控股股东，杨耀先生系杨泽民与秦惠兰之子，杨秦女士系杨泽民与秦惠兰之女</w:t>
      </w:r>
      <w:r>
        <w:rPr>
          <w:rFonts w:hint="eastAsia" w:ascii="Times New Roman" w:hAnsi="Times New Roman"/>
          <w:highlight w:val="none"/>
          <w:lang w:eastAsia="zh-CN"/>
        </w:rPr>
        <w:t>；</w:t>
      </w:r>
      <w:r>
        <w:rPr>
          <w:rFonts w:hint="eastAsia" w:ascii="Times New Roman" w:hAnsi="Times New Roman"/>
          <w:highlight w:val="none"/>
        </w:rPr>
        <w:t>公司实际控制人</w:t>
      </w:r>
      <w:r>
        <w:rPr>
          <w:rFonts w:hint="eastAsia" w:ascii="Times New Roman" w:hAnsi="Times New Roman"/>
          <w:highlight w:val="none"/>
          <w:lang w:val="en-US" w:eastAsia="zh-CN"/>
        </w:rPr>
        <w:t>及其</w:t>
      </w:r>
      <w:r>
        <w:rPr>
          <w:rFonts w:hint="eastAsia" w:ascii="Times New Roman" w:hAnsi="Times New Roman"/>
          <w:highlight w:val="none"/>
        </w:rPr>
        <w:t>一致行动</w:t>
      </w:r>
      <w:r>
        <w:rPr>
          <w:rFonts w:hint="eastAsia" w:ascii="Times New Roman" w:hAnsi="Times New Roman"/>
          <w:highlight w:val="none"/>
          <w:lang w:val="en-US" w:eastAsia="zh-CN"/>
        </w:rPr>
        <w:t>人</w:t>
      </w:r>
      <w:r>
        <w:rPr>
          <w:rFonts w:hint="eastAsia" w:ascii="Times New Roman" w:hAnsi="Times New Roman"/>
          <w:highlight w:val="none"/>
        </w:rPr>
        <w:t>杨厚群女士合计持有公司131,744,985股股票，合计持股比例为</w:t>
      </w:r>
      <w:r>
        <w:rPr>
          <w:rFonts w:ascii="Times New Roman" w:hAnsi="Times New Roman"/>
          <w:highlight w:val="none"/>
        </w:rPr>
        <w:t>39.93%</w:t>
      </w:r>
    </w:p>
    <w:p>
      <w:pPr>
        <w:spacing w:before="156" w:beforeLines="50" w:line="360" w:lineRule="auto"/>
        <w:ind w:firstLine="480" w:firstLineChars="200"/>
        <w:jc w:val="both"/>
        <w:rPr>
          <w:rFonts w:hint="eastAsia" w:ascii="Times New Roman" w:hAnsi="Times New Roman"/>
          <w:highlight w:val="none"/>
        </w:rPr>
      </w:pPr>
      <w:r>
        <w:rPr>
          <w:rFonts w:hint="eastAsia" w:ascii="Times New Roman" w:hAnsi="Times New Roman"/>
          <w:highlight w:val="none"/>
        </w:rPr>
        <w:t>根据《重庆望变电气（集团）股份有限公司向特定对象发行股票缴款通知书》，发行人本次发行的定价基准日为发行期首日，即2026年8月19日，发行价格为11.71元/股，不低于定价基准日前20个交易日公司股票交易均价的80%；最终发行股票数量为19,493,177股，合计募资资金总额为人民币228,265,102.67元，符合本次发行的发行方案。</w:t>
      </w:r>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本次收购人为杨泽民先生控制的企业，认购的股票的数量为</w:t>
      </w:r>
      <w:r>
        <w:rPr>
          <w:rFonts w:ascii="Times New Roman" w:hAnsi="Times New Roman"/>
          <w:highlight w:val="none"/>
        </w:rPr>
        <w:t>19,493,177股（含本数）</w:t>
      </w:r>
      <w:r>
        <w:rPr>
          <w:rFonts w:hint="eastAsia" w:ascii="Times New Roman" w:hAnsi="Times New Roman"/>
          <w:highlight w:val="none"/>
        </w:rPr>
        <w:t>。按本次发行股票数量上限测算，本次收购完成后，公司实际控制人及其一致行动人持有公司股份比例将提升至</w:t>
      </w:r>
      <w:r>
        <w:rPr>
          <w:rFonts w:ascii="Times New Roman" w:hAnsi="Times New Roman"/>
          <w:highlight w:val="none"/>
        </w:rPr>
        <w:t>43.28%</w:t>
      </w:r>
      <w:r>
        <w:rPr>
          <w:rFonts w:hint="eastAsia" w:ascii="Times New Roman" w:hAnsi="Times New Roman"/>
          <w:highlight w:val="none"/>
        </w:rPr>
        <w:t>，上市公司的控股股东和实际控制人均不会发生变更。</w:t>
      </w:r>
    </w:p>
    <w:p>
      <w:pPr>
        <w:pStyle w:val="22"/>
        <w:spacing w:before="156" w:after="156"/>
        <w:rPr>
          <w:highlight w:val="none"/>
        </w:rPr>
      </w:pPr>
      <w:bookmarkStart w:id="30" w:name="_Toc23183"/>
      <w:r>
        <w:rPr>
          <w:rFonts w:hint="eastAsia"/>
          <w:highlight w:val="none"/>
        </w:rPr>
        <w:t>二、本次收购方式</w:t>
      </w:r>
      <w:bookmarkEnd w:id="30"/>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本次收购方式为收购人以现金方式认购望变电气本次</w:t>
      </w:r>
      <w:r>
        <w:rPr>
          <w:rFonts w:ascii="Times New Roman" w:hAnsi="Times New Roman"/>
          <w:szCs w:val="21"/>
          <w:highlight w:val="none"/>
        </w:rPr>
        <w:t>向特定对象发行</w:t>
      </w:r>
      <w:r>
        <w:rPr>
          <w:rFonts w:hint="eastAsia" w:ascii="Times New Roman" w:hAnsi="Times New Roman"/>
          <w:highlight w:val="none"/>
        </w:rPr>
        <w:t>的全部股票。</w:t>
      </w:r>
    </w:p>
    <w:p>
      <w:pPr>
        <w:pStyle w:val="22"/>
        <w:spacing w:before="156" w:after="156"/>
        <w:rPr>
          <w:highlight w:val="none"/>
        </w:rPr>
      </w:pPr>
      <w:bookmarkStart w:id="31" w:name="_Toc8369"/>
      <w:r>
        <w:rPr>
          <w:rFonts w:hint="eastAsia"/>
          <w:highlight w:val="none"/>
        </w:rPr>
        <w:t>三、本次收购所涉主要协议</w:t>
      </w:r>
      <w:bookmarkEnd w:id="31"/>
    </w:p>
    <w:p>
      <w:pPr>
        <w:spacing w:before="156" w:beforeLines="50" w:line="360" w:lineRule="auto"/>
        <w:rPr>
          <w:rFonts w:hint="eastAsia"/>
          <w:highlight w:val="none"/>
        </w:rPr>
      </w:pPr>
      <w:r>
        <w:rPr>
          <w:rFonts w:hint="eastAsia" w:ascii="Times New Roman" w:hAnsi="Times New Roman"/>
          <w:highlight w:val="none"/>
        </w:rPr>
        <w:t>望变电气于2026年2月6日与杨泽民先生签署了《附条件生效的股份认购协议》。具体内容详见刊登在上海证券交易所网站（</w:t>
      </w:r>
      <w:r>
        <w:rPr>
          <w:rFonts w:ascii="Times New Roman" w:hAnsi="Times New Roman"/>
          <w:highlight w:val="none"/>
        </w:rPr>
        <w:t>http://www.sse.com.cn</w:t>
      </w:r>
      <w:r>
        <w:rPr>
          <w:rFonts w:hint="eastAsia" w:ascii="Times New Roman" w:hAnsi="Times New Roman"/>
          <w:highlight w:val="none"/>
        </w:rPr>
        <w:t>）的《重庆望变电气（集团）股份有限公司关于与特定对象签订附条件生效的股份认购协议暨关联交易的公告</w:t>
      </w:r>
      <w:r>
        <w:rPr>
          <w:rFonts w:hint="eastAsia"/>
          <w:kern w:val="0"/>
          <w:highlight w:val="none"/>
          <w:lang w:bidi="ar"/>
        </w:rPr>
        <w:t>》（公告编号：2026-009）。</w:t>
      </w:r>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后续发行主体调整为杨泽民控制的重庆耀泽商业管理有限公司，望变电气又先后披露两份补充协议公告（2026-031、2026-046），变更认购执行主体、</w:t>
      </w:r>
      <w:r>
        <w:rPr>
          <w:highlight w:val="none"/>
        </w:rPr>
        <w:t>定价规则、股份数量区间</w:t>
      </w:r>
      <w:r>
        <w:rPr>
          <w:rFonts w:hint="eastAsia" w:ascii="Times New Roman" w:hAnsi="Times New Roman"/>
          <w:highlight w:val="none"/>
        </w:rPr>
        <w:t>等，最初2月6日与杨泽民本人签署的基础认购协议已完整记录在2026-009号原始公告内。</w:t>
      </w:r>
    </w:p>
    <w:p>
      <w:pPr>
        <w:pStyle w:val="22"/>
        <w:spacing w:before="156" w:after="156"/>
        <w:rPr>
          <w:highlight w:val="none"/>
        </w:rPr>
      </w:pPr>
      <w:bookmarkStart w:id="32" w:name="_Toc32475"/>
      <w:r>
        <w:rPr>
          <w:rFonts w:hint="eastAsia"/>
          <w:highlight w:val="none"/>
        </w:rPr>
        <w:t>四、收购人拥有权益的上市公司股份的权利限制情况</w:t>
      </w:r>
      <w:bookmarkEnd w:id="32"/>
    </w:p>
    <w:p>
      <w:pPr>
        <w:pStyle w:val="21"/>
        <w:spacing w:before="156" w:after="156"/>
        <w:rPr>
          <w:highlight w:val="none"/>
        </w:rPr>
      </w:pPr>
      <w:bookmarkStart w:id="33" w:name="_Toc28887"/>
      <w:r>
        <w:rPr>
          <w:rFonts w:hint="eastAsia"/>
          <w:highlight w:val="none"/>
        </w:rPr>
        <w:t>（一）收购人现持有上市公司股份的权利限制情况</w:t>
      </w:r>
      <w:bookmarkEnd w:id="33"/>
    </w:p>
    <w:p>
      <w:pPr>
        <w:rPr>
          <w:rFonts w:hint="eastAsia"/>
          <w:highlight w:val="none"/>
        </w:rPr>
      </w:pPr>
      <w:r>
        <w:rPr>
          <w:rFonts w:hint="eastAsia"/>
          <w:kern w:val="0"/>
          <w:highlight w:val="none"/>
          <w:lang w:bidi="ar"/>
        </w:rPr>
        <w:t>截至</w:t>
      </w:r>
      <w:r>
        <w:rPr>
          <w:rFonts w:hint="eastAsia"/>
          <w:kern w:val="0"/>
          <w:highlight w:val="none"/>
          <w:lang w:val="en-US" w:eastAsia="zh-CN" w:bidi="ar"/>
        </w:rPr>
        <w:t>本次发行前</w:t>
      </w:r>
      <w:r>
        <w:rPr>
          <w:rFonts w:hint="eastAsia"/>
          <w:kern w:val="0"/>
          <w:highlight w:val="none"/>
          <w:lang w:bidi="ar"/>
        </w:rPr>
        <w:t>，</w:t>
      </w:r>
      <w:r>
        <w:rPr>
          <w:rFonts w:hint="eastAsia"/>
          <w:highlight w:val="none"/>
        </w:rPr>
        <w:t>公司实际控制人</w:t>
      </w:r>
      <w:r>
        <w:rPr>
          <w:rFonts w:hint="eastAsia" w:ascii="Times New Roman" w:hAnsi="Times New Roman"/>
          <w:highlight w:val="none"/>
        </w:rPr>
        <w:t>及其一致行动人合计持有公司131,744,985股股票，合计持股比例为</w:t>
      </w:r>
      <w:r>
        <w:rPr>
          <w:rFonts w:ascii="Times New Roman" w:hAnsi="Times New Roman"/>
          <w:highlight w:val="none"/>
        </w:rPr>
        <w:t>39.93%</w:t>
      </w:r>
      <w:r>
        <w:rPr>
          <w:rFonts w:hint="eastAsia"/>
          <w:kern w:val="0"/>
          <w:highlight w:val="none"/>
          <w:lang w:bidi="ar"/>
        </w:rPr>
        <w:t>，其所持股份不存在质押、冻结或者司法强制执行等权利受限制的情形。</w:t>
      </w:r>
    </w:p>
    <w:p>
      <w:pPr>
        <w:pStyle w:val="21"/>
        <w:spacing w:before="156" w:after="156"/>
        <w:rPr>
          <w:highlight w:val="none"/>
        </w:rPr>
      </w:pPr>
      <w:bookmarkStart w:id="34" w:name="_Toc23268"/>
      <w:r>
        <w:rPr>
          <w:rFonts w:hint="eastAsia"/>
          <w:highlight w:val="none"/>
        </w:rPr>
        <w:t>（二）收购人本次认购股份的权利限制情况</w:t>
      </w:r>
      <w:bookmarkEnd w:id="34"/>
    </w:p>
    <w:p>
      <w:pPr>
        <w:rPr>
          <w:rFonts w:hint="eastAsia"/>
          <w:highlight w:val="none"/>
        </w:rPr>
      </w:pPr>
      <w:r>
        <w:rPr>
          <w:rFonts w:hint="eastAsia"/>
          <w:kern w:val="0"/>
          <w:highlight w:val="none"/>
          <w:lang w:bidi="ar"/>
        </w:rPr>
        <w:t>收购人已承诺所认购的望变电气本次发行的股份自新增股份发行结束之日（即本次发行的新增股票登记至耀泽商管名下之日）起</w:t>
      </w:r>
      <w:r>
        <w:rPr>
          <w:rFonts w:ascii="Times New Roman" w:hAnsi="Times New Roman" w:cs="Times New Roman"/>
          <w:kern w:val="0"/>
          <w:highlight w:val="none"/>
          <w:lang w:bidi="ar"/>
        </w:rPr>
        <w:t>36</w:t>
      </w:r>
      <w:r>
        <w:rPr>
          <w:rFonts w:hint="eastAsia"/>
          <w:kern w:val="0"/>
          <w:highlight w:val="none"/>
          <w:lang w:bidi="ar"/>
        </w:rPr>
        <w:t>个月内不得转让，收购人</w:t>
      </w:r>
      <w:r>
        <w:rPr>
          <w:rFonts w:hint="eastAsia" w:ascii="Times New Roman" w:hAnsi="Times New Roman"/>
          <w:highlight w:val="none"/>
        </w:rPr>
        <w:t>就其所认购的本次发行的股票，因公司配股、送红股、转增股本等原因增持的部分亦应遵守上述限售安排。若上述股份限售安排与中国证监会、上交所等监管部门的最新监管意见不相符，将根据相关监管意见进行调整。</w:t>
      </w:r>
    </w:p>
    <w:p>
      <w:pPr>
        <w:rPr>
          <w:rFonts w:hint="eastAsia"/>
          <w:highlight w:val="none"/>
        </w:rPr>
        <w:sectPr>
          <w:pgSz w:w="11906" w:h="16838"/>
          <w:pgMar w:top="1440" w:right="1800" w:bottom="1440" w:left="1800" w:header="851" w:footer="992" w:gutter="0"/>
          <w:cols w:space="425" w:num="1"/>
          <w:docGrid w:type="lines" w:linePitch="312" w:charSpace="0"/>
        </w:sectPr>
      </w:pPr>
    </w:p>
    <w:p>
      <w:pPr>
        <w:pStyle w:val="16"/>
        <w:spacing w:before="156" w:after="156"/>
        <w:rPr>
          <w:highlight w:val="none"/>
        </w:rPr>
      </w:pPr>
      <w:bookmarkStart w:id="35" w:name="_Toc27757"/>
      <w:r>
        <w:rPr>
          <w:rFonts w:hint="eastAsia"/>
          <w:highlight w:val="none"/>
        </w:rPr>
        <w:t>第四节 资金来源</w:t>
      </w:r>
      <w:bookmarkEnd w:id="35"/>
    </w:p>
    <w:p>
      <w:pPr>
        <w:rPr>
          <w:rFonts w:hint="eastAsia"/>
          <w:kern w:val="0"/>
          <w:highlight w:val="none"/>
          <w:lang w:bidi="ar"/>
        </w:rPr>
      </w:pPr>
      <w:r>
        <w:rPr>
          <w:rFonts w:hint="eastAsia"/>
          <w:kern w:val="0"/>
          <w:highlight w:val="none"/>
          <w:lang w:bidi="ar"/>
        </w:rPr>
        <w:t>本次望变电气面向特定对象的非公开发行，唯一认购对象为望变电气目前的控股股东控制的企业</w:t>
      </w:r>
      <w:r>
        <w:rPr>
          <w:rFonts w:hint="eastAsia" w:ascii="Times New Roman" w:hAnsi="Times New Roman"/>
          <w:highlight w:val="none"/>
        </w:rPr>
        <w:t>耀泽商管。耀泽商管在收到上市公司及保荐机构发出的缴款通知书后，在缴款通知书载明期限内足额一次性缴付全部认购价款。</w:t>
      </w:r>
      <w:r>
        <w:rPr>
          <w:rFonts w:hint="eastAsia" w:ascii="Times New Roman" w:hAnsi="Times New Roman"/>
          <w:kern w:val="0"/>
          <w:highlight w:val="none"/>
          <w:lang w:bidi="ar"/>
        </w:rPr>
        <w:t>根据</w:t>
      </w:r>
      <w:r>
        <w:rPr>
          <w:rFonts w:hint="eastAsia" w:ascii="Times New Roman" w:hAnsi="Times New Roman"/>
          <w:highlight w:val="none"/>
        </w:rPr>
        <w:t>耀泽商管</w:t>
      </w:r>
      <w:r>
        <w:rPr>
          <w:rFonts w:hint="eastAsia" w:ascii="Times New Roman" w:hAnsi="Times New Roman"/>
          <w:kern w:val="0"/>
          <w:highlight w:val="none"/>
          <w:lang w:bidi="ar"/>
        </w:rPr>
        <w:t>与上市公司签署的</w:t>
      </w:r>
      <w:r>
        <w:rPr>
          <w:rFonts w:hint="eastAsia" w:ascii="Times New Roman" w:hAnsi="Times New Roman"/>
          <w:highlight w:val="none"/>
        </w:rPr>
        <w:t>《附条件生效的股份认购协议》以及《附条件生效的股份认购协议之补充协议》</w:t>
      </w:r>
      <w:r>
        <w:rPr>
          <w:rFonts w:ascii="Times New Roman" w:hAnsi="Times New Roman"/>
          <w:highlight w:val="none"/>
        </w:rPr>
        <w:t>《附条件生效的股份认购协议之补充协议（二）》</w:t>
      </w:r>
      <w:r>
        <w:rPr>
          <w:rFonts w:hint="eastAsia" w:ascii="Times New Roman" w:hAnsi="Times New Roman"/>
          <w:kern w:val="0"/>
          <w:highlight w:val="none"/>
          <w:lang w:bidi="ar"/>
        </w:rPr>
        <w:t>，</w:t>
      </w:r>
      <w:r>
        <w:rPr>
          <w:rFonts w:ascii="Times New Roman" w:hAnsi="Times New Roman"/>
          <w:kern w:val="0"/>
          <w:highlight w:val="none"/>
          <w:lang w:bidi="ar"/>
        </w:rPr>
        <w:t>发行人本次发行的定价基准日为发行期首日，即2026年8月19日，发行价格为11.71元/股，不低于定价基准日前20个交易日公司股票交易均价的80%；最终发行股票数量为19,493,177股，合计募资资金总额为人民币228,265,102.67元，符合本次发行的发行方案。</w:t>
      </w:r>
    </w:p>
    <w:p>
      <w:pPr>
        <w:rPr>
          <w:rFonts w:ascii="Times New Roman" w:hAnsi="Times New Roman"/>
          <w:highlight w:val="none"/>
        </w:rPr>
      </w:pPr>
      <w:r>
        <w:rPr>
          <w:rFonts w:hint="eastAsia" w:ascii="Times New Roman" w:hAnsi="Times New Roman"/>
          <w:highlight w:val="none"/>
        </w:rPr>
        <w:t>耀泽商管认购本次发行股票的资金来源于自有资金及自筹资金，其中自筹资金主要通过将本次发行的新股质押至银行申请专项贷款方式筹集。</w:t>
      </w:r>
    </w:p>
    <w:p>
      <w:pPr>
        <w:rPr>
          <w:rFonts w:hint="eastAsia"/>
          <w:highlight w:val="none"/>
        </w:rPr>
      </w:pPr>
      <w:r>
        <w:rPr>
          <w:rFonts w:hint="eastAsia" w:ascii="Times New Roman" w:hAnsi="Times New Roman"/>
          <w:highlight w:val="none"/>
        </w:rPr>
        <w:t>耀泽商管</w:t>
      </w:r>
      <w:r>
        <w:rPr>
          <w:rFonts w:hint="eastAsia"/>
          <w:kern w:val="0"/>
          <w:highlight w:val="none"/>
          <w:lang w:bidi="ar"/>
        </w:rPr>
        <w:t>已就参与认购本次发行的股票出具了《关于认购资金来源的说明》，具体如下</w:t>
      </w:r>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“1、认购人参与认购本次发行的资金，全部为认购人自有资金或合法自筹资金，资金来源合法合规；</w:t>
      </w:r>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2、认购人不存在对外募集、代持、结构化安排等情形；</w:t>
      </w:r>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3、认购人不存在直接间接使用发行人资金用于本次认购的情形，亦不存在发行人直接或通过其他利益相关方向本人提供财务资助、补偿、承诺收益或其他协议安排的情形；</w:t>
      </w:r>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4、认购人本次认购的股份不存在法律法规规定禁止持股的情形，不存在信托持股、委托持股或其他任何代持的情形；不存在本次发行的中介机构或其负责人、高级管理人员、经办人员等违规持股的情形；不存在不当利益输送的情形。”</w:t>
      </w:r>
    </w:p>
    <w:p>
      <w:pPr>
        <w:spacing w:before="156" w:beforeLines="50" w:line="360" w:lineRule="auto"/>
        <w:ind w:firstLine="480" w:firstLineChars="200"/>
        <w:rPr>
          <w:rFonts w:ascii="Times New Roman" w:hAnsi="Times New Roman"/>
          <w:highlight w:val="none"/>
        </w:rPr>
        <w:sectPr>
          <w:pgSz w:w="11906" w:h="16838"/>
          <w:pgMar w:top="1440" w:right="1800" w:bottom="1440" w:left="1800" w:header="851" w:footer="992" w:gutter="0"/>
          <w:cols w:space="425" w:num="1"/>
          <w:docGrid w:type="lines" w:linePitch="312" w:charSpace="0"/>
        </w:sectPr>
      </w:pPr>
    </w:p>
    <w:p>
      <w:pPr>
        <w:pStyle w:val="16"/>
        <w:spacing w:before="156" w:after="156"/>
        <w:rPr>
          <w:highlight w:val="none"/>
        </w:rPr>
      </w:pPr>
      <w:bookmarkStart w:id="36" w:name="_Toc22963"/>
      <w:r>
        <w:rPr>
          <w:rFonts w:hint="eastAsia"/>
          <w:highlight w:val="none"/>
        </w:rPr>
        <w:t>第五节 免于发出要约的情况</w:t>
      </w:r>
      <w:bookmarkEnd w:id="36"/>
    </w:p>
    <w:p>
      <w:pPr>
        <w:pStyle w:val="22"/>
        <w:spacing w:before="156" w:after="156"/>
        <w:rPr>
          <w:highlight w:val="none"/>
        </w:rPr>
      </w:pPr>
      <w:bookmarkStart w:id="37" w:name="_Toc14700"/>
      <w:r>
        <w:rPr>
          <w:rFonts w:hint="eastAsia"/>
          <w:highlight w:val="none"/>
        </w:rPr>
        <w:t>一、免于发出要约的事项及理由</w:t>
      </w:r>
      <w:bookmarkEnd w:id="37"/>
    </w:p>
    <w:p>
      <w:pPr>
        <w:pStyle w:val="17"/>
        <w:spacing w:before="156"/>
        <w:ind w:firstLine="480"/>
        <w:rPr>
          <w:highlight w:val="none"/>
        </w:rPr>
      </w:pPr>
      <w:r>
        <w:rPr>
          <w:rFonts w:hint="eastAsia"/>
          <w:highlight w:val="none"/>
        </w:rPr>
        <w:t>本次上市公司面向特定对象发行股票的发行对象为公司控股股东杨泽民先生控制的企业耀泽商管。本次发行前，公司实际控制人及其一致行动人合计持有公司131,744,985股股票，合计持股比例为</w:t>
      </w:r>
      <w:r>
        <w:rPr>
          <w:highlight w:val="none"/>
        </w:rPr>
        <w:t>39.</w:t>
      </w:r>
      <w:r>
        <w:rPr>
          <w:rFonts w:hint="eastAsia"/>
          <w:highlight w:val="none"/>
        </w:rPr>
        <w:t>93</w:t>
      </w:r>
      <w:r>
        <w:rPr>
          <w:highlight w:val="none"/>
        </w:rPr>
        <w:t>%</w:t>
      </w:r>
      <w:r>
        <w:rPr>
          <w:rFonts w:hint="eastAsia"/>
          <w:highlight w:val="none"/>
        </w:rPr>
        <w:t>。本次发行股票的数量为19,493,177股，按此测算，本次发行完成后，公司实际控制人及其一致行动人持有公司股份比例将提升至</w:t>
      </w:r>
      <w:r>
        <w:rPr>
          <w:highlight w:val="none"/>
        </w:rPr>
        <w:t>43.28%</w:t>
      </w:r>
      <w:r>
        <w:rPr>
          <w:rFonts w:hint="eastAsia"/>
          <w:highlight w:val="none"/>
        </w:rPr>
        <w:t>。</w:t>
      </w:r>
    </w:p>
    <w:p>
      <w:pPr>
        <w:pStyle w:val="17"/>
        <w:spacing w:before="156"/>
        <w:ind w:firstLine="480"/>
        <w:rPr>
          <w:highlight w:val="none"/>
        </w:rPr>
      </w:pPr>
      <w:r>
        <w:rPr>
          <w:rFonts w:hint="eastAsia"/>
          <w:highlight w:val="none"/>
        </w:rPr>
        <w:t>根据《上市公司收购管理办法》的相关规定，杨泽民先生控制的耀泽商管认购本次向特定对象发行的股票，将触发要约收购义务。但根据《上市公司收购管理办法》第六十三条第（三）项规定：“经上市公司股东会非关联股东批准，投资者取得上市公司向其发行的新股，导致其在该公司拥有权益的股份超过该公司已发行股份的30%，投资者承诺3年内不转让本次向其发行的新股，且公司股东会同意投资者免于发出要约。”即在满足相关条件的情形下，投资者可免于发出要约。</w:t>
      </w:r>
    </w:p>
    <w:p>
      <w:pPr>
        <w:pStyle w:val="17"/>
        <w:spacing w:before="156"/>
        <w:ind w:firstLine="480"/>
        <w:rPr>
          <w:highlight w:val="none"/>
        </w:rPr>
      </w:pPr>
      <w:r>
        <w:rPr>
          <w:rFonts w:hint="eastAsia"/>
          <w:highlight w:val="none"/>
        </w:rPr>
        <w:t>鉴于耀泽商管已承诺在发行结束之日起36个月内不转让其认购的本次发行的股票，公司2026年第一次临时股东会审议通过了《关于提请股东会批准认购对象及其一致行动人免于发出要约的议案》，本次发行的发行对象耀泽商管免于以要约方式增持公司股份。</w:t>
      </w:r>
    </w:p>
    <w:p>
      <w:pPr>
        <w:pStyle w:val="22"/>
        <w:spacing w:before="156" w:after="156"/>
        <w:rPr>
          <w:highlight w:val="none"/>
        </w:rPr>
      </w:pPr>
      <w:bookmarkStart w:id="38" w:name="_Toc15377"/>
      <w:r>
        <w:rPr>
          <w:rFonts w:hint="eastAsia"/>
          <w:highlight w:val="none"/>
        </w:rPr>
        <w:t>二、本次收购前后上市公司股权结构</w:t>
      </w:r>
      <w:bookmarkEnd w:id="38"/>
    </w:p>
    <w:p>
      <w:pPr>
        <w:rPr>
          <w:rFonts w:hint="eastAsia"/>
          <w:kern w:val="0"/>
          <w:highlight w:val="none"/>
          <w:lang w:bidi="ar"/>
        </w:rPr>
      </w:pPr>
      <w:r>
        <w:rPr>
          <w:rFonts w:hint="eastAsia"/>
          <w:kern w:val="0"/>
          <w:highlight w:val="none"/>
          <w:lang w:bidi="ar"/>
        </w:rPr>
        <w:t>关于本次收购前后上市公司股权结构参见本报告书之“第三节收购方式”之“一、本次收购前后收购人持有上市公司股份情况”。</w:t>
      </w:r>
    </w:p>
    <w:p>
      <w:pPr>
        <w:rPr>
          <w:rFonts w:hint="eastAsia"/>
          <w:kern w:val="0"/>
          <w:highlight w:val="none"/>
          <w:lang w:bidi="ar"/>
        </w:rPr>
        <w:sectPr>
          <w:pgSz w:w="11906" w:h="16838"/>
          <w:pgMar w:top="1440" w:right="1800" w:bottom="1440" w:left="1800" w:header="851" w:footer="992" w:gutter="0"/>
          <w:cols w:space="425" w:num="1"/>
          <w:docGrid w:type="lines" w:linePitch="312" w:charSpace="0"/>
        </w:sectPr>
      </w:pPr>
    </w:p>
    <w:p>
      <w:pPr>
        <w:pStyle w:val="16"/>
        <w:spacing w:before="156" w:after="156"/>
        <w:rPr>
          <w:highlight w:val="none"/>
        </w:rPr>
      </w:pPr>
      <w:bookmarkStart w:id="39" w:name="_Toc17769"/>
      <w:r>
        <w:rPr>
          <w:rFonts w:hint="eastAsia"/>
          <w:highlight w:val="none"/>
        </w:rPr>
        <w:t>第六节 后续计划</w:t>
      </w:r>
      <w:bookmarkEnd w:id="39"/>
    </w:p>
    <w:p>
      <w:pPr>
        <w:pStyle w:val="22"/>
        <w:spacing w:before="156" w:after="156"/>
        <w:rPr>
          <w:highlight w:val="none"/>
        </w:rPr>
      </w:pPr>
      <w:bookmarkStart w:id="40" w:name="_Toc20862"/>
      <w:r>
        <w:rPr>
          <w:rFonts w:hint="eastAsia"/>
          <w:highlight w:val="none"/>
        </w:rPr>
        <w:t>一、未来</w:t>
      </w:r>
      <w:r>
        <w:rPr>
          <w:highlight w:val="none"/>
        </w:rPr>
        <w:t>12</w:t>
      </w:r>
      <w:r>
        <w:rPr>
          <w:rFonts w:hint="eastAsia"/>
          <w:highlight w:val="none"/>
        </w:rPr>
        <w:t>个月内改变上市公司主营业务或者对上市公司主营业务作出重大调整的计划</w:t>
      </w:r>
      <w:bookmarkEnd w:id="40"/>
    </w:p>
    <w:p>
      <w:pPr>
        <w:rPr>
          <w:rFonts w:hint="eastAsia"/>
          <w:highlight w:val="none"/>
        </w:rPr>
      </w:pPr>
      <w:r>
        <w:rPr>
          <w:rFonts w:hint="eastAsia"/>
          <w:kern w:val="0"/>
          <w:highlight w:val="none"/>
          <w:lang w:bidi="ar"/>
        </w:rPr>
        <w:t>截至本报告书签署日，收购人无未来</w:t>
      </w:r>
      <w:r>
        <w:rPr>
          <w:rFonts w:ascii="Times New Roman" w:hAnsi="Times New Roman" w:cs="Times New Roman"/>
          <w:kern w:val="0"/>
          <w:highlight w:val="none"/>
          <w:lang w:bidi="ar"/>
        </w:rPr>
        <w:t>12</w:t>
      </w:r>
      <w:r>
        <w:rPr>
          <w:rFonts w:hint="eastAsia"/>
          <w:kern w:val="0"/>
          <w:highlight w:val="none"/>
          <w:lang w:bidi="ar"/>
        </w:rPr>
        <w:t>个月内改变上市公司主营业务或者对上市公司主营业务作出重大调整的计划。</w:t>
      </w:r>
    </w:p>
    <w:p>
      <w:pPr>
        <w:rPr>
          <w:rFonts w:hint="eastAsia"/>
          <w:highlight w:val="none"/>
        </w:rPr>
      </w:pPr>
      <w:r>
        <w:rPr>
          <w:rFonts w:hint="eastAsia"/>
          <w:kern w:val="0"/>
          <w:highlight w:val="none"/>
          <w:lang w:bidi="ar"/>
        </w:rPr>
        <w:t>如果未来根据上市公司实际情况需要进行相应调整的，收购人将严格按照有关法律法规的要求，履行相应的法律程序和信息披露义务。</w:t>
      </w:r>
    </w:p>
    <w:p>
      <w:pPr>
        <w:pStyle w:val="22"/>
        <w:spacing w:before="156" w:after="156"/>
        <w:rPr>
          <w:highlight w:val="none"/>
        </w:rPr>
      </w:pPr>
      <w:bookmarkStart w:id="41" w:name="_Toc24854"/>
      <w:r>
        <w:rPr>
          <w:rFonts w:hint="eastAsia"/>
          <w:highlight w:val="none"/>
        </w:rPr>
        <w:t>二、未来</w:t>
      </w:r>
      <w:r>
        <w:rPr>
          <w:highlight w:val="none"/>
        </w:rPr>
        <w:t>12</w:t>
      </w:r>
      <w:r>
        <w:rPr>
          <w:rFonts w:hint="eastAsia"/>
          <w:highlight w:val="none"/>
        </w:rPr>
        <w:t>个月内对上市公司或其子公司的资产、业务进行出售、合并、与他人合资或合作的计划，或上市公司拟购买或置换资产的重组计划</w:t>
      </w:r>
      <w:bookmarkEnd w:id="41"/>
    </w:p>
    <w:p>
      <w:pPr>
        <w:rPr>
          <w:rFonts w:hint="eastAsia"/>
          <w:highlight w:val="none"/>
        </w:rPr>
      </w:pPr>
      <w:r>
        <w:rPr>
          <w:rFonts w:hint="eastAsia"/>
          <w:kern w:val="0"/>
          <w:highlight w:val="none"/>
          <w:lang w:bidi="ar"/>
        </w:rPr>
        <w:t>截至本报告书签署日，收购人无未来</w:t>
      </w:r>
      <w:r>
        <w:rPr>
          <w:rFonts w:ascii="Times New Roman" w:hAnsi="Times New Roman" w:cs="Times New Roman"/>
          <w:kern w:val="0"/>
          <w:highlight w:val="none"/>
          <w:lang w:bidi="ar"/>
        </w:rPr>
        <w:t>12</w:t>
      </w:r>
      <w:r>
        <w:rPr>
          <w:rFonts w:hint="eastAsia"/>
          <w:kern w:val="0"/>
          <w:highlight w:val="none"/>
          <w:lang w:bidi="ar"/>
        </w:rPr>
        <w:t>个月内对上市公司或其子公司的资产和业务进行出售、合并、与他人合资或合作的计划、或上市公司购买或置换资产的重组计划。</w:t>
      </w:r>
    </w:p>
    <w:p>
      <w:pPr>
        <w:rPr>
          <w:rFonts w:hint="eastAsia"/>
          <w:highlight w:val="none"/>
        </w:rPr>
      </w:pPr>
      <w:r>
        <w:rPr>
          <w:rFonts w:hint="eastAsia"/>
          <w:kern w:val="0"/>
          <w:highlight w:val="none"/>
          <w:lang w:bidi="ar"/>
        </w:rPr>
        <w:t>如果未来根据上市公司实际情况需要进行相应调整的，收购人将严格按照有关法律法规的要求，履行相应的法律程序和信息披露义务。</w:t>
      </w:r>
    </w:p>
    <w:p>
      <w:pPr>
        <w:pStyle w:val="22"/>
        <w:spacing w:before="156" w:after="156"/>
        <w:rPr>
          <w:highlight w:val="none"/>
        </w:rPr>
      </w:pPr>
      <w:bookmarkStart w:id="42" w:name="_Toc21047"/>
      <w:r>
        <w:rPr>
          <w:rFonts w:hint="eastAsia"/>
          <w:highlight w:val="none"/>
        </w:rPr>
        <w:t>三、对上市公司现任董事及高级管理人员的更换计划</w:t>
      </w:r>
      <w:bookmarkEnd w:id="42"/>
    </w:p>
    <w:p>
      <w:pPr>
        <w:rPr>
          <w:rFonts w:hint="eastAsia"/>
          <w:highlight w:val="none"/>
        </w:rPr>
      </w:pPr>
      <w:r>
        <w:rPr>
          <w:rFonts w:hint="eastAsia"/>
          <w:kern w:val="0"/>
          <w:highlight w:val="none"/>
          <w:lang w:bidi="ar"/>
        </w:rPr>
        <w:t>截至本报告书签署日，收购人无改变上市公司现任董事及高级管理人员的计划。</w:t>
      </w:r>
    </w:p>
    <w:p>
      <w:pPr>
        <w:rPr>
          <w:rFonts w:hint="eastAsia"/>
          <w:highlight w:val="none"/>
        </w:rPr>
      </w:pPr>
      <w:r>
        <w:rPr>
          <w:rFonts w:hint="eastAsia"/>
          <w:kern w:val="0"/>
          <w:highlight w:val="none"/>
          <w:lang w:bidi="ar"/>
        </w:rPr>
        <w:t>如果未来根据上市公司实际情况需要进行相应调整的，收购人将严格按照有关法律法规的要求，履行相应的法律程序和信息披露义务。</w:t>
      </w:r>
    </w:p>
    <w:p>
      <w:pPr>
        <w:pStyle w:val="22"/>
        <w:spacing w:before="156" w:after="156"/>
        <w:rPr>
          <w:highlight w:val="none"/>
        </w:rPr>
      </w:pPr>
      <w:bookmarkStart w:id="43" w:name="_Toc11469"/>
      <w:r>
        <w:rPr>
          <w:rFonts w:hint="eastAsia"/>
          <w:highlight w:val="none"/>
        </w:rPr>
        <w:t>四、对上市公司章程条款进行修改的计划</w:t>
      </w:r>
      <w:bookmarkEnd w:id="43"/>
    </w:p>
    <w:p>
      <w:pPr>
        <w:rPr>
          <w:rFonts w:hint="eastAsia"/>
          <w:highlight w:val="none"/>
        </w:rPr>
      </w:pPr>
      <w:r>
        <w:rPr>
          <w:rFonts w:hint="eastAsia"/>
          <w:kern w:val="0"/>
          <w:highlight w:val="none"/>
          <w:lang w:bidi="ar"/>
        </w:rPr>
        <w:t>本次收购暨本次向特定对象发行完成后，上市公司将按照本次向特定对象发行的实际情况对上市公司《公司章程》中与注册资本、股本相关的条款进行修改，或根据中国证监会、上交所等的规定调整上市公司内部监督机构并对应修改《公司章程》。</w:t>
      </w:r>
    </w:p>
    <w:p>
      <w:pPr>
        <w:rPr>
          <w:rFonts w:hint="eastAsia"/>
          <w:highlight w:val="none"/>
        </w:rPr>
      </w:pPr>
      <w:r>
        <w:rPr>
          <w:rFonts w:hint="eastAsia"/>
          <w:kern w:val="0"/>
          <w:highlight w:val="none"/>
          <w:lang w:bidi="ar"/>
        </w:rPr>
        <w:t>截至本报告书签署日，收购人无对可能阻碍收购上市公司控制权的公司章程条款进行修改的计划。</w:t>
      </w:r>
    </w:p>
    <w:p>
      <w:pPr>
        <w:rPr>
          <w:rFonts w:hint="eastAsia"/>
          <w:highlight w:val="none"/>
        </w:rPr>
      </w:pPr>
      <w:r>
        <w:rPr>
          <w:rFonts w:hint="eastAsia"/>
          <w:kern w:val="0"/>
          <w:highlight w:val="none"/>
          <w:lang w:bidi="ar"/>
        </w:rPr>
        <w:t>如果未来根据上市公司实际情况需要进行相应调整的，收购人将严格按照有关法律法规的要求，履行相应的法律程序和信息披露义务。</w:t>
      </w:r>
    </w:p>
    <w:p>
      <w:pPr>
        <w:pStyle w:val="22"/>
        <w:spacing w:before="156" w:after="156"/>
        <w:rPr>
          <w:highlight w:val="none"/>
        </w:rPr>
      </w:pPr>
      <w:bookmarkStart w:id="44" w:name="_Toc10767"/>
      <w:r>
        <w:rPr>
          <w:rFonts w:hint="eastAsia"/>
          <w:highlight w:val="none"/>
        </w:rPr>
        <w:t>五、对上市公司现有员工聘用计划作出重大变动的计划</w:t>
      </w:r>
      <w:bookmarkEnd w:id="44"/>
    </w:p>
    <w:p>
      <w:pPr>
        <w:rPr>
          <w:rFonts w:hint="eastAsia"/>
          <w:highlight w:val="none"/>
        </w:rPr>
      </w:pPr>
      <w:r>
        <w:rPr>
          <w:rFonts w:hint="eastAsia"/>
          <w:kern w:val="0"/>
          <w:highlight w:val="none"/>
          <w:lang w:bidi="ar"/>
        </w:rPr>
        <w:t>截至本报告书签署日，收购人无对上市公司现有员工聘用计划作出重大变动的计划。</w:t>
      </w:r>
    </w:p>
    <w:p>
      <w:pPr>
        <w:rPr>
          <w:rFonts w:hint="eastAsia"/>
          <w:highlight w:val="none"/>
        </w:rPr>
      </w:pPr>
      <w:r>
        <w:rPr>
          <w:rFonts w:hint="eastAsia"/>
          <w:kern w:val="0"/>
          <w:highlight w:val="none"/>
          <w:lang w:bidi="ar"/>
        </w:rPr>
        <w:t>如果未来根据上市公司实际情况需要进行相应调整的，收购人将严格按照有关法律法规的要求，履行相应的法律程序和信息披露义务。</w:t>
      </w:r>
    </w:p>
    <w:p>
      <w:pPr>
        <w:pStyle w:val="22"/>
        <w:spacing w:before="156" w:after="156"/>
        <w:rPr>
          <w:highlight w:val="none"/>
        </w:rPr>
      </w:pPr>
      <w:bookmarkStart w:id="45" w:name="_Toc1643"/>
      <w:r>
        <w:rPr>
          <w:rFonts w:hint="eastAsia"/>
          <w:highlight w:val="none"/>
        </w:rPr>
        <w:t>六、对上市公司分红政策重大调整的计划</w:t>
      </w:r>
      <w:bookmarkEnd w:id="45"/>
    </w:p>
    <w:p>
      <w:pPr>
        <w:rPr>
          <w:rFonts w:hint="eastAsia"/>
          <w:highlight w:val="none"/>
        </w:rPr>
      </w:pPr>
      <w:r>
        <w:rPr>
          <w:rFonts w:hint="eastAsia"/>
          <w:kern w:val="0"/>
          <w:highlight w:val="none"/>
          <w:lang w:bidi="ar"/>
        </w:rPr>
        <w:t>截至本报告书签署日，收购人无对上市公司已制定的分红政策进行重大调整的计划。</w:t>
      </w:r>
    </w:p>
    <w:p>
      <w:pPr>
        <w:rPr>
          <w:rFonts w:hint="eastAsia"/>
          <w:highlight w:val="none"/>
        </w:rPr>
      </w:pPr>
      <w:r>
        <w:rPr>
          <w:rFonts w:hint="eastAsia"/>
          <w:kern w:val="0"/>
          <w:highlight w:val="none"/>
          <w:lang w:bidi="ar"/>
        </w:rPr>
        <w:t>如果未来根据上市公司实际情况需要进行相应调整的，收购人将严格按照有关法律法规的要求，履行相应的法律程序和信息披露义务。</w:t>
      </w:r>
    </w:p>
    <w:p>
      <w:pPr>
        <w:pStyle w:val="22"/>
        <w:spacing w:before="156" w:after="156"/>
        <w:rPr>
          <w:highlight w:val="none"/>
        </w:rPr>
      </w:pPr>
      <w:bookmarkStart w:id="46" w:name="_Toc17251"/>
      <w:r>
        <w:rPr>
          <w:rFonts w:hint="eastAsia"/>
          <w:highlight w:val="none"/>
        </w:rPr>
        <w:t>七、其他对上市公司业务和组织结构有重大影响的计划</w:t>
      </w:r>
      <w:bookmarkEnd w:id="46"/>
    </w:p>
    <w:p>
      <w:pPr>
        <w:rPr>
          <w:rFonts w:hint="eastAsia"/>
          <w:kern w:val="0"/>
          <w:highlight w:val="none"/>
          <w:lang w:bidi="ar"/>
        </w:rPr>
      </w:pPr>
      <w:r>
        <w:rPr>
          <w:rFonts w:hint="eastAsia"/>
          <w:kern w:val="0"/>
          <w:highlight w:val="none"/>
          <w:lang w:bidi="ar"/>
        </w:rPr>
        <w:t>除根据中国证监会、上交所等的规定调整上市公司内部监督机构外，截至本报告书签署日，收购人无对上市公司业务和组织结构有重大影响的计划。</w:t>
      </w:r>
    </w:p>
    <w:p>
      <w:pPr>
        <w:rPr>
          <w:rFonts w:hint="eastAsia"/>
          <w:highlight w:val="none"/>
        </w:rPr>
      </w:pPr>
      <w:r>
        <w:rPr>
          <w:rFonts w:hint="eastAsia"/>
          <w:kern w:val="0"/>
          <w:highlight w:val="none"/>
          <w:lang w:bidi="ar"/>
        </w:rPr>
        <w:t>如果未来根据上市公司实际情况需要进行相应调整的，收购人将严格按照有关法律法规的要求，履行相应的法律程序和信息披露义务。</w:t>
      </w:r>
    </w:p>
    <w:p>
      <w:pPr>
        <w:pStyle w:val="16"/>
        <w:spacing w:before="156" w:after="156"/>
        <w:rPr>
          <w:highlight w:val="none"/>
        </w:rPr>
      </w:pPr>
      <w:bookmarkStart w:id="47" w:name="_Toc27394"/>
      <w:r>
        <w:rPr>
          <w:rFonts w:hint="eastAsia"/>
          <w:highlight w:val="none"/>
        </w:rPr>
        <w:t>第七节 对上市公司的影响分析</w:t>
      </w:r>
      <w:bookmarkEnd w:id="47"/>
    </w:p>
    <w:p>
      <w:pPr>
        <w:pStyle w:val="22"/>
        <w:spacing w:before="156" w:after="156"/>
        <w:rPr>
          <w:highlight w:val="none"/>
        </w:rPr>
      </w:pPr>
      <w:bookmarkStart w:id="48" w:name="_Toc31856"/>
      <w:bookmarkStart w:id="49" w:name="_Toc226551299"/>
      <w:bookmarkStart w:id="50" w:name="_Toc176350129"/>
      <w:bookmarkStart w:id="51" w:name="_Toc6781"/>
      <w:r>
        <w:rPr>
          <w:rFonts w:hint="eastAsia"/>
          <w:highlight w:val="none"/>
        </w:rPr>
        <w:t>一、</w:t>
      </w:r>
      <w:bookmarkEnd w:id="48"/>
      <w:bookmarkEnd w:id="49"/>
      <w:bookmarkEnd w:id="50"/>
      <w:bookmarkEnd w:id="51"/>
      <w:r>
        <w:rPr>
          <w:rFonts w:hint="eastAsia"/>
          <w:highlight w:val="none"/>
        </w:rPr>
        <w:t>对上市公司独立性的影响</w:t>
      </w:r>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本次收购不涉及上市公司实际控制人的变化。本次收购对上市公司的人员独立、资产独立、业务独立、财务独立、机构独立将不会产生影响，上市公司仍将具有独立经营能力，在资产、人员、财务、机构、业务等方面与收购人保持独立。</w:t>
      </w:r>
    </w:p>
    <w:p>
      <w:pPr>
        <w:pStyle w:val="22"/>
        <w:spacing w:before="156" w:after="156"/>
        <w:rPr>
          <w:highlight w:val="none"/>
        </w:rPr>
      </w:pPr>
      <w:r>
        <w:rPr>
          <w:rFonts w:hint="eastAsia"/>
          <w:highlight w:val="none"/>
        </w:rPr>
        <w:t>二、对上市公司同业竞争的影响</w:t>
      </w:r>
    </w:p>
    <w:p>
      <w:pPr>
        <w:spacing w:before="156" w:beforeLines="50" w:line="360" w:lineRule="auto"/>
        <w:ind w:firstLine="480" w:firstLineChars="200"/>
        <w:rPr>
          <w:rFonts w:ascii="Times New Roman" w:hAnsi="Times New Roman"/>
          <w:highlight w:val="none"/>
        </w:rPr>
      </w:pPr>
      <w:bookmarkStart w:id="52" w:name="_Hlk180782913"/>
      <w:r>
        <w:rPr>
          <w:rFonts w:hint="eastAsia" w:ascii="Times New Roman" w:hAnsi="Times New Roman"/>
          <w:highlight w:val="none"/>
        </w:rPr>
        <w:t>本次收购人为上市公司实际控制人之一的杨泽民先生控制的企业耀泽商管，收购完成后，上市公司控股股东和实际控制人不会发生变化。</w:t>
      </w:r>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截至本报告签署日，耀泽商管未实际开展业务，与上市公司不存在同业竞争。除认购本次向特定对象发行股票与公司之间构成关联交易外，耀泽商管与公司不会因本次向特定对象发行股票而新增关联交易。</w:t>
      </w:r>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上市公司与控股股东及其关联方之间的业务关系、管理关系、关联交易、同业竞争等方面情况不会因本次收购而发生重大变化。</w:t>
      </w:r>
    </w:p>
    <w:bookmarkEnd w:id="52"/>
    <w:p>
      <w:pPr>
        <w:pStyle w:val="16"/>
        <w:spacing w:before="156" w:after="156"/>
        <w:rPr>
          <w:highlight w:val="none"/>
        </w:rPr>
      </w:pPr>
      <w:bookmarkStart w:id="53" w:name="_Toc25332"/>
      <w:r>
        <w:rPr>
          <w:rFonts w:hint="eastAsia"/>
          <w:highlight w:val="none"/>
        </w:rPr>
        <w:t>第八节 与上市公司之间的重大交易</w:t>
      </w:r>
      <w:bookmarkEnd w:id="53"/>
    </w:p>
    <w:p>
      <w:pPr>
        <w:pStyle w:val="22"/>
        <w:spacing w:before="156" w:after="156"/>
        <w:rPr>
          <w:highlight w:val="none"/>
        </w:rPr>
      </w:pPr>
      <w:r>
        <w:rPr>
          <w:rFonts w:hint="eastAsia"/>
          <w:highlight w:val="none"/>
        </w:rPr>
        <w:t>一、与上市公司及其子公司的交易</w:t>
      </w:r>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截至本报告书签署日前24个月内，上市公司已按中国证监会、上海证券交易所及其他相关法律的规定，对收购人及其董事、高级管理人员与上市公司及其子公司之间的交易情况履行相关审批程序，并及时进行了披露。除此之外，收购人及其董事、高级管理人员与不存在其他与上市公司及其子公司进行合计金额高于3,000.00万元或者高于上市公司最近经审计的合并财务报表净资产5%以上的交易。</w:t>
      </w:r>
    </w:p>
    <w:p>
      <w:pPr>
        <w:pStyle w:val="22"/>
        <w:spacing w:before="156" w:after="156"/>
        <w:rPr>
          <w:highlight w:val="none"/>
        </w:rPr>
      </w:pPr>
      <w:r>
        <w:rPr>
          <w:rFonts w:hint="eastAsia"/>
          <w:highlight w:val="none"/>
        </w:rPr>
        <w:t>二、与上市公司董事、高级管理人员的交易</w:t>
      </w:r>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截至本报告书签署日前24个月内，收购人及其董事、高级管理人员与上市公司的董事、高级管理人员之间未发生合计金额超过5万元以上的交易。</w:t>
      </w:r>
    </w:p>
    <w:p>
      <w:pPr>
        <w:pStyle w:val="22"/>
        <w:spacing w:before="156" w:after="156"/>
        <w:rPr>
          <w:highlight w:val="none"/>
        </w:rPr>
      </w:pPr>
      <w:r>
        <w:rPr>
          <w:rFonts w:hint="eastAsia"/>
          <w:highlight w:val="none"/>
        </w:rPr>
        <w:t>三、对拟更换的上市公司董事、高级管理人员的补偿安排</w:t>
      </w:r>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截至本报告书签署日前24个月内，收购人及其董事、高级管理人员不存在对拟更换的上市公司董事、高级管理人员进行补偿或者其他任何类似安排的情形。</w:t>
      </w:r>
    </w:p>
    <w:p>
      <w:pPr>
        <w:pStyle w:val="22"/>
        <w:spacing w:before="156" w:after="156"/>
        <w:rPr>
          <w:highlight w:val="none"/>
        </w:rPr>
      </w:pPr>
      <w:r>
        <w:rPr>
          <w:rFonts w:hint="eastAsia"/>
          <w:highlight w:val="none"/>
        </w:rPr>
        <w:t>四、对上市公司有重大影响的其他正在签署或者谈判的合同、默契或者安排</w:t>
      </w:r>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截至本报告书签署日前24个月内，收购人及其董事、高级管理人员无对上市公司有重大影响的其他正在签署或者谈判的合同、默契或者安排。</w:t>
      </w:r>
    </w:p>
    <w:p>
      <w:pPr>
        <w:spacing w:before="156" w:beforeLines="50" w:line="360" w:lineRule="auto"/>
        <w:ind w:firstLine="480" w:firstLineChars="200"/>
        <w:rPr>
          <w:rFonts w:ascii="Times New Roman" w:hAnsi="Times New Roman"/>
          <w:highlight w:val="none"/>
        </w:rPr>
        <w:sectPr>
          <w:pgSz w:w="11906" w:h="16838"/>
          <w:pgMar w:top="1440" w:right="1800" w:bottom="1440" w:left="1800" w:header="851" w:footer="992" w:gutter="0"/>
          <w:cols w:space="425" w:num="1"/>
          <w:docGrid w:type="lines" w:linePitch="312" w:charSpace="0"/>
        </w:sectPr>
      </w:pPr>
    </w:p>
    <w:p>
      <w:pPr>
        <w:pStyle w:val="16"/>
        <w:spacing w:before="156" w:after="156"/>
        <w:rPr>
          <w:highlight w:val="none"/>
        </w:rPr>
      </w:pPr>
      <w:bookmarkStart w:id="54" w:name="_Toc23936"/>
      <w:r>
        <w:rPr>
          <w:rFonts w:hint="eastAsia"/>
          <w:highlight w:val="none"/>
        </w:rPr>
        <w:t>第九节 前6个月内买卖上市公司股份的情况</w:t>
      </w:r>
      <w:bookmarkEnd w:id="54"/>
    </w:p>
    <w:p>
      <w:pPr>
        <w:pStyle w:val="22"/>
        <w:spacing w:before="156" w:after="156"/>
        <w:rPr>
          <w:highlight w:val="none"/>
        </w:rPr>
      </w:pPr>
      <w:bookmarkStart w:id="55" w:name="_Toc26680"/>
      <w:r>
        <w:rPr>
          <w:rFonts w:hint="eastAsia"/>
          <w:highlight w:val="none"/>
        </w:rPr>
        <w:t>一、收购人及其董事、高级管理人员前</w:t>
      </w:r>
      <w:r>
        <w:rPr>
          <w:highlight w:val="none"/>
        </w:rPr>
        <w:t>6</w:t>
      </w:r>
      <w:r>
        <w:rPr>
          <w:rFonts w:hint="eastAsia"/>
          <w:highlight w:val="none"/>
        </w:rPr>
        <w:t>个月买卖上市公司股份的情况</w:t>
      </w:r>
      <w:bookmarkEnd w:id="55"/>
    </w:p>
    <w:p>
      <w:pPr>
        <w:rPr>
          <w:rFonts w:hint="eastAsia"/>
          <w:highlight w:val="none"/>
        </w:rPr>
      </w:pPr>
      <w:r>
        <w:rPr>
          <w:rFonts w:hint="eastAsia"/>
          <w:kern w:val="0"/>
          <w:highlight w:val="none"/>
          <w:lang w:bidi="ar"/>
        </w:rPr>
        <w:t>经自查，在本次收购事项首次公开披露之日（</w:t>
      </w:r>
      <w:r>
        <w:rPr>
          <w:rFonts w:ascii="Times New Roman" w:hAnsi="Times New Roman" w:cs="Times New Roman"/>
          <w:kern w:val="0"/>
          <w:highlight w:val="none"/>
          <w:lang w:bidi="ar"/>
        </w:rPr>
        <w:t>202</w:t>
      </w:r>
      <w:r>
        <w:rPr>
          <w:rFonts w:hint="eastAsia" w:ascii="Times New Roman" w:hAnsi="Times New Roman" w:cs="Times New Roman"/>
          <w:kern w:val="0"/>
          <w:highlight w:val="none"/>
          <w:lang w:bidi="ar"/>
        </w:rPr>
        <w:t>6</w:t>
      </w:r>
      <w:r>
        <w:rPr>
          <w:rFonts w:hint="eastAsia"/>
          <w:kern w:val="0"/>
          <w:highlight w:val="none"/>
          <w:lang w:bidi="ar"/>
        </w:rPr>
        <w:t>年2月6日）前</w:t>
      </w:r>
      <w:r>
        <w:rPr>
          <w:rFonts w:ascii="Times New Roman" w:hAnsi="Times New Roman" w:cs="Times New Roman"/>
          <w:kern w:val="0"/>
          <w:highlight w:val="none"/>
          <w:lang w:bidi="ar"/>
        </w:rPr>
        <w:t>6</w:t>
      </w:r>
      <w:r>
        <w:rPr>
          <w:rFonts w:hint="eastAsia"/>
          <w:kern w:val="0"/>
          <w:highlight w:val="none"/>
          <w:lang w:bidi="ar"/>
        </w:rPr>
        <w:t>个月内，收购人及其董事、高级管理人员不存在通过证券交易所的交易系统买卖上市公司股票的情况。</w:t>
      </w:r>
    </w:p>
    <w:p>
      <w:pPr>
        <w:pStyle w:val="22"/>
        <w:spacing w:before="156" w:after="156"/>
        <w:rPr>
          <w:highlight w:val="none"/>
        </w:rPr>
      </w:pPr>
      <w:bookmarkStart w:id="56" w:name="_Toc28715"/>
      <w:r>
        <w:rPr>
          <w:rFonts w:hint="eastAsia"/>
          <w:highlight w:val="none"/>
        </w:rPr>
        <w:t>二、收购人耀泽商管的控股股东杨泽民及其一致行动人前</w:t>
      </w:r>
      <w:r>
        <w:rPr>
          <w:highlight w:val="none"/>
        </w:rPr>
        <w:t>6</w:t>
      </w:r>
      <w:r>
        <w:rPr>
          <w:rFonts w:hint="eastAsia"/>
          <w:highlight w:val="none"/>
        </w:rPr>
        <w:t>个月内买卖上市公司股份的情况</w:t>
      </w:r>
      <w:bookmarkEnd w:id="56"/>
    </w:p>
    <w:p>
      <w:pPr>
        <w:rPr>
          <w:rFonts w:hint="eastAsia"/>
          <w:highlight w:val="none"/>
        </w:rPr>
      </w:pPr>
      <w:r>
        <w:rPr>
          <w:rFonts w:hint="eastAsia"/>
          <w:highlight w:val="none"/>
        </w:rPr>
        <w:t>经自查，在本次收购事项首次公开披露之日（2026年2月6日）前6个月内，杨泽民</w:t>
      </w:r>
      <w:r>
        <w:rPr>
          <w:rFonts w:hint="eastAsia"/>
          <w:highlight w:val="none"/>
          <w:lang w:eastAsia="zh-CN"/>
        </w:rPr>
        <w:t>、</w:t>
      </w:r>
      <w:r>
        <w:rPr>
          <w:rFonts w:hint="eastAsia"/>
          <w:highlight w:val="none"/>
        </w:rPr>
        <w:t>秦惠兰、杨耀、杨秦不存在通过证券交易所的交易系统买卖上市公司股票的情况。</w:t>
      </w:r>
    </w:p>
    <w:p>
      <w:pPr>
        <w:rPr>
          <w:rFonts w:hint="eastAsia"/>
          <w:highlight w:val="none"/>
        </w:rPr>
      </w:pPr>
      <w:r>
        <w:rPr>
          <w:rFonts w:hint="eastAsia"/>
          <w:highlight w:val="none"/>
        </w:rPr>
        <w:t>与公司实际控制人构成一致行动关系的杨厚群、杨小林、隆志钢、皮天彬在核查区间内通过上交所集中竞价方式减持公司股份；前述减持已按规则履行减持预披露、减持进展及权益变动信息披露义务（公告编号2026-005）。该部分减持行为独立于本次收购事项筹划工作，相关主体未利用本次收购内幕信息实施交易，不存在内幕交易等证券违规行为，亦无监管机关出具的违规认定。</w:t>
      </w:r>
    </w:p>
    <w:p>
      <w:pPr>
        <w:spacing w:before="156" w:beforeLines="50" w:line="360" w:lineRule="auto"/>
        <w:ind w:firstLine="480" w:firstLineChars="200"/>
        <w:rPr>
          <w:rFonts w:ascii="Times New Roman" w:hAnsi="Times New Roman"/>
          <w:highlight w:val="none"/>
        </w:rPr>
        <w:sectPr>
          <w:pgSz w:w="11906" w:h="16838"/>
          <w:pgMar w:top="1440" w:right="1800" w:bottom="1440" w:left="1800" w:header="851" w:footer="992" w:gutter="0"/>
          <w:cols w:space="425" w:num="1"/>
          <w:docGrid w:type="lines" w:linePitch="312" w:charSpace="0"/>
        </w:sectPr>
      </w:pPr>
    </w:p>
    <w:p>
      <w:pPr>
        <w:pStyle w:val="16"/>
        <w:spacing w:before="156" w:after="156"/>
        <w:rPr>
          <w:highlight w:val="none"/>
        </w:rPr>
      </w:pPr>
      <w:bookmarkStart w:id="57" w:name="_Toc23150"/>
      <w:r>
        <w:rPr>
          <w:rFonts w:hint="eastAsia"/>
          <w:highlight w:val="none"/>
        </w:rPr>
        <w:t>第十节 收购人的财务资料</w:t>
      </w:r>
      <w:bookmarkEnd w:id="57"/>
    </w:p>
    <w:p>
      <w:pPr>
        <w:spacing w:before="156" w:beforeLines="50" w:line="360" w:lineRule="auto"/>
        <w:ind w:firstLine="480" w:firstLineChars="200"/>
        <w:rPr>
          <w:rFonts w:hint="eastAsia" w:ascii="Times New Roman" w:hAnsi="Times New Roman"/>
          <w:highlight w:val="none"/>
        </w:rPr>
      </w:pPr>
      <w:r>
        <w:rPr>
          <w:rFonts w:hint="eastAsia" w:ascii="Times New Roman" w:hAnsi="Times New Roman"/>
          <w:highlight w:val="none"/>
        </w:rPr>
        <w:t>收购人成立于2026年3月6日，除本次认购上市公司股份外，未实际开展其他经营业务。截至本报告书签署日，收购人成立不满一年，暂无年度经审计财务数据。</w:t>
      </w:r>
    </w:p>
    <w:p>
      <w:pPr>
        <w:spacing w:before="156" w:beforeLines="50" w:line="360" w:lineRule="auto"/>
        <w:ind w:firstLine="480" w:firstLineChars="200"/>
        <w:rPr>
          <w:rFonts w:hint="eastAsia" w:ascii="Times New Roman" w:hAnsi="Times New Roman"/>
          <w:highlight w:val="none"/>
        </w:rPr>
      </w:pPr>
      <w:r>
        <w:rPr>
          <w:rFonts w:hint="eastAsia" w:ascii="Times New Roman" w:hAnsi="Times New Roman"/>
          <w:highlight w:val="none"/>
        </w:rPr>
        <w:t>根据《公开发行证券的公司信息披露内容与格式准则第16号——上市公司收购报告书》第四十六条的规定，如果该法人或者其他组织成立不足一年或者是专为本次收购而设立的，则应当比照前款披露其实际控制人或者控股公司的财务资料。</w:t>
      </w:r>
    </w:p>
    <w:p>
      <w:pPr>
        <w:spacing w:before="156" w:beforeLines="50" w:line="360" w:lineRule="auto"/>
        <w:ind w:firstLine="480" w:firstLineChars="200"/>
        <w:rPr>
          <w:rFonts w:hint="eastAsia" w:ascii="Times New Roman" w:hAnsi="Times New Roman"/>
          <w:highlight w:val="none"/>
        </w:rPr>
      </w:pPr>
      <w:r>
        <w:rPr>
          <w:rFonts w:hint="eastAsia" w:ascii="Times New Roman" w:hAnsi="Times New Roman"/>
          <w:highlight w:val="none"/>
        </w:rPr>
        <w:t>收购人的实际控制人为自然人杨泽民、杨耀，无财务数据。</w:t>
      </w:r>
    </w:p>
    <w:p>
      <w:pPr>
        <w:spacing w:before="156" w:beforeLines="50" w:line="360" w:lineRule="auto"/>
        <w:ind w:firstLine="480" w:firstLineChars="200"/>
        <w:rPr>
          <w:rFonts w:ascii="Times New Roman" w:hAnsi="Times New Roman"/>
          <w:highlight w:val="none"/>
        </w:rPr>
      </w:pPr>
    </w:p>
    <w:p>
      <w:pPr>
        <w:spacing w:before="156" w:beforeLines="50" w:line="360" w:lineRule="auto"/>
        <w:ind w:firstLine="480" w:firstLineChars="200"/>
        <w:rPr>
          <w:rFonts w:ascii="Times New Roman" w:hAnsi="Times New Roman"/>
          <w:highlight w:val="none"/>
        </w:rPr>
        <w:sectPr>
          <w:pgSz w:w="11906" w:h="16838"/>
          <w:pgMar w:top="1440" w:right="1800" w:bottom="1440" w:left="1800" w:header="851" w:footer="992" w:gutter="0"/>
          <w:cols w:space="425" w:num="1"/>
          <w:docGrid w:type="lines" w:linePitch="312" w:charSpace="0"/>
        </w:sectPr>
      </w:pPr>
    </w:p>
    <w:p>
      <w:pPr>
        <w:pStyle w:val="16"/>
        <w:spacing w:before="156" w:after="156"/>
        <w:rPr>
          <w:highlight w:val="none"/>
        </w:rPr>
      </w:pPr>
      <w:bookmarkStart w:id="58" w:name="_Toc26112"/>
      <w:r>
        <w:rPr>
          <w:rFonts w:hint="eastAsia"/>
          <w:highlight w:val="none"/>
        </w:rPr>
        <w:t>第十一节 其他重要事项</w:t>
      </w:r>
      <w:bookmarkEnd w:id="58"/>
    </w:p>
    <w:p>
      <w:pPr>
        <w:rPr>
          <w:rFonts w:hint="eastAsia"/>
          <w:highlight w:val="none"/>
        </w:rPr>
      </w:pPr>
      <w:r>
        <w:rPr>
          <w:rFonts w:hint="eastAsia"/>
          <w:kern w:val="0"/>
          <w:highlight w:val="none"/>
          <w:lang w:bidi="ar"/>
        </w:rPr>
        <w:t>截至本报告书签署日，收购人不存在《收购管理办法》第六条规定的情形，能够按照《收购管理办法》第五十条的规定提供相关文件。</w:t>
      </w:r>
    </w:p>
    <w:p>
      <w:pPr>
        <w:rPr>
          <w:rFonts w:hint="eastAsia"/>
          <w:highlight w:val="none"/>
        </w:rPr>
      </w:pPr>
      <w:r>
        <w:rPr>
          <w:rFonts w:hint="eastAsia"/>
          <w:kern w:val="0"/>
          <w:highlight w:val="none"/>
          <w:lang w:bidi="ar"/>
        </w:rPr>
        <w:t>截至本报告书签署日，收购人已按有关规定对本次收购的相关信息进行如实披露，不存在为避免对本报告书内容产生误解而必须披露的其他重大信息，也不存在根据中国证监会和上交所规定应披露未披露的其他信息。</w:t>
      </w:r>
    </w:p>
    <w:p>
      <w:pPr>
        <w:spacing w:before="156" w:beforeLines="50" w:line="360" w:lineRule="auto"/>
        <w:ind w:firstLine="480" w:firstLineChars="200"/>
        <w:rPr>
          <w:rFonts w:ascii="Times New Roman" w:hAnsi="Times New Roman"/>
          <w:highlight w:val="none"/>
        </w:rPr>
        <w:sectPr>
          <w:pgSz w:w="11906" w:h="16838"/>
          <w:pgMar w:top="1440" w:right="1800" w:bottom="1440" w:left="1800" w:header="851" w:footer="992" w:gutter="0"/>
          <w:cols w:space="425" w:num="1"/>
          <w:docGrid w:type="lines" w:linePitch="312" w:charSpace="0"/>
        </w:sectPr>
      </w:pPr>
    </w:p>
    <w:p>
      <w:pPr>
        <w:pStyle w:val="16"/>
        <w:spacing w:before="156" w:after="156"/>
        <w:rPr>
          <w:highlight w:val="none"/>
        </w:rPr>
      </w:pPr>
      <w:bookmarkStart w:id="59" w:name="_Toc12842"/>
      <w:r>
        <w:rPr>
          <w:rFonts w:hint="eastAsia"/>
          <w:highlight w:val="none"/>
        </w:rPr>
        <w:t>第十二节 备查文件</w:t>
      </w:r>
      <w:bookmarkEnd w:id="59"/>
    </w:p>
    <w:p>
      <w:pPr>
        <w:rPr>
          <w:rFonts w:hint="eastAsia"/>
          <w:highlight w:val="none"/>
        </w:rPr>
      </w:pPr>
      <w:r>
        <w:rPr>
          <w:rFonts w:ascii="Times New Roman" w:hAnsi="Times New Roman" w:cs="Times New Roman"/>
          <w:kern w:val="0"/>
          <w:highlight w:val="none"/>
          <w:lang w:bidi="ar"/>
        </w:rPr>
        <w:t>1</w:t>
      </w:r>
      <w:r>
        <w:rPr>
          <w:rFonts w:hint="eastAsia"/>
          <w:kern w:val="0"/>
          <w:highlight w:val="none"/>
          <w:lang w:bidi="ar"/>
        </w:rPr>
        <w:t>、收购人的营业执照；</w:t>
      </w:r>
    </w:p>
    <w:p>
      <w:pPr>
        <w:rPr>
          <w:rFonts w:hint="eastAsia"/>
          <w:highlight w:val="none"/>
        </w:rPr>
      </w:pPr>
      <w:r>
        <w:rPr>
          <w:rFonts w:ascii="Times New Roman" w:hAnsi="Times New Roman" w:cs="Times New Roman"/>
          <w:kern w:val="0"/>
          <w:highlight w:val="none"/>
          <w:lang w:bidi="ar"/>
        </w:rPr>
        <w:t>2</w:t>
      </w:r>
      <w:r>
        <w:rPr>
          <w:rFonts w:hint="eastAsia"/>
          <w:kern w:val="0"/>
          <w:highlight w:val="none"/>
          <w:lang w:bidi="ar"/>
        </w:rPr>
        <w:t>、收购人董事、高级管理人员名单及身份证明；</w:t>
      </w:r>
    </w:p>
    <w:p>
      <w:pPr>
        <w:rPr>
          <w:rFonts w:hint="eastAsia"/>
          <w:highlight w:val="none"/>
        </w:rPr>
      </w:pPr>
      <w:r>
        <w:rPr>
          <w:rFonts w:ascii="Times New Roman" w:hAnsi="Times New Roman" w:cs="Times New Roman"/>
          <w:kern w:val="0"/>
          <w:highlight w:val="none"/>
          <w:lang w:bidi="ar"/>
        </w:rPr>
        <w:t>3</w:t>
      </w:r>
      <w:r>
        <w:rPr>
          <w:rFonts w:hint="eastAsia"/>
          <w:kern w:val="0"/>
          <w:highlight w:val="none"/>
          <w:lang w:bidi="ar"/>
        </w:rPr>
        <w:t>、收购人关于本次收购的内部决策文件；</w:t>
      </w:r>
    </w:p>
    <w:p>
      <w:pPr>
        <w:rPr>
          <w:rFonts w:hint="eastAsia"/>
          <w:highlight w:val="none"/>
        </w:rPr>
      </w:pPr>
      <w:r>
        <w:rPr>
          <w:rFonts w:ascii="Times New Roman" w:hAnsi="Times New Roman" w:cs="Times New Roman"/>
          <w:kern w:val="0"/>
          <w:highlight w:val="none"/>
          <w:lang w:bidi="ar"/>
        </w:rPr>
        <w:t>4</w:t>
      </w:r>
      <w:r>
        <w:rPr>
          <w:rFonts w:hint="eastAsia"/>
          <w:kern w:val="0"/>
          <w:highlight w:val="none"/>
          <w:lang w:bidi="ar"/>
        </w:rPr>
        <w:t>、重庆望变电气(集团)股份有限公司与</w:t>
      </w:r>
      <w:r>
        <w:rPr>
          <w:rFonts w:hint="eastAsia" w:ascii="Times New Roman" w:hAnsi="Times New Roman"/>
          <w:highlight w:val="none"/>
        </w:rPr>
        <w:t>杨泽民</w:t>
      </w:r>
      <w:r>
        <w:rPr>
          <w:rFonts w:hint="eastAsia"/>
          <w:kern w:val="0"/>
          <w:highlight w:val="none"/>
          <w:lang w:bidi="ar"/>
        </w:rPr>
        <w:t>之《附条件生效的股份认购协议》、重庆望变电气(集团)股份有限公司</w:t>
      </w:r>
      <w:r>
        <w:rPr>
          <w:rFonts w:hint="eastAsia" w:ascii="Times New Roman" w:hAnsi="Times New Roman"/>
          <w:highlight w:val="none"/>
        </w:rPr>
        <w:t>与杨泽民先生、耀泽商管签署之《附条件生效的股份认购协议之补充协议》、</w:t>
      </w:r>
      <w:r>
        <w:rPr>
          <w:rFonts w:hint="eastAsia"/>
          <w:kern w:val="0"/>
          <w:highlight w:val="none"/>
          <w:lang w:bidi="ar"/>
        </w:rPr>
        <w:t>重庆望变电气(集团)股份有限公司</w:t>
      </w:r>
      <w:r>
        <w:rPr>
          <w:rFonts w:ascii="Times New Roman" w:hAnsi="Times New Roman"/>
          <w:highlight w:val="none"/>
        </w:rPr>
        <w:t>与耀泽商管签署</w:t>
      </w:r>
      <w:r>
        <w:rPr>
          <w:rFonts w:hint="eastAsia" w:ascii="Times New Roman" w:hAnsi="Times New Roman"/>
          <w:highlight w:val="none"/>
        </w:rPr>
        <w:t>之</w:t>
      </w:r>
      <w:r>
        <w:rPr>
          <w:rFonts w:ascii="Times New Roman" w:hAnsi="Times New Roman"/>
          <w:highlight w:val="none"/>
        </w:rPr>
        <w:t>《附条件生效的股份认购协议之补充协议（二）》</w:t>
      </w:r>
      <w:r>
        <w:rPr>
          <w:rFonts w:hint="eastAsia"/>
          <w:kern w:val="0"/>
          <w:highlight w:val="none"/>
          <w:lang w:bidi="ar"/>
        </w:rPr>
        <w:t>；</w:t>
      </w:r>
    </w:p>
    <w:p>
      <w:pPr>
        <w:rPr>
          <w:rFonts w:hint="eastAsia"/>
          <w:highlight w:val="none"/>
        </w:rPr>
      </w:pPr>
      <w:r>
        <w:rPr>
          <w:rFonts w:ascii="Times New Roman" w:hAnsi="Times New Roman" w:cs="Times New Roman"/>
          <w:kern w:val="0"/>
          <w:highlight w:val="none"/>
          <w:lang w:bidi="ar"/>
        </w:rPr>
        <w:t>5</w:t>
      </w:r>
      <w:r>
        <w:rPr>
          <w:rFonts w:hint="eastAsia"/>
          <w:kern w:val="0"/>
          <w:highlight w:val="none"/>
          <w:lang w:bidi="ar"/>
        </w:rPr>
        <w:t>、收购人关于认购资金来源的说明；</w:t>
      </w:r>
    </w:p>
    <w:p>
      <w:pPr>
        <w:rPr>
          <w:rFonts w:hint="eastAsia"/>
          <w:highlight w:val="none"/>
        </w:rPr>
      </w:pPr>
      <w:r>
        <w:rPr>
          <w:rFonts w:hint="eastAsia" w:ascii="Times New Roman" w:hAnsi="Times New Roman" w:cs="Times New Roman"/>
          <w:kern w:val="0"/>
          <w:highlight w:val="none"/>
          <w:lang w:bidi="ar"/>
        </w:rPr>
        <w:t>6</w:t>
      </w:r>
      <w:r>
        <w:rPr>
          <w:rFonts w:hint="eastAsia"/>
          <w:kern w:val="0"/>
          <w:highlight w:val="none"/>
          <w:lang w:bidi="ar"/>
        </w:rPr>
        <w:t>、收购人关于控股股东、实际控制人最近两年未发生变化的说明；</w:t>
      </w:r>
    </w:p>
    <w:p>
      <w:pPr>
        <w:rPr>
          <w:rFonts w:hint="eastAsia"/>
          <w:highlight w:val="none"/>
        </w:rPr>
      </w:pPr>
      <w:r>
        <w:rPr>
          <w:rFonts w:hint="eastAsia" w:ascii="Times New Roman" w:hAnsi="Times New Roman" w:cs="Times New Roman"/>
          <w:kern w:val="0"/>
          <w:highlight w:val="none"/>
          <w:lang w:bidi="ar"/>
        </w:rPr>
        <w:t>7</w:t>
      </w:r>
      <w:r>
        <w:rPr>
          <w:rFonts w:hint="eastAsia"/>
          <w:kern w:val="0"/>
          <w:highlight w:val="none"/>
          <w:lang w:bidi="ar"/>
        </w:rPr>
        <w:t>、收购人及其董事、高级管理人员以及上述人员的直系亲属在本次收购事项首次公开披露之日起前</w:t>
      </w:r>
      <w:r>
        <w:rPr>
          <w:rFonts w:ascii="Times New Roman" w:hAnsi="Times New Roman" w:cs="Times New Roman"/>
          <w:kern w:val="0"/>
          <w:highlight w:val="none"/>
          <w:lang w:bidi="ar"/>
        </w:rPr>
        <w:t>6</w:t>
      </w:r>
      <w:r>
        <w:rPr>
          <w:rFonts w:hint="eastAsia"/>
          <w:kern w:val="0"/>
          <w:highlight w:val="none"/>
          <w:lang w:bidi="ar"/>
        </w:rPr>
        <w:t>个月内持有或买卖上市公司股票的自查情况说明；</w:t>
      </w:r>
    </w:p>
    <w:p>
      <w:pPr>
        <w:rPr>
          <w:rFonts w:hint="eastAsia"/>
          <w:highlight w:val="none"/>
        </w:rPr>
      </w:pPr>
      <w:r>
        <w:rPr>
          <w:rFonts w:ascii="Times New Roman" w:hAnsi="Times New Roman" w:cs="Times New Roman"/>
          <w:kern w:val="0"/>
          <w:highlight w:val="none"/>
          <w:lang w:bidi="ar"/>
        </w:rPr>
        <w:t>8</w:t>
      </w:r>
      <w:r>
        <w:rPr>
          <w:rFonts w:hint="eastAsia"/>
          <w:kern w:val="0"/>
          <w:highlight w:val="none"/>
          <w:lang w:bidi="ar"/>
        </w:rPr>
        <w:t>、收购人所聘请的专业机构及相关人员在本次收购事项首次公开披露之日起前</w:t>
      </w:r>
      <w:r>
        <w:rPr>
          <w:rFonts w:ascii="Times New Roman" w:hAnsi="Times New Roman" w:cs="Times New Roman"/>
          <w:kern w:val="0"/>
          <w:highlight w:val="none"/>
          <w:lang w:bidi="ar"/>
        </w:rPr>
        <w:t>6</w:t>
      </w:r>
      <w:r>
        <w:rPr>
          <w:rFonts w:hint="eastAsia"/>
          <w:kern w:val="0"/>
          <w:highlight w:val="none"/>
          <w:lang w:bidi="ar"/>
        </w:rPr>
        <w:t>个月内持有或买卖上市公司股票的自查情况说明；</w:t>
      </w:r>
    </w:p>
    <w:p>
      <w:pPr>
        <w:rPr>
          <w:rFonts w:hint="eastAsia"/>
          <w:highlight w:val="none"/>
        </w:rPr>
      </w:pPr>
      <w:r>
        <w:rPr>
          <w:rFonts w:hint="eastAsia" w:ascii="Times New Roman" w:hAnsi="Times New Roman" w:cs="Times New Roman"/>
          <w:kern w:val="0"/>
          <w:highlight w:val="none"/>
          <w:lang w:bidi="ar"/>
        </w:rPr>
        <w:t>9</w:t>
      </w:r>
      <w:r>
        <w:rPr>
          <w:rFonts w:hint="eastAsia"/>
          <w:kern w:val="0"/>
          <w:highlight w:val="none"/>
          <w:lang w:bidi="ar"/>
        </w:rPr>
        <w:t>、收购人及其控股股东、实际控制人就保持上市公司独立性、避免同业竞争、减少和规范关联交易作出的承诺；</w:t>
      </w:r>
    </w:p>
    <w:p>
      <w:pPr>
        <w:rPr>
          <w:rFonts w:hint="eastAsia"/>
          <w:highlight w:val="none"/>
        </w:rPr>
      </w:pPr>
      <w:r>
        <w:rPr>
          <w:rFonts w:ascii="Times New Roman" w:hAnsi="Times New Roman" w:cs="Times New Roman"/>
          <w:kern w:val="0"/>
          <w:highlight w:val="none"/>
          <w:lang w:bidi="ar"/>
        </w:rPr>
        <w:t>1</w:t>
      </w:r>
      <w:r>
        <w:rPr>
          <w:rFonts w:hint="eastAsia" w:ascii="Times New Roman" w:hAnsi="Times New Roman" w:cs="Times New Roman"/>
          <w:kern w:val="0"/>
          <w:highlight w:val="none"/>
          <w:lang w:bidi="ar"/>
        </w:rPr>
        <w:t>0</w:t>
      </w:r>
      <w:r>
        <w:rPr>
          <w:rFonts w:hint="eastAsia"/>
          <w:kern w:val="0"/>
          <w:highlight w:val="none"/>
          <w:lang w:bidi="ar"/>
        </w:rPr>
        <w:t>、收购人关于不存在《收购管理办法》第六条规定情形及符合《收购管理办法》第五十条规定的说明；</w:t>
      </w:r>
    </w:p>
    <w:p>
      <w:pPr>
        <w:rPr>
          <w:rFonts w:hint="eastAsia"/>
          <w:highlight w:val="none"/>
        </w:rPr>
      </w:pPr>
      <w:r>
        <w:rPr>
          <w:rFonts w:ascii="Times New Roman" w:hAnsi="Times New Roman" w:cs="Times New Roman"/>
          <w:kern w:val="0"/>
          <w:highlight w:val="none"/>
          <w:lang w:bidi="ar"/>
        </w:rPr>
        <w:t>1</w:t>
      </w:r>
      <w:r>
        <w:rPr>
          <w:rFonts w:hint="eastAsia" w:ascii="Times New Roman" w:hAnsi="Times New Roman" w:cs="Times New Roman"/>
          <w:kern w:val="0"/>
          <w:highlight w:val="none"/>
          <w:lang w:bidi="ar"/>
        </w:rPr>
        <w:t>1</w:t>
      </w:r>
      <w:r>
        <w:rPr>
          <w:rFonts w:hint="eastAsia"/>
          <w:kern w:val="0"/>
          <w:highlight w:val="none"/>
          <w:lang w:bidi="ar"/>
        </w:rPr>
        <w:t>、《浙商证券股份有限公司关于重庆望变电气(集团)股份有限公司收购报告书暨免于发出要约收购申请之财务顾问报告》；</w:t>
      </w:r>
    </w:p>
    <w:p>
      <w:pPr>
        <w:rPr>
          <w:rFonts w:hint="eastAsia"/>
          <w:highlight w:val="none"/>
        </w:rPr>
      </w:pPr>
      <w:r>
        <w:rPr>
          <w:rFonts w:ascii="Times New Roman" w:hAnsi="Times New Roman" w:cs="Times New Roman"/>
          <w:kern w:val="0"/>
          <w:highlight w:val="none"/>
          <w:lang w:bidi="ar"/>
        </w:rPr>
        <w:t>1</w:t>
      </w:r>
      <w:r>
        <w:rPr>
          <w:rFonts w:hint="eastAsia" w:ascii="Times New Roman" w:hAnsi="Times New Roman" w:cs="Times New Roman"/>
          <w:kern w:val="0"/>
          <w:highlight w:val="none"/>
          <w:lang w:bidi="ar"/>
        </w:rPr>
        <w:t>2</w:t>
      </w:r>
      <w:r>
        <w:rPr>
          <w:rFonts w:hint="eastAsia"/>
          <w:kern w:val="0"/>
          <w:highlight w:val="none"/>
          <w:lang w:bidi="ar"/>
        </w:rPr>
        <w:t>、《北京市嘉源律师事务所关于重庆耀泽商业管理有限公司免于发出要约事宜的法律意见书》和《北京市嘉源律师事务所关于</w:t>
      </w:r>
      <w:r>
        <w:rPr>
          <w:rFonts w:ascii="Times New Roman" w:hAnsi="Times New Roman" w:cs="Times New Roman"/>
          <w:kern w:val="0"/>
          <w:highlight w:val="none"/>
          <w:lang w:bidi="ar"/>
        </w:rPr>
        <w:t>&lt;重庆望变电气(集团)股份有限公司</w:t>
      </w:r>
      <w:r>
        <w:rPr>
          <w:rFonts w:hint="eastAsia"/>
          <w:kern w:val="0"/>
          <w:highlight w:val="none"/>
          <w:lang w:bidi="ar"/>
        </w:rPr>
        <w:t>收购报告书</w:t>
      </w:r>
      <w:r>
        <w:rPr>
          <w:rFonts w:ascii="Times New Roman" w:hAnsi="Times New Roman" w:cs="Times New Roman"/>
          <w:kern w:val="0"/>
          <w:highlight w:val="none"/>
          <w:lang w:bidi="ar"/>
        </w:rPr>
        <w:t>&gt;</w:t>
      </w:r>
      <w:r>
        <w:rPr>
          <w:rFonts w:hint="eastAsia"/>
          <w:kern w:val="0"/>
          <w:highlight w:val="none"/>
          <w:lang w:bidi="ar"/>
        </w:rPr>
        <w:t>的法律意见书》；</w:t>
      </w:r>
    </w:p>
    <w:p>
      <w:pPr>
        <w:rPr>
          <w:rFonts w:ascii="Times New Roman" w:hAnsi="Times New Roman"/>
          <w:highlight w:val="none"/>
        </w:rPr>
      </w:pPr>
      <w:r>
        <w:rPr>
          <w:rFonts w:hint="eastAsia"/>
          <w:kern w:val="0"/>
          <w:highlight w:val="none"/>
          <w:lang w:bidi="ar"/>
        </w:rPr>
        <w:t>本报告书及上述备查文件备置于上市公司办公地，以备投资者查阅。</w:t>
      </w:r>
    </w:p>
    <w:p>
      <w:pPr>
        <w:spacing w:before="156" w:beforeLines="50" w:line="360" w:lineRule="auto"/>
        <w:ind w:firstLine="480" w:firstLineChars="200"/>
        <w:rPr>
          <w:rFonts w:ascii="Times New Roman" w:hAnsi="Times New Roman"/>
          <w:highlight w:val="none"/>
        </w:rPr>
        <w:sectPr>
          <w:pgSz w:w="11906" w:h="16838"/>
          <w:pgMar w:top="1440" w:right="1800" w:bottom="1440" w:left="1800" w:header="851" w:footer="992" w:gutter="0"/>
          <w:cols w:space="425" w:num="1"/>
          <w:docGrid w:type="lines" w:linePitch="312" w:charSpace="0"/>
        </w:sectPr>
      </w:pPr>
    </w:p>
    <w:p>
      <w:pPr>
        <w:pStyle w:val="16"/>
        <w:spacing w:before="156" w:after="156"/>
        <w:rPr>
          <w:highlight w:val="none"/>
        </w:rPr>
      </w:pPr>
      <w:r>
        <w:rPr>
          <w:rFonts w:hint="eastAsia"/>
          <w:highlight w:val="none"/>
        </w:rPr>
        <w:t>收购人声明</w:t>
      </w:r>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本人(及本人所代表的机构)承诺本收购报告书不存在虚假记载、误导性陈述或重大遗漏，并对其真实性、准确性、完整性承担个别和连带的法律责任。</w:t>
      </w:r>
    </w:p>
    <w:p>
      <w:pPr>
        <w:spacing w:before="156" w:beforeLines="50" w:line="360" w:lineRule="auto"/>
        <w:ind w:firstLine="480" w:firstLineChars="200"/>
        <w:rPr>
          <w:rFonts w:ascii="Times New Roman" w:hAnsi="Times New Roman"/>
          <w:highlight w:val="none"/>
        </w:rPr>
      </w:pPr>
    </w:p>
    <w:p>
      <w:pPr>
        <w:spacing w:before="156" w:beforeLines="50" w:line="360" w:lineRule="auto"/>
        <w:ind w:firstLine="480" w:firstLineChars="200"/>
        <w:rPr>
          <w:rFonts w:ascii="Times New Roman" w:hAnsi="Times New Roman"/>
          <w:highlight w:val="none"/>
        </w:rPr>
      </w:pPr>
    </w:p>
    <w:p>
      <w:pPr>
        <w:spacing w:before="156" w:beforeLines="50" w:line="360" w:lineRule="auto"/>
        <w:ind w:firstLine="480" w:firstLineChars="200"/>
        <w:rPr>
          <w:rFonts w:ascii="Times New Roman" w:hAnsi="Times New Roman"/>
          <w:highlight w:val="none"/>
        </w:rPr>
      </w:pPr>
    </w:p>
    <w:p>
      <w:pPr>
        <w:pStyle w:val="9"/>
        <w:wordWrap w:val="0"/>
        <w:spacing w:before="0" w:beforeAutospacing="0" w:after="0" w:afterAutospacing="0" w:line="480" w:lineRule="auto"/>
        <w:ind w:firstLine="1288" w:firstLineChars="537"/>
        <w:jc w:val="right"/>
        <w:rPr>
          <w:rFonts w:hint="eastAsia" w:ascii="宋体" w:hAnsi="宋体" w:eastAsia="宋体"/>
          <w:kern w:val="2"/>
          <w:sz w:val="24"/>
          <w:highlight w:val="none"/>
        </w:rPr>
      </w:pPr>
      <w:r>
        <w:rPr>
          <w:rFonts w:hint="eastAsia" w:ascii="宋体" w:hAnsi="宋体" w:eastAsia="宋体"/>
          <w:kern w:val="2"/>
          <w:sz w:val="24"/>
          <w:highlight w:val="none"/>
        </w:rPr>
        <w:t xml:space="preserve"> 收购人名称（签章）：重庆耀泽商业管理有限公司</w:t>
      </w:r>
    </w:p>
    <w:p>
      <w:pPr>
        <w:pStyle w:val="9"/>
        <w:wordWrap w:val="0"/>
        <w:spacing w:before="0" w:beforeAutospacing="0" w:after="0" w:afterAutospacing="0" w:line="480" w:lineRule="auto"/>
        <w:ind w:left="1680" w:firstLine="1380" w:firstLineChars="575"/>
        <w:rPr>
          <w:rFonts w:hint="eastAsia" w:ascii="宋体" w:hAnsi="宋体" w:eastAsia="宋体"/>
          <w:kern w:val="2"/>
          <w:sz w:val="24"/>
          <w:highlight w:val="none"/>
        </w:rPr>
      </w:pPr>
    </w:p>
    <w:p>
      <w:pPr>
        <w:pStyle w:val="9"/>
        <w:wordWrap w:val="0"/>
        <w:spacing w:before="0" w:beforeAutospacing="0" w:after="0" w:afterAutospacing="0" w:line="480" w:lineRule="auto"/>
        <w:ind w:left="1680" w:firstLine="1380" w:firstLineChars="575"/>
        <w:rPr>
          <w:rFonts w:hint="eastAsia" w:ascii="宋体" w:hAnsi="宋体" w:eastAsia="宋体"/>
          <w:kern w:val="2"/>
          <w:sz w:val="24"/>
          <w:highlight w:val="none"/>
        </w:rPr>
      </w:pPr>
      <w:r>
        <w:rPr>
          <w:rFonts w:hint="eastAsia" w:ascii="宋体" w:hAnsi="宋体" w:eastAsia="宋体"/>
          <w:kern w:val="2"/>
          <w:sz w:val="24"/>
          <w:highlight w:val="none"/>
        </w:rPr>
        <w:t>法定代表人（签章）:</w:t>
      </w:r>
    </w:p>
    <w:p>
      <w:pPr>
        <w:pStyle w:val="9"/>
        <w:wordWrap w:val="0"/>
        <w:spacing w:before="0" w:beforeAutospacing="0" w:after="0" w:afterAutospacing="0" w:line="480" w:lineRule="auto"/>
        <w:ind w:left="1680" w:firstLine="1380" w:firstLineChars="575"/>
        <w:rPr>
          <w:rFonts w:ascii="方正仿宋简体" w:hAnsi="宋体"/>
          <w:sz w:val="24"/>
          <w:highlight w:val="none"/>
        </w:rPr>
      </w:pPr>
    </w:p>
    <w:p>
      <w:pPr>
        <w:pStyle w:val="9"/>
        <w:wordWrap w:val="0"/>
        <w:spacing w:before="0" w:beforeAutospacing="0" w:after="0" w:afterAutospacing="0" w:line="480" w:lineRule="auto"/>
        <w:ind w:left="1680" w:firstLine="1440" w:firstLineChars="600"/>
        <w:rPr>
          <w:rFonts w:ascii="方正仿宋简体" w:eastAsia="宋体"/>
          <w:sz w:val="24"/>
          <w:highlight w:val="none"/>
        </w:rPr>
      </w:pPr>
      <w:r>
        <w:rPr>
          <w:rFonts w:hint="eastAsia" w:ascii="方正仿宋简体" w:hAnsi="宋体"/>
          <w:sz w:val="24"/>
          <w:highlight w:val="none"/>
        </w:rPr>
        <w:t>日期：</w:t>
      </w:r>
      <w:r>
        <w:rPr>
          <w:rFonts w:hint="eastAsia" w:ascii="方正仿宋简体" w:hAnsi="宋体" w:eastAsia="宋体"/>
          <w:sz w:val="24"/>
          <w:highlight w:val="none"/>
        </w:rPr>
        <w:t xml:space="preserve">           年    月    日</w:t>
      </w:r>
    </w:p>
    <w:p>
      <w:pPr>
        <w:spacing w:after="0" w:line="480" w:lineRule="auto"/>
        <w:ind w:firstLine="480" w:firstLineChars="200"/>
        <w:rPr>
          <w:rFonts w:ascii="Times New Roman" w:hAnsi="Times New Roman"/>
          <w:highlight w:val="none"/>
        </w:rPr>
        <w:sectPr>
          <w:pgSz w:w="11906" w:h="16838"/>
          <w:pgMar w:top="1440" w:right="1800" w:bottom="1440" w:left="1800" w:header="851" w:footer="992" w:gutter="0"/>
          <w:cols w:space="425" w:num="1"/>
          <w:docGrid w:type="lines" w:linePitch="312" w:charSpace="0"/>
        </w:sectPr>
      </w:pPr>
      <w:r>
        <w:rPr>
          <w:rFonts w:hint="eastAsia" w:ascii="Times New Roman" w:hAnsi="Times New Roman"/>
          <w:highlight w:val="none"/>
        </w:rPr>
        <w:t xml:space="preserve">    </w:t>
      </w:r>
    </w:p>
    <w:p>
      <w:pPr>
        <w:pStyle w:val="16"/>
        <w:spacing w:before="156" w:after="156"/>
        <w:rPr>
          <w:highlight w:val="none"/>
        </w:rPr>
      </w:pPr>
      <w:r>
        <w:rPr>
          <w:highlight w:val="none"/>
        </w:rPr>
        <w:t>财务顾问声明</w:t>
      </w:r>
    </w:p>
    <w:p>
      <w:pPr>
        <w:spacing w:after="0" w:line="480" w:lineRule="auto"/>
        <w:ind w:firstLine="480" w:firstLineChars="200"/>
        <w:rPr>
          <w:rFonts w:ascii="Times New Roman" w:hAnsi="Times New Roman"/>
          <w:highlight w:val="none"/>
        </w:rPr>
      </w:pPr>
      <w:r>
        <w:rPr>
          <w:rFonts w:ascii="Times New Roman" w:hAnsi="Times New Roman"/>
          <w:highlight w:val="none"/>
        </w:rPr>
        <w:t>本人及本人所代表的机构已履行勤勉尽责义务,对收购报告书的内容进行了核查和验证，未发现虚假记载、误导性陈述或者重大遗漏，并对此承担相应的责任。</w:t>
      </w:r>
    </w:p>
    <w:p>
      <w:pPr>
        <w:spacing w:after="0" w:line="480" w:lineRule="auto"/>
        <w:ind w:firstLine="480" w:firstLineChars="200"/>
        <w:rPr>
          <w:rFonts w:ascii="Times New Roman" w:hAnsi="Times New Roman"/>
          <w:highlight w:val="none"/>
        </w:rPr>
      </w:pPr>
    </w:p>
    <w:p>
      <w:pPr>
        <w:spacing w:after="0" w:line="480" w:lineRule="auto"/>
        <w:ind w:firstLine="480" w:firstLineChars="200"/>
        <w:rPr>
          <w:rFonts w:ascii="Times New Roman" w:hAnsi="Times New Roman"/>
          <w:highlight w:val="none"/>
        </w:rPr>
      </w:pPr>
      <w:r>
        <w:rPr>
          <w:rFonts w:ascii="Times New Roman" w:hAnsi="Times New Roman"/>
          <w:highlight w:val="none"/>
        </w:rPr>
        <w:t>财务顾问主办人:</w:t>
      </w:r>
    </w:p>
    <w:tbl>
      <w:tblPr>
        <w:tblStyle w:val="10"/>
        <w:tblpPr w:leftFromText="180" w:rightFromText="180" w:vertAnchor="text" w:horzAnchor="page" w:tblpX="4297" w:tblpY="601"/>
        <w:tblOverlap w:val="never"/>
        <w:tblW w:w="3002" w:type="pct"/>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63"/>
        <w:gridCol w:w="1591"/>
        <w:gridCol w:w="1763"/>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1723" w:type="pct"/>
            <w:vAlign w:val="center"/>
          </w:tcPr>
          <w:p>
            <w:pPr>
              <w:pStyle w:val="3"/>
              <w:overflowPunct w:val="0"/>
              <w:spacing w:after="0"/>
              <w:jc w:val="center"/>
              <w:rPr>
                <w:rFonts w:hint="eastAsia"/>
                <w:highlight w:val="none"/>
              </w:rPr>
            </w:pPr>
            <w:r>
              <w:rPr>
                <w:rFonts w:hint="eastAsia"/>
                <w:highlight w:val="none"/>
              </w:rPr>
              <w:t>马 岱</w:t>
            </w:r>
          </w:p>
        </w:tc>
        <w:tc>
          <w:tcPr>
            <w:tcW w:w="1554" w:type="pct"/>
            <w:tcBorders>
              <w:top w:val="nil"/>
            </w:tcBorders>
            <w:vAlign w:val="center"/>
          </w:tcPr>
          <w:p>
            <w:pPr>
              <w:pStyle w:val="3"/>
              <w:overflowPunct w:val="0"/>
              <w:spacing w:after="0"/>
              <w:jc w:val="center"/>
              <w:rPr>
                <w:rFonts w:hint="eastAsia"/>
                <w:highlight w:val="none"/>
              </w:rPr>
            </w:pPr>
          </w:p>
        </w:tc>
        <w:tc>
          <w:tcPr>
            <w:tcW w:w="1722" w:type="pct"/>
            <w:vAlign w:val="center"/>
          </w:tcPr>
          <w:p>
            <w:pPr>
              <w:pStyle w:val="3"/>
              <w:overflowPunct w:val="0"/>
              <w:spacing w:after="0"/>
              <w:jc w:val="center"/>
              <w:rPr>
                <w:rFonts w:hint="eastAsia"/>
                <w:highlight w:val="none"/>
              </w:rPr>
            </w:pPr>
            <w:r>
              <w:rPr>
                <w:rFonts w:hint="eastAsia"/>
                <w:highlight w:val="none"/>
              </w:rPr>
              <w:t>张韡韬</w:t>
            </w:r>
          </w:p>
        </w:tc>
      </w:tr>
    </w:tbl>
    <w:p>
      <w:pPr>
        <w:spacing w:after="0" w:line="480" w:lineRule="auto"/>
        <w:ind w:firstLine="480" w:firstLineChars="200"/>
        <w:rPr>
          <w:rFonts w:ascii="Times New Roman" w:hAnsi="Times New Roman"/>
          <w:highlight w:val="none"/>
        </w:rPr>
      </w:pPr>
    </w:p>
    <w:p>
      <w:pPr>
        <w:spacing w:before="156" w:beforeLines="50" w:line="360" w:lineRule="auto"/>
        <w:ind w:firstLine="480" w:firstLineChars="200"/>
        <w:rPr>
          <w:rFonts w:hint="eastAsia"/>
          <w:highlight w:val="none"/>
        </w:rPr>
      </w:pPr>
    </w:p>
    <w:p>
      <w:pPr>
        <w:spacing w:before="156" w:beforeLines="50" w:line="360" w:lineRule="auto"/>
        <w:ind w:firstLine="480" w:firstLineChars="200"/>
        <w:rPr>
          <w:rFonts w:hint="eastAsia"/>
          <w:highlight w:val="none"/>
        </w:rPr>
      </w:pPr>
    </w:p>
    <w:p>
      <w:pPr>
        <w:spacing w:before="156" w:beforeLines="50" w:line="360" w:lineRule="auto"/>
        <w:ind w:firstLine="480" w:firstLineChars="200"/>
        <w:rPr>
          <w:rFonts w:ascii="Times New Roman" w:hAnsi="Times New Roman"/>
          <w:highlight w:val="none"/>
        </w:rPr>
      </w:pPr>
    </w:p>
    <w:tbl>
      <w:tblPr>
        <w:tblStyle w:val="10"/>
        <w:tblpPr w:leftFromText="180" w:rightFromText="180" w:vertAnchor="text" w:horzAnchor="page" w:tblpX="4317" w:tblpY="52"/>
        <w:tblOverlap w:val="never"/>
        <w:tblW w:w="3002" w:type="pct"/>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63"/>
        <w:gridCol w:w="1591"/>
        <w:gridCol w:w="1763"/>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1723" w:type="pct"/>
            <w:vAlign w:val="center"/>
          </w:tcPr>
          <w:p>
            <w:pPr>
              <w:pStyle w:val="3"/>
              <w:overflowPunct w:val="0"/>
              <w:spacing w:after="0"/>
              <w:jc w:val="center"/>
              <w:rPr>
                <w:rFonts w:hint="eastAsia"/>
                <w:highlight w:val="none"/>
              </w:rPr>
            </w:pPr>
            <w:r>
              <w:rPr>
                <w:rFonts w:hint="eastAsia"/>
                <w:highlight w:val="none"/>
              </w:rPr>
              <w:t>赵 暕</w:t>
            </w:r>
          </w:p>
        </w:tc>
        <w:tc>
          <w:tcPr>
            <w:tcW w:w="1554" w:type="pct"/>
            <w:tcBorders>
              <w:top w:val="nil"/>
            </w:tcBorders>
            <w:vAlign w:val="center"/>
          </w:tcPr>
          <w:p>
            <w:pPr>
              <w:pStyle w:val="3"/>
              <w:overflowPunct w:val="0"/>
              <w:spacing w:after="0"/>
              <w:jc w:val="center"/>
              <w:rPr>
                <w:rFonts w:hint="eastAsia"/>
                <w:highlight w:val="none"/>
              </w:rPr>
            </w:pPr>
          </w:p>
        </w:tc>
        <w:tc>
          <w:tcPr>
            <w:tcW w:w="1722" w:type="pct"/>
            <w:tcBorders>
              <w:top w:val="nil"/>
            </w:tcBorders>
            <w:vAlign w:val="center"/>
          </w:tcPr>
          <w:p>
            <w:pPr>
              <w:pStyle w:val="3"/>
              <w:overflowPunct w:val="0"/>
              <w:spacing w:after="0"/>
              <w:jc w:val="center"/>
              <w:rPr>
                <w:rFonts w:hint="eastAsia"/>
                <w:highlight w:val="none"/>
              </w:rPr>
            </w:pPr>
          </w:p>
        </w:tc>
      </w:tr>
    </w:tbl>
    <w:p>
      <w:pPr>
        <w:spacing w:before="156" w:beforeLines="50" w:line="360" w:lineRule="auto"/>
        <w:ind w:firstLine="480" w:firstLineChars="200"/>
        <w:rPr>
          <w:rFonts w:ascii="Times New Roman" w:hAnsi="Times New Roman"/>
          <w:highlight w:val="none"/>
        </w:rPr>
      </w:pPr>
    </w:p>
    <w:p>
      <w:pPr>
        <w:spacing w:before="156" w:beforeLines="50" w:line="360" w:lineRule="auto"/>
        <w:ind w:firstLine="480" w:firstLineChars="200"/>
        <w:rPr>
          <w:rFonts w:ascii="Times New Roman" w:hAnsi="Times New Roman"/>
          <w:highlight w:val="none"/>
        </w:rPr>
      </w:pPr>
    </w:p>
    <w:p>
      <w:pPr>
        <w:spacing w:before="156" w:beforeLines="50" w:line="360" w:lineRule="auto"/>
        <w:ind w:firstLine="480" w:firstLineChars="200"/>
        <w:rPr>
          <w:rFonts w:ascii="Times New Roman" w:hAnsi="Times New Roman"/>
          <w:highlight w:val="none"/>
        </w:rPr>
      </w:pPr>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法定代表人或授权代表：</w:t>
      </w:r>
    </w:p>
    <w:tbl>
      <w:tblPr>
        <w:tblStyle w:val="10"/>
        <w:tblpPr w:leftFromText="180" w:rightFromText="180" w:vertAnchor="text" w:horzAnchor="page" w:tblpX="4917" w:tblpY="565"/>
        <w:tblOverlap w:val="never"/>
        <w:tblW w:w="3002" w:type="pct"/>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63"/>
        <w:gridCol w:w="1591"/>
        <w:gridCol w:w="1763"/>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1723" w:type="pct"/>
            <w:vAlign w:val="center"/>
          </w:tcPr>
          <w:p>
            <w:pPr>
              <w:pStyle w:val="3"/>
              <w:overflowPunct w:val="0"/>
              <w:spacing w:after="0"/>
              <w:jc w:val="both"/>
              <w:rPr>
                <w:rFonts w:hint="eastAsia"/>
                <w:highlight w:val="none"/>
              </w:rPr>
            </w:pPr>
            <w:r>
              <w:rPr>
                <w:rFonts w:hint="eastAsia"/>
                <w:highlight w:val="none"/>
              </w:rPr>
              <w:t>程景东</w:t>
            </w:r>
          </w:p>
        </w:tc>
        <w:tc>
          <w:tcPr>
            <w:tcW w:w="1554" w:type="pct"/>
            <w:tcBorders>
              <w:top w:val="nil"/>
            </w:tcBorders>
            <w:vAlign w:val="center"/>
          </w:tcPr>
          <w:p>
            <w:pPr>
              <w:pStyle w:val="3"/>
              <w:overflowPunct w:val="0"/>
              <w:spacing w:after="0"/>
              <w:jc w:val="center"/>
              <w:rPr>
                <w:rFonts w:hint="eastAsia"/>
                <w:highlight w:val="none"/>
              </w:rPr>
            </w:pPr>
          </w:p>
        </w:tc>
        <w:tc>
          <w:tcPr>
            <w:tcW w:w="1722" w:type="pct"/>
            <w:tcBorders>
              <w:top w:val="nil"/>
            </w:tcBorders>
            <w:vAlign w:val="center"/>
          </w:tcPr>
          <w:p>
            <w:pPr>
              <w:pStyle w:val="3"/>
              <w:overflowPunct w:val="0"/>
              <w:spacing w:after="0"/>
              <w:jc w:val="center"/>
              <w:rPr>
                <w:rFonts w:hint="eastAsia"/>
                <w:highlight w:val="none"/>
              </w:rPr>
            </w:pPr>
          </w:p>
        </w:tc>
      </w:tr>
    </w:tbl>
    <w:p>
      <w:pPr>
        <w:spacing w:before="156" w:beforeLines="50" w:line="360" w:lineRule="auto"/>
        <w:ind w:firstLine="480" w:firstLineChars="200"/>
        <w:rPr>
          <w:rFonts w:hint="eastAsia"/>
          <w:highlight w:val="none"/>
        </w:rPr>
      </w:pPr>
    </w:p>
    <w:p>
      <w:pPr>
        <w:spacing w:after="0" w:line="480" w:lineRule="auto"/>
        <w:ind w:firstLine="480" w:firstLineChars="200"/>
        <w:rPr>
          <w:rFonts w:ascii="Times New Roman" w:hAnsi="Times New Roman"/>
          <w:highlight w:val="none"/>
        </w:rPr>
      </w:pPr>
    </w:p>
    <w:p>
      <w:pPr>
        <w:spacing w:after="0" w:line="480" w:lineRule="auto"/>
        <w:ind w:firstLine="480" w:firstLineChars="200"/>
        <w:rPr>
          <w:rFonts w:ascii="Times New Roman" w:hAnsi="Times New Roman"/>
          <w:highlight w:val="none"/>
        </w:rPr>
      </w:pPr>
    </w:p>
    <w:p>
      <w:pPr>
        <w:spacing w:after="0" w:line="480" w:lineRule="auto"/>
        <w:ind w:firstLine="480" w:firstLineChars="200"/>
        <w:jc w:val="right"/>
        <w:rPr>
          <w:rFonts w:ascii="Times New Roman" w:hAnsi="Times New Roman"/>
          <w:highlight w:val="none"/>
        </w:rPr>
      </w:pPr>
      <w:r>
        <w:rPr>
          <w:rFonts w:hint="eastAsia" w:ascii="Times New Roman" w:hAnsi="Times New Roman"/>
          <w:highlight w:val="none"/>
        </w:rPr>
        <w:t>浙商证券股份有限公司</w:t>
      </w:r>
    </w:p>
    <w:p>
      <w:pPr>
        <w:spacing w:after="0" w:line="480" w:lineRule="auto"/>
        <w:ind w:firstLine="480" w:firstLineChars="200"/>
        <w:jc w:val="right"/>
        <w:rPr>
          <w:rFonts w:ascii="Times New Roman" w:hAnsi="Times New Roman"/>
          <w:highlight w:val="none"/>
        </w:rPr>
      </w:pPr>
    </w:p>
    <w:p>
      <w:pPr>
        <w:spacing w:after="0" w:line="480" w:lineRule="auto"/>
        <w:ind w:firstLine="480" w:firstLineChars="200"/>
        <w:jc w:val="right"/>
        <w:rPr>
          <w:rFonts w:ascii="Times New Roman" w:hAnsi="Times New Roman"/>
          <w:highlight w:val="none"/>
        </w:rPr>
      </w:pPr>
      <w:r>
        <w:rPr>
          <w:rFonts w:hint="eastAsia" w:ascii="Times New Roman" w:hAnsi="Times New Roman"/>
          <w:highlight w:val="none"/>
        </w:rPr>
        <w:t>年    月    日</w:t>
      </w:r>
    </w:p>
    <w:p>
      <w:pPr>
        <w:spacing w:after="0" w:line="480" w:lineRule="auto"/>
        <w:ind w:firstLine="480" w:firstLineChars="200"/>
        <w:jc w:val="right"/>
        <w:rPr>
          <w:rFonts w:ascii="Times New Roman" w:hAnsi="Times New Roman"/>
          <w:highlight w:val="none"/>
        </w:rPr>
      </w:pPr>
    </w:p>
    <w:p>
      <w:pPr>
        <w:spacing w:after="0" w:line="480" w:lineRule="auto"/>
        <w:ind w:firstLine="480" w:firstLineChars="200"/>
        <w:jc w:val="right"/>
        <w:rPr>
          <w:rFonts w:ascii="Times New Roman" w:hAnsi="Times New Roman"/>
          <w:highlight w:val="none"/>
        </w:rPr>
        <w:sectPr>
          <w:pgSz w:w="11906" w:h="16838"/>
          <w:pgMar w:top="1440" w:right="1800" w:bottom="1440" w:left="1800" w:header="851" w:footer="992" w:gutter="0"/>
          <w:cols w:space="425" w:num="1"/>
          <w:docGrid w:type="lines" w:linePitch="312" w:charSpace="0"/>
        </w:sectPr>
      </w:pPr>
    </w:p>
    <w:p>
      <w:pPr>
        <w:pStyle w:val="16"/>
        <w:spacing w:before="156" w:after="156"/>
        <w:rPr>
          <w:highlight w:val="none"/>
        </w:rPr>
      </w:pPr>
      <w:r>
        <w:rPr>
          <w:highlight w:val="none"/>
        </w:rPr>
        <w:t xml:space="preserve">律师声明 </w:t>
      </w:r>
    </w:p>
    <w:p>
      <w:pPr>
        <w:rPr>
          <w:rFonts w:hint="eastAsia"/>
          <w:highlight w:val="none"/>
        </w:rPr>
      </w:pPr>
      <w:r>
        <w:rPr>
          <w:rFonts w:hint="eastAsia"/>
          <w:kern w:val="0"/>
          <w:highlight w:val="none"/>
          <w:lang w:bidi="ar"/>
        </w:rPr>
        <w:t>本人及本人所代表的机构已按照执业规则规定的工作程序履行勤勉尽责义务，对收购报告书的内容进行核查和验证，未发现虚假记载、误导性陈述或者重大遗漏，并对此承担相应的责任。</w:t>
      </w:r>
    </w:p>
    <w:p>
      <w:pPr>
        <w:spacing w:before="156" w:beforeLines="50" w:line="360" w:lineRule="auto"/>
        <w:ind w:firstLine="480" w:firstLineChars="200"/>
        <w:rPr>
          <w:rFonts w:ascii="Times New Roman" w:hAnsi="Times New Roman"/>
          <w:highlight w:val="none"/>
        </w:rPr>
      </w:pPr>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经办律师：</w:t>
      </w:r>
    </w:p>
    <w:p>
      <w:pPr>
        <w:spacing w:before="156" w:beforeLines="50" w:line="360" w:lineRule="auto"/>
        <w:ind w:firstLine="480" w:firstLineChars="200"/>
        <w:rPr>
          <w:rFonts w:hint="eastAsia"/>
          <w:highlight w:val="none"/>
        </w:rPr>
      </w:pPr>
    </w:p>
    <w:tbl>
      <w:tblPr>
        <w:tblStyle w:val="10"/>
        <w:tblW w:w="3003" w:type="pct"/>
        <w:jc w:val="center"/>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64"/>
        <w:gridCol w:w="1591"/>
        <w:gridCol w:w="1763"/>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jc w:val="center"/>
        </w:trPr>
        <w:tc>
          <w:tcPr>
            <w:tcW w:w="1724" w:type="pct"/>
            <w:vAlign w:val="center"/>
          </w:tcPr>
          <w:p>
            <w:pPr>
              <w:pStyle w:val="3"/>
              <w:overflowPunct w:val="0"/>
              <w:spacing w:after="0"/>
              <w:jc w:val="center"/>
              <w:rPr>
                <w:rFonts w:hint="eastAsia"/>
                <w:highlight w:val="none"/>
              </w:rPr>
            </w:pPr>
            <w:r>
              <w:rPr>
                <w:rFonts w:hint="eastAsia"/>
                <w:highlight w:val="none"/>
              </w:rPr>
              <w:t>傅扬远</w:t>
            </w:r>
          </w:p>
        </w:tc>
        <w:tc>
          <w:tcPr>
            <w:tcW w:w="1554" w:type="pct"/>
            <w:tcBorders>
              <w:top w:val="nil"/>
            </w:tcBorders>
            <w:vAlign w:val="center"/>
          </w:tcPr>
          <w:p>
            <w:pPr>
              <w:pStyle w:val="3"/>
              <w:overflowPunct w:val="0"/>
              <w:spacing w:after="0"/>
              <w:jc w:val="center"/>
              <w:rPr>
                <w:rFonts w:hint="eastAsia"/>
                <w:highlight w:val="none"/>
              </w:rPr>
            </w:pPr>
          </w:p>
        </w:tc>
        <w:tc>
          <w:tcPr>
            <w:tcW w:w="1722" w:type="pct"/>
            <w:vAlign w:val="center"/>
          </w:tcPr>
          <w:p>
            <w:pPr>
              <w:pStyle w:val="3"/>
              <w:overflowPunct w:val="0"/>
              <w:spacing w:after="0"/>
              <w:jc w:val="center"/>
              <w:rPr>
                <w:rFonts w:hint="eastAsia"/>
                <w:highlight w:val="none"/>
              </w:rPr>
            </w:pPr>
            <w:r>
              <w:rPr>
                <w:rFonts w:hint="eastAsia"/>
                <w:highlight w:val="none"/>
              </w:rPr>
              <w:t>程  璇</w:t>
            </w:r>
          </w:p>
        </w:tc>
      </w:tr>
    </w:tbl>
    <w:p>
      <w:pPr>
        <w:spacing w:before="156" w:beforeLines="50" w:line="360" w:lineRule="auto"/>
        <w:ind w:firstLine="480" w:firstLineChars="200"/>
        <w:rPr>
          <w:rFonts w:ascii="Times New Roman" w:hAnsi="Times New Roman"/>
          <w:highlight w:val="none"/>
        </w:rPr>
      </w:pPr>
    </w:p>
    <w:p>
      <w:pPr>
        <w:spacing w:before="156" w:beforeLines="50" w:line="360" w:lineRule="auto"/>
        <w:ind w:firstLine="480" w:firstLineChars="200"/>
        <w:rPr>
          <w:rFonts w:ascii="Times New Roman" w:hAnsi="Times New Roman"/>
          <w:highlight w:val="none"/>
        </w:rPr>
      </w:pPr>
      <w:r>
        <w:rPr>
          <w:rFonts w:hint="eastAsia" w:ascii="Times New Roman" w:hAnsi="Times New Roman"/>
          <w:highlight w:val="none"/>
        </w:rPr>
        <w:t>单位负责人：</w:t>
      </w:r>
    </w:p>
    <w:p>
      <w:pPr>
        <w:spacing w:before="156" w:beforeLines="50" w:line="360" w:lineRule="auto"/>
        <w:ind w:firstLine="480" w:firstLineChars="200"/>
        <w:rPr>
          <w:rFonts w:hint="eastAsia"/>
          <w:highlight w:val="none"/>
        </w:rPr>
      </w:pPr>
    </w:p>
    <w:tbl>
      <w:tblPr>
        <w:tblStyle w:val="10"/>
        <w:tblW w:w="3003" w:type="pct"/>
        <w:jc w:val="center"/>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64"/>
        <w:gridCol w:w="1591"/>
        <w:gridCol w:w="1763"/>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jc w:val="center"/>
        </w:trPr>
        <w:tc>
          <w:tcPr>
            <w:tcW w:w="1724" w:type="pct"/>
            <w:vAlign w:val="center"/>
          </w:tcPr>
          <w:p>
            <w:pPr>
              <w:pStyle w:val="3"/>
              <w:overflowPunct w:val="0"/>
              <w:spacing w:after="0"/>
              <w:jc w:val="center"/>
              <w:rPr>
                <w:rFonts w:hint="eastAsia"/>
                <w:highlight w:val="none"/>
              </w:rPr>
            </w:pPr>
            <w:r>
              <w:rPr>
                <w:rFonts w:hint="eastAsia"/>
                <w:highlight w:val="none"/>
              </w:rPr>
              <w:t>颜  羽</w:t>
            </w:r>
          </w:p>
        </w:tc>
        <w:tc>
          <w:tcPr>
            <w:tcW w:w="1554" w:type="pct"/>
            <w:tcBorders>
              <w:top w:val="nil"/>
            </w:tcBorders>
            <w:vAlign w:val="center"/>
          </w:tcPr>
          <w:p>
            <w:pPr>
              <w:pStyle w:val="3"/>
              <w:overflowPunct w:val="0"/>
              <w:spacing w:after="0"/>
              <w:jc w:val="center"/>
              <w:rPr>
                <w:rFonts w:hint="eastAsia"/>
                <w:highlight w:val="none"/>
              </w:rPr>
            </w:pPr>
          </w:p>
        </w:tc>
        <w:tc>
          <w:tcPr>
            <w:tcW w:w="1722" w:type="pct"/>
            <w:tcBorders>
              <w:top w:val="nil"/>
            </w:tcBorders>
            <w:vAlign w:val="center"/>
          </w:tcPr>
          <w:p>
            <w:pPr>
              <w:pStyle w:val="3"/>
              <w:overflowPunct w:val="0"/>
              <w:spacing w:after="0"/>
              <w:jc w:val="center"/>
              <w:rPr>
                <w:rFonts w:hint="eastAsia"/>
                <w:highlight w:val="none"/>
              </w:rPr>
            </w:pPr>
          </w:p>
        </w:tc>
      </w:tr>
    </w:tbl>
    <w:p>
      <w:pPr>
        <w:spacing w:before="156" w:beforeLines="50" w:line="360" w:lineRule="auto"/>
        <w:ind w:firstLine="480" w:firstLineChars="200"/>
        <w:rPr>
          <w:rFonts w:hint="eastAsia"/>
          <w:highlight w:val="none"/>
        </w:rPr>
      </w:pPr>
    </w:p>
    <w:p>
      <w:pPr>
        <w:spacing w:before="156" w:beforeLines="50" w:line="360" w:lineRule="auto"/>
        <w:ind w:firstLine="480" w:firstLineChars="200"/>
        <w:rPr>
          <w:rFonts w:hint="eastAsia"/>
          <w:highlight w:val="none"/>
        </w:rPr>
      </w:pPr>
    </w:p>
    <w:p>
      <w:pPr>
        <w:spacing w:before="156" w:beforeLines="50" w:line="360" w:lineRule="auto"/>
        <w:ind w:firstLine="480" w:firstLineChars="200"/>
        <w:jc w:val="right"/>
        <w:rPr>
          <w:rFonts w:hint="eastAsia"/>
          <w:highlight w:val="none"/>
        </w:rPr>
      </w:pPr>
      <w:r>
        <w:rPr>
          <w:rFonts w:hint="eastAsia"/>
          <w:highlight w:val="none"/>
        </w:rPr>
        <w:t>北京市嘉源律师事务所</w:t>
      </w:r>
    </w:p>
    <w:p>
      <w:pPr>
        <w:spacing w:before="156" w:beforeLines="50" w:line="360" w:lineRule="auto"/>
        <w:ind w:firstLine="480" w:firstLineChars="200"/>
        <w:jc w:val="right"/>
        <w:rPr>
          <w:rFonts w:hint="eastAsia"/>
          <w:highlight w:val="none"/>
        </w:rPr>
      </w:pPr>
      <w:r>
        <w:rPr>
          <w:rFonts w:hint="eastAsia"/>
          <w:highlight w:val="none"/>
        </w:rPr>
        <w:t>年    月    日</w:t>
      </w:r>
    </w:p>
    <w:p>
      <w:pPr>
        <w:spacing w:after="0" w:line="480" w:lineRule="auto"/>
        <w:ind w:firstLine="480" w:firstLineChars="200"/>
        <w:jc w:val="right"/>
        <w:rPr>
          <w:rFonts w:ascii="Times New Roman" w:hAnsi="Times New Roman"/>
          <w:highlight w:val="none"/>
        </w:rPr>
      </w:pPr>
    </w:p>
    <w:p>
      <w:pPr>
        <w:spacing w:after="0" w:line="480" w:lineRule="auto"/>
        <w:ind w:firstLine="480" w:firstLineChars="200"/>
        <w:jc w:val="right"/>
        <w:rPr>
          <w:rFonts w:ascii="Times New Roman" w:hAnsi="Times New Roman"/>
          <w:highlight w:val="none"/>
        </w:rPr>
        <w:sectPr>
          <w:pgSz w:w="11906" w:h="16838"/>
          <w:pgMar w:top="1440" w:right="1800" w:bottom="1440" w:left="1800" w:header="851" w:footer="992" w:gutter="0"/>
          <w:cols w:space="425" w:num="1"/>
          <w:docGrid w:type="lines" w:linePitch="312" w:charSpace="0"/>
        </w:sectPr>
      </w:pPr>
    </w:p>
    <w:p>
      <w:pPr>
        <w:spacing w:after="0" w:line="480" w:lineRule="auto"/>
        <w:ind w:firstLine="480" w:firstLineChars="200"/>
        <w:rPr>
          <w:rFonts w:ascii="Times New Roman" w:hAnsi="Times New Roman"/>
          <w:highlight w:val="none"/>
        </w:rPr>
      </w:pPr>
      <w:r>
        <w:rPr>
          <w:rFonts w:ascii="Times New Roman" w:hAnsi="Times New Roman"/>
          <w:highlight w:val="none"/>
        </w:rPr>
        <w:t>(此页无正文，为《重庆望变电气（集团）股份有限公司收购报告书》之签章页)</w:t>
      </w:r>
    </w:p>
    <w:p>
      <w:pPr>
        <w:spacing w:after="0" w:line="480" w:lineRule="auto"/>
        <w:ind w:firstLine="480" w:firstLineChars="200"/>
        <w:jc w:val="right"/>
        <w:rPr>
          <w:rFonts w:ascii="Times New Roman" w:hAnsi="Times New Roman"/>
          <w:highlight w:val="none"/>
        </w:rPr>
      </w:pPr>
    </w:p>
    <w:p>
      <w:pPr>
        <w:spacing w:after="0" w:line="480" w:lineRule="auto"/>
        <w:ind w:firstLine="480" w:firstLineChars="200"/>
        <w:jc w:val="right"/>
        <w:rPr>
          <w:rFonts w:ascii="Times New Roman" w:hAnsi="Times New Roman"/>
          <w:highlight w:val="none"/>
        </w:rPr>
      </w:pPr>
      <w:r>
        <w:rPr>
          <w:rFonts w:ascii="Times New Roman" w:hAnsi="Times New Roman"/>
          <w:highlight w:val="none"/>
        </w:rPr>
        <w:t>收购人：重庆耀泽商业管理有限公司</w:t>
      </w:r>
    </w:p>
    <w:p>
      <w:pPr>
        <w:wordWrap w:val="0"/>
        <w:spacing w:after="0" w:line="480" w:lineRule="auto"/>
        <w:ind w:firstLine="480" w:firstLineChars="200"/>
        <w:jc w:val="center"/>
        <w:rPr>
          <w:rFonts w:ascii="Times New Roman" w:hAnsi="Times New Roman"/>
          <w:highlight w:val="none"/>
        </w:rPr>
      </w:pPr>
      <w:r>
        <w:rPr>
          <w:rFonts w:hint="eastAsia" w:ascii="Times New Roman" w:hAnsi="Times New Roman"/>
          <w:highlight w:val="none"/>
        </w:rPr>
        <w:t xml:space="preserve">                           </w:t>
      </w:r>
    </w:p>
    <w:p>
      <w:pPr>
        <w:wordWrap w:val="0"/>
        <w:spacing w:after="0" w:line="480" w:lineRule="auto"/>
        <w:ind w:firstLine="3820" w:firstLineChars="1592"/>
        <w:jc w:val="center"/>
        <w:rPr>
          <w:rFonts w:ascii="Times New Roman" w:hAnsi="Times New Roman"/>
          <w:highlight w:val="none"/>
        </w:rPr>
      </w:pPr>
      <w:r>
        <w:rPr>
          <w:rFonts w:ascii="Times New Roman" w:hAnsi="Times New Roman"/>
          <w:highlight w:val="none"/>
        </w:rPr>
        <w:t>法定代表人（签章）</w:t>
      </w:r>
      <w:r>
        <w:rPr>
          <w:rFonts w:hint="eastAsia" w:ascii="Times New Roman" w:hAnsi="Times New Roman"/>
          <w:highlight w:val="none"/>
        </w:rPr>
        <w:t xml:space="preserve">：      </w:t>
      </w:r>
    </w:p>
    <w:p>
      <w:pPr>
        <w:wordWrap w:val="0"/>
        <w:spacing w:after="0" w:line="480" w:lineRule="auto"/>
        <w:ind w:firstLine="480" w:firstLineChars="200"/>
        <w:jc w:val="right"/>
        <w:rPr>
          <w:rFonts w:ascii="Times New Roman" w:hAnsi="Times New Roman"/>
          <w:highlight w:val="none"/>
        </w:rPr>
      </w:pPr>
    </w:p>
    <w:p>
      <w:pPr>
        <w:wordWrap w:val="0"/>
        <w:spacing w:after="0" w:line="480" w:lineRule="auto"/>
        <w:ind w:firstLine="480" w:firstLineChars="200"/>
        <w:jc w:val="right"/>
        <w:rPr>
          <w:rFonts w:ascii="Times New Roman" w:hAnsi="Times New Roman"/>
          <w:highlight w:val="none"/>
        </w:rPr>
      </w:pPr>
      <w:r>
        <w:rPr>
          <w:rFonts w:hint="eastAsia" w:ascii="Times New Roman" w:hAnsi="Times New Roman"/>
          <w:highlight w:val="none"/>
        </w:rPr>
        <w:t xml:space="preserve">              </w:t>
      </w:r>
    </w:p>
    <w:p>
      <w:pPr>
        <w:pStyle w:val="9"/>
        <w:wordWrap w:val="0"/>
        <w:spacing w:before="0" w:beforeAutospacing="0" w:after="0" w:afterAutospacing="0" w:line="480" w:lineRule="auto"/>
        <w:ind w:left="1680" w:firstLine="3780" w:firstLineChars="1575"/>
        <w:rPr>
          <w:rFonts w:ascii="方正仿宋简体" w:eastAsia="宋体"/>
          <w:sz w:val="24"/>
          <w:highlight w:val="none"/>
        </w:rPr>
      </w:pPr>
      <w:r>
        <w:rPr>
          <w:rFonts w:hint="eastAsia" w:ascii="方正仿宋简体" w:hAnsi="宋体"/>
          <w:sz w:val="24"/>
          <w:highlight w:val="none"/>
        </w:rPr>
        <w:t>日期：</w:t>
      </w:r>
      <w:r>
        <w:rPr>
          <w:rFonts w:hint="eastAsia" w:ascii="方正仿宋简体" w:hAnsi="宋体" w:eastAsia="宋体"/>
          <w:sz w:val="24"/>
          <w:highlight w:val="none"/>
        </w:rPr>
        <w:t xml:space="preserve">    年    月   日</w:t>
      </w:r>
    </w:p>
    <w:p>
      <w:pPr>
        <w:pStyle w:val="16"/>
        <w:spacing w:before="156" w:after="156"/>
        <w:jc w:val="left"/>
        <w:rPr>
          <w:highlight w:val="none"/>
        </w:rPr>
      </w:pPr>
      <w:r>
        <w:rPr>
          <w:rFonts w:hint="eastAsia"/>
          <w:highlight w:val="none"/>
        </w:rPr>
        <w:t>附表</w:t>
      </w:r>
    </w:p>
    <w:p>
      <w:pPr>
        <w:spacing w:line="520" w:lineRule="exact"/>
        <w:rPr>
          <w:rFonts w:hint="eastAsia" w:ascii="方正黑体简体" w:eastAsia="方正黑体简体"/>
          <w:sz w:val="30"/>
          <w:highlight w:val="none"/>
        </w:rPr>
      </w:pPr>
    </w:p>
    <w:p>
      <w:pPr>
        <w:pStyle w:val="9"/>
        <w:spacing w:before="0" w:beforeAutospacing="0" w:after="0" w:afterAutospacing="0" w:line="520" w:lineRule="exact"/>
        <w:jc w:val="center"/>
        <w:rPr>
          <w:rFonts w:hint="eastAsia" w:ascii="方正大标宋简体" w:hAnsi="宋体" w:eastAsia="方正大标宋简体"/>
          <w:kern w:val="2"/>
          <w:sz w:val="42"/>
          <w:highlight w:val="none"/>
        </w:rPr>
      </w:pPr>
      <w:r>
        <w:rPr>
          <w:rFonts w:hint="eastAsia" w:ascii="方正大标宋简体" w:hAnsi="宋体" w:eastAsia="方正大标宋简体"/>
          <w:kern w:val="2"/>
          <w:sz w:val="42"/>
          <w:highlight w:val="none"/>
        </w:rPr>
        <w:t>收购报告书</w:t>
      </w:r>
    </w:p>
    <w:p>
      <w:pPr>
        <w:pStyle w:val="9"/>
        <w:spacing w:before="0" w:beforeAutospacing="0" w:after="0" w:afterAutospacing="0" w:line="520" w:lineRule="exact"/>
        <w:jc w:val="center"/>
        <w:rPr>
          <w:rFonts w:hint="eastAsia" w:ascii="方正大标宋简体" w:hAnsi="宋体" w:eastAsia="方正大标宋简体"/>
          <w:kern w:val="2"/>
          <w:sz w:val="42"/>
          <w:highlight w:val="none"/>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8"/>
        <w:gridCol w:w="2772"/>
        <w:gridCol w:w="2295"/>
        <w:gridCol w:w="20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64" w:type="dxa"/>
            <w:gridSpan w:val="4"/>
            <w:vAlign w:val="center"/>
          </w:tcPr>
          <w:p>
            <w:pPr>
              <w:pStyle w:val="9"/>
              <w:spacing w:before="0" w:beforeAutospacing="0" w:after="0" w:afterAutospacing="0" w:line="240" w:lineRule="auto"/>
              <w:ind w:firstLine="0"/>
              <w:jc w:val="both"/>
              <w:rPr>
                <w:rFonts w:ascii="Times New Roman" w:hAnsi="Times New Roman" w:eastAsia="方正仿宋简体" w:cs="Times New Roman"/>
                <w:b/>
                <w:kern w:val="2"/>
                <w:sz w:val="21"/>
                <w:szCs w:val="21"/>
                <w:highlight w:val="none"/>
                <w:shd w:val="pct10" w:color="auto" w:fill="FFFFFF"/>
              </w:rPr>
            </w:pPr>
            <w:r>
              <w:rPr>
                <w:rFonts w:ascii="Times New Roman" w:hAnsi="Times New Roman" w:eastAsia="方正仿宋简体" w:cs="Times New Roman"/>
                <w:kern w:val="2"/>
                <w:sz w:val="21"/>
                <w:szCs w:val="21"/>
                <w:highlight w:val="none"/>
              </w:rPr>
              <w:t>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8"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上市公司名称</w:t>
            </w:r>
          </w:p>
        </w:tc>
        <w:tc>
          <w:tcPr>
            <w:tcW w:w="2772"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重庆望变电气（集团）股份有限公司</w:t>
            </w:r>
          </w:p>
        </w:tc>
        <w:tc>
          <w:tcPr>
            <w:tcW w:w="2295"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上市公司所在地</w:t>
            </w:r>
          </w:p>
        </w:tc>
        <w:tc>
          <w:tcPr>
            <w:tcW w:w="2099"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重庆市长寿区晏家街道齐心东路10号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998"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股票简称</w:t>
            </w:r>
          </w:p>
        </w:tc>
        <w:tc>
          <w:tcPr>
            <w:tcW w:w="2772"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望变电气</w:t>
            </w:r>
          </w:p>
        </w:tc>
        <w:tc>
          <w:tcPr>
            <w:tcW w:w="2295"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股票代码</w:t>
            </w:r>
          </w:p>
        </w:tc>
        <w:tc>
          <w:tcPr>
            <w:tcW w:w="2099"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603191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998"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收购人名称</w:t>
            </w:r>
          </w:p>
        </w:tc>
        <w:tc>
          <w:tcPr>
            <w:tcW w:w="2772"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重庆耀泽商业管理有限公司</w:t>
            </w:r>
          </w:p>
        </w:tc>
        <w:tc>
          <w:tcPr>
            <w:tcW w:w="2295"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收购人注册地</w:t>
            </w:r>
          </w:p>
        </w:tc>
        <w:tc>
          <w:tcPr>
            <w:tcW w:w="2099"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重庆市两江新区石马河街道盘溪路422号3幢47-15至47-19、48-14至48-17（集群注册）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8"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拥有权益的股份数量变化</w:t>
            </w:r>
          </w:p>
        </w:tc>
        <w:tc>
          <w:tcPr>
            <w:tcW w:w="2772"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增加</w:t>
            </w:r>
            <w:r>
              <w:rPr>
                <w:rFonts w:hint="eastAsia" w:ascii="Times New Roman" w:hAnsi="Times New Roman" w:eastAsia="方正仿宋简体" w:cs="Times New Roman"/>
                <w:kern w:val="2"/>
                <w:sz w:val="21"/>
                <w:szCs w:val="21"/>
                <w:highlight w:val="none"/>
              </w:rPr>
              <w:t>☑</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不变，但持股人发生变化□</w:t>
            </w:r>
          </w:p>
        </w:tc>
        <w:tc>
          <w:tcPr>
            <w:tcW w:w="2295"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有无一致行动人</w:t>
            </w:r>
          </w:p>
        </w:tc>
        <w:tc>
          <w:tcPr>
            <w:tcW w:w="2099"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有</w:t>
            </w:r>
            <w:r>
              <w:rPr>
                <w:rFonts w:hint="eastAsia" w:ascii="Times New Roman" w:hAnsi="Times New Roman" w:eastAsia="方正仿宋简体" w:cs="Times New Roman"/>
                <w:kern w:val="2"/>
                <w:sz w:val="21"/>
                <w:szCs w:val="21"/>
                <w:highlight w:val="none"/>
              </w:rPr>
              <w:t>☑</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trPr>
        <w:tc>
          <w:tcPr>
            <w:tcW w:w="1998"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收购人是否为上市公司第一大股东</w:t>
            </w:r>
          </w:p>
        </w:tc>
        <w:tc>
          <w:tcPr>
            <w:tcW w:w="2772"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是</w:t>
            </w:r>
            <w:r>
              <w:rPr>
                <w:rFonts w:hint="eastAsia" w:ascii="Times New Roman" w:hAnsi="Times New Roman" w:eastAsia="方正仿宋简体" w:cs="Times New Roman"/>
                <w:kern w:val="2"/>
                <w:sz w:val="21"/>
                <w:szCs w:val="21"/>
                <w:highlight w:val="none"/>
              </w:rPr>
              <w:t>□</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否</w:t>
            </w:r>
            <w:r>
              <w:rPr>
                <w:rFonts w:hint="eastAsia" w:ascii="Times New Roman" w:hAnsi="Times New Roman" w:eastAsia="方正仿宋简体" w:cs="Times New Roman"/>
                <w:kern w:val="2"/>
                <w:sz w:val="21"/>
                <w:szCs w:val="21"/>
                <w:highlight w:val="none"/>
              </w:rPr>
              <w:t>☑</w:t>
            </w:r>
          </w:p>
        </w:tc>
        <w:tc>
          <w:tcPr>
            <w:tcW w:w="2295"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收购人是否为上市公司实际控制人</w:t>
            </w:r>
          </w:p>
        </w:tc>
        <w:tc>
          <w:tcPr>
            <w:tcW w:w="2099"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是</w:t>
            </w:r>
            <w:r>
              <w:rPr>
                <w:rFonts w:hint="eastAsia" w:ascii="Times New Roman" w:hAnsi="Times New Roman" w:eastAsia="方正仿宋简体" w:cs="Times New Roman"/>
                <w:kern w:val="2"/>
                <w:sz w:val="21"/>
                <w:szCs w:val="21"/>
                <w:highlight w:val="none"/>
              </w:rPr>
              <w:t>□</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否</w:t>
            </w:r>
            <w:r>
              <w:rPr>
                <w:rFonts w:hint="eastAsia" w:ascii="Times New Roman" w:hAnsi="Times New Roman" w:eastAsia="方正仿宋简体" w:cs="Times New Roman"/>
                <w:kern w:val="2"/>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trPr>
        <w:tc>
          <w:tcPr>
            <w:tcW w:w="1998"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收购人是否对境内、境外其他上市公司持股5%以上</w:t>
            </w:r>
          </w:p>
        </w:tc>
        <w:tc>
          <w:tcPr>
            <w:tcW w:w="2772"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是□</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否</w:t>
            </w:r>
            <w:r>
              <w:rPr>
                <w:rFonts w:hint="eastAsia" w:ascii="Times New Roman" w:hAnsi="Times New Roman" w:eastAsia="方正仿宋简体" w:cs="Times New Roman"/>
                <w:kern w:val="2"/>
                <w:sz w:val="21"/>
                <w:szCs w:val="21"/>
                <w:highlight w:val="none"/>
              </w:rPr>
              <w:t>☑</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回答“是”，请注明公司家数</w:t>
            </w:r>
          </w:p>
        </w:tc>
        <w:tc>
          <w:tcPr>
            <w:tcW w:w="2295"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收购人是否拥有境内、外两个以上上市公司的控制权</w:t>
            </w:r>
          </w:p>
        </w:tc>
        <w:tc>
          <w:tcPr>
            <w:tcW w:w="2099" w:type="dxa"/>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是□</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否</w:t>
            </w:r>
            <w:r>
              <w:rPr>
                <w:rFonts w:hint="eastAsia" w:ascii="Times New Roman" w:hAnsi="Times New Roman" w:eastAsia="方正仿宋简体" w:cs="Times New Roman"/>
                <w:kern w:val="2"/>
                <w:sz w:val="21"/>
                <w:szCs w:val="21"/>
                <w:highlight w:val="none"/>
              </w:rPr>
              <w:t>☑</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回答“是”，请注明公司家数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8" w:type="dxa"/>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收购方式</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（可多选）</w:t>
            </w:r>
          </w:p>
        </w:tc>
        <w:tc>
          <w:tcPr>
            <w:tcW w:w="7166" w:type="dxa"/>
            <w:gridSpan w:val="3"/>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通过证券交易所的集中交易□</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协议转让□</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国有股行政划转或变更□</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间接方式转让□</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取得上市公司发行的新股</w:t>
            </w:r>
            <w:r>
              <w:rPr>
                <w:rFonts w:hint="eastAsia" w:ascii="Times New Roman" w:hAnsi="Times New Roman" w:eastAsia="方正仿宋简体" w:cs="Times New Roman"/>
                <w:kern w:val="2"/>
                <w:sz w:val="21"/>
                <w:szCs w:val="21"/>
                <w:highlight w:val="none"/>
              </w:rPr>
              <w:t>☑</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执行法院裁定□</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继承□</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赠与□</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其他□（请注明）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8" w:type="dxa"/>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收购人披露前拥有权益的股份数量及占上市公司已发行股份比例</w:t>
            </w:r>
          </w:p>
        </w:tc>
        <w:tc>
          <w:tcPr>
            <w:tcW w:w="7166" w:type="dxa"/>
            <w:gridSpan w:val="3"/>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u w:val="single"/>
              </w:rPr>
            </w:pPr>
            <w:r>
              <w:rPr>
                <w:rFonts w:ascii="Times New Roman" w:hAnsi="Times New Roman" w:eastAsia="方正仿宋简体" w:cs="Times New Roman"/>
                <w:kern w:val="2"/>
                <w:sz w:val="21"/>
                <w:szCs w:val="21"/>
                <w:highlight w:val="none"/>
              </w:rPr>
              <w:t>股票种类：</w:t>
            </w:r>
            <w:r>
              <w:rPr>
                <w:rFonts w:hint="eastAsia" w:ascii="Times New Roman" w:hAnsi="Times New Roman" w:eastAsia="方正仿宋简体" w:cs="Times New Roman"/>
                <w:kern w:val="2"/>
                <w:sz w:val="21"/>
                <w:szCs w:val="21"/>
                <w:highlight w:val="none"/>
                <w:u w:val="single"/>
              </w:rPr>
              <w:t>流通A股</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持股数量：</w:t>
            </w:r>
            <w:r>
              <w:rPr>
                <w:rFonts w:ascii="Times New Roman" w:hAnsi="Times New Roman" w:eastAsia="方正仿宋简体" w:cs="Times New Roman"/>
                <w:kern w:val="2"/>
                <w:sz w:val="21"/>
                <w:szCs w:val="21"/>
                <w:highlight w:val="none"/>
                <w:u w:val="single"/>
              </w:rPr>
              <w:t>131,744,985</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u w:val="single"/>
              </w:rPr>
            </w:pPr>
            <w:r>
              <w:rPr>
                <w:rFonts w:ascii="Times New Roman" w:hAnsi="Times New Roman" w:eastAsia="方正仿宋简体" w:cs="Times New Roman"/>
                <w:kern w:val="2"/>
                <w:sz w:val="21"/>
                <w:szCs w:val="21"/>
                <w:highlight w:val="none"/>
              </w:rPr>
              <w:t>持股比例：</w:t>
            </w:r>
            <w:r>
              <w:rPr>
                <w:rFonts w:ascii="Times New Roman" w:hAnsi="Times New Roman" w:eastAsia="方正仿宋简体" w:cs="Times New Roman"/>
                <w:kern w:val="2"/>
                <w:sz w:val="21"/>
                <w:szCs w:val="21"/>
                <w:highlight w:val="none"/>
                <w:u w:val="single"/>
              </w:rPr>
              <w:t>39.93%</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u w:val="single"/>
              </w:rPr>
            </w:pPr>
            <w:r>
              <w:rPr>
                <w:rFonts w:hint="eastAsia" w:ascii="Times New Roman" w:hAnsi="Times New Roman" w:eastAsia="方正仿宋简体" w:cs="Times New Roman"/>
                <w:kern w:val="2"/>
                <w:szCs w:val="18"/>
                <w:highlight w:val="none"/>
                <w:u w:val="single"/>
              </w:rPr>
              <w:t>注：这里为收购人及其股东合并计算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8" w:type="dxa"/>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本次收购股份的数量及变动比例</w:t>
            </w:r>
          </w:p>
        </w:tc>
        <w:tc>
          <w:tcPr>
            <w:tcW w:w="7166" w:type="dxa"/>
            <w:gridSpan w:val="3"/>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股票种类：</w:t>
            </w:r>
            <w:r>
              <w:rPr>
                <w:rFonts w:hint="eastAsia" w:ascii="Times New Roman" w:hAnsi="Times New Roman" w:eastAsia="方正仿宋简体" w:cs="Times New Roman"/>
                <w:kern w:val="2"/>
                <w:sz w:val="21"/>
                <w:szCs w:val="21"/>
                <w:highlight w:val="none"/>
                <w:u w:val="single"/>
              </w:rPr>
              <w:t>限售股</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变动数量：</w:t>
            </w:r>
            <w:r>
              <w:rPr>
                <w:rFonts w:ascii="Times New Roman" w:hAnsi="Times New Roman" w:eastAsia="方正仿宋简体" w:cs="Times New Roman"/>
                <w:kern w:val="2"/>
                <w:sz w:val="21"/>
                <w:szCs w:val="21"/>
                <w:highlight w:val="none"/>
                <w:u w:val="single"/>
              </w:rPr>
              <w:t>19,493,177股</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变动比例：</w:t>
            </w:r>
            <w:r>
              <w:rPr>
                <w:rFonts w:ascii="Times New Roman" w:hAnsi="Times New Roman" w:eastAsia="方正仿宋简体" w:cs="Times New Roman"/>
                <w:kern w:val="2"/>
                <w:sz w:val="21"/>
                <w:szCs w:val="21"/>
                <w:highlight w:val="none"/>
                <w:u w:val="single"/>
              </w:rPr>
              <w:t>按本次发行股票数量上限测算，比例将提升至</w:t>
            </w:r>
            <w:bookmarkStart w:id="60" w:name="OLE_LINK1"/>
            <w:r>
              <w:rPr>
                <w:rFonts w:ascii="Times New Roman" w:hAnsi="Times New Roman" w:eastAsia="方正仿宋简体" w:cs="Times New Roman"/>
                <w:kern w:val="2"/>
                <w:sz w:val="21"/>
                <w:szCs w:val="21"/>
                <w:highlight w:val="none"/>
                <w:u w:val="single"/>
              </w:rPr>
              <w:t>43.28</w:t>
            </w:r>
            <w:bookmarkEnd w:id="60"/>
            <w:r>
              <w:rPr>
                <w:rFonts w:ascii="Times New Roman" w:hAnsi="Times New Roman" w:eastAsia="方正仿宋简体" w:cs="Times New Roman"/>
                <w:kern w:val="2"/>
                <w:sz w:val="21"/>
                <w:szCs w:val="21"/>
                <w:highlight w:val="none"/>
                <w:u w:val="singl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4" w:hRule="atLeast"/>
        </w:trPr>
        <w:tc>
          <w:tcPr>
            <w:tcW w:w="1998" w:type="dxa"/>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与上市公司之间是否存在持续关联交易</w:t>
            </w:r>
          </w:p>
        </w:tc>
        <w:tc>
          <w:tcPr>
            <w:tcW w:w="7166" w:type="dxa"/>
            <w:gridSpan w:val="3"/>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是□否</w:t>
            </w:r>
            <w:r>
              <w:rPr>
                <w:rFonts w:hint="eastAsia" w:ascii="Times New Roman" w:hAnsi="Times New Roman" w:eastAsia="方正仿宋简体" w:cs="Times New Roman"/>
                <w:kern w:val="2"/>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trPr>
        <w:tc>
          <w:tcPr>
            <w:tcW w:w="1998" w:type="dxa"/>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与上市公司之间是否存在同业竞争或潜在同业竞争</w:t>
            </w:r>
          </w:p>
        </w:tc>
        <w:tc>
          <w:tcPr>
            <w:tcW w:w="7166" w:type="dxa"/>
            <w:gridSpan w:val="3"/>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是□否</w:t>
            </w:r>
            <w:r>
              <w:rPr>
                <w:rFonts w:hint="eastAsia" w:ascii="Times New Roman" w:hAnsi="Times New Roman" w:eastAsia="方正仿宋简体" w:cs="Times New Roman"/>
                <w:kern w:val="2"/>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8" w:type="dxa"/>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收购人是否拟于未来12个月内继续增持</w:t>
            </w:r>
          </w:p>
        </w:tc>
        <w:tc>
          <w:tcPr>
            <w:tcW w:w="7166" w:type="dxa"/>
            <w:gridSpan w:val="3"/>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是□否</w:t>
            </w:r>
            <w:r>
              <w:rPr>
                <w:rFonts w:hint="eastAsia" w:ascii="Times New Roman" w:hAnsi="Times New Roman" w:eastAsia="方正仿宋简体" w:cs="Times New Roman"/>
                <w:kern w:val="2"/>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8" w:type="dxa"/>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收购人前6个月是否在二级市场买卖该上市公司股票</w:t>
            </w:r>
          </w:p>
        </w:tc>
        <w:tc>
          <w:tcPr>
            <w:tcW w:w="7166" w:type="dxa"/>
            <w:gridSpan w:val="3"/>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是□否</w:t>
            </w:r>
            <w:r>
              <w:rPr>
                <w:rFonts w:hint="eastAsia" w:ascii="Times New Roman" w:hAnsi="Times New Roman" w:eastAsia="方正仿宋简体" w:cs="Times New Roman"/>
                <w:kern w:val="2"/>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8" w:type="dxa"/>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是否存在《收购办法》第六条规定的情形</w:t>
            </w:r>
          </w:p>
        </w:tc>
        <w:tc>
          <w:tcPr>
            <w:tcW w:w="7166" w:type="dxa"/>
            <w:gridSpan w:val="3"/>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是□否</w:t>
            </w:r>
            <w:r>
              <w:rPr>
                <w:rFonts w:hint="eastAsia" w:ascii="Times New Roman" w:hAnsi="Times New Roman" w:eastAsia="方正仿宋简体" w:cs="Times New Roman"/>
                <w:kern w:val="2"/>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8" w:type="dxa"/>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是否已提供《收购办法》第五十条要求的文件</w:t>
            </w:r>
          </w:p>
        </w:tc>
        <w:tc>
          <w:tcPr>
            <w:tcW w:w="7166" w:type="dxa"/>
            <w:gridSpan w:val="3"/>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是</w:t>
            </w:r>
            <w:r>
              <w:rPr>
                <w:rFonts w:hint="eastAsia" w:ascii="Times New Roman" w:hAnsi="Times New Roman" w:eastAsia="方正仿宋简体" w:cs="Times New Roman"/>
                <w:kern w:val="2"/>
                <w:sz w:val="21"/>
                <w:szCs w:val="21"/>
                <w:highlight w:val="none"/>
              </w:rPr>
              <w:t>☑</w:t>
            </w:r>
            <w:r>
              <w:rPr>
                <w:rFonts w:ascii="Times New Roman" w:hAnsi="Times New Roman" w:eastAsia="方正仿宋简体" w:cs="Times New Roman"/>
                <w:kern w:val="2"/>
                <w:sz w:val="21"/>
                <w:szCs w:val="21"/>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trPr>
        <w:tc>
          <w:tcPr>
            <w:tcW w:w="1998" w:type="dxa"/>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是否已充分披露资金来源；</w:t>
            </w:r>
          </w:p>
        </w:tc>
        <w:tc>
          <w:tcPr>
            <w:tcW w:w="7166" w:type="dxa"/>
            <w:gridSpan w:val="3"/>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是</w:t>
            </w:r>
            <w:r>
              <w:rPr>
                <w:rFonts w:hint="eastAsia" w:ascii="Times New Roman" w:hAnsi="Times New Roman" w:eastAsia="方正仿宋简体" w:cs="Times New Roman"/>
                <w:kern w:val="2"/>
                <w:sz w:val="21"/>
                <w:szCs w:val="21"/>
                <w:highlight w:val="none"/>
              </w:rPr>
              <w:t>☑</w:t>
            </w:r>
            <w:r>
              <w:rPr>
                <w:rFonts w:ascii="Times New Roman" w:hAnsi="Times New Roman" w:eastAsia="方正仿宋简体" w:cs="Times New Roman"/>
                <w:kern w:val="2"/>
                <w:sz w:val="21"/>
                <w:szCs w:val="21"/>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trPr>
        <w:tc>
          <w:tcPr>
            <w:tcW w:w="1998" w:type="dxa"/>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是否披露后续计划</w:t>
            </w:r>
          </w:p>
        </w:tc>
        <w:tc>
          <w:tcPr>
            <w:tcW w:w="7166" w:type="dxa"/>
            <w:gridSpan w:val="3"/>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是</w:t>
            </w:r>
            <w:r>
              <w:rPr>
                <w:rFonts w:hint="eastAsia" w:ascii="Times New Roman" w:hAnsi="Times New Roman" w:eastAsia="方正仿宋简体" w:cs="Times New Roman"/>
                <w:kern w:val="2"/>
                <w:sz w:val="21"/>
                <w:szCs w:val="21"/>
                <w:highlight w:val="none"/>
              </w:rPr>
              <w:t>☑</w:t>
            </w:r>
            <w:r>
              <w:rPr>
                <w:rFonts w:ascii="Times New Roman" w:hAnsi="Times New Roman" w:eastAsia="方正仿宋简体" w:cs="Times New Roman"/>
                <w:kern w:val="2"/>
                <w:sz w:val="21"/>
                <w:szCs w:val="21"/>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4" w:hRule="atLeast"/>
        </w:trPr>
        <w:tc>
          <w:tcPr>
            <w:tcW w:w="1998" w:type="dxa"/>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是否聘请财务顾问</w:t>
            </w:r>
          </w:p>
        </w:tc>
        <w:tc>
          <w:tcPr>
            <w:tcW w:w="7166" w:type="dxa"/>
            <w:gridSpan w:val="3"/>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是</w:t>
            </w:r>
            <w:r>
              <w:rPr>
                <w:rFonts w:hint="eastAsia" w:ascii="Times New Roman" w:hAnsi="Times New Roman" w:eastAsia="方正仿宋简体" w:cs="Times New Roman"/>
                <w:kern w:val="2"/>
                <w:sz w:val="21"/>
                <w:szCs w:val="21"/>
                <w:highlight w:val="none"/>
              </w:rPr>
              <w:t>☑</w:t>
            </w:r>
            <w:r>
              <w:rPr>
                <w:rFonts w:ascii="Times New Roman" w:hAnsi="Times New Roman" w:eastAsia="方正仿宋简体" w:cs="Times New Roman"/>
                <w:kern w:val="2"/>
                <w:sz w:val="21"/>
                <w:szCs w:val="21"/>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8" w:type="dxa"/>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本次收购是否需取得批准及批准进展情况</w:t>
            </w:r>
          </w:p>
        </w:tc>
        <w:tc>
          <w:tcPr>
            <w:tcW w:w="7166" w:type="dxa"/>
            <w:gridSpan w:val="3"/>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是</w:t>
            </w:r>
            <w:r>
              <w:rPr>
                <w:rFonts w:hint="eastAsia" w:ascii="Times New Roman" w:hAnsi="Times New Roman" w:eastAsia="方正仿宋简体" w:cs="Times New Roman"/>
                <w:kern w:val="2"/>
                <w:sz w:val="21"/>
                <w:szCs w:val="21"/>
                <w:highlight w:val="none"/>
              </w:rPr>
              <w:t>☑</w:t>
            </w:r>
            <w:r>
              <w:rPr>
                <w:rFonts w:ascii="Times New Roman" w:hAnsi="Times New Roman" w:eastAsia="方正仿宋简体" w:cs="Times New Roman"/>
                <w:kern w:val="2"/>
                <w:sz w:val="21"/>
                <w:szCs w:val="21"/>
                <w:highlight w:val="none"/>
              </w:rPr>
              <w:t>否□</w:t>
            </w:r>
          </w:p>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rPr>
            </w:pPr>
            <w:r>
              <w:rPr>
                <w:rFonts w:ascii="Times New Roman" w:hAnsi="Times New Roman" w:eastAsia="方正仿宋简体" w:cs="Times New Roman"/>
                <w:kern w:val="2"/>
                <w:sz w:val="21"/>
                <w:szCs w:val="21"/>
                <w:highlight w:val="none"/>
              </w:rPr>
              <w:t>本次收购取得的批准及批准进展情况参见本报告书“第二节收购决定及收购目的”之“三、本次收购履行的相关程序”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98" w:type="dxa"/>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shd w:val="pct10" w:color="auto" w:fill="FFFFFF"/>
              </w:rPr>
            </w:pPr>
            <w:r>
              <w:rPr>
                <w:rFonts w:ascii="Times New Roman" w:hAnsi="Times New Roman" w:eastAsia="方正仿宋简体" w:cs="Times New Roman"/>
                <w:kern w:val="2"/>
                <w:sz w:val="21"/>
                <w:szCs w:val="21"/>
                <w:highlight w:val="none"/>
              </w:rPr>
              <w:t>收购人是否声明放弃行使相关股份的表决权</w:t>
            </w:r>
          </w:p>
        </w:tc>
        <w:tc>
          <w:tcPr>
            <w:tcW w:w="7166" w:type="dxa"/>
            <w:gridSpan w:val="3"/>
            <w:tcBorders>
              <w:bottom w:val="single" w:color="auto" w:sz="4" w:space="0"/>
            </w:tcBorders>
            <w:vAlign w:val="center"/>
          </w:tcPr>
          <w:p>
            <w:pPr>
              <w:pStyle w:val="9"/>
              <w:spacing w:before="0" w:beforeAutospacing="0" w:after="0" w:afterAutospacing="0" w:line="240" w:lineRule="auto"/>
              <w:ind w:firstLine="0"/>
              <w:jc w:val="both"/>
              <w:rPr>
                <w:rFonts w:ascii="Times New Roman" w:hAnsi="Times New Roman" w:eastAsia="方正仿宋简体" w:cs="Times New Roman"/>
                <w:kern w:val="2"/>
                <w:sz w:val="21"/>
                <w:szCs w:val="21"/>
                <w:highlight w:val="none"/>
                <w:shd w:val="pct10" w:color="auto" w:fill="FFFFFF"/>
              </w:rPr>
            </w:pPr>
            <w:r>
              <w:rPr>
                <w:rFonts w:ascii="Times New Roman" w:hAnsi="Times New Roman" w:eastAsia="方正仿宋简体" w:cs="Times New Roman"/>
                <w:kern w:val="2"/>
                <w:sz w:val="21"/>
                <w:szCs w:val="21"/>
                <w:highlight w:val="none"/>
              </w:rPr>
              <w:t>是□否</w:t>
            </w:r>
            <w:r>
              <w:rPr>
                <w:rFonts w:hint="eastAsia" w:ascii="Times New Roman" w:hAnsi="Times New Roman" w:eastAsia="方正仿宋简体" w:cs="Times New Roman"/>
                <w:kern w:val="2"/>
                <w:sz w:val="21"/>
                <w:szCs w:val="21"/>
                <w:highlight w:val="none"/>
              </w:rPr>
              <w:t>☑</w:t>
            </w:r>
          </w:p>
        </w:tc>
      </w:tr>
    </w:tbl>
    <w:p>
      <w:pPr>
        <w:pStyle w:val="9"/>
        <w:spacing w:before="0" w:beforeAutospacing="0" w:after="0" w:afterAutospacing="0" w:line="560" w:lineRule="exact"/>
        <w:jc w:val="both"/>
        <w:rPr>
          <w:rFonts w:ascii="Times New Roman" w:hAnsi="Times New Roman" w:eastAsia="方正仿宋简体"/>
          <w:kern w:val="2"/>
          <w:sz w:val="28"/>
          <w:highlight w:val="none"/>
        </w:rPr>
      </w:pPr>
      <w:r>
        <w:rPr>
          <w:rFonts w:hint="eastAsia" w:ascii="Times New Roman" w:hAnsi="Times New Roman" w:eastAsia="方正仿宋简体"/>
          <w:kern w:val="2"/>
          <w:sz w:val="28"/>
          <w:highlight w:val="none"/>
        </w:rPr>
        <w:t>填表说明：</w:t>
      </w:r>
    </w:p>
    <w:p>
      <w:pPr>
        <w:pStyle w:val="9"/>
        <w:spacing w:before="0" w:beforeAutospacing="0" w:after="0" w:afterAutospacing="0" w:line="560" w:lineRule="exact"/>
        <w:ind w:firstLine="560" w:firstLineChars="200"/>
        <w:jc w:val="both"/>
        <w:rPr>
          <w:rFonts w:ascii="Times New Roman" w:hAnsi="Times New Roman" w:eastAsia="方正仿宋简体"/>
          <w:kern w:val="2"/>
          <w:sz w:val="28"/>
          <w:highlight w:val="none"/>
        </w:rPr>
      </w:pPr>
      <w:r>
        <w:rPr>
          <w:rFonts w:hint="eastAsia" w:ascii="Times New Roman" w:hAnsi="Times New Roman" w:eastAsia="方正仿宋简体"/>
          <w:kern w:val="2"/>
          <w:sz w:val="28"/>
          <w:highlight w:val="none"/>
        </w:rPr>
        <w:t>1、存在对照表所列事项的按“是或否”填写核对情况，选择“否”的，必须在栏目中加备注予以说明；</w:t>
      </w:r>
    </w:p>
    <w:p>
      <w:pPr>
        <w:pStyle w:val="9"/>
        <w:spacing w:before="0" w:beforeAutospacing="0" w:after="0" w:afterAutospacing="0" w:line="560" w:lineRule="exact"/>
        <w:ind w:firstLine="560" w:firstLineChars="200"/>
        <w:jc w:val="both"/>
        <w:rPr>
          <w:rFonts w:ascii="Times New Roman" w:hAnsi="Times New Roman" w:eastAsia="方正仿宋简体"/>
          <w:kern w:val="2"/>
          <w:sz w:val="28"/>
          <w:highlight w:val="none"/>
        </w:rPr>
      </w:pPr>
      <w:r>
        <w:rPr>
          <w:rFonts w:hint="eastAsia" w:ascii="Times New Roman" w:hAnsi="Times New Roman" w:eastAsia="方正仿宋简体"/>
          <w:kern w:val="2"/>
          <w:sz w:val="28"/>
          <w:highlight w:val="none"/>
        </w:rPr>
        <w:t>2、不存在对照表所列事项的按“无”填写核对情况；</w:t>
      </w:r>
    </w:p>
    <w:p>
      <w:pPr>
        <w:pStyle w:val="9"/>
        <w:spacing w:before="0" w:beforeAutospacing="0" w:after="0" w:afterAutospacing="0" w:line="560" w:lineRule="exact"/>
        <w:ind w:firstLine="560" w:firstLineChars="200"/>
        <w:jc w:val="both"/>
        <w:rPr>
          <w:rFonts w:ascii="Times New Roman" w:hAnsi="Times New Roman" w:eastAsia="方正仿宋简体"/>
          <w:kern w:val="2"/>
          <w:sz w:val="28"/>
          <w:highlight w:val="none"/>
        </w:rPr>
      </w:pPr>
      <w:r>
        <w:rPr>
          <w:rFonts w:hint="eastAsia" w:ascii="Times New Roman" w:hAnsi="Times New Roman" w:eastAsia="方正仿宋简体"/>
          <w:kern w:val="2"/>
          <w:sz w:val="28"/>
          <w:highlight w:val="none"/>
        </w:rPr>
        <w:t>3、需要加注说明的</w:t>
      </w:r>
      <w:bookmarkStart w:id="61" w:name="_GoBack"/>
      <w:bookmarkEnd w:id="61"/>
      <w:r>
        <w:rPr>
          <w:rFonts w:hint="eastAsia" w:ascii="Times New Roman" w:hAnsi="Times New Roman" w:eastAsia="方正仿宋简体"/>
          <w:kern w:val="2"/>
          <w:sz w:val="28"/>
          <w:highlight w:val="none"/>
        </w:rPr>
        <w:t>，可在栏目中注明并填写；</w:t>
      </w:r>
    </w:p>
    <w:p>
      <w:pPr>
        <w:pStyle w:val="9"/>
        <w:spacing w:before="0" w:beforeAutospacing="0" w:after="0" w:afterAutospacing="0" w:line="560" w:lineRule="exact"/>
        <w:ind w:firstLine="560" w:firstLineChars="200"/>
        <w:jc w:val="both"/>
        <w:rPr>
          <w:rFonts w:ascii="Times New Roman" w:hAnsi="Times New Roman" w:eastAsia="方正仿宋简体"/>
          <w:sz w:val="28"/>
          <w:highlight w:val="none"/>
        </w:rPr>
        <w:sectPr>
          <w:pgSz w:w="11906" w:h="16838"/>
          <w:pgMar w:top="1440" w:right="1800" w:bottom="1440" w:left="1800" w:header="851" w:footer="992" w:gutter="0"/>
          <w:cols w:space="425" w:num="1"/>
          <w:docGrid w:type="lines" w:linePitch="312" w:charSpace="0"/>
        </w:sectPr>
      </w:pPr>
      <w:r>
        <w:rPr>
          <w:rFonts w:hint="eastAsia" w:ascii="Times New Roman" w:hAnsi="Times New Roman" w:eastAsia="方正仿宋简体"/>
          <w:sz w:val="28"/>
          <w:highlight w:val="none"/>
        </w:rPr>
        <w:t>4、收购人是多人的，可以推选其中一人作为指定代表以共同名义制作收购报告书及其附表。</w:t>
      </w:r>
    </w:p>
    <w:p>
      <w:pPr>
        <w:pStyle w:val="9"/>
        <w:wordWrap w:val="0"/>
        <w:spacing w:before="0" w:beforeAutospacing="0" w:after="0" w:afterAutospacing="0" w:line="240" w:lineRule="atLeast"/>
        <w:ind w:firstLine="0"/>
        <w:jc w:val="both"/>
        <w:rPr>
          <w:rFonts w:hint="eastAsia" w:ascii="宋体" w:hAnsi="宋体" w:eastAsia="宋体"/>
          <w:kern w:val="2"/>
          <w:sz w:val="24"/>
          <w:highlight w:val="none"/>
        </w:rPr>
      </w:pPr>
      <w:r>
        <w:rPr>
          <w:rFonts w:hint="eastAsia" w:ascii="宋体" w:hAnsi="宋体" w:eastAsia="宋体"/>
          <w:kern w:val="2"/>
          <w:sz w:val="24"/>
          <w:highlight w:val="none"/>
        </w:rPr>
        <w:t>(本页无正文，为《重庆望变电气（集团）股份有限公司收购报告书附表》之签章页)</w:t>
      </w:r>
    </w:p>
    <w:p>
      <w:pPr>
        <w:pStyle w:val="9"/>
        <w:wordWrap w:val="0"/>
        <w:spacing w:before="0" w:beforeAutospacing="0" w:after="0" w:afterAutospacing="0" w:line="240" w:lineRule="atLeast"/>
        <w:ind w:left="2" w:leftChars="1" w:firstLine="1503" w:firstLineChars="537"/>
        <w:jc w:val="right"/>
        <w:rPr>
          <w:rFonts w:hint="eastAsia" w:ascii="宋体" w:hAnsi="宋体" w:eastAsia="宋体"/>
          <w:kern w:val="2"/>
          <w:sz w:val="28"/>
          <w:highlight w:val="none"/>
        </w:rPr>
      </w:pPr>
    </w:p>
    <w:p>
      <w:pPr>
        <w:pStyle w:val="9"/>
        <w:wordWrap w:val="0"/>
        <w:spacing w:before="0" w:beforeAutospacing="0" w:after="0" w:afterAutospacing="0" w:line="240" w:lineRule="atLeast"/>
        <w:ind w:left="2" w:leftChars="1" w:firstLine="1503" w:firstLineChars="537"/>
        <w:jc w:val="right"/>
        <w:rPr>
          <w:rFonts w:hint="eastAsia" w:ascii="宋体" w:hAnsi="宋体" w:eastAsia="宋体"/>
          <w:kern w:val="2"/>
          <w:sz w:val="28"/>
          <w:highlight w:val="none"/>
        </w:rPr>
      </w:pPr>
    </w:p>
    <w:p>
      <w:pPr>
        <w:pStyle w:val="9"/>
        <w:wordWrap w:val="0"/>
        <w:spacing w:before="0" w:beforeAutospacing="0" w:after="0" w:afterAutospacing="0" w:line="240" w:lineRule="atLeast"/>
        <w:ind w:left="2" w:leftChars="1" w:firstLine="1288" w:firstLineChars="537"/>
        <w:jc w:val="right"/>
        <w:rPr>
          <w:rFonts w:hint="eastAsia" w:ascii="宋体" w:hAnsi="宋体" w:eastAsia="宋体"/>
          <w:kern w:val="2"/>
          <w:sz w:val="24"/>
          <w:highlight w:val="none"/>
        </w:rPr>
      </w:pPr>
      <w:r>
        <w:rPr>
          <w:rFonts w:hint="eastAsia" w:ascii="宋体" w:hAnsi="宋体" w:eastAsia="宋体"/>
          <w:kern w:val="2"/>
          <w:sz w:val="24"/>
          <w:highlight w:val="none"/>
        </w:rPr>
        <w:t xml:space="preserve">  收购人：重庆耀泽商业管理有限公司</w:t>
      </w:r>
    </w:p>
    <w:p>
      <w:pPr>
        <w:pStyle w:val="9"/>
        <w:wordWrap w:val="0"/>
        <w:spacing w:before="0" w:beforeAutospacing="0" w:after="0" w:afterAutospacing="0" w:line="240" w:lineRule="atLeast"/>
        <w:ind w:right="624" w:firstLine="4543" w:firstLineChars="1893"/>
        <w:rPr>
          <w:rFonts w:hint="eastAsia" w:ascii="宋体" w:hAnsi="宋体" w:eastAsia="宋体"/>
          <w:kern w:val="2"/>
          <w:sz w:val="24"/>
          <w:highlight w:val="none"/>
        </w:rPr>
      </w:pPr>
    </w:p>
    <w:p>
      <w:pPr>
        <w:pStyle w:val="9"/>
        <w:wordWrap w:val="0"/>
        <w:spacing w:before="0" w:beforeAutospacing="0" w:after="0" w:afterAutospacing="0" w:line="240" w:lineRule="atLeast"/>
        <w:ind w:right="624" w:firstLine="4543" w:firstLineChars="1893"/>
        <w:rPr>
          <w:rFonts w:hint="eastAsia" w:ascii="宋体" w:hAnsi="宋体" w:eastAsia="宋体"/>
          <w:kern w:val="2"/>
          <w:sz w:val="24"/>
          <w:highlight w:val="none"/>
        </w:rPr>
      </w:pPr>
    </w:p>
    <w:p>
      <w:pPr>
        <w:pStyle w:val="9"/>
        <w:wordWrap w:val="0"/>
        <w:spacing w:before="0" w:beforeAutospacing="0" w:after="0" w:afterAutospacing="0" w:line="240" w:lineRule="atLeast"/>
        <w:ind w:right="624" w:firstLine="4543" w:firstLineChars="1893"/>
        <w:rPr>
          <w:rFonts w:hint="eastAsia" w:ascii="宋体" w:hAnsi="宋体" w:eastAsia="宋体"/>
          <w:kern w:val="2"/>
          <w:sz w:val="24"/>
          <w:highlight w:val="none"/>
        </w:rPr>
      </w:pPr>
      <w:r>
        <w:rPr>
          <w:rFonts w:hint="eastAsia" w:ascii="宋体" w:hAnsi="宋体" w:eastAsia="宋体"/>
          <w:kern w:val="2"/>
          <w:sz w:val="24"/>
          <w:highlight w:val="none"/>
        </w:rPr>
        <w:t>法定代表人（签章）：</w:t>
      </w:r>
    </w:p>
    <w:p>
      <w:pPr>
        <w:ind w:right="1092" w:firstLine="4521" w:firstLineChars="1884"/>
        <w:rPr>
          <w:rFonts w:hint="eastAsia" w:ascii="方正仿宋简体"/>
          <w:highlight w:val="none"/>
        </w:rPr>
      </w:pPr>
    </w:p>
    <w:p>
      <w:pPr>
        <w:ind w:right="1092" w:firstLine="4521" w:firstLineChars="1884"/>
        <w:rPr>
          <w:rFonts w:hint="eastAsia" w:ascii="方正仿宋简体"/>
          <w:highlight w:val="none"/>
        </w:rPr>
      </w:pPr>
      <w:r>
        <w:rPr>
          <w:rFonts w:hint="eastAsia" w:ascii="方正仿宋简体"/>
          <w:highlight w:val="none"/>
        </w:rPr>
        <w:t>日期：</w:t>
      </w:r>
    </w:p>
    <w:p>
      <w:pPr>
        <w:spacing w:before="156" w:beforeLines="50" w:line="360" w:lineRule="auto"/>
        <w:ind w:firstLine="897" w:firstLineChars="374"/>
        <w:rPr>
          <w:rFonts w:ascii="Times New Roman" w:hAnsi="Times New Roman"/>
          <w:highlight w:val="none"/>
        </w:rPr>
      </w:pPr>
    </w:p>
    <w:p>
      <w:pPr>
        <w:rPr>
          <w:rFonts w:hint="eastAsia"/>
          <w:highlight w:val="none"/>
        </w:rPr>
      </w:pPr>
    </w:p>
    <w:p>
      <w:pPr>
        <w:rPr>
          <w:rFonts w:hint="eastAsia"/>
          <w:b/>
          <w:bCs/>
          <w:kern w:val="0"/>
          <w:sz w:val="28"/>
          <w:szCs w:val="28"/>
          <w:highlight w:val="none"/>
          <w:lang w:bidi="ar"/>
        </w:rPr>
      </w:pPr>
    </w:p>
    <w:p>
      <w:pPr>
        <w:rPr>
          <w:rFonts w:hint="eastAsia"/>
          <w:highlight w:val="no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仿宋简体">
    <w:altName w:val="微软雅黑"/>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 w:name="方正大标宋简体">
    <w:altName w:val="宋体"/>
    <w:panose1 w:val="00000000000000000000"/>
    <w:charset w:val="86"/>
    <w:family w:val="auto"/>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72" w:lineRule="auto"/>
      </w:pPr>
      <w:r>
        <w:separator/>
      </w:r>
    </w:p>
  </w:footnote>
  <w:footnote w:type="continuationSeparator" w:id="1">
    <w:p>
      <w:pPr>
        <w:spacing w:before="0" w:after="0" w:line="372"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yODMxYTE0ZTc0ZGU3Y2QwODc3MzYzN2Q1YmNiM2EifQ=="/>
  </w:docVars>
  <w:rsids>
    <w:rsidRoot w:val="2B1926AA"/>
    <w:rsid w:val="0018385D"/>
    <w:rsid w:val="00187549"/>
    <w:rsid w:val="001D4B67"/>
    <w:rsid w:val="00254599"/>
    <w:rsid w:val="003A3E66"/>
    <w:rsid w:val="00401D13"/>
    <w:rsid w:val="00445600"/>
    <w:rsid w:val="005B40F6"/>
    <w:rsid w:val="00633050"/>
    <w:rsid w:val="00672498"/>
    <w:rsid w:val="00806E8C"/>
    <w:rsid w:val="008D4B34"/>
    <w:rsid w:val="009269ED"/>
    <w:rsid w:val="009F1B49"/>
    <w:rsid w:val="00BD41B4"/>
    <w:rsid w:val="00C45A95"/>
    <w:rsid w:val="00C64071"/>
    <w:rsid w:val="00EA0EF1"/>
    <w:rsid w:val="00F6653B"/>
    <w:rsid w:val="00F85593"/>
    <w:rsid w:val="00FA70B0"/>
    <w:rsid w:val="017E6F26"/>
    <w:rsid w:val="01AC28DD"/>
    <w:rsid w:val="01CA57C8"/>
    <w:rsid w:val="03CF4F1E"/>
    <w:rsid w:val="051E4594"/>
    <w:rsid w:val="088632A2"/>
    <w:rsid w:val="0BF30A0D"/>
    <w:rsid w:val="0F010EDF"/>
    <w:rsid w:val="0F845237"/>
    <w:rsid w:val="101A068E"/>
    <w:rsid w:val="13692AE8"/>
    <w:rsid w:val="14F84F96"/>
    <w:rsid w:val="1BCF11F3"/>
    <w:rsid w:val="1C0708A0"/>
    <w:rsid w:val="1E63672A"/>
    <w:rsid w:val="1FBA7DE3"/>
    <w:rsid w:val="24EA1018"/>
    <w:rsid w:val="24F1163A"/>
    <w:rsid w:val="275D2BA4"/>
    <w:rsid w:val="2886015C"/>
    <w:rsid w:val="2B1926AA"/>
    <w:rsid w:val="2B3F2B9D"/>
    <w:rsid w:val="2C027C88"/>
    <w:rsid w:val="2C412EA7"/>
    <w:rsid w:val="2C42571A"/>
    <w:rsid w:val="2D970846"/>
    <w:rsid w:val="2E5A2C2C"/>
    <w:rsid w:val="324A17D0"/>
    <w:rsid w:val="369D4494"/>
    <w:rsid w:val="3ADA39FA"/>
    <w:rsid w:val="3B1479D8"/>
    <w:rsid w:val="3BBC3419"/>
    <w:rsid w:val="3DF9595A"/>
    <w:rsid w:val="3EB31FEC"/>
    <w:rsid w:val="43E03B8F"/>
    <w:rsid w:val="45C1377F"/>
    <w:rsid w:val="469C6300"/>
    <w:rsid w:val="492643AE"/>
    <w:rsid w:val="4C6C0656"/>
    <w:rsid w:val="4D8465F7"/>
    <w:rsid w:val="4DFC3C7E"/>
    <w:rsid w:val="4F1C17E4"/>
    <w:rsid w:val="510077B5"/>
    <w:rsid w:val="53000DF0"/>
    <w:rsid w:val="54D77655"/>
    <w:rsid w:val="556E7FB9"/>
    <w:rsid w:val="56AE3D47"/>
    <w:rsid w:val="59933E4C"/>
    <w:rsid w:val="5A316BBC"/>
    <w:rsid w:val="5E1436C8"/>
    <w:rsid w:val="60206354"/>
    <w:rsid w:val="62E418BB"/>
    <w:rsid w:val="65DA6FA5"/>
    <w:rsid w:val="666D1CA7"/>
    <w:rsid w:val="6930755A"/>
    <w:rsid w:val="694F27C3"/>
    <w:rsid w:val="6FCA70B1"/>
    <w:rsid w:val="70910A5C"/>
    <w:rsid w:val="70B075EC"/>
    <w:rsid w:val="728D7A0B"/>
    <w:rsid w:val="762006C9"/>
    <w:rsid w:val="78432F72"/>
    <w:rsid w:val="78576BB9"/>
    <w:rsid w:val="786A337B"/>
    <w:rsid w:val="7A4F2050"/>
    <w:rsid w:val="7ACA5621"/>
    <w:rsid w:val="7BE55D4F"/>
    <w:rsid w:val="7FD91C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46" w:line="372" w:lineRule="auto"/>
      <w:ind w:firstLine="470"/>
    </w:pPr>
    <w:rPr>
      <w:rFonts w:ascii="宋体" w:hAnsi="宋体" w:eastAsia="宋体" w:cs="宋体"/>
      <w:color w:val="000000"/>
      <w:kern w:val="2"/>
      <w:sz w:val="24"/>
      <w:szCs w:val="24"/>
      <w:lang w:val="en-US" w:eastAsia="zh-CN" w:bidi="ar-SA"/>
      <w14:ligatures w14:val="standardContextual"/>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style>
  <w:style w:type="paragraph" w:styleId="3">
    <w:name w:val="Body Text"/>
    <w:basedOn w:val="1"/>
    <w:semiHidden/>
    <w:qFormat/>
    <w:uiPriority w:val="0"/>
    <w:pPr>
      <w:spacing w:after="120"/>
    </w:pPr>
  </w:style>
  <w:style w:type="paragraph" w:styleId="4">
    <w:name w:val="toc 3"/>
    <w:basedOn w:val="1"/>
    <w:next w:val="1"/>
    <w:qFormat/>
    <w:uiPriority w:val="0"/>
    <w:pPr>
      <w:ind w:left="840" w:leftChars="400"/>
    </w:pPr>
  </w:style>
  <w:style w:type="paragraph" w:styleId="5">
    <w:name w:val="footer"/>
    <w:basedOn w:val="1"/>
    <w:qFormat/>
    <w:uiPriority w:val="0"/>
    <w:pPr>
      <w:tabs>
        <w:tab w:val="center" w:pos="4153"/>
        <w:tab w:val="right" w:pos="8306"/>
      </w:tabs>
      <w:snapToGrid w:val="0"/>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paragraph" w:styleId="9">
    <w:name w:val="Normal (Web)"/>
    <w:basedOn w:val="1"/>
    <w:qFormat/>
    <w:uiPriority w:val="0"/>
    <w:pPr>
      <w:spacing w:before="100" w:beforeAutospacing="1" w:after="100" w:afterAutospacing="1" w:line="360" w:lineRule="auto"/>
    </w:pPr>
    <w:rPr>
      <w:rFonts w:ascii="Arial Unicode MS" w:hAnsi="Arial Unicode MS" w:eastAsia="Arial Unicode MS"/>
      <w:kern w:val="0"/>
      <w:sz w:val="18"/>
    </w:rPr>
  </w:style>
  <w:style w:type="table" w:styleId="11">
    <w:name w:val="Table Grid"/>
    <w:basedOn w:val="10"/>
    <w:qFormat/>
    <w:uiPriority w:val="39"/>
    <w:pPr>
      <w:widowControl w:val="0"/>
      <w:jc w:val="both"/>
    </w:pPr>
    <w:rPr>
      <w:kern w:val="2"/>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styleId="15">
    <w:name w:val="annotation reference"/>
    <w:basedOn w:val="12"/>
    <w:qFormat/>
    <w:uiPriority w:val="0"/>
    <w:rPr>
      <w:sz w:val="21"/>
      <w:szCs w:val="21"/>
    </w:rPr>
  </w:style>
  <w:style w:type="paragraph" w:customStyle="1" w:styleId="16">
    <w:name w:val="001一级标题"/>
    <w:qFormat/>
    <w:uiPriority w:val="0"/>
    <w:pPr>
      <w:keepNext/>
      <w:keepLines/>
      <w:pageBreakBefore/>
      <w:widowControl w:val="0"/>
      <w:spacing w:before="50" w:beforeLines="50" w:after="50" w:afterLines="50" w:line="360" w:lineRule="auto"/>
      <w:jc w:val="center"/>
      <w:outlineLvl w:val="0"/>
    </w:pPr>
    <w:rPr>
      <w:rFonts w:ascii="Times New Roman" w:hAnsi="Times New Roman" w:eastAsia="黑体" w:cs="Times New Roman"/>
      <w:b/>
      <w:bCs/>
      <w:kern w:val="2"/>
      <w:sz w:val="32"/>
      <w:szCs w:val="28"/>
      <w:lang w:val="en-US" w:eastAsia="zh-CN" w:bidi="ar-SA"/>
    </w:rPr>
  </w:style>
  <w:style w:type="paragraph" w:customStyle="1" w:styleId="17">
    <w:name w:val="005正文"/>
    <w:qFormat/>
    <w:uiPriority w:val="0"/>
    <w:pPr>
      <w:widowControl w:val="0"/>
      <w:spacing w:before="50" w:beforeLines="50" w:line="360" w:lineRule="auto"/>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18">
    <w:name w:val="font51"/>
    <w:basedOn w:val="12"/>
    <w:qFormat/>
    <w:uiPriority w:val="0"/>
    <w:rPr>
      <w:rFonts w:hint="default" w:ascii="Times New Roman" w:hAnsi="Times New Roman" w:cs="Times New Roman"/>
      <w:color w:val="000000"/>
      <w:sz w:val="21"/>
      <w:szCs w:val="21"/>
      <w:u w:val="none"/>
    </w:rPr>
  </w:style>
  <w:style w:type="character" w:customStyle="1" w:styleId="19">
    <w:name w:val="font31"/>
    <w:basedOn w:val="12"/>
    <w:qFormat/>
    <w:uiPriority w:val="0"/>
    <w:rPr>
      <w:rFonts w:hint="eastAsia" w:ascii="宋体" w:hAnsi="宋体" w:eastAsia="宋体" w:cs="宋体"/>
      <w:color w:val="000000"/>
      <w:sz w:val="21"/>
      <w:szCs w:val="21"/>
      <w:u w:val="none"/>
    </w:rPr>
  </w:style>
  <w:style w:type="character" w:customStyle="1" w:styleId="20">
    <w:name w:val="font21"/>
    <w:basedOn w:val="12"/>
    <w:qFormat/>
    <w:uiPriority w:val="0"/>
    <w:rPr>
      <w:rFonts w:hint="eastAsia" w:ascii="宋体" w:hAnsi="宋体" w:eastAsia="宋体" w:cs="宋体"/>
      <w:color w:val="000000"/>
      <w:sz w:val="21"/>
      <w:szCs w:val="21"/>
      <w:u w:val="none"/>
    </w:rPr>
  </w:style>
  <w:style w:type="paragraph" w:customStyle="1" w:styleId="21">
    <w:name w:val="003三级标题"/>
    <w:qFormat/>
    <w:uiPriority w:val="0"/>
    <w:pPr>
      <w:keepNext/>
      <w:keepLines/>
      <w:widowControl w:val="0"/>
      <w:spacing w:before="50" w:beforeLines="50" w:after="50" w:afterLines="50" w:line="360" w:lineRule="auto"/>
      <w:jc w:val="both"/>
      <w:outlineLvl w:val="2"/>
    </w:pPr>
    <w:rPr>
      <w:rFonts w:ascii="Times New Roman" w:hAnsi="Times New Roman" w:eastAsia="黑体" w:cs="Times New Roman"/>
      <w:b/>
      <w:bCs/>
      <w:kern w:val="2"/>
      <w:sz w:val="24"/>
      <w:szCs w:val="28"/>
      <w:lang w:val="en-US" w:eastAsia="zh-CN" w:bidi="ar-SA"/>
    </w:rPr>
  </w:style>
  <w:style w:type="paragraph" w:customStyle="1" w:styleId="22">
    <w:name w:val="002二级标题"/>
    <w:qFormat/>
    <w:uiPriority w:val="0"/>
    <w:pPr>
      <w:keepNext/>
      <w:keepLines/>
      <w:widowControl w:val="0"/>
      <w:spacing w:before="50" w:beforeLines="50" w:after="50" w:afterLines="50" w:line="360" w:lineRule="auto"/>
      <w:jc w:val="both"/>
      <w:outlineLvl w:val="1"/>
    </w:pPr>
    <w:rPr>
      <w:rFonts w:ascii="Times New Roman" w:hAnsi="Times New Roman" w:eastAsia="黑体" w:cs="Times New Roman"/>
      <w:b/>
      <w:bCs/>
      <w:kern w:val="2"/>
      <w:sz w:val="28"/>
      <w:szCs w:val="28"/>
      <w:lang w:val="en-US" w:eastAsia="zh-CN" w:bidi="ar-SA"/>
    </w:rPr>
  </w:style>
  <w:style w:type="paragraph" w:customStyle="1" w:styleId="23">
    <w:name w:val="修订1"/>
    <w:hidden/>
    <w:unhideWhenUsed/>
    <w:qFormat/>
    <w:uiPriority w:val="99"/>
    <w:rPr>
      <w:rFonts w:ascii="宋体" w:hAnsi="宋体" w:eastAsia="宋体" w:cs="宋体"/>
      <w:color w:val="000000"/>
      <w:kern w:val="2"/>
      <w:sz w:val="24"/>
      <w:szCs w:val="24"/>
      <w:lang w:val="en-US" w:eastAsia="zh-CN" w:bidi="ar-SA"/>
      <w14:ligatures w14:val="standardContextual"/>
    </w:rPr>
  </w:style>
  <w:style w:type="paragraph" w:customStyle="1" w:styleId="24">
    <w:name w:val="修订2"/>
    <w:hidden/>
    <w:unhideWhenUsed/>
    <w:uiPriority w:val="99"/>
    <w:rPr>
      <w:rFonts w:ascii="宋体" w:hAnsi="宋体" w:eastAsia="宋体" w:cs="宋体"/>
      <w:color w:val="000000"/>
      <w:kern w:val="2"/>
      <w:sz w:val="24"/>
      <w:szCs w:val="24"/>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30</Pages>
  <Words>10934</Words>
  <Characters>11563</Characters>
  <Lines>92</Lines>
  <Paragraphs>25</Paragraphs>
  <TotalTime>92</TotalTime>
  <ScaleCrop>false</ScaleCrop>
  <LinksUpToDate>false</LinksUpToDate>
  <CharactersWithSpaces>11759</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2026-08-24T04:40:00Z</dcterms:created>
  <dc:creator>黄希</dc:creator>
  <cp:lastModifiedBy>雯亦</cp:lastModifiedBy>
  <cp:lastPrinted>2026-08-31T06:51:00Z</cp:lastPrinted>
  <dcterms:modified xsi:type="dcterms:W3CDTF">2026-09-02T11:36:55Z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6399906C184E443DB8ED729207418EFA_13</vt:lpwstr>
  </property>
  <property fmtid="{D5CDD505-2E9C-101B-9397-08002B2CF9AE}" pid="4" name="KSOTemplateDocerSaveRecord">
    <vt:lpwstr>eyJoZGlkIjoiMDljYzUzMWQ4OWI0YzBkYjYzMDRhZTY5ZjZkYmFmYTgiLCJ1c2VySWQiOiIzNTQ2NjMzMDcifQ==</vt:lpwstr>
  </property>
</Properties>
</file>