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tabs>
          <w:tab w:val="left" w:pos="3079"/>
          <w:tab w:val="left" w:pos="6175"/>
        </w:tabs>
        <w:spacing w:before="41"/>
        <w:ind w:left="200"/>
        <w:rPr>
          <w:rFonts w:hint="eastAsia"/>
          <w:lang w:val="en-US"/>
        </w:rPr>
      </w:pPr>
      <w:r>
        <w:t>证券代码：</w:t>
      </w:r>
      <w:r>
        <w:rPr>
          <w:rFonts w:hint="eastAsia"/>
          <w:lang w:val="en-US"/>
        </w:rPr>
        <w:t>603191</w:t>
      </w:r>
      <w:r>
        <w:tab/>
      </w:r>
      <w:r>
        <w:t>证券简称：</w:t>
      </w:r>
      <w:r>
        <w:rPr>
          <w:rFonts w:hint="eastAsia"/>
          <w:lang w:val="en-US"/>
        </w:rPr>
        <w:t>望变电气</w:t>
      </w:r>
      <w:r>
        <w:tab/>
      </w:r>
      <w:r>
        <w:t>公告编号：</w:t>
      </w:r>
      <w:r>
        <w:rPr>
          <w:rFonts w:hint="eastAsia"/>
          <w:lang w:val="en-US"/>
        </w:rPr>
        <w:t>2026-058</w:t>
      </w:r>
    </w:p>
    <w:p>
      <w:pPr>
        <w:pStyle w:val="4"/>
        <w:rPr>
          <w:rFonts w:hint="eastAsia"/>
        </w:rPr>
      </w:pPr>
    </w:p>
    <w:p>
      <w:pPr>
        <w:pStyle w:val="4"/>
        <w:spacing w:before="11"/>
        <w:rPr>
          <w:rFonts w:hint="eastAsia"/>
          <w:sz w:val="17"/>
        </w:rPr>
      </w:pPr>
    </w:p>
    <w:p>
      <w:pPr>
        <w:pStyle w:val="2"/>
        <w:rPr>
          <w:rFonts w:hint="eastAsia"/>
        </w:rPr>
      </w:pPr>
      <w:r>
        <w:rPr>
          <w:rFonts w:hint="eastAsia"/>
          <w:color w:val="FF0000"/>
          <w:lang w:val="en-US"/>
        </w:rPr>
        <w:t>重庆望变电气（集团）</w:t>
      </w:r>
      <w:r>
        <w:rPr>
          <w:color w:val="FF0000"/>
        </w:rPr>
        <w:t>股份有限公司</w:t>
      </w:r>
    </w:p>
    <w:p>
      <w:pPr>
        <w:spacing w:before="138" w:line="312" w:lineRule="auto"/>
        <w:ind w:left="204" w:right="204"/>
        <w:jc w:val="center"/>
        <w:rPr>
          <w:rFonts w:hint="eastAsia" w:ascii="黑体" w:eastAsia="黑体"/>
          <w:b/>
          <w:sz w:val="36"/>
        </w:rPr>
      </w:pPr>
      <w:r>
        <w:rPr>
          <w:rFonts w:hint="eastAsia" w:ascii="黑体" w:eastAsia="黑体"/>
          <w:b/>
          <w:color w:val="FF0000"/>
          <w:spacing w:val="-1"/>
          <w:w w:val="95"/>
          <w:sz w:val="36"/>
        </w:rPr>
        <w:t>关于董事会战略发展委员会调整为董事会战略与可持续发展（ESG）委员会</w:t>
      </w:r>
      <w:r>
        <w:rPr>
          <w:rFonts w:hint="eastAsia" w:ascii="黑体" w:eastAsia="黑体"/>
          <w:b/>
          <w:color w:val="FF0000"/>
          <w:sz w:val="36"/>
        </w:rPr>
        <w:t>并修订及制定公司部分管理制度的公告</w:t>
      </w:r>
    </w:p>
    <w:p>
      <w:pPr>
        <w:pStyle w:val="4"/>
        <w:spacing w:before="6"/>
        <w:rPr>
          <w:rFonts w:hint="eastAsia" w:ascii="黑体"/>
          <w:b/>
          <w:sz w:val="20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1089025</wp:posOffset>
                </wp:positionH>
                <wp:positionV relativeFrom="paragraph">
                  <wp:posOffset>194310</wp:posOffset>
                </wp:positionV>
                <wp:extent cx="5390515" cy="699135"/>
                <wp:effectExtent l="4445" t="4445" r="15240" b="12700"/>
                <wp:wrapTopAndBottom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0515" cy="699135"/>
                        </a:xfrm>
                        <a:prstGeom prst="rect">
                          <a:avLst/>
                        </a:prstGeom>
                        <a:noFill/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141" w:line="362" w:lineRule="auto"/>
                              <w:ind w:left="80" w:right="237" w:firstLine="480"/>
                              <w:rPr>
                                <w:rFonts w:hint="eastAsia"/>
                              </w:rPr>
                            </w:pPr>
                            <w:r>
                              <w:t>本公司董事会及全体董事保证本公告内容不存在任何虚假记载、误导性陈述或者重大遗漏，并对其内容的真实性、准确性和完整性依法承担法律责任。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5.75pt;margin-top:15.3pt;height:55.05pt;width:424.45pt;mso-position-horizontal-relative:page;mso-wrap-distance-bottom:0pt;mso-wrap-distance-top:0pt;z-index:-251657216;mso-width-relative:page;mso-height-relative:page;" filled="f" stroked="t" coordsize="21600,21600" o:gfxdata="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9eJDR1wAAAAsBAAAPAAAAAAAA&#10;AAEAIAAAACIAAABkcnMvZG93bnJldi54bWxQSwECFAAUAAAACACHTuJA1kB3gRMCAAAxBAAADgAA&#10;AAAAAAABACAAAAAmAQAAZHJzL2Uyb0RvYy54bWxQSwUGAAAAAAYABgBZAQAAqwUAAAAA&#10;">
                <v:fill on="f" focussize="0,0"/>
                <v:stroke weight="0.48pt"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4"/>
                        <w:spacing w:before="141" w:line="362" w:lineRule="auto"/>
                        <w:ind w:left="80" w:right="237" w:firstLine="480"/>
                        <w:rPr>
                          <w:rFonts w:hint="eastAsia"/>
                        </w:rPr>
                      </w:pPr>
                      <w:r>
                        <w:t>本公司董事会及全体董事保证本公告内容不存在任何虚假记载、误导性陈述或者重大遗漏，并对其内容的真实性、准确性和完整性依法承担法律责任。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4"/>
        <w:spacing w:before="8"/>
        <w:rPr>
          <w:rFonts w:hint="eastAsia" w:ascii="黑体"/>
          <w:b/>
          <w:sz w:val="23"/>
        </w:rPr>
      </w:pPr>
    </w:p>
    <w:p>
      <w:pPr>
        <w:pStyle w:val="4"/>
        <w:spacing w:before="67" w:line="560" w:lineRule="exact"/>
        <w:ind w:left="200" w:right="239" w:firstLine="480"/>
        <w:rPr>
          <w:rFonts w:hint="eastAsia"/>
        </w:rPr>
      </w:pPr>
      <w:r>
        <w:rPr>
          <w:rFonts w:hint="eastAsia"/>
          <w:lang w:val="en-US"/>
        </w:rPr>
        <w:t>重庆望变电气（集团）</w:t>
      </w:r>
      <w:r>
        <w:t>股份有限公司（以下简称“公司”）于202</w:t>
      </w:r>
      <w:r>
        <w:rPr>
          <w:rFonts w:hint="eastAsia"/>
          <w:lang w:val="en-US"/>
        </w:rPr>
        <w:t>6</w:t>
      </w:r>
      <w:r>
        <w:t>年</w:t>
      </w:r>
      <w:r>
        <w:rPr>
          <w:rFonts w:hint="eastAsia"/>
          <w:lang w:val="en-US"/>
        </w:rPr>
        <w:t>8</w:t>
      </w:r>
      <w:r>
        <w:t>月</w:t>
      </w:r>
      <w:r>
        <w:rPr>
          <w:rFonts w:hint="eastAsia"/>
          <w:lang w:val="en-US"/>
        </w:rPr>
        <w:t>25</w:t>
      </w:r>
      <w:r>
        <w:t>日召开了第</w:t>
      </w:r>
      <w:r>
        <w:rPr>
          <w:rFonts w:hint="eastAsia"/>
          <w:lang w:val="en-US"/>
        </w:rPr>
        <w:t>四</w:t>
      </w:r>
      <w:r>
        <w:t>届董事会第</w:t>
      </w:r>
      <w:r>
        <w:rPr>
          <w:rFonts w:hint="eastAsia"/>
          <w:lang w:val="en-US"/>
        </w:rPr>
        <w:t>二十二</w:t>
      </w:r>
      <w:r>
        <w:t>次会议，审议通过了《关于董事会战略</w:t>
      </w:r>
      <w:r>
        <w:rPr>
          <w:rFonts w:hint="eastAsia"/>
          <w:lang w:val="en-US"/>
        </w:rPr>
        <w:t>发展</w:t>
      </w:r>
      <w:r>
        <w:t>委员会调整为董事会战略与可持续发展</w:t>
      </w:r>
      <w:bookmarkStart w:id="0" w:name="_GoBack"/>
      <w:bookmarkEnd w:id="0"/>
      <w:r>
        <w:t>（ESG）</w:t>
      </w:r>
      <w:r>
        <w:rPr>
          <w:spacing w:val="-2"/>
        </w:rPr>
        <w:t>委员会的议案</w:t>
      </w:r>
      <w:r>
        <w:rPr>
          <w:rFonts w:hint="eastAsia"/>
          <w:spacing w:val="-2"/>
          <w:lang w:eastAsia="zh-CN"/>
        </w:rPr>
        <w:t>》《</w:t>
      </w:r>
      <w:r>
        <w:rPr>
          <w:rFonts w:hint="eastAsia"/>
          <w:spacing w:val="-2"/>
        </w:rPr>
        <w:t>关于修订及制定部分管理制度的议案</w:t>
      </w:r>
      <w:r>
        <w:t>》。具体情况如下：</w:t>
      </w:r>
    </w:p>
    <w:p>
      <w:pPr>
        <w:pStyle w:val="3"/>
        <w:spacing w:before="117" w:line="560" w:lineRule="exact"/>
        <w:ind w:right="206" w:firstLine="480"/>
        <w:rPr>
          <w:rFonts w:hint="eastAsia"/>
        </w:rPr>
      </w:pPr>
      <w:r>
        <w:t>一、关于董事会战略</w:t>
      </w:r>
      <w:r>
        <w:rPr>
          <w:rFonts w:hint="eastAsia"/>
          <w:lang w:val="en-US"/>
        </w:rPr>
        <w:t>发展</w:t>
      </w:r>
      <w:r>
        <w:t>委员会调整为董事会战略与可持续发展（ESG）委员会的情况</w:t>
      </w:r>
    </w:p>
    <w:p>
      <w:pPr>
        <w:pStyle w:val="3"/>
        <w:spacing w:line="560" w:lineRule="exact"/>
        <w:ind w:firstLine="480" w:firstLineChars="2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为进一步提升公司环境、社会及公司治理（ESG）管理水平，增强公司可持续发展能力，经研究并结合公司实际情况，将原董事会下设的“董事会战略发展委员会”调整为“董事会战略与可持续发展（ESG）委员会”。并将原《董事会战略发展委员会工作细则》调整为《董事会战略与可持续发展（ESG）委员会工作细则》，在原有职权基础上增加（ESG）管理等职责，修订部分条款。</w:t>
      </w:r>
    </w:p>
    <w:p>
      <w:pPr>
        <w:pStyle w:val="3"/>
        <w:spacing w:line="560" w:lineRule="exact"/>
        <w:ind w:firstLine="480" w:firstLineChars="2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本次调整仅就该委员会名称和职权进行调整，其组成及成员职位、任期规定等不变。</w:t>
      </w:r>
    </w:p>
    <w:p>
      <w:pPr>
        <w:pStyle w:val="3"/>
        <w:spacing w:before="117" w:line="560" w:lineRule="exact"/>
        <w:ind w:right="206" w:firstLine="480"/>
        <w:rPr>
          <w:rFonts w:hint="eastAsia"/>
          <w:sz w:val="21"/>
        </w:rPr>
      </w:pPr>
      <w:r>
        <w:t>二、关于修订及制定公司部分管理制度的情况</w:t>
      </w:r>
    </w:p>
    <w:p>
      <w:pPr>
        <w:pStyle w:val="4"/>
        <w:spacing w:line="560" w:lineRule="exact"/>
        <w:ind w:left="200" w:right="197" w:firstLine="480"/>
        <w:jc w:val="both"/>
        <w:rPr>
          <w:rFonts w:hint="eastAsia"/>
          <w:sz w:val="23"/>
        </w:rPr>
      </w:pPr>
      <w:r>
        <w:rPr>
          <w:rFonts w:hint="eastAsia"/>
        </w:rPr>
        <w:t>根据《中华人民共和国公司法》《中华人民共和国证券法》《上海证券交易所股票上市规则》《上海证券交易所上市公司自律监管指引第1号——规范运作》等法律、法规、规范性文件的相关规定和要求，结合公司实际情况，修订及制定部分管理制度，</w:t>
      </w:r>
      <w:r>
        <w:t>具体如下：</w:t>
      </w:r>
    </w:p>
    <w:tbl>
      <w:tblPr>
        <w:tblStyle w:val="5"/>
        <w:tblW w:w="0" w:type="auto"/>
        <w:tblInd w:w="2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4023"/>
        <w:gridCol w:w="1505"/>
        <w:gridCol w:w="207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4" w:type="dxa"/>
          </w:tcPr>
          <w:p>
            <w:pPr>
              <w:pStyle w:val="9"/>
              <w:spacing w:before="147"/>
              <w:ind w:left="120" w:right="112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序号</w:t>
            </w:r>
          </w:p>
        </w:tc>
        <w:tc>
          <w:tcPr>
            <w:tcW w:w="4023" w:type="dxa"/>
          </w:tcPr>
          <w:p>
            <w:pPr>
              <w:pStyle w:val="9"/>
              <w:spacing w:before="147"/>
              <w:ind w:left="215" w:right="206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制度名称</w:t>
            </w:r>
          </w:p>
        </w:tc>
        <w:tc>
          <w:tcPr>
            <w:tcW w:w="1505" w:type="dxa"/>
          </w:tcPr>
          <w:p>
            <w:pPr>
              <w:pStyle w:val="9"/>
              <w:spacing w:before="147"/>
              <w:ind w:left="193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变更情况</w:t>
            </w:r>
          </w:p>
        </w:tc>
        <w:tc>
          <w:tcPr>
            <w:tcW w:w="2078" w:type="dxa"/>
          </w:tcPr>
          <w:p>
            <w:pPr>
              <w:pStyle w:val="9"/>
              <w:spacing w:before="9" w:line="270" w:lineRule="atLeast"/>
              <w:ind w:left="931" w:right="186" w:hanging="737"/>
              <w:jc w:val="left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是否提交股东会审议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704" w:type="dxa"/>
          </w:tcPr>
          <w:p>
            <w:pPr>
              <w:pStyle w:val="9"/>
              <w:ind w:left="9" w:right="0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1</w:t>
            </w:r>
          </w:p>
        </w:tc>
        <w:tc>
          <w:tcPr>
            <w:tcW w:w="4023" w:type="dxa"/>
          </w:tcPr>
          <w:p>
            <w:pPr>
              <w:pStyle w:val="9"/>
              <w:spacing w:before="10" w:line="270" w:lineRule="atLeast"/>
              <w:ind w:right="174"/>
              <w:jc w:val="left"/>
              <w:rPr>
                <w:rFonts w:hint="eastAsia"/>
                <w:sz w:val="21"/>
              </w:rPr>
            </w:pPr>
            <w:r>
              <w:rPr>
                <w:rFonts w:cs="Times New Roman"/>
                <w:sz w:val="21"/>
                <w:szCs w:val="21"/>
              </w:rPr>
              <w:t>董事会战略与可持续发展（ESG）委员会工作细则</w:t>
            </w:r>
          </w:p>
        </w:tc>
        <w:tc>
          <w:tcPr>
            <w:tcW w:w="1505" w:type="dxa"/>
          </w:tcPr>
          <w:p>
            <w:pPr>
              <w:pStyle w:val="9"/>
              <w:ind w:left="191"/>
              <w:rPr>
                <w:rFonts w:hint="eastAsia"/>
                <w:sz w:val="21"/>
              </w:rPr>
            </w:pPr>
            <w:r>
              <w:rPr>
                <w:sz w:val="21"/>
              </w:rPr>
              <w:t>修订</w:t>
            </w:r>
          </w:p>
        </w:tc>
        <w:tc>
          <w:tcPr>
            <w:tcW w:w="2078" w:type="dxa"/>
          </w:tcPr>
          <w:p>
            <w:pPr>
              <w:pStyle w:val="9"/>
              <w:ind w:right="923"/>
              <w:jc w:val="right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4" w:type="dxa"/>
          </w:tcPr>
          <w:p>
            <w:pPr>
              <w:pStyle w:val="9"/>
              <w:spacing w:before="147"/>
              <w:ind w:left="9" w:right="0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2</w:t>
            </w:r>
          </w:p>
        </w:tc>
        <w:tc>
          <w:tcPr>
            <w:tcW w:w="4023" w:type="dxa"/>
          </w:tcPr>
          <w:p>
            <w:pPr>
              <w:pStyle w:val="9"/>
              <w:spacing w:before="147"/>
              <w:ind w:right="208"/>
              <w:jc w:val="left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  <w:szCs w:val="21"/>
                <w:lang w:val="en-US"/>
              </w:rPr>
              <w:t>ESG管理制度</w:t>
            </w:r>
          </w:p>
        </w:tc>
        <w:tc>
          <w:tcPr>
            <w:tcW w:w="1505" w:type="dxa"/>
          </w:tcPr>
          <w:p>
            <w:pPr>
              <w:pStyle w:val="9"/>
              <w:spacing w:before="147"/>
              <w:ind w:left="191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  <w:lang w:val="en-US"/>
              </w:rPr>
              <w:t>制定</w:t>
            </w:r>
          </w:p>
        </w:tc>
        <w:tc>
          <w:tcPr>
            <w:tcW w:w="2078" w:type="dxa"/>
          </w:tcPr>
          <w:p>
            <w:pPr>
              <w:pStyle w:val="9"/>
              <w:spacing w:before="147"/>
              <w:ind w:right="923"/>
              <w:jc w:val="right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4" w:type="dxa"/>
          </w:tcPr>
          <w:p>
            <w:pPr>
              <w:pStyle w:val="9"/>
              <w:ind w:left="9" w:right="0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3</w:t>
            </w:r>
          </w:p>
        </w:tc>
        <w:tc>
          <w:tcPr>
            <w:tcW w:w="4023" w:type="dxa"/>
          </w:tcPr>
          <w:p>
            <w:pPr>
              <w:pStyle w:val="9"/>
              <w:ind w:right="208"/>
              <w:jc w:val="left"/>
              <w:rPr>
                <w:rFonts w:hint="eastAsia"/>
                <w:sz w:val="21"/>
              </w:rPr>
            </w:pPr>
            <w:r>
              <w:rPr>
                <w:rFonts w:cs="Times New Roman"/>
                <w:sz w:val="21"/>
                <w:szCs w:val="21"/>
              </w:rPr>
              <w:t>商品期货套期保值业务管理制度</w:t>
            </w:r>
          </w:p>
        </w:tc>
        <w:tc>
          <w:tcPr>
            <w:tcW w:w="1505" w:type="dxa"/>
          </w:tcPr>
          <w:p>
            <w:pPr>
              <w:pStyle w:val="9"/>
              <w:ind w:left="191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  <w:lang w:val="en-US"/>
              </w:rPr>
              <w:t>制定</w:t>
            </w:r>
          </w:p>
        </w:tc>
        <w:tc>
          <w:tcPr>
            <w:tcW w:w="2078" w:type="dxa"/>
          </w:tcPr>
          <w:p>
            <w:pPr>
              <w:pStyle w:val="9"/>
              <w:ind w:right="923"/>
              <w:jc w:val="right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否</w:t>
            </w:r>
          </w:p>
        </w:tc>
      </w:tr>
    </w:tbl>
    <w:p>
      <w:pPr>
        <w:pStyle w:val="4"/>
        <w:rPr>
          <w:rFonts w:hint="eastAsia"/>
          <w:sz w:val="20"/>
        </w:rPr>
      </w:pPr>
    </w:p>
    <w:p>
      <w:pPr>
        <w:pStyle w:val="4"/>
        <w:spacing w:before="9"/>
        <w:rPr>
          <w:rFonts w:hint="eastAsia"/>
          <w:sz w:val="20"/>
        </w:rPr>
      </w:pPr>
    </w:p>
    <w:p>
      <w:pPr>
        <w:pStyle w:val="4"/>
        <w:spacing w:before="67"/>
        <w:ind w:left="680"/>
        <w:rPr>
          <w:rFonts w:hint="eastAsia"/>
        </w:rPr>
      </w:pPr>
      <w:r>
        <w:t>特此公告。</w:t>
      </w:r>
    </w:p>
    <w:p>
      <w:pPr>
        <w:pStyle w:val="4"/>
        <w:rPr>
          <w:rFonts w:hint="eastAsia"/>
          <w:sz w:val="20"/>
        </w:rPr>
      </w:pPr>
    </w:p>
    <w:p>
      <w:pPr>
        <w:pStyle w:val="4"/>
        <w:rPr>
          <w:rFonts w:hint="eastAsia"/>
          <w:sz w:val="20"/>
        </w:rPr>
      </w:pPr>
    </w:p>
    <w:p>
      <w:pPr>
        <w:pStyle w:val="4"/>
        <w:spacing w:before="5"/>
        <w:rPr>
          <w:rFonts w:hint="eastAsia"/>
          <w:sz w:val="22"/>
        </w:rPr>
      </w:pPr>
    </w:p>
    <w:p>
      <w:pPr>
        <w:pStyle w:val="4"/>
        <w:spacing w:before="67"/>
        <w:ind w:right="197"/>
        <w:jc w:val="right"/>
        <w:rPr>
          <w:rFonts w:hint="eastAsia"/>
        </w:rPr>
      </w:pPr>
      <w:r>
        <w:rPr>
          <w:rFonts w:hint="eastAsia"/>
          <w:lang w:val="en-US"/>
        </w:rPr>
        <w:t>重庆望变电气（集团）</w:t>
      </w:r>
      <w:r>
        <w:t>股份有限公司</w:t>
      </w:r>
    </w:p>
    <w:p>
      <w:pPr>
        <w:pStyle w:val="4"/>
        <w:spacing w:before="67"/>
        <w:ind w:right="197"/>
        <w:jc w:val="right"/>
        <w:rPr>
          <w:rFonts w:hint="eastAsia"/>
        </w:rPr>
      </w:pPr>
      <w:r>
        <w:t>董事会</w:t>
      </w:r>
    </w:p>
    <w:p>
      <w:pPr>
        <w:pStyle w:val="4"/>
        <w:spacing w:before="11"/>
        <w:rPr>
          <w:rFonts w:hint="eastAsia"/>
          <w:sz w:val="21"/>
        </w:rPr>
      </w:pPr>
    </w:p>
    <w:p>
      <w:pPr>
        <w:pStyle w:val="4"/>
        <w:ind w:right="197"/>
        <w:jc w:val="right"/>
        <w:rPr>
          <w:rFonts w:hint="eastAsia"/>
        </w:rPr>
      </w:pPr>
      <w:r>
        <w:rPr>
          <w:spacing w:val="-1"/>
        </w:rPr>
        <w:t>2026</w:t>
      </w:r>
      <w:r>
        <w:t>年</w:t>
      </w:r>
      <w:r>
        <w:rPr>
          <w:rFonts w:hint="eastAsia"/>
          <w:lang w:val="en-US"/>
        </w:rPr>
        <w:t>8</w:t>
      </w:r>
      <w:r>
        <w:t>月</w:t>
      </w:r>
      <w:r>
        <w:rPr>
          <w:rFonts w:hint="eastAsia"/>
          <w:lang w:val="en-US"/>
        </w:rPr>
        <w:t>27</w:t>
      </w:r>
      <w:r>
        <w:t>日</w:t>
      </w:r>
    </w:p>
    <w:sectPr>
      <w:pgSz w:w="11920" w:h="16860"/>
      <w:pgMar w:top="1600" w:right="1600" w:bottom="280" w:left="16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trackRevisions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yODMxYTE0ZTc0ZGU3Y2QwODc3MzYzN2Q1YmNiM2EifQ=="/>
  </w:docVars>
  <w:rsids>
    <w:rsidRoot w:val="00CE45F7"/>
    <w:rsid w:val="0008639E"/>
    <w:rsid w:val="007D0DFC"/>
    <w:rsid w:val="00C62597"/>
    <w:rsid w:val="00CE45F7"/>
    <w:rsid w:val="039C674E"/>
    <w:rsid w:val="0BCC767C"/>
    <w:rsid w:val="13007388"/>
    <w:rsid w:val="1DF05D17"/>
    <w:rsid w:val="24B1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1"/>
      <w:ind w:left="202" w:right="204"/>
      <w:jc w:val="center"/>
      <w:outlineLvl w:val="0"/>
    </w:pPr>
    <w:rPr>
      <w:rFonts w:ascii="黑体" w:hAnsi="黑体" w:eastAsia="黑体" w:cs="黑体"/>
      <w:b/>
      <w:bCs/>
      <w:sz w:val="36"/>
      <w:szCs w:val="36"/>
    </w:rPr>
  </w:style>
  <w:style w:type="paragraph" w:styleId="3">
    <w:name w:val="heading 2"/>
    <w:basedOn w:val="1"/>
    <w:next w:val="1"/>
    <w:qFormat/>
    <w:uiPriority w:val="1"/>
    <w:pPr>
      <w:spacing w:before="116"/>
      <w:ind w:left="200"/>
      <w:outlineLvl w:val="1"/>
    </w:pPr>
    <w:rPr>
      <w:b/>
      <w:bCs/>
      <w:sz w:val="24"/>
      <w:szCs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4"/>
      <w:szCs w:val="24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pPr>
      <w:spacing w:before="146"/>
      <w:ind w:right="187"/>
      <w:jc w:val="center"/>
    </w:pPr>
  </w:style>
  <w:style w:type="paragraph" w:customStyle="1" w:styleId="10">
    <w:name w:val="Revision"/>
    <w:hidden/>
    <w:unhideWhenUsed/>
    <w:uiPriority w:val="99"/>
    <w:rPr>
      <w:rFonts w:ascii="宋体" w:hAnsi="宋体" w:eastAsia="宋体" w:cs="宋体"/>
      <w:sz w:val="22"/>
      <w:szCs w:val="2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682</Words>
  <Characters>720</Characters>
  <Lines>30</Lines>
  <Paragraphs>30</Paragraphs>
  <TotalTime>11</TotalTime>
  <ScaleCrop>false</ScaleCrop>
  <LinksUpToDate>false</LinksUpToDate>
  <CharactersWithSpaces>722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2026-08-05T02:43:00Z</dcterms:created>
  <dc:creator>HUAWEI</dc:creator>
  <cp:lastModifiedBy>雯亦</cp:lastModifiedBy>
  <dcterms:modified xsi:type="dcterms:W3CDTF">2026-08-26T02:57:30Z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2025-12-31T00:00:00Z</vt:filetime>
  </property>
  <property fmtid="{D5CDD505-2E9C-101B-9397-08002B2CF9AE}" pid="3" name="Creator">
    <vt:lpwstr>WPS Office WWO_wpscloud_20251021145006-a76f7e5ab8</vt:lpwstr>
  </property>
  <property fmtid="{D5CDD505-2E9C-101B-9397-08002B2CF9AE}" pid="4" name="LastSaved">
    <vt:filetime>2026-08-05T00:00:00Z</vt:filetime>
  </property>
  <property fmtid="{D5CDD505-2E9C-101B-9397-08002B2CF9AE}" pid="5" name="KSOProductBuildVer">
    <vt:lpwstr>2052-11.1.0.12165</vt:lpwstr>
  </property>
  <property fmtid="{D5CDD505-2E9C-101B-9397-08002B2CF9AE}" pid="6" name="ICV">
    <vt:lpwstr>40C318A6E20F425E9E8D2016BAFCF583</vt:lpwstr>
  </property>
</Properties>
</file>