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default" w:ascii="宋体" w:hAnsi="宋体" w:eastAsia="宋体"/>
          <w:b/>
          <w:sz w:val="24"/>
          <w:szCs w:val="24"/>
          <w:lang w:val="en-US" w:eastAsia="zh-CN"/>
        </w:rPr>
      </w:pPr>
      <w:r>
        <w:rPr>
          <w:rFonts w:hint="eastAsia" w:ascii="宋体" w:hAnsi="宋体"/>
          <w:b/>
          <w:sz w:val="24"/>
          <w:szCs w:val="24"/>
        </w:rPr>
        <w:t>证券代码：</w:t>
      </w:r>
      <w:r>
        <w:rPr>
          <w:rFonts w:ascii="宋体" w:hAnsi="宋体"/>
          <w:b/>
          <w:sz w:val="24"/>
          <w:szCs w:val="24"/>
        </w:rPr>
        <w:t>603191</w:t>
      </w:r>
      <w:r>
        <w:rPr>
          <w:rFonts w:hint="eastAsia" w:ascii="宋体" w:hAnsi="宋体"/>
          <w:b/>
          <w:sz w:val="24"/>
          <w:szCs w:val="24"/>
        </w:rPr>
        <w:t xml:space="preserve">         证券简称：望变电气       公告编号：2</w:t>
      </w:r>
      <w:r>
        <w:rPr>
          <w:rFonts w:ascii="宋体" w:hAnsi="宋体"/>
          <w:b/>
          <w:sz w:val="24"/>
          <w:szCs w:val="24"/>
        </w:rPr>
        <w:t>02</w:t>
      </w:r>
      <w:r>
        <w:rPr>
          <w:rFonts w:hint="eastAsia" w:ascii="宋体" w:hAnsi="宋体"/>
          <w:b/>
          <w:sz w:val="24"/>
          <w:szCs w:val="24"/>
        </w:rPr>
        <w:t>6-</w:t>
      </w:r>
      <w:r>
        <w:rPr>
          <w:rFonts w:hint="eastAsia" w:ascii="宋体" w:hAnsi="宋体"/>
          <w:b/>
          <w:sz w:val="24"/>
          <w:szCs w:val="24"/>
          <w:lang w:val="en-US" w:eastAsia="zh-CN"/>
        </w:rPr>
        <w:t>056</w:t>
      </w:r>
    </w:p>
    <w:p>
      <w:pPr>
        <w:adjustRightInd w:val="0"/>
        <w:snapToGrid w:val="0"/>
        <w:spacing w:before="156" w:beforeLines="50" w:line="560" w:lineRule="exact"/>
        <w:jc w:val="center"/>
        <w:rPr>
          <w:rFonts w:hint="eastAsia" w:ascii="宋体" w:hAnsi="宋体" w:cs="仿宋_GB2312"/>
          <w:b/>
          <w:bCs/>
          <w:color w:val="FF0000"/>
          <w:sz w:val="36"/>
          <w:szCs w:val="36"/>
        </w:rPr>
      </w:pPr>
      <w:r>
        <w:rPr>
          <w:rFonts w:hint="eastAsia" w:ascii="宋体" w:hAnsi="宋体" w:cs="仿宋_GB2312"/>
          <w:b/>
          <w:bCs/>
          <w:color w:val="FF0000"/>
          <w:sz w:val="36"/>
          <w:szCs w:val="36"/>
        </w:rPr>
        <w:t>重庆望变电气（集团）股份有限公司</w:t>
      </w:r>
    </w:p>
    <w:p>
      <w:pPr>
        <w:adjustRightInd w:val="0"/>
        <w:snapToGrid w:val="0"/>
        <w:spacing w:before="156" w:beforeLines="50" w:line="560" w:lineRule="exact"/>
        <w:jc w:val="center"/>
        <w:rPr>
          <w:rFonts w:hint="eastAsia" w:ascii="宋体" w:hAnsi="宋体" w:cs="仿宋_GB2312"/>
          <w:b/>
          <w:bCs/>
          <w:color w:val="FF0000"/>
          <w:sz w:val="36"/>
          <w:szCs w:val="36"/>
        </w:rPr>
      </w:pPr>
      <w:r>
        <w:rPr>
          <w:rFonts w:ascii="宋体" w:hAnsi="宋体" w:cs="仿宋_GB2312"/>
          <w:b/>
          <w:bCs/>
          <w:color w:val="FF0000"/>
          <w:sz w:val="36"/>
          <w:szCs w:val="36"/>
        </w:rPr>
        <w:t>关于签订募集资金专户存储三方监管协议的公告</w:t>
      </w:r>
    </w:p>
    <w:p>
      <w:pPr>
        <w:adjustRightInd w:val="0"/>
        <w:snapToGrid w:val="0"/>
        <w:spacing w:before="156" w:beforeLines="50" w:line="560" w:lineRule="exact"/>
        <w:jc w:val="center"/>
        <w:rPr>
          <w:rFonts w:hint="eastAsia" w:ascii="仿宋_GB2312" w:hAnsi="仿宋_GB2312" w:eastAsia="仿宋_GB2312" w:cs="仿宋_GB2312"/>
          <w:b/>
          <w:bCs/>
          <w:sz w:val="30"/>
          <w:szCs w:val="30"/>
        </w:rPr>
      </w:pPr>
    </w:p>
    <w:p>
      <w:pPr>
        <w:pBdr>
          <w:top w:val="single" w:color="auto" w:sz="4" w:space="1"/>
          <w:left w:val="single" w:color="auto" w:sz="4" w:space="4"/>
          <w:bottom w:val="single" w:color="auto" w:sz="4" w:space="1"/>
          <w:right w:val="single" w:color="auto" w:sz="4" w:space="4"/>
        </w:pBdr>
        <w:adjustRightInd w:val="0"/>
        <w:snapToGrid w:val="0"/>
        <w:spacing w:line="560" w:lineRule="exact"/>
        <w:ind w:firstLine="480" w:firstLineChars="200"/>
        <w:rPr>
          <w:rFonts w:hint="eastAsia" w:ascii="宋体" w:hAnsi="宋体"/>
          <w:sz w:val="24"/>
          <w:szCs w:val="24"/>
        </w:rPr>
      </w:pPr>
      <w:r>
        <w:rPr>
          <w:rFonts w:hint="eastAsia" w:ascii="仿宋" w:hAnsi="仿宋" w:eastAsia="仿宋"/>
          <w:sz w:val="24"/>
          <w:szCs w:val="24"/>
        </w:rPr>
        <w:t>本公司董事会及全体董事保证本公告内容不存在任何虚假记载、误导性陈述或者重大遗漏，并对其内容的真实性、准确性和完整性承担法律责任</w:t>
      </w:r>
      <w:r>
        <w:rPr>
          <w:rFonts w:hint="eastAsia" w:ascii="宋体" w:hAnsi="宋体"/>
          <w:sz w:val="24"/>
          <w:szCs w:val="24"/>
        </w:rPr>
        <w:t>。</w:t>
      </w:r>
    </w:p>
    <w:p>
      <w:pPr>
        <w:adjustRightInd w:val="0"/>
        <w:snapToGrid w:val="0"/>
        <w:spacing w:before="156" w:beforeLines="50" w:line="360" w:lineRule="auto"/>
        <w:ind w:firstLine="420" w:firstLineChars="200"/>
        <w:outlineLvl w:val="0"/>
        <w:rPr>
          <w:rFonts w:hint="eastAsia" w:ascii="宋体" w:hAnsi="宋体"/>
          <w:szCs w:val="21"/>
        </w:rPr>
      </w:pPr>
    </w:p>
    <w:p>
      <w:pPr>
        <w:adjustRightInd w:val="0"/>
        <w:snapToGrid w:val="0"/>
        <w:spacing w:before="156" w:beforeLines="50" w:line="360" w:lineRule="auto"/>
        <w:ind w:firstLine="482" w:firstLineChars="200"/>
        <w:outlineLvl w:val="0"/>
        <w:rPr>
          <w:rFonts w:hint="eastAsia" w:ascii="宋体" w:hAnsi="宋体" w:cs="宋体"/>
          <w:b/>
          <w:bCs/>
          <w:sz w:val="24"/>
          <w:szCs w:val="24"/>
        </w:rPr>
      </w:pPr>
      <w:r>
        <w:rPr>
          <w:rFonts w:hint="eastAsia" w:ascii="宋体" w:hAnsi="宋体" w:cs="宋体"/>
          <w:b/>
          <w:bCs/>
          <w:sz w:val="24"/>
          <w:szCs w:val="24"/>
        </w:rPr>
        <w:t>一、募集资金基本情况</w:t>
      </w:r>
    </w:p>
    <w:p>
      <w:pPr>
        <w:adjustRightInd w:val="0"/>
        <w:snapToGrid w:val="0"/>
        <w:spacing w:line="560" w:lineRule="exact"/>
        <w:ind w:firstLine="480" w:firstLineChars="200"/>
        <w:rPr>
          <w:rFonts w:hint="eastAsia" w:ascii="宋体" w:hAnsi="宋体" w:cstheme="minorBidi"/>
          <w:sz w:val="24"/>
          <w:szCs w:val="24"/>
        </w:rPr>
      </w:pPr>
      <w:bookmarkStart w:id="0" w:name="OLE_LINK1"/>
      <w:r>
        <w:rPr>
          <w:rFonts w:hint="eastAsia" w:ascii="宋体" w:hAnsi="宋体" w:cstheme="minorBidi"/>
          <w:sz w:val="24"/>
          <w:szCs w:val="24"/>
        </w:rPr>
        <w:t>经中国证券监督管理委员会《关于同意重庆望变电气(集团)股份有限公司向特定对象发行股票注册的批复》（证监许可〔2026〕1824号）同意，重庆望变电气（集团）股份有限公司（以下简称“公司”）向特定对象发行A股股票19,493,177股，每股发行价格为人民币11.71元，募集资金总额人民币</w:t>
      </w:r>
      <w:r>
        <w:rPr>
          <w:rFonts w:ascii="宋体" w:hAnsi="宋体" w:cstheme="minorBidi"/>
          <w:sz w:val="24"/>
          <w:szCs w:val="24"/>
        </w:rPr>
        <w:t>228,265,102.67</w:t>
      </w:r>
      <w:r>
        <w:rPr>
          <w:rFonts w:hint="eastAsia" w:ascii="宋体" w:hAnsi="宋体" w:cstheme="minorBidi"/>
          <w:sz w:val="24"/>
          <w:szCs w:val="24"/>
        </w:rPr>
        <w:t>元，扣除与发行有关的费用不含税人民币</w:t>
      </w:r>
      <w:r>
        <w:rPr>
          <w:rFonts w:ascii="宋体" w:hAnsi="宋体" w:cstheme="minorBidi"/>
          <w:sz w:val="24"/>
          <w:szCs w:val="24"/>
        </w:rPr>
        <w:t>2,286,179.43</w:t>
      </w:r>
      <w:r>
        <w:rPr>
          <w:rFonts w:hint="eastAsia" w:ascii="宋体" w:hAnsi="宋体" w:cstheme="minorBidi"/>
          <w:sz w:val="24"/>
          <w:szCs w:val="24"/>
        </w:rPr>
        <w:t>元，实际募集资金净额为人民币</w:t>
      </w:r>
      <w:r>
        <w:rPr>
          <w:rFonts w:ascii="宋体" w:hAnsi="宋体" w:cstheme="minorBidi"/>
          <w:sz w:val="24"/>
          <w:szCs w:val="24"/>
        </w:rPr>
        <w:t>225,978,923.24</w:t>
      </w:r>
      <w:r>
        <w:rPr>
          <w:rFonts w:hint="eastAsia" w:ascii="宋体" w:hAnsi="宋体" w:cstheme="minorBidi"/>
          <w:sz w:val="24"/>
          <w:szCs w:val="24"/>
        </w:rPr>
        <w:t>元。截至2026年8月20日，募集资金已足额划至公司本次发行募集资金专户。2026年8月20日，天健会计师事务所（特殊普通合伙）出具了《验资报告》（</w:t>
      </w:r>
      <w:r>
        <w:rPr>
          <w:rFonts w:ascii="宋体" w:hAnsi="宋体" w:cstheme="minorBidi"/>
          <w:sz w:val="24"/>
          <w:szCs w:val="24"/>
        </w:rPr>
        <w:t>天健验〔2026〕8-12号</w:t>
      </w:r>
      <w:r>
        <w:rPr>
          <w:rFonts w:hint="eastAsia" w:ascii="宋体" w:hAnsi="宋体" w:cstheme="minorBidi"/>
          <w:sz w:val="24"/>
          <w:szCs w:val="24"/>
        </w:rPr>
        <w:t>）。</w:t>
      </w:r>
      <w:bookmarkEnd w:id="0"/>
    </w:p>
    <w:p>
      <w:pPr>
        <w:adjustRightInd w:val="0"/>
        <w:snapToGrid w:val="0"/>
        <w:spacing w:before="156" w:beforeLines="50" w:line="360" w:lineRule="auto"/>
        <w:ind w:firstLine="482" w:firstLineChars="200"/>
        <w:outlineLvl w:val="0"/>
        <w:rPr>
          <w:rFonts w:hint="eastAsia" w:ascii="宋体" w:hAnsi="宋体" w:cs="宋体"/>
          <w:b/>
          <w:bCs/>
          <w:sz w:val="24"/>
          <w:szCs w:val="24"/>
        </w:rPr>
      </w:pPr>
      <w:r>
        <w:rPr>
          <w:rFonts w:hint="eastAsia" w:ascii="宋体" w:hAnsi="宋体" w:cs="宋体"/>
          <w:b/>
          <w:bCs/>
          <w:sz w:val="24"/>
          <w:szCs w:val="24"/>
        </w:rPr>
        <w:t>二、《募集资金专户存储三方监管协议》的签订情况和募集资金专户的开立情况</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为规范募集资金管理和使用，保护投资者合法权益，根据《上市公司募集资金监管规则》等法律法规，并经公司股东会及董事会的授权，近日，公司及本次发行的保荐人中信证券股份有限公司（以下简称“保荐人”“中信证券”）与招商银行股份有限公司重庆长寿支行签订了《募集资金专户存储三方监管协议》（以下简称“协议”）。该协议与上海证券交易所《募集资金专户存储三方监管协议（范本）》不存在重大差异。公司本次专户的开立及存储情况如下：</w:t>
      </w:r>
    </w:p>
    <w:tbl>
      <w:tblPr>
        <w:tblStyle w:val="8"/>
        <w:tblW w:w="4998" w:type="pct"/>
        <w:tblInd w:w="0" w:type="dxa"/>
        <w:tblBorders>
          <w:top w:val="single" w:color="DDDDDD" w:sz="8" w:space="0"/>
          <w:left w:val="single" w:color="DDDDDD" w:sz="8" w:space="0"/>
          <w:bottom w:val="single" w:color="DDDDDD" w:sz="8" w:space="0"/>
          <w:right w:val="single" w:color="DDDDDD" w:sz="8"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1733"/>
        <w:gridCol w:w="1604"/>
        <w:gridCol w:w="1893"/>
        <w:gridCol w:w="1748"/>
        <w:gridCol w:w="1525"/>
      </w:tblGrid>
      <w:tr>
        <w:tblPrEx>
          <w:tblBorders>
            <w:top w:val="single" w:color="DDDDDD" w:sz="8" w:space="0"/>
            <w:left w:val="single" w:color="DDDDDD" w:sz="8" w:space="0"/>
            <w:bottom w:val="single" w:color="DDDDDD" w:sz="8" w:space="0"/>
            <w:right w:val="single" w:color="DDDDDD" w:sz="8" w:space="0"/>
            <w:insideH w:val="outset" w:color="auto" w:sz="6" w:space="0"/>
            <w:insideV w:val="outset" w:color="auto" w:sz="6" w:space="0"/>
          </w:tblBorders>
          <w:shd w:val="clear" w:color="auto" w:fill="FFFFFF"/>
          <w:tblCellMar>
            <w:top w:w="0" w:type="dxa"/>
            <w:left w:w="0" w:type="dxa"/>
            <w:bottom w:w="0" w:type="dxa"/>
            <w:right w:w="0" w:type="dxa"/>
          </w:tblCellMar>
        </w:tblPrEx>
        <w:trPr>
          <w:tblHeader/>
        </w:trPr>
        <w:tc>
          <w:tcPr>
            <w:tcW w:w="1019" w:type="pct"/>
            <w:tcBorders>
              <w:top w:val="single" w:color="000000" w:sz="12" w:space="0"/>
              <w:left w:val="single" w:color="000000" w:sz="12" w:space="0"/>
              <w:bottom w:val="single" w:color="000000" w:sz="4" w:space="0"/>
              <w:right w:val="single" w:color="000000" w:sz="4" w:space="0"/>
              <w:tl2br w:val="nil"/>
            </w:tcBorders>
            <w:shd w:val="clear" w:color="auto" w:fill="FFFFFF"/>
            <w:tcMar>
              <w:top w:w="100" w:type="dxa"/>
              <w:left w:w="100" w:type="dxa"/>
              <w:bottom w:w="100" w:type="dxa"/>
              <w:right w:w="100" w:type="dxa"/>
            </w:tcMar>
            <w:vAlign w:val="center"/>
          </w:tcPr>
          <w:p>
            <w:pPr>
              <w:widowControl/>
              <w:wordWrap w:val="0"/>
              <w:jc w:val="center"/>
              <w:rPr>
                <w:rFonts w:hint="eastAsia" w:ascii="宋体" w:hAnsi="宋体" w:cs="宋体"/>
                <w:b/>
                <w:bCs/>
                <w:color w:val="000000"/>
                <w:szCs w:val="21"/>
              </w:rPr>
            </w:pPr>
            <w:r>
              <w:rPr>
                <w:rFonts w:hint="eastAsia" w:ascii="宋体" w:hAnsi="宋体" w:cs="宋体"/>
                <w:b/>
                <w:bCs/>
                <w:color w:val="000000"/>
                <w:kern w:val="0"/>
                <w:szCs w:val="21"/>
                <w:lang w:bidi="ar"/>
              </w:rPr>
              <w:t>账户名称</w:t>
            </w:r>
          </w:p>
        </w:tc>
        <w:tc>
          <w:tcPr>
            <w:tcW w:w="943" w:type="pct"/>
            <w:tcBorders>
              <w:top w:val="single" w:color="000000" w:sz="12" w:space="0"/>
              <w:left w:val="single" w:color="000000" w:sz="4" w:space="0"/>
              <w:bottom w:val="single" w:color="000000" w:sz="4" w:space="0"/>
              <w:right w:val="single" w:color="000000" w:sz="4" w:space="0"/>
            </w:tcBorders>
            <w:shd w:val="clear" w:color="auto" w:fill="FFFFFF"/>
            <w:tcMar>
              <w:top w:w="100" w:type="dxa"/>
              <w:left w:w="100" w:type="dxa"/>
              <w:bottom w:w="100" w:type="dxa"/>
              <w:right w:w="100" w:type="dxa"/>
            </w:tcMar>
            <w:vAlign w:val="center"/>
          </w:tcPr>
          <w:p>
            <w:pPr>
              <w:widowControl/>
              <w:wordWrap w:val="0"/>
              <w:jc w:val="center"/>
              <w:rPr>
                <w:rFonts w:hint="eastAsia" w:ascii="宋体" w:hAnsi="宋体" w:cs="宋体"/>
                <w:b/>
                <w:bCs/>
                <w:color w:val="000000"/>
                <w:szCs w:val="21"/>
              </w:rPr>
            </w:pPr>
            <w:r>
              <w:rPr>
                <w:rFonts w:hint="eastAsia" w:ascii="宋体" w:hAnsi="宋体" w:cs="宋体"/>
                <w:b/>
                <w:bCs/>
                <w:color w:val="000000"/>
                <w:kern w:val="0"/>
                <w:szCs w:val="21"/>
                <w:lang w:bidi="ar"/>
              </w:rPr>
              <w:t>开户行名称</w:t>
            </w:r>
          </w:p>
        </w:tc>
        <w:tc>
          <w:tcPr>
            <w:tcW w:w="1113" w:type="pct"/>
            <w:tcBorders>
              <w:top w:val="single" w:color="000000" w:sz="12" w:space="0"/>
              <w:left w:val="single" w:color="000000" w:sz="4" w:space="0"/>
              <w:bottom w:val="single" w:color="000000" w:sz="4" w:space="0"/>
              <w:right w:val="single" w:color="000000" w:sz="4" w:space="0"/>
            </w:tcBorders>
            <w:shd w:val="clear" w:color="auto" w:fill="FFFFFF"/>
            <w:tcMar>
              <w:top w:w="100" w:type="dxa"/>
              <w:left w:w="100" w:type="dxa"/>
              <w:bottom w:w="100" w:type="dxa"/>
              <w:right w:w="100" w:type="dxa"/>
            </w:tcMar>
            <w:vAlign w:val="center"/>
          </w:tcPr>
          <w:p>
            <w:pPr>
              <w:widowControl/>
              <w:wordWrap w:val="0"/>
              <w:jc w:val="center"/>
              <w:rPr>
                <w:rFonts w:hint="eastAsia" w:ascii="宋体" w:hAnsi="宋体" w:cs="宋体"/>
                <w:b/>
                <w:bCs/>
                <w:color w:val="000000"/>
                <w:szCs w:val="21"/>
              </w:rPr>
            </w:pPr>
            <w:r>
              <w:rPr>
                <w:rFonts w:hint="eastAsia" w:ascii="宋体" w:hAnsi="宋体" w:cs="宋体"/>
                <w:b/>
                <w:bCs/>
                <w:color w:val="000000"/>
                <w:kern w:val="0"/>
                <w:szCs w:val="21"/>
                <w:lang w:bidi="ar"/>
              </w:rPr>
              <w:t>银行账号</w:t>
            </w:r>
          </w:p>
        </w:tc>
        <w:tc>
          <w:tcPr>
            <w:tcW w:w="1028" w:type="pct"/>
            <w:tcBorders>
              <w:top w:val="single" w:color="000000" w:sz="12" w:space="0"/>
              <w:left w:val="single" w:color="000000" w:sz="4" w:space="0"/>
              <w:bottom w:val="single" w:color="000000" w:sz="4" w:space="0"/>
              <w:right w:val="single" w:color="000000" w:sz="4" w:space="0"/>
            </w:tcBorders>
            <w:shd w:val="clear" w:color="auto" w:fill="FFFFFF"/>
            <w:tcMar>
              <w:top w:w="100" w:type="dxa"/>
              <w:left w:w="100" w:type="dxa"/>
              <w:bottom w:w="100" w:type="dxa"/>
              <w:right w:w="100" w:type="dxa"/>
            </w:tcMar>
            <w:vAlign w:val="center"/>
          </w:tcPr>
          <w:p>
            <w:pPr>
              <w:widowControl/>
              <w:wordWrap w:val="0"/>
              <w:jc w:val="center"/>
              <w:rPr>
                <w:rFonts w:hint="eastAsia" w:ascii="宋体" w:hAnsi="宋体" w:cs="宋体"/>
                <w:b/>
                <w:bCs/>
                <w:color w:val="000000"/>
                <w:szCs w:val="21"/>
              </w:rPr>
            </w:pPr>
            <w:r>
              <w:rPr>
                <w:rFonts w:hint="eastAsia" w:ascii="宋体" w:hAnsi="宋体" w:cs="宋体"/>
                <w:b/>
                <w:bCs/>
                <w:color w:val="000000"/>
                <w:kern w:val="0"/>
                <w:szCs w:val="21"/>
                <w:lang w:bidi="ar"/>
              </w:rPr>
              <w:t>存储金额（元）</w:t>
            </w:r>
          </w:p>
        </w:tc>
        <w:tc>
          <w:tcPr>
            <w:tcW w:w="897" w:type="pct"/>
            <w:tcBorders>
              <w:top w:val="single" w:color="000000" w:sz="12" w:space="0"/>
              <w:left w:val="single" w:color="000000" w:sz="4" w:space="0"/>
              <w:bottom w:val="single" w:color="000000" w:sz="4" w:space="0"/>
              <w:right w:val="single" w:color="000000" w:sz="12" w:space="0"/>
            </w:tcBorders>
            <w:shd w:val="clear" w:color="auto" w:fill="FFFFFF"/>
            <w:tcMar>
              <w:top w:w="100" w:type="dxa"/>
              <w:left w:w="100" w:type="dxa"/>
              <w:bottom w:w="100" w:type="dxa"/>
              <w:right w:w="100" w:type="dxa"/>
            </w:tcMar>
            <w:vAlign w:val="center"/>
          </w:tcPr>
          <w:p>
            <w:pPr>
              <w:widowControl/>
              <w:wordWrap w:val="0"/>
              <w:jc w:val="center"/>
              <w:rPr>
                <w:rFonts w:hint="eastAsia" w:ascii="宋体" w:hAnsi="宋体" w:cs="宋体"/>
                <w:b/>
                <w:bCs/>
                <w:color w:val="000000"/>
                <w:szCs w:val="21"/>
              </w:rPr>
            </w:pPr>
            <w:r>
              <w:rPr>
                <w:rFonts w:hint="eastAsia" w:ascii="宋体" w:hAnsi="宋体" w:cs="宋体"/>
                <w:b/>
                <w:bCs/>
                <w:color w:val="000000"/>
                <w:kern w:val="0"/>
                <w:szCs w:val="21"/>
                <w:lang w:bidi="ar"/>
              </w:rPr>
              <w:t>用途</w:t>
            </w:r>
          </w:p>
        </w:tc>
      </w:tr>
      <w:tr>
        <w:tblPrEx>
          <w:tblBorders>
            <w:top w:val="single" w:color="DDDDDD" w:sz="8" w:space="0"/>
            <w:left w:val="single" w:color="DDDDDD" w:sz="8" w:space="0"/>
            <w:bottom w:val="single" w:color="DDDDDD" w:sz="8" w:space="0"/>
            <w:right w:val="single" w:color="DDDDDD" w:sz="8" w:space="0"/>
            <w:insideH w:val="outset" w:color="auto" w:sz="6" w:space="0"/>
            <w:insideV w:val="outset" w:color="auto" w:sz="6" w:space="0"/>
          </w:tblBorders>
          <w:shd w:val="clear" w:color="auto" w:fill="FFFFFF"/>
          <w:tblCellMar>
            <w:top w:w="0" w:type="dxa"/>
            <w:left w:w="0" w:type="dxa"/>
            <w:bottom w:w="0" w:type="dxa"/>
            <w:right w:w="0" w:type="dxa"/>
          </w:tblCellMar>
        </w:tblPrEx>
        <w:tc>
          <w:tcPr>
            <w:tcW w:w="1019" w:type="pct"/>
            <w:tcBorders>
              <w:top w:val="single" w:color="000000" w:sz="4" w:space="0"/>
              <w:left w:val="single" w:color="000000" w:sz="12" w:space="0"/>
              <w:bottom w:val="single" w:color="000000" w:sz="12" w:space="0"/>
              <w:right w:val="single" w:color="000000" w:sz="4" w:space="0"/>
            </w:tcBorders>
            <w:shd w:val="clear" w:color="auto" w:fill="FFFFFF"/>
            <w:tcMar>
              <w:top w:w="100" w:type="dxa"/>
              <w:left w:w="100" w:type="dxa"/>
              <w:bottom w:w="100" w:type="dxa"/>
              <w:right w:w="100" w:type="dxa"/>
            </w:tcMar>
            <w:vAlign w:val="center"/>
          </w:tcPr>
          <w:p>
            <w:pPr>
              <w:widowControl/>
              <w:wordWrap w:val="0"/>
              <w:jc w:val="center"/>
              <w:rPr>
                <w:rFonts w:hint="eastAsia" w:ascii="宋体" w:hAnsi="宋体" w:cs="宋体"/>
                <w:color w:val="000000"/>
                <w:szCs w:val="21"/>
              </w:rPr>
            </w:pPr>
            <w:r>
              <w:rPr>
                <w:rFonts w:hint="eastAsia" w:ascii="宋体" w:hAnsi="宋体" w:cs="宋体"/>
                <w:color w:val="000000"/>
                <w:kern w:val="0"/>
                <w:szCs w:val="21"/>
                <w:lang w:bidi="ar"/>
              </w:rPr>
              <w:t>重庆望变电气（集团）股份有限公司</w:t>
            </w:r>
          </w:p>
        </w:tc>
        <w:tc>
          <w:tcPr>
            <w:tcW w:w="943" w:type="pct"/>
            <w:tcBorders>
              <w:top w:val="single" w:color="000000" w:sz="4" w:space="0"/>
              <w:left w:val="single" w:color="000000" w:sz="4" w:space="0"/>
              <w:bottom w:val="single" w:color="000000" w:sz="12" w:space="0"/>
              <w:right w:val="single" w:color="000000" w:sz="4" w:space="0"/>
            </w:tcBorders>
            <w:shd w:val="clear" w:color="auto" w:fill="FFFFFF"/>
            <w:tcMar>
              <w:top w:w="100" w:type="dxa"/>
              <w:left w:w="100" w:type="dxa"/>
              <w:bottom w:w="100" w:type="dxa"/>
              <w:right w:w="100" w:type="dxa"/>
            </w:tcMar>
            <w:vAlign w:val="center"/>
          </w:tcPr>
          <w:p>
            <w:pPr>
              <w:widowControl/>
              <w:wordWrap w:val="0"/>
              <w:jc w:val="center"/>
              <w:rPr>
                <w:rFonts w:hint="eastAsia" w:ascii="宋体" w:hAnsi="宋体" w:cs="宋体"/>
                <w:color w:val="000000"/>
                <w:szCs w:val="21"/>
              </w:rPr>
            </w:pPr>
            <w:r>
              <w:rPr>
                <w:rFonts w:hint="eastAsia" w:ascii="宋体" w:hAnsi="宋体" w:cs="宋体"/>
                <w:color w:val="000000"/>
                <w:kern w:val="0"/>
                <w:szCs w:val="21"/>
                <w:lang w:bidi="ar"/>
              </w:rPr>
              <w:t>招商银行股份有限公司重庆长寿支行</w:t>
            </w:r>
          </w:p>
        </w:tc>
        <w:tc>
          <w:tcPr>
            <w:tcW w:w="1113" w:type="pct"/>
            <w:tcBorders>
              <w:top w:val="single" w:color="000000" w:sz="4" w:space="0"/>
              <w:left w:val="single" w:color="000000" w:sz="4" w:space="0"/>
              <w:bottom w:val="single" w:color="000000" w:sz="12" w:space="0"/>
              <w:right w:val="single" w:color="000000" w:sz="4" w:space="0"/>
            </w:tcBorders>
            <w:shd w:val="clear" w:color="auto" w:fill="FFFFFF"/>
            <w:tcMar>
              <w:top w:w="100" w:type="dxa"/>
              <w:left w:w="100" w:type="dxa"/>
              <w:bottom w:w="100" w:type="dxa"/>
              <w:right w:w="100" w:type="dxa"/>
            </w:tcMar>
            <w:vAlign w:val="center"/>
          </w:tcPr>
          <w:p>
            <w:pPr>
              <w:widowControl/>
              <w:wordWrap w:val="0"/>
              <w:jc w:val="center"/>
              <w:rPr>
                <w:rFonts w:ascii="Times New Roman Regular" w:hAnsi="Times New Roman Regular" w:cs="Times New Roman Regular"/>
                <w:color w:val="000000"/>
                <w:szCs w:val="21"/>
              </w:rPr>
            </w:pPr>
            <w:r>
              <w:rPr>
                <w:rFonts w:ascii="Times New Roman Regular" w:hAnsi="Times New Roman Regular" w:cs="Times New Roman Regular"/>
                <w:color w:val="000000"/>
                <w:kern w:val="0"/>
                <w:szCs w:val="21"/>
                <w:lang w:bidi="ar"/>
              </w:rPr>
              <w:t>123905910610008</w:t>
            </w:r>
          </w:p>
        </w:tc>
        <w:tc>
          <w:tcPr>
            <w:tcW w:w="1028" w:type="pct"/>
            <w:tcBorders>
              <w:top w:val="single" w:color="000000" w:sz="4" w:space="0"/>
              <w:left w:val="single" w:color="000000" w:sz="4" w:space="0"/>
              <w:bottom w:val="single" w:color="000000" w:sz="12" w:space="0"/>
              <w:right w:val="single" w:color="000000" w:sz="4" w:space="0"/>
            </w:tcBorders>
            <w:shd w:val="clear" w:color="auto" w:fill="FFFFFF"/>
            <w:tcMar>
              <w:top w:w="100" w:type="dxa"/>
              <w:left w:w="100" w:type="dxa"/>
              <w:bottom w:w="100" w:type="dxa"/>
              <w:right w:w="100" w:type="dxa"/>
            </w:tcMar>
            <w:vAlign w:val="center"/>
          </w:tcPr>
          <w:p>
            <w:pPr>
              <w:widowControl/>
              <w:wordWrap w:val="0"/>
              <w:jc w:val="center"/>
              <w:rPr>
                <w:rFonts w:hint="default" w:ascii="Times New Roman Regular" w:hAnsi="Times New Roman Regular" w:eastAsia="宋体" w:cs="Times New Roman Regular"/>
                <w:color w:val="000000"/>
                <w:szCs w:val="21"/>
                <w:lang w:val="en-US" w:eastAsia="zh-CN"/>
              </w:rPr>
            </w:pPr>
            <w:r>
              <w:rPr>
                <w:rFonts w:hint="eastAsia" w:ascii="Times New Roman Regular" w:hAnsi="Times New Roman Regular" w:cs="Times New Roman Regular"/>
                <w:color w:val="000000"/>
                <w:kern w:val="0"/>
                <w:szCs w:val="21"/>
                <w:lang w:val="en-US" w:eastAsia="zh-CN" w:bidi="ar"/>
              </w:rPr>
              <w:t>227,038,687.58</w:t>
            </w:r>
          </w:p>
        </w:tc>
        <w:tc>
          <w:tcPr>
            <w:tcW w:w="897" w:type="pct"/>
            <w:tcBorders>
              <w:top w:val="single" w:color="000000" w:sz="4" w:space="0"/>
              <w:left w:val="single" w:color="000000" w:sz="4" w:space="0"/>
              <w:bottom w:val="single" w:color="000000" w:sz="12" w:space="0"/>
              <w:right w:val="single" w:color="000000" w:sz="12" w:space="0"/>
            </w:tcBorders>
            <w:shd w:val="clear" w:color="auto" w:fill="FFFFFF"/>
            <w:tcMar>
              <w:top w:w="100" w:type="dxa"/>
              <w:left w:w="100" w:type="dxa"/>
              <w:bottom w:w="100" w:type="dxa"/>
              <w:right w:w="100" w:type="dxa"/>
            </w:tcMar>
            <w:vAlign w:val="center"/>
          </w:tcPr>
          <w:p>
            <w:pPr>
              <w:widowControl/>
              <w:wordWrap w:val="0"/>
              <w:jc w:val="center"/>
              <w:rPr>
                <w:rFonts w:hint="eastAsia" w:ascii="宋体" w:hAnsi="宋体" w:cs="宋体"/>
                <w:color w:val="000000"/>
                <w:szCs w:val="21"/>
              </w:rPr>
            </w:pPr>
            <w:r>
              <w:rPr>
                <w:rFonts w:hint="eastAsia" w:ascii="宋体" w:hAnsi="宋体" w:cs="宋体"/>
                <w:color w:val="000000"/>
                <w:kern w:val="0"/>
                <w:szCs w:val="21"/>
                <w:lang w:bidi="ar"/>
              </w:rPr>
              <w:t>补充流动资金</w:t>
            </w:r>
          </w:p>
        </w:tc>
      </w:tr>
    </w:tbl>
    <w:p>
      <w:pPr>
        <w:adjustRightInd w:val="0"/>
        <w:snapToGrid w:val="0"/>
        <w:spacing w:before="156" w:beforeLines="50" w:line="360" w:lineRule="auto"/>
        <w:ind w:firstLine="482" w:firstLineChars="200"/>
        <w:outlineLvl w:val="0"/>
        <w:rPr>
          <w:rFonts w:hint="eastAsia" w:ascii="宋体" w:hAnsi="宋体" w:cs="宋体"/>
          <w:b/>
          <w:bCs/>
          <w:sz w:val="24"/>
          <w:szCs w:val="24"/>
        </w:rPr>
      </w:pPr>
      <w:r>
        <w:rPr>
          <w:rFonts w:hint="eastAsia" w:ascii="宋体" w:hAnsi="宋体" w:cs="宋体"/>
          <w:b/>
          <w:bCs/>
          <w:sz w:val="24"/>
          <w:szCs w:val="24"/>
        </w:rPr>
        <w:t>三、协议的主要内容</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甲方：重庆望变电气（集团）股份有限公司（以下简称“甲方”）</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 xml:space="preserve">乙方：招商银行股份有限公司重庆长寿支行（以下简称“乙方”） </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 xml:space="preserve">丙方：中信证券股份有限公司（保荐机构）（以下简称“丙方”） </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为规范甲方募集资金管理，保护投资者的权益，根据有关法律法规及上交所主板监管规则，甲、乙、丙三方经协商，达成如下协议：</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1、甲方已在乙方开设募集资金专项账户（以下简称“专户”），账号为123905910610008，截至2026年8月19日，专户余额为0万元。该专户仅用于甲方补充流动资金项目的募集资金的存放和使用，不得存放非募集资金或者用作其他用途。存放募集资金的金额为22</w:t>
      </w:r>
      <w:r>
        <w:rPr>
          <w:rFonts w:hint="eastAsia" w:ascii="宋体" w:hAnsi="宋体" w:cstheme="minorBidi"/>
          <w:sz w:val="24"/>
          <w:szCs w:val="24"/>
          <w:lang w:val="en-US" w:eastAsia="zh-CN"/>
        </w:rPr>
        <w:t>,</w:t>
      </w:r>
      <w:r>
        <w:rPr>
          <w:rFonts w:hint="eastAsia" w:ascii="宋体" w:hAnsi="宋体" w:cstheme="minorBidi"/>
          <w:sz w:val="24"/>
          <w:szCs w:val="24"/>
        </w:rPr>
        <w:t>703</w:t>
      </w:r>
      <w:r>
        <w:rPr>
          <w:rFonts w:hint="eastAsia" w:ascii="宋体" w:hAnsi="宋体" w:cstheme="minorBidi"/>
          <w:sz w:val="24"/>
          <w:szCs w:val="24"/>
          <w:lang w:val="en-US" w:eastAsia="zh-CN"/>
        </w:rPr>
        <w:t>.</w:t>
      </w:r>
      <w:r>
        <w:rPr>
          <w:rFonts w:hint="eastAsia" w:ascii="宋体" w:hAnsi="宋体" w:cstheme="minorBidi"/>
          <w:sz w:val="24"/>
          <w:szCs w:val="24"/>
        </w:rPr>
        <w:t>868758</w:t>
      </w:r>
      <w:r>
        <w:rPr>
          <w:rFonts w:hint="eastAsia" w:ascii="宋体" w:hAnsi="宋体" w:cstheme="minorBidi"/>
          <w:sz w:val="24"/>
          <w:szCs w:val="24"/>
          <w:lang w:val="en-US" w:eastAsia="zh-CN"/>
        </w:rPr>
        <w:t>万</w:t>
      </w:r>
      <w:r>
        <w:rPr>
          <w:rFonts w:hint="eastAsia" w:ascii="宋体" w:hAnsi="宋体" w:cstheme="minorBidi"/>
          <w:sz w:val="24"/>
          <w:szCs w:val="24"/>
        </w:rPr>
        <w:t>元。</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2、按照相关监管、自律规定履行内部程序并获得丙方同意后，甲方可在内部决议授权范围内将专户内的暂时闲置的募集资金以符合上交所主板监管规则规定的现金管理产品形式存放，现金管理应当通过专户或者公开披露的产品专用结算账户实施。甲方应将产品的具体金额、存放方式、存放账户、存放期限等信息及时通知丙方。甲方承诺上述产品提前支取、到期或进行转让后将资金及时转入本协议规定的募集资金专户进行管理，并通知丙方。前述产品到期募集资金按期回收并公告后，甲方才可在授权的期限和额度内再次开展现金管理。甲方实施现金管理不得影响募集资金投资计划的正常进行。</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甲方应确保上述产品不得质押，乙方不得配合甲方办理上述产品的质押业务，产品专用结算账户（如适用）不得存放非募集资金或者用作其他用途；同时，对于在乙方处办理的现金管理产品（不包括虽由乙方代理销售，但由第三方发行、管理的现金管理产品），乙方应按月（每月5日前）向丙方提供上述产品受限情况及对应的账户状态，甲方授权乙方可以向丙方提供前述信息。</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3、甲乙双方应当共同遵守《中华人民共和国票据法》、《支付结算办法》、《人民币银行结算账户管理办法》等法律、行政法规、部门规章。</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4、丙方作为甲方的保荐机构，应当依据有关规定指定保荐代表人或其他工作人员对甲方募集资金存放、管理和使用情况进行持续督导。</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丙方承诺按照上交所主板监管规则以及甲方制定的募集资金管理制度对甲方募集资金管理事项履行职责，进行持续督导工作。</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丙方可以采取现场调查、书面问询等方式行使其监督权。甲方和乙方应配合丙方的调查与查询。丙方每半年度对甲方现场调查时应同时检查专户存储情况。</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5、甲方授权丙方指定的保荐代表人李艳萍、杨家旗或其他项目组成员可以随时到乙方查询、复印甲方专户及甲方募集资金涉及的相关账户（包括现金管理账户，专户及相关账户下文统称为“账户”）的资料；乙方应当及时、准确、完整地向其提供所需的有关账户的资料。</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保荐代表人及其他项目组成员向乙方查询甲方账户有关情况时应当出具本人的合法身份证明；丙方指定的其他工作人员向乙方查询甲方账户有关情况时应当出具本人的合法身份证明和丙方出具的介绍信。</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6、乙方按月（每月5日前）向甲方出具</w:t>
      </w:r>
      <w:bookmarkStart w:id="1" w:name="OLE_LINK5"/>
      <w:bookmarkStart w:id="2" w:name="OLE_LINK4"/>
      <w:r>
        <w:rPr>
          <w:rFonts w:hint="eastAsia" w:ascii="宋体" w:hAnsi="宋体" w:cstheme="minorBidi"/>
          <w:sz w:val="24"/>
          <w:szCs w:val="24"/>
        </w:rPr>
        <w:t>真实、准确、完整</w:t>
      </w:r>
      <w:bookmarkEnd w:id="1"/>
      <w:bookmarkEnd w:id="2"/>
      <w:r>
        <w:rPr>
          <w:rFonts w:hint="eastAsia" w:ascii="宋体" w:hAnsi="宋体" w:cstheme="minorBidi"/>
          <w:sz w:val="24"/>
          <w:szCs w:val="24"/>
        </w:rPr>
        <w:t>的账户对账单，并抄送给丙方。丙方接收账户对账单的邮箱地址为liyanping@citics.com。</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7、乙方按照甲方资金划付申请进行划付时，应审核甲方的支付申请（或支付凭证）的要素是否齐全，印鉴是否与监管账户预留印鉴相符，并对募集资金用途是否与约定一致进行形式审核。</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8、甲方1次或12个月以内累计从专户支取的金额超过5000万元且达到发行募集资金总额扣除发行费用后的净额（以下简称“募集资金净额”）的20%的，甲方及乙方应当在付款后5个工作日内及时以邮件方式通知丙方，同时提供专户的支出清单。</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9、丙方有权根据有关规定更换指定的保荐代表人。丙方更换保荐代表人的，应当将相关证明文件书面通知乙方，同时按本协议第16条的要求向甲方、乙方书面通知更换后的保荐代表人联系方式。更换保荐代表人不影响本协议的效力。</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10、若乙方未及时向丙方出具对账单，则甲方应按照丙方要求陪同其前往乙方获取对账单。</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11、乙方三次未及时向甲方和丙方出具对账单或向丙方通知专户大额支取情况，以及存在未配合丙方查询与调查账户情形的，甲方可以主动或在丙方的要求下单方面终止本协议并注销募集资金专户。</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12、本协议自甲、乙、丙三方法定代表人（负责人）或其授权代表签署并加盖各自单位公章或合同专用章之日起生效至账户资金（含现金管理产品资金，下同）全部支出完毕，且丙方督导期结束后失效。若账户资金全部支出完毕且乙方已向丙方提供完整的专户对账单，甲方有权向乙方申请注销专户。</w:t>
      </w:r>
    </w:p>
    <w:p>
      <w:pPr>
        <w:adjustRightInd w:val="0"/>
        <w:snapToGrid w:val="0"/>
        <w:spacing w:line="560" w:lineRule="exact"/>
        <w:ind w:firstLine="480" w:firstLineChars="200"/>
        <w:rPr>
          <w:rFonts w:hint="eastAsia" w:ascii="宋体" w:hAnsi="宋体" w:cstheme="minorBidi"/>
          <w:sz w:val="24"/>
          <w:szCs w:val="24"/>
        </w:rPr>
      </w:pPr>
      <w:r>
        <w:rPr>
          <w:rFonts w:hint="eastAsia" w:ascii="宋体" w:hAnsi="宋体" w:cstheme="minorBidi"/>
          <w:sz w:val="24"/>
          <w:szCs w:val="24"/>
        </w:rPr>
        <w:t>13、如果本协议任何一方违反相关法律法规或本协议项下的任何规定而给其他方造成损失，违约方应承担由此产生的一切责任，并赔偿守约方因此而遭受的所有损失和费用。</w:t>
      </w:r>
    </w:p>
    <w:p>
      <w:pPr>
        <w:adjustRightInd w:val="0"/>
        <w:snapToGrid w:val="0"/>
        <w:spacing w:line="560" w:lineRule="exact"/>
        <w:ind w:firstLine="480" w:firstLineChars="200"/>
        <w:rPr>
          <w:rFonts w:hint="eastAsia" w:ascii="宋体" w:hAnsi="宋体" w:cstheme="minorBidi"/>
          <w:sz w:val="24"/>
          <w:szCs w:val="24"/>
        </w:rPr>
      </w:pPr>
    </w:p>
    <w:p>
      <w:pPr>
        <w:adjustRightInd w:val="0"/>
        <w:snapToGrid w:val="0"/>
        <w:spacing w:line="560" w:lineRule="exact"/>
        <w:ind w:firstLine="480" w:firstLineChars="200"/>
        <w:rPr>
          <w:rFonts w:hint="eastAsia" w:ascii="宋体" w:hAnsi="宋体" w:cstheme="minorBidi"/>
          <w:sz w:val="24"/>
          <w:szCs w:val="24"/>
        </w:rPr>
      </w:pPr>
      <w:bookmarkStart w:id="3" w:name="_GoBack"/>
      <w:bookmarkEnd w:id="3"/>
      <w:r>
        <w:rPr>
          <w:rFonts w:hint="eastAsia" w:ascii="宋体" w:hAnsi="宋体" w:cstheme="minorBidi"/>
          <w:sz w:val="24"/>
          <w:szCs w:val="24"/>
        </w:rPr>
        <w:t>特此公告。</w:t>
      </w:r>
    </w:p>
    <w:p>
      <w:pPr>
        <w:adjustRightInd w:val="0"/>
        <w:snapToGrid w:val="0"/>
        <w:spacing w:line="560" w:lineRule="exact"/>
        <w:ind w:firstLine="480" w:firstLineChars="200"/>
        <w:rPr>
          <w:rFonts w:hint="eastAsia" w:ascii="宋体" w:hAnsi="宋体" w:cstheme="minorBidi"/>
          <w:sz w:val="24"/>
          <w:szCs w:val="24"/>
        </w:rPr>
      </w:pPr>
    </w:p>
    <w:p>
      <w:pPr>
        <w:adjustRightInd w:val="0"/>
        <w:snapToGrid w:val="0"/>
        <w:spacing w:line="560" w:lineRule="exact"/>
        <w:ind w:firstLine="480" w:firstLineChars="200"/>
        <w:jc w:val="right"/>
        <w:rPr>
          <w:rFonts w:hint="eastAsia" w:ascii="宋体" w:hAnsi="宋体"/>
          <w:sz w:val="24"/>
          <w:szCs w:val="24"/>
        </w:rPr>
      </w:pPr>
      <w:r>
        <w:rPr>
          <w:rFonts w:hint="eastAsia" w:ascii="宋体" w:hAnsi="宋体" w:cs="宋体"/>
          <w:kern w:val="0"/>
          <w:sz w:val="24"/>
          <w:szCs w:val="24"/>
        </w:rPr>
        <w:t>重庆望变电气（集团）</w:t>
      </w:r>
      <w:r>
        <w:rPr>
          <w:rFonts w:hint="eastAsia" w:ascii="宋体" w:hAnsi="宋体" w:cs="仿宋_GB2312"/>
          <w:sz w:val="24"/>
          <w:szCs w:val="24"/>
        </w:rPr>
        <w:t>股</w:t>
      </w:r>
      <w:r>
        <w:rPr>
          <w:rFonts w:hint="eastAsia" w:ascii="宋体" w:hAnsi="宋体"/>
          <w:sz w:val="24"/>
          <w:szCs w:val="24"/>
        </w:rPr>
        <w:t>份有限公司</w:t>
      </w:r>
    </w:p>
    <w:p>
      <w:pPr>
        <w:adjustRightInd w:val="0"/>
        <w:snapToGrid w:val="0"/>
        <w:spacing w:line="560" w:lineRule="exact"/>
        <w:ind w:firstLine="480" w:firstLineChars="200"/>
        <w:jc w:val="right"/>
        <w:rPr>
          <w:rFonts w:hint="eastAsia" w:ascii="宋体" w:hAnsi="宋体"/>
          <w:sz w:val="24"/>
          <w:szCs w:val="24"/>
        </w:rPr>
      </w:pPr>
      <w:r>
        <w:rPr>
          <w:rFonts w:hint="eastAsia" w:ascii="宋体" w:hAnsi="宋体"/>
          <w:sz w:val="24"/>
          <w:szCs w:val="24"/>
        </w:rPr>
        <w:t>2026年8月25日</w:t>
      </w:r>
    </w:p>
    <w:p>
      <w:pPr>
        <w:adjustRightInd w:val="0"/>
        <w:snapToGrid w:val="0"/>
        <w:spacing w:line="360" w:lineRule="auto"/>
        <w:jc w:val="cente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imes New Roman Regular">
    <w:altName w:val="Times New Roman"/>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4"/>
          <w:jc w:val="center"/>
        </w:pPr>
        <w:r>
          <w:fldChar w:fldCharType="begin"/>
        </w:r>
        <w:r>
          <w:instrText xml:space="preserve">PAGE   \* MERGEFORMAT</w:instrText>
        </w:r>
        <w:r>
          <w:fldChar w:fldCharType="separate"/>
        </w:r>
        <w:r>
          <w:rPr>
            <w:lang w:val="zh-CN"/>
          </w:rPr>
          <w:t>3</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s>
  <w:rsids>
    <w:rsidRoot w:val="060D1C38"/>
    <w:rsid w:val="00002047"/>
    <w:rsid w:val="00005850"/>
    <w:rsid w:val="00006050"/>
    <w:rsid w:val="0001097D"/>
    <w:rsid w:val="00011768"/>
    <w:rsid w:val="00024367"/>
    <w:rsid w:val="000247F5"/>
    <w:rsid w:val="000326B2"/>
    <w:rsid w:val="000339E6"/>
    <w:rsid w:val="00037EBF"/>
    <w:rsid w:val="00042692"/>
    <w:rsid w:val="00044ADA"/>
    <w:rsid w:val="00053C41"/>
    <w:rsid w:val="00070B0A"/>
    <w:rsid w:val="00072578"/>
    <w:rsid w:val="000770A0"/>
    <w:rsid w:val="000A51AC"/>
    <w:rsid w:val="000A6AD2"/>
    <w:rsid w:val="000B2973"/>
    <w:rsid w:val="000B460F"/>
    <w:rsid w:val="000B728B"/>
    <w:rsid w:val="000C0E6F"/>
    <w:rsid w:val="000C48D1"/>
    <w:rsid w:val="000D12D6"/>
    <w:rsid w:val="000D639D"/>
    <w:rsid w:val="000E02FC"/>
    <w:rsid w:val="000E75AB"/>
    <w:rsid w:val="000E7B3F"/>
    <w:rsid w:val="000F5B3E"/>
    <w:rsid w:val="00100912"/>
    <w:rsid w:val="0010092D"/>
    <w:rsid w:val="00103942"/>
    <w:rsid w:val="001052D5"/>
    <w:rsid w:val="0011391E"/>
    <w:rsid w:val="00114338"/>
    <w:rsid w:val="00121179"/>
    <w:rsid w:val="00133BD8"/>
    <w:rsid w:val="001375FC"/>
    <w:rsid w:val="00142D32"/>
    <w:rsid w:val="00144566"/>
    <w:rsid w:val="001565A5"/>
    <w:rsid w:val="00156B02"/>
    <w:rsid w:val="00157B02"/>
    <w:rsid w:val="001638E9"/>
    <w:rsid w:val="00165E6E"/>
    <w:rsid w:val="001724EB"/>
    <w:rsid w:val="0018103B"/>
    <w:rsid w:val="00187D9F"/>
    <w:rsid w:val="001928D0"/>
    <w:rsid w:val="00192CBE"/>
    <w:rsid w:val="00195AFC"/>
    <w:rsid w:val="00197097"/>
    <w:rsid w:val="001A05DA"/>
    <w:rsid w:val="001A4968"/>
    <w:rsid w:val="001A7CEA"/>
    <w:rsid w:val="001C5991"/>
    <w:rsid w:val="001C7425"/>
    <w:rsid w:val="001D6C97"/>
    <w:rsid w:val="001E2DD9"/>
    <w:rsid w:val="001E5C2E"/>
    <w:rsid w:val="001F1031"/>
    <w:rsid w:val="001F7FB9"/>
    <w:rsid w:val="002055B1"/>
    <w:rsid w:val="00213616"/>
    <w:rsid w:val="00226411"/>
    <w:rsid w:val="00231627"/>
    <w:rsid w:val="00232DC1"/>
    <w:rsid w:val="00236893"/>
    <w:rsid w:val="0024010E"/>
    <w:rsid w:val="00244EC6"/>
    <w:rsid w:val="00261191"/>
    <w:rsid w:val="0026547D"/>
    <w:rsid w:val="002721B6"/>
    <w:rsid w:val="0027772F"/>
    <w:rsid w:val="002918D0"/>
    <w:rsid w:val="00294214"/>
    <w:rsid w:val="002978AD"/>
    <w:rsid w:val="002A1618"/>
    <w:rsid w:val="002A7457"/>
    <w:rsid w:val="002B7E08"/>
    <w:rsid w:val="002C03F3"/>
    <w:rsid w:val="002C1F22"/>
    <w:rsid w:val="002D0F3A"/>
    <w:rsid w:val="002D1B4F"/>
    <w:rsid w:val="002D57BA"/>
    <w:rsid w:val="002D79A5"/>
    <w:rsid w:val="002D7D42"/>
    <w:rsid w:val="002E07F5"/>
    <w:rsid w:val="002E0E9A"/>
    <w:rsid w:val="002E4038"/>
    <w:rsid w:val="002E5F2C"/>
    <w:rsid w:val="002F2914"/>
    <w:rsid w:val="00306F70"/>
    <w:rsid w:val="00313C81"/>
    <w:rsid w:val="003318BA"/>
    <w:rsid w:val="00342EB3"/>
    <w:rsid w:val="00343F8C"/>
    <w:rsid w:val="00344B00"/>
    <w:rsid w:val="003469A3"/>
    <w:rsid w:val="0035294C"/>
    <w:rsid w:val="0036192D"/>
    <w:rsid w:val="003642BA"/>
    <w:rsid w:val="003673FF"/>
    <w:rsid w:val="00373E81"/>
    <w:rsid w:val="0037433E"/>
    <w:rsid w:val="0039281D"/>
    <w:rsid w:val="00397571"/>
    <w:rsid w:val="003A04DC"/>
    <w:rsid w:val="003B04FD"/>
    <w:rsid w:val="003B2F17"/>
    <w:rsid w:val="003C696B"/>
    <w:rsid w:val="003C7547"/>
    <w:rsid w:val="003F6C8D"/>
    <w:rsid w:val="0040227C"/>
    <w:rsid w:val="004063CB"/>
    <w:rsid w:val="00410532"/>
    <w:rsid w:val="0042186C"/>
    <w:rsid w:val="00426582"/>
    <w:rsid w:val="00427793"/>
    <w:rsid w:val="00456244"/>
    <w:rsid w:val="004604AC"/>
    <w:rsid w:val="00463F24"/>
    <w:rsid w:val="004660FC"/>
    <w:rsid w:val="00466E65"/>
    <w:rsid w:val="00475CE4"/>
    <w:rsid w:val="0048609A"/>
    <w:rsid w:val="00487C89"/>
    <w:rsid w:val="0049073B"/>
    <w:rsid w:val="004A675E"/>
    <w:rsid w:val="004A6A3C"/>
    <w:rsid w:val="004A721A"/>
    <w:rsid w:val="004B09DC"/>
    <w:rsid w:val="004B3FC6"/>
    <w:rsid w:val="004C0B3C"/>
    <w:rsid w:val="004C10D2"/>
    <w:rsid w:val="004C589B"/>
    <w:rsid w:val="004C5AF7"/>
    <w:rsid w:val="004E744D"/>
    <w:rsid w:val="004E7746"/>
    <w:rsid w:val="004F4637"/>
    <w:rsid w:val="00502275"/>
    <w:rsid w:val="005062D9"/>
    <w:rsid w:val="00520701"/>
    <w:rsid w:val="00530E18"/>
    <w:rsid w:val="00534A59"/>
    <w:rsid w:val="00535C3F"/>
    <w:rsid w:val="00535EB9"/>
    <w:rsid w:val="00547A73"/>
    <w:rsid w:val="00550DA9"/>
    <w:rsid w:val="00551216"/>
    <w:rsid w:val="00554D5D"/>
    <w:rsid w:val="0055668E"/>
    <w:rsid w:val="005572CE"/>
    <w:rsid w:val="005631FF"/>
    <w:rsid w:val="00563443"/>
    <w:rsid w:val="0056694E"/>
    <w:rsid w:val="0056739F"/>
    <w:rsid w:val="00570A81"/>
    <w:rsid w:val="00570D3E"/>
    <w:rsid w:val="005721BE"/>
    <w:rsid w:val="005733CF"/>
    <w:rsid w:val="00585568"/>
    <w:rsid w:val="00591AC3"/>
    <w:rsid w:val="0059386B"/>
    <w:rsid w:val="005A00A2"/>
    <w:rsid w:val="005A448A"/>
    <w:rsid w:val="005A7F21"/>
    <w:rsid w:val="005B4C69"/>
    <w:rsid w:val="005B5B69"/>
    <w:rsid w:val="005B707A"/>
    <w:rsid w:val="005C615A"/>
    <w:rsid w:val="005D4408"/>
    <w:rsid w:val="005E41B5"/>
    <w:rsid w:val="005E56EE"/>
    <w:rsid w:val="005E61C5"/>
    <w:rsid w:val="005F5A00"/>
    <w:rsid w:val="00603529"/>
    <w:rsid w:val="006038C0"/>
    <w:rsid w:val="00603F7C"/>
    <w:rsid w:val="00604644"/>
    <w:rsid w:val="00614D38"/>
    <w:rsid w:val="00615035"/>
    <w:rsid w:val="00617391"/>
    <w:rsid w:val="00620A45"/>
    <w:rsid w:val="00622103"/>
    <w:rsid w:val="006242A9"/>
    <w:rsid w:val="00626268"/>
    <w:rsid w:val="00631383"/>
    <w:rsid w:val="00633A2E"/>
    <w:rsid w:val="00636138"/>
    <w:rsid w:val="00637ABC"/>
    <w:rsid w:val="006413AE"/>
    <w:rsid w:val="006505D6"/>
    <w:rsid w:val="00665DEC"/>
    <w:rsid w:val="006704E4"/>
    <w:rsid w:val="00673957"/>
    <w:rsid w:val="00673F80"/>
    <w:rsid w:val="0068127B"/>
    <w:rsid w:val="00690DE8"/>
    <w:rsid w:val="00694774"/>
    <w:rsid w:val="006A0DB4"/>
    <w:rsid w:val="006A2844"/>
    <w:rsid w:val="006A37B3"/>
    <w:rsid w:val="006C60B5"/>
    <w:rsid w:val="006C7E28"/>
    <w:rsid w:val="006D50A5"/>
    <w:rsid w:val="006D5324"/>
    <w:rsid w:val="006D770B"/>
    <w:rsid w:val="006E1C3B"/>
    <w:rsid w:val="006E328E"/>
    <w:rsid w:val="006E406E"/>
    <w:rsid w:val="006E4081"/>
    <w:rsid w:val="006E6160"/>
    <w:rsid w:val="006F0220"/>
    <w:rsid w:val="006F2D34"/>
    <w:rsid w:val="007015B1"/>
    <w:rsid w:val="007038AF"/>
    <w:rsid w:val="00705FE9"/>
    <w:rsid w:val="00706686"/>
    <w:rsid w:val="00713F10"/>
    <w:rsid w:val="00716459"/>
    <w:rsid w:val="00716627"/>
    <w:rsid w:val="00717B16"/>
    <w:rsid w:val="00723EA0"/>
    <w:rsid w:val="00726815"/>
    <w:rsid w:val="00736CEF"/>
    <w:rsid w:val="00737A4F"/>
    <w:rsid w:val="00741644"/>
    <w:rsid w:val="00741C70"/>
    <w:rsid w:val="00745A76"/>
    <w:rsid w:val="00746602"/>
    <w:rsid w:val="0075335C"/>
    <w:rsid w:val="00761852"/>
    <w:rsid w:val="00780124"/>
    <w:rsid w:val="007802E9"/>
    <w:rsid w:val="00783BF0"/>
    <w:rsid w:val="0079395A"/>
    <w:rsid w:val="0079657A"/>
    <w:rsid w:val="007A2612"/>
    <w:rsid w:val="007A5560"/>
    <w:rsid w:val="007B47D6"/>
    <w:rsid w:val="007B56EE"/>
    <w:rsid w:val="007B59EE"/>
    <w:rsid w:val="007C2189"/>
    <w:rsid w:val="007D1516"/>
    <w:rsid w:val="007D3064"/>
    <w:rsid w:val="007D31AD"/>
    <w:rsid w:val="007D687F"/>
    <w:rsid w:val="007E1740"/>
    <w:rsid w:val="007E261C"/>
    <w:rsid w:val="007F0D9B"/>
    <w:rsid w:val="007F2FE9"/>
    <w:rsid w:val="007F4597"/>
    <w:rsid w:val="007F4C79"/>
    <w:rsid w:val="008004CD"/>
    <w:rsid w:val="0081031C"/>
    <w:rsid w:val="00810D1B"/>
    <w:rsid w:val="00812E21"/>
    <w:rsid w:val="0081507B"/>
    <w:rsid w:val="00815D52"/>
    <w:rsid w:val="00831DAD"/>
    <w:rsid w:val="008513FD"/>
    <w:rsid w:val="00853B1D"/>
    <w:rsid w:val="0085638C"/>
    <w:rsid w:val="00857BF6"/>
    <w:rsid w:val="00857CCA"/>
    <w:rsid w:val="00874E07"/>
    <w:rsid w:val="00874E20"/>
    <w:rsid w:val="0089386C"/>
    <w:rsid w:val="008B0F4D"/>
    <w:rsid w:val="008B45C0"/>
    <w:rsid w:val="008B4F90"/>
    <w:rsid w:val="008B56A7"/>
    <w:rsid w:val="008B7DA1"/>
    <w:rsid w:val="008C6CAA"/>
    <w:rsid w:val="008C6CE6"/>
    <w:rsid w:val="008C72A1"/>
    <w:rsid w:val="008E762D"/>
    <w:rsid w:val="009010FF"/>
    <w:rsid w:val="009034B5"/>
    <w:rsid w:val="00904754"/>
    <w:rsid w:val="00914C34"/>
    <w:rsid w:val="00915E76"/>
    <w:rsid w:val="00920F0B"/>
    <w:rsid w:val="00922F68"/>
    <w:rsid w:val="00924893"/>
    <w:rsid w:val="009325E8"/>
    <w:rsid w:val="00936D41"/>
    <w:rsid w:val="00960F75"/>
    <w:rsid w:val="009631D0"/>
    <w:rsid w:val="00965B94"/>
    <w:rsid w:val="00970246"/>
    <w:rsid w:val="00976201"/>
    <w:rsid w:val="00976545"/>
    <w:rsid w:val="00977A1D"/>
    <w:rsid w:val="00977E92"/>
    <w:rsid w:val="00983825"/>
    <w:rsid w:val="00983BC7"/>
    <w:rsid w:val="00984A65"/>
    <w:rsid w:val="009855C0"/>
    <w:rsid w:val="00995395"/>
    <w:rsid w:val="0099634D"/>
    <w:rsid w:val="009A5785"/>
    <w:rsid w:val="009C3F96"/>
    <w:rsid w:val="009C51AD"/>
    <w:rsid w:val="009C597A"/>
    <w:rsid w:val="009D5F32"/>
    <w:rsid w:val="009D6DC0"/>
    <w:rsid w:val="009E186E"/>
    <w:rsid w:val="009F5F71"/>
    <w:rsid w:val="00A1174D"/>
    <w:rsid w:val="00A1522A"/>
    <w:rsid w:val="00A16117"/>
    <w:rsid w:val="00A216AE"/>
    <w:rsid w:val="00A24EEC"/>
    <w:rsid w:val="00A31D8C"/>
    <w:rsid w:val="00A33A1B"/>
    <w:rsid w:val="00A33CE7"/>
    <w:rsid w:val="00A35075"/>
    <w:rsid w:val="00A44C06"/>
    <w:rsid w:val="00A45547"/>
    <w:rsid w:val="00A514FF"/>
    <w:rsid w:val="00A52379"/>
    <w:rsid w:val="00A55FC9"/>
    <w:rsid w:val="00A56DCF"/>
    <w:rsid w:val="00A65E6F"/>
    <w:rsid w:val="00A72388"/>
    <w:rsid w:val="00A746DA"/>
    <w:rsid w:val="00A752D0"/>
    <w:rsid w:val="00A768B4"/>
    <w:rsid w:val="00A83C6C"/>
    <w:rsid w:val="00AA2761"/>
    <w:rsid w:val="00AA3257"/>
    <w:rsid w:val="00AA3F39"/>
    <w:rsid w:val="00AB33C4"/>
    <w:rsid w:val="00AC3603"/>
    <w:rsid w:val="00AC6FA1"/>
    <w:rsid w:val="00AD305E"/>
    <w:rsid w:val="00AE2789"/>
    <w:rsid w:val="00B00412"/>
    <w:rsid w:val="00B04D23"/>
    <w:rsid w:val="00B1196F"/>
    <w:rsid w:val="00B11CD1"/>
    <w:rsid w:val="00B20577"/>
    <w:rsid w:val="00B206C2"/>
    <w:rsid w:val="00B22660"/>
    <w:rsid w:val="00B26BDF"/>
    <w:rsid w:val="00B300CD"/>
    <w:rsid w:val="00B30CC9"/>
    <w:rsid w:val="00B360E4"/>
    <w:rsid w:val="00B609F6"/>
    <w:rsid w:val="00B641E7"/>
    <w:rsid w:val="00B66F22"/>
    <w:rsid w:val="00B70DF5"/>
    <w:rsid w:val="00B9093C"/>
    <w:rsid w:val="00B97D3A"/>
    <w:rsid w:val="00BA2C45"/>
    <w:rsid w:val="00BA6E2D"/>
    <w:rsid w:val="00BA7EDB"/>
    <w:rsid w:val="00BB17A0"/>
    <w:rsid w:val="00BC1F68"/>
    <w:rsid w:val="00BC2AC9"/>
    <w:rsid w:val="00BC43E5"/>
    <w:rsid w:val="00BC4BEB"/>
    <w:rsid w:val="00BC6446"/>
    <w:rsid w:val="00BE65BF"/>
    <w:rsid w:val="00BE7767"/>
    <w:rsid w:val="00BF4A42"/>
    <w:rsid w:val="00C0011A"/>
    <w:rsid w:val="00C053EA"/>
    <w:rsid w:val="00C45117"/>
    <w:rsid w:val="00C46A94"/>
    <w:rsid w:val="00C506CD"/>
    <w:rsid w:val="00C51702"/>
    <w:rsid w:val="00C57099"/>
    <w:rsid w:val="00C60ED3"/>
    <w:rsid w:val="00C72127"/>
    <w:rsid w:val="00C72467"/>
    <w:rsid w:val="00C76B12"/>
    <w:rsid w:val="00C832D7"/>
    <w:rsid w:val="00C83B15"/>
    <w:rsid w:val="00C84677"/>
    <w:rsid w:val="00C901FA"/>
    <w:rsid w:val="00C95709"/>
    <w:rsid w:val="00CA2E3C"/>
    <w:rsid w:val="00CA35C5"/>
    <w:rsid w:val="00CB1460"/>
    <w:rsid w:val="00CB16D0"/>
    <w:rsid w:val="00CB415E"/>
    <w:rsid w:val="00CC0328"/>
    <w:rsid w:val="00CC56AC"/>
    <w:rsid w:val="00CE4F1A"/>
    <w:rsid w:val="00CF4045"/>
    <w:rsid w:val="00CF5D79"/>
    <w:rsid w:val="00D004C7"/>
    <w:rsid w:val="00D03443"/>
    <w:rsid w:val="00D276EE"/>
    <w:rsid w:val="00D3359F"/>
    <w:rsid w:val="00D433FC"/>
    <w:rsid w:val="00D513EE"/>
    <w:rsid w:val="00D55289"/>
    <w:rsid w:val="00D555D1"/>
    <w:rsid w:val="00D57EB3"/>
    <w:rsid w:val="00D642ED"/>
    <w:rsid w:val="00D71501"/>
    <w:rsid w:val="00D71E24"/>
    <w:rsid w:val="00D73F00"/>
    <w:rsid w:val="00D75BCE"/>
    <w:rsid w:val="00D8240B"/>
    <w:rsid w:val="00D92CB2"/>
    <w:rsid w:val="00D95731"/>
    <w:rsid w:val="00DA0269"/>
    <w:rsid w:val="00DA70AB"/>
    <w:rsid w:val="00DB282B"/>
    <w:rsid w:val="00DB3D08"/>
    <w:rsid w:val="00DB6B4B"/>
    <w:rsid w:val="00DC20E3"/>
    <w:rsid w:val="00DC3CF0"/>
    <w:rsid w:val="00DC56C6"/>
    <w:rsid w:val="00DD14A6"/>
    <w:rsid w:val="00DD15F2"/>
    <w:rsid w:val="00DD3BC8"/>
    <w:rsid w:val="00DE0D69"/>
    <w:rsid w:val="00DF1795"/>
    <w:rsid w:val="00DF31F9"/>
    <w:rsid w:val="00DF4D0C"/>
    <w:rsid w:val="00DF4F92"/>
    <w:rsid w:val="00DF5A68"/>
    <w:rsid w:val="00E038F8"/>
    <w:rsid w:val="00E03EE1"/>
    <w:rsid w:val="00E102BA"/>
    <w:rsid w:val="00E1323D"/>
    <w:rsid w:val="00E17F81"/>
    <w:rsid w:val="00E3058C"/>
    <w:rsid w:val="00E32616"/>
    <w:rsid w:val="00E36096"/>
    <w:rsid w:val="00E40CBA"/>
    <w:rsid w:val="00E52C13"/>
    <w:rsid w:val="00E6687C"/>
    <w:rsid w:val="00E719A2"/>
    <w:rsid w:val="00E76861"/>
    <w:rsid w:val="00E90723"/>
    <w:rsid w:val="00E970EF"/>
    <w:rsid w:val="00EA0A4B"/>
    <w:rsid w:val="00EA4715"/>
    <w:rsid w:val="00EA6A5F"/>
    <w:rsid w:val="00EB0709"/>
    <w:rsid w:val="00EB3150"/>
    <w:rsid w:val="00EC2D90"/>
    <w:rsid w:val="00EC46D7"/>
    <w:rsid w:val="00ED1B07"/>
    <w:rsid w:val="00ED2D73"/>
    <w:rsid w:val="00ED4F8F"/>
    <w:rsid w:val="00EE09A5"/>
    <w:rsid w:val="00EE3ACC"/>
    <w:rsid w:val="00EE5B69"/>
    <w:rsid w:val="00EE5DA5"/>
    <w:rsid w:val="00EF42DB"/>
    <w:rsid w:val="00EF64C9"/>
    <w:rsid w:val="00EF7EDB"/>
    <w:rsid w:val="00F02CBD"/>
    <w:rsid w:val="00F07564"/>
    <w:rsid w:val="00F1229E"/>
    <w:rsid w:val="00F32023"/>
    <w:rsid w:val="00F41E9E"/>
    <w:rsid w:val="00F44230"/>
    <w:rsid w:val="00F50019"/>
    <w:rsid w:val="00F50232"/>
    <w:rsid w:val="00F65126"/>
    <w:rsid w:val="00F77903"/>
    <w:rsid w:val="00F77D2C"/>
    <w:rsid w:val="00F818F4"/>
    <w:rsid w:val="00F96BA4"/>
    <w:rsid w:val="00FA0445"/>
    <w:rsid w:val="00FA7801"/>
    <w:rsid w:val="00FB5192"/>
    <w:rsid w:val="00FB51F2"/>
    <w:rsid w:val="00FB77E4"/>
    <w:rsid w:val="00FC2D20"/>
    <w:rsid w:val="00FC6978"/>
    <w:rsid w:val="00FD0314"/>
    <w:rsid w:val="00FE17AE"/>
    <w:rsid w:val="00FE7415"/>
    <w:rsid w:val="00FF10B3"/>
    <w:rsid w:val="00FF1B61"/>
    <w:rsid w:val="00FF3776"/>
    <w:rsid w:val="00FF3818"/>
    <w:rsid w:val="01487061"/>
    <w:rsid w:val="01AF0FA9"/>
    <w:rsid w:val="02426045"/>
    <w:rsid w:val="032267C5"/>
    <w:rsid w:val="03394EB3"/>
    <w:rsid w:val="038B0BE4"/>
    <w:rsid w:val="03B43782"/>
    <w:rsid w:val="040524AF"/>
    <w:rsid w:val="054364CA"/>
    <w:rsid w:val="056C1701"/>
    <w:rsid w:val="060D1C38"/>
    <w:rsid w:val="068B0248"/>
    <w:rsid w:val="0773278F"/>
    <w:rsid w:val="07BE5FBE"/>
    <w:rsid w:val="08142B30"/>
    <w:rsid w:val="088F3F06"/>
    <w:rsid w:val="09443E78"/>
    <w:rsid w:val="09511DA2"/>
    <w:rsid w:val="09E42D3F"/>
    <w:rsid w:val="0A840220"/>
    <w:rsid w:val="0AF15068"/>
    <w:rsid w:val="0B09531E"/>
    <w:rsid w:val="0B314453"/>
    <w:rsid w:val="0B34242D"/>
    <w:rsid w:val="0B6C7DF0"/>
    <w:rsid w:val="0BED1555"/>
    <w:rsid w:val="0C663C22"/>
    <w:rsid w:val="0DD5193B"/>
    <w:rsid w:val="0EB956A6"/>
    <w:rsid w:val="0EC97DF0"/>
    <w:rsid w:val="0EE824FC"/>
    <w:rsid w:val="0F0A5D32"/>
    <w:rsid w:val="0FDB1683"/>
    <w:rsid w:val="12684C01"/>
    <w:rsid w:val="13245027"/>
    <w:rsid w:val="133E68CE"/>
    <w:rsid w:val="13C052D2"/>
    <w:rsid w:val="15802F26"/>
    <w:rsid w:val="163B69CA"/>
    <w:rsid w:val="171406F0"/>
    <w:rsid w:val="173443C0"/>
    <w:rsid w:val="1738638F"/>
    <w:rsid w:val="173E35D9"/>
    <w:rsid w:val="1810010C"/>
    <w:rsid w:val="182E7B7F"/>
    <w:rsid w:val="185F53B2"/>
    <w:rsid w:val="18764DB9"/>
    <w:rsid w:val="18D72D4C"/>
    <w:rsid w:val="18E52921"/>
    <w:rsid w:val="18FE664D"/>
    <w:rsid w:val="198025E9"/>
    <w:rsid w:val="19E05346"/>
    <w:rsid w:val="1AB7156E"/>
    <w:rsid w:val="1AC63EDE"/>
    <w:rsid w:val="1AE30D55"/>
    <w:rsid w:val="1BBD2727"/>
    <w:rsid w:val="1C363465"/>
    <w:rsid w:val="1C7D60F5"/>
    <w:rsid w:val="1D4269F1"/>
    <w:rsid w:val="1DE84EB6"/>
    <w:rsid w:val="1E777AE3"/>
    <w:rsid w:val="1EF36406"/>
    <w:rsid w:val="1F010B23"/>
    <w:rsid w:val="1F400253"/>
    <w:rsid w:val="1FA95974"/>
    <w:rsid w:val="1FC842EF"/>
    <w:rsid w:val="1FEF5EBC"/>
    <w:rsid w:val="20320275"/>
    <w:rsid w:val="203F5521"/>
    <w:rsid w:val="223D1088"/>
    <w:rsid w:val="22E274E2"/>
    <w:rsid w:val="23377CE5"/>
    <w:rsid w:val="236E409B"/>
    <w:rsid w:val="23B47255"/>
    <w:rsid w:val="23D749CD"/>
    <w:rsid w:val="24247062"/>
    <w:rsid w:val="24573F09"/>
    <w:rsid w:val="24C655E3"/>
    <w:rsid w:val="26380E54"/>
    <w:rsid w:val="265C3A2B"/>
    <w:rsid w:val="27852B4B"/>
    <w:rsid w:val="28A95B4A"/>
    <w:rsid w:val="2A6919D5"/>
    <w:rsid w:val="2A840D92"/>
    <w:rsid w:val="2B754AE2"/>
    <w:rsid w:val="2BB1498D"/>
    <w:rsid w:val="2BF0305D"/>
    <w:rsid w:val="2C5414C5"/>
    <w:rsid w:val="2CD6751E"/>
    <w:rsid w:val="2E51306F"/>
    <w:rsid w:val="2E532DB7"/>
    <w:rsid w:val="2FA67BF2"/>
    <w:rsid w:val="2FDB727B"/>
    <w:rsid w:val="303448D9"/>
    <w:rsid w:val="30ED5BDC"/>
    <w:rsid w:val="31AD12EB"/>
    <w:rsid w:val="32980E11"/>
    <w:rsid w:val="32AB482D"/>
    <w:rsid w:val="32CB5278"/>
    <w:rsid w:val="32F934CA"/>
    <w:rsid w:val="332E45A6"/>
    <w:rsid w:val="34F45C4A"/>
    <w:rsid w:val="351275CF"/>
    <w:rsid w:val="35897434"/>
    <w:rsid w:val="359720A2"/>
    <w:rsid w:val="35F16A50"/>
    <w:rsid w:val="36AE1139"/>
    <w:rsid w:val="36B33AD2"/>
    <w:rsid w:val="36D925EC"/>
    <w:rsid w:val="36E14954"/>
    <w:rsid w:val="371E3BB0"/>
    <w:rsid w:val="373D426B"/>
    <w:rsid w:val="377736C0"/>
    <w:rsid w:val="37E666C3"/>
    <w:rsid w:val="37E8001F"/>
    <w:rsid w:val="3949409C"/>
    <w:rsid w:val="3A2C5FBD"/>
    <w:rsid w:val="3A8C64CC"/>
    <w:rsid w:val="3BB91EBE"/>
    <w:rsid w:val="3C37397E"/>
    <w:rsid w:val="3D1C7F1B"/>
    <w:rsid w:val="3D5C21AD"/>
    <w:rsid w:val="3D6954AB"/>
    <w:rsid w:val="3D9B1D3F"/>
    <w:rsid w:val="3DAB2A6B"/>
    <w:rsid w:val="3DB26200"/>
    <w:rsid w:val="3DC42FED"/>
    <w:rsid w:val="3DD903AE"/>
    <w:rsid w:val="3E1F324B"/>
    <w:rsid w:val="3EC14E03"/>
    <w:rsid w:val="3EFD0109"/>
    <w:rsid w:val="4001449D"/>
    <w:rsid w:val="405826F1"/>
    <w:rsid w:val="408F4236"/>
    <w:rsid w:val="40BB648C"/>
    <w:rsid w:val="41154469"/>
    <w:rsid w:val="415D7373"/>
    <w:rsid w:val="419C22BA"/>
    <w:rsid w:val="42367940"/>
    <w:rsid w:val="4238547C"/>
    <w:rsid w:val="42643E62"/>
    <w:rsid w:val="427A5E79"/>
    <w:rsid w:val="42914468"/>
    <w:rsid w:val="441A7E0D"/>
    <w:rsid w:val="45344A49"/>
    <w:rsid w:val="46373204"/>
    <w:rsid w:val="468F3DEB"/>
    <w:rsid w:val="46A664CF"/>
    <w:rsid w:val="46E75FA1"/>
    <w:rsid w:val="46F9684D"/>
    <w:rsid w:val="472B1973"/>
    <w:rsid w:val="4760771F"/>
    <w:rsid w:val="482024E1"/>
    <w:rsid w:val="48E715AA"/>
    <w:rsid w:val="494C7070"/>
    <w:rsid w:val="496E39C4"/>
    <w:rsid w:val="49A01A1A"/>
    <w:rsid w:val="49B55A4F"/>
    <w:rsid w:val="49B854B7"/>
    <w:rsid w:val="49BE314A"/>
    <w:rsid w:val="49EA5F2D"/>
    <w:rsid w:val="4A4F31DD"/>
    <w:rsid w:val="4B7158BB"/>
    <w:rsid w:val="4BCF5981"/>
    <w:rsid w:val="4E660621"/>
    <w:rsid w:val="4EAA42E0"/>
    <w:rsid w:val="4EBB97ED"/>
    <w:rsid w:val="4ED3578A"/>
    <w:rsid w:val="4F4E5D40"/>
    <w:rsid w:val="4F615D87"/>
    <w:rsid w:val="4F8B2F10"/>
    <w:rsid w:val="4FC77DED"/>
    <w:rsid w:val="502325BA"/>
    <w:rsid w:val="50415A8A"/>
    <w:rsid w:val="513A0713"/>
    <w:rsid w:val="523E2622"/>
    <w:rsid w:val="52474F88"/>
    <w:rsid w:val="52E5328C"/>
    <w:rsid w:val="52F02227"/>
    <w:rsid w:val="52F81FD3"/>
    <w:rsid w:val="54015BD8"/>
    <w:rsid w:val="540C5A25"/>
    <w:rsid w:val="542A2D23"/>
    <w:rsid w:val="57E81579"/>
    <w:rsid w:val="57F542EF"/>
    <w:rsid w:val="5A070D39"/>
    <w:rsid w:val="5A1107A6"/>
    <w:rsid w:val="5A8E4C59"/>
    <w:rsid w:val="5AD7541B"/>
    <w:rsid w:val="5B1474E6"/>
    <w:rsid w:val="5B6114A0"/>
    <w:rsid w:val="5B6F4DBA"/>
    <w:rsid w:val="5C4C219D"/>
    <w:rsid w:val="5D210677"/>
    <w:rsid w:val="5D3E036F"/>
    <w:rsid w:val="5D594223"/>
    <w:rsid w:val="5D986D01"/>
    <w:rsid w:val="5DAA63AF"/>
    <w:rsid w:val="5E5C67B8"/>
    <w:rsid w:val="5EB72EC4"/>
    <w:rsid w:val="5F4918E1"/>
    <w:rsid w:val="5F8B6BD3"/>
    <w:rsid w:val="5FA4640F"/>
    <w:rsid w:val="60083646"/>
    <w:rsid w:val="61522490"/>
    <w:rsid w:val="61BC23E4"/>
    <w:rsid w:val="624C665D"/>
    <w:rsid w:val="62582A4B"/>
    <w:rsid w:val="6346054E"/>
    <w:rsid w:val="6410419D"/>
    <w:rsid w:val="65253563"/>
    <w:rsid w:val="65555F2D"/>
    <w:rsid w:val="65AC14A6"/>
    <w:rsid w:val="660A6DA1"/>
    <w:rsid w:val="663568D1"/>
    <w:rsid w:val="66EB5292"/>
    <w:rsid w:val="675F3576"/>
    <w:rsid w:val="67EC2E8C"/>
    <w:rsid w:val="68046BD5"/>
    <w:rsid w:val="68637725"/>
    <w:rsid w:val="69EB1780"/>
    <w:rsid w:val="69F53338"/>
    <w:rsid w:val="6B9F49B0"/>
    <w:rsid w:val="6BBE388F"/>
    <w:rsid w:val="6C0F502A"/>
    <w:rsid w:val="6CBA4EFF"/>
    <w:rsid w:val="6D787605"/>
    <w:rsid w:val="6D875B2D"/>
    <w:rsid w:val="6EB040B0"/>
    <w:rsid w:val="6FAF19A4"/>
    <w:rsid w:val="70332922"/>
    <w:rsid w:val="70A64C33"/>
    <w:rsid w:val="70D96CB3"/>
    <w:rsid w:val="71062962"/>
    <w:rsid w:val="71D36EE8"/>
    <w:rsid w:val="74F60331"/>
    <w:rsid w:val="7582432C"/>
    <w:rsid w:val="75A40B79"/>
    <w:rsid w:val="75D9554D"/>
    <w:rsid w:val="75F502E9"/>
    <w:rsid w:val="76026E55"/>
    <w:rsid w:val="77F97E03"/>
    <w:rsid w:val="78224CE1"/>
    <w:rsid w:val="790D6E35"/>
    <w:rsid w:val="79817D4E"/>
    <w:rsid w:val="79AC7D76"/>
    <w:rsid w:val="7A7D7043"/>
    <w:rsid w:val="7AF01457"/>
    <w:rsid w:val="7B163308"/>
    <w:rsid w:val="7B1D5470"/>
    <w:rsid w:val="7B1F3B62"/>
    <w:rsid w:val="7BF7501C"/>
    <w:rsid w:val="7D2338F0"/>
    <w:rsid w:val="7D8B4C1B"/>
    <w:rsid w:val="7DA3733B"/>
    <w:rsid w:val="7E2C1065"/>
    <w:rsid w:val="7E4763FE"/>
    <w:rsid w:val="7F710522"/>
    <w:rsid w:val="7FBA01D5"/>
    <w:rsid w:val="7FD91C23"/>
    <w:rsid w:val="FCFA1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iPriority="0" w:name="footnote text"/>
    <w:lsdException w:qFormat="1"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0"/>
    <w:unhideWhenUsed/>
    <w:qFormat/>
    <w:uiPriority w:val="0"/>
    <w:pPr>
      <w:jc w:val="left"/>
    </w:pPr>
  </w:style>
  <w:style w:type="paragraph" w:styleId="3">
    <w:name w:val="Balloon Text"/>
    <w:basedOn w:val="1"/>
    <w:link w:val="18"/>
    <w:semiHidden/>
    <w:unhideWhenUsed/>
    <w:qFormat/>
    <w:uiPriority w:val="0"/>
    <w:rPr>
      <w:sz w:val="18"/>
      <w:szCs w:val="18"/>
    </w:rPr>
  </w:style>
  <w:style w:type="paragraph" w:styleId="4">
    <w:name w:val="footer"/>
    <w:basedOn w:val="1"/>
    <w:link w:val="16"/>
    <w:qFormat/>
    <w:uiPriority w:val="99"/>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footnote text"/>
    <w:basedOn w:val="1"/>
    <w:link w:val="26"/>
    <w:semiHidden/>
    <w:unhideWhenUsed/>
    <w:qFormat/>
    <w:uiPriority w:val="0"/>
    <w:pPr>
      <w:snapToGrid w:val="0"/>
      <w:jc w:val="left"/>
    </w:pPr>
    <w:rPr>
      <w:sz w:val="18"/>
      <w:szCs w:val="18"/>
    </w:rPr>
  </w:style>
  <w:style w:type="paragraph" w:styleId="7">
    <w:name w:val="annotation subject"/>
    <w:basedOn w:val="2"/>
    <w:next w:val="2"/>
    <w:link w:val="21"/>
    <w:semiHidden/>
    <w:unhideWhenUsed/>
    <w:qFormat/>
    <w:uiPriority w:val="0"/>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character" w:styleId="12">
    <w:name w:val="annotation reference"/>
    <w:basedOn w:val="10"/>
    <w:semiHidden/>
    <w:unhideWhenUsed/>
    <w:qFormat/>
    <w:uiPriority w:val="0"/>
    <w:rPr>
      <w:sz w:val="21"/>
      <w:szCs w:val="21"/>
    </w:rPr>
  </w:style>
  <w:style w:type="character" w:styleId="13">
    <w:name w:val="footnote reference"/>
    <w:basedOn w:val="10"/>
    <w:semiHidden/>
    <w:unhideWhenUsed/>
    <w:qFormat/>
    <w:uiPriority w:val="0"/>
    <w:rPr>
      <w:vertAlign w:val="superscript"/>
    </w:rPr>
  </w:style>
  <w:style w:type="paragraph" w:styleId="14">
    <w:name w:val="List Paragraph"/>
    <w:basedOn w:val="1"/>
    <w:qFormat/>
    <w:uiPriority w:val="34"/>
    <w:pPr>
      <w:ind w:firstLine="420" w:firstLineChars="200"/>
    </w:pPr>
  </w:style>
  <w:style w:type="character" w:customStyle="1" w:styleId="15">
    <w:name w:val="页眉 字符"/>
    <w:basedOn w:val="10"/>
    <w:link w:val="5"/>
    <w:qFormat/>
    <w:uiPriority w:val="0"/>
    <w:rPr>
      <w:kern w:val="2"/>
      <w:sz w:val="18"/>
      <w:szCs w:val="18"/>
    </w:rPr>
  </w:style>
  <w:style w:type="character" w:customStyle="1" w:styleId="16">
    <w:name w:val="页脚 字符"/>
    <w:basedOn w:val="10"/>
    <w:link w:val="4"/>
    <w:qFormat/>
    <w:uiPriority w:val="99"/>
    <w:rPr>
      <w:kern w:val="2"/>
      <w:sz w:val="18"/>
      <w:szCs w:val="18"/>
    </w:rPr>
  </w:style>
  <w:style w:type="paragraph" w:customStyle="1" w:styleId="1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8">
    <w:name w:val="批注框文本 字符"/>
    <w:basedOn w:val="10"/>
    <w:link w:val="3"/>
    <w:semiHidden/>
    <w:qFormat/>
    <w:uiPriority w:val="0"/>
    <w:rPr>
      <w:kern w:val="2"/>
      <w:sz w:val="18"/>
      <w:szCs w:val="18"/>
    </w:rPr>
  </w:style>
  <w:style w:type="paragraph" w:customStyle="1" w:styleId="19">
    <w:name w:val="修订1"/>
    <w:hidden/>
    <w:unhideWhenUsed/>
    <w:qFormat/>
    <w:uiPriority w:val="99"/>
    <w:rPr>
      <w:rFonts w:ascii="Times New Roman" w:hAnsi="Times New Roman" w:eastAsia="宋体" w:cs="Times New Roman"/>
      <w:kern w:val="2"/>
      <w:sz w:val="21"/>
      <w:lang w:val="en-US" w:eastAsia="zh-CN" w:bidi="ar-SA"/>
    </w:rPr>
  </w:style>
  <w:style w:type="character" w:customStyle="1" w:styleId="20">
    <w:name w:val="批注文字 字符"/>
    <w:basedOn w:val="10"/>
    <w:link w:val="2"/>
    <w:qFormat/>
    <w:uiPriority w:val="0"/>
    <w:rPr>
      <w:kern w:val="2"/>
      <w:sz w:val="21"/>
    </w:rPr>
  </w:style>
  <w:style w:type="character" w:customStyle="1" w:styleId="21">
    <w:name w:val="批注主题 字符"/>
    <w:basedOn w:val="20"/>
    <w:link w:val="7"/>
    <w:semiHidden/>
    <w:qFormat/>
    <w:uiPriority w:val="0"/>
    <w:rPr>
      <w:b/>
      <w:bCs/>
      <w:kern w:val="2"/>
      <w:sz w:val="21"/>
    </w:rPr>
  </w:style>
  <w:style w:type="paragraph" w:customStyle="1" w:styleId="22">
    <w:name w:val="005正文"/>
    <w:link w:val="23"/>
    <w:qFormat/>
    <w:uiPriority w:val="0"/>
    <w:pPr>
      <w:widowControl w:val="0"/>
      <w:spacing w:before="50" w:beforeLines="50" w:line="360" w:lineRule="auto"/>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23">
    <w:name w:val="005正文 Char"/>
    <w:link w:val="22"/>
    <w:qFormat/>
    <w:uiPriority w:val="0"/>
    <w:rPr>
      <w:kern w:val="2"/>
      <w:sz w:val="24"/>
      <w:szCs w:val="22"/>
    </w:rPr>
  </w:style>
  <w:style w:type="paragraph" w:customStyle="1" w:styleId="24">
    <w:name w:val="003三级标题"/>
    <w:link w:val="25"/>
    <w:qFormat/>
    <w:uiPriority w:val="0"/>
    <w:pPr>
      <w:keepNext/>
      <w:keepLines/>
      <w:widowControl w:val="0"/>
      <w:spacing w:before="50" w:beforeLines="50" w:after="50" w:afterLines="50" w:line="360" w:lineRule="auto"/>
      <w:jc w:val="both"/>
      <w:outlineLvl w:val="2"/>
    </w:pPr>
    <w:rPr>
      <w:rFonts w:ascii="Times New Roman" w:hAnsi="Times New Roman" w:eastAsia="黑体" w:cs="Times New Roman"/>
      <w:b/>
      <w:bCs/>
      <w:kern w:val="2"/>
      <w:sz w:val="24"/>
      <w:szCs w:val="28"/>
      <w:lang w:val="en-US" w:eastAsia="zh-CN" w:bidi="ar-SA"/>
    </w:rPr>
  </w:style>
  <w:style w:type="character" w:customStyle="1" w:styleId="25">
    <w:name w:val="003三级标题 Char"/>
    <w:link w:val="24"/>
    <w:qFormat/>
    <w:uiPriority w:val="0"/>
    <w:rPr>
      <w:rFonts w:eastAsia="黑体"/>
      <w:b/>
      <w:bCs/>
      <w:kern w:val="2"/>
      <w:sz w:val="24"/>
      <w:szCs w:val="28"/>
    </w:rPr>
  </w:style>
  <w:style w:type="character" w:customStyle="1" w:styleId="26">
    <w:name w:val="脚注文本 字符"/>
    <w:basedOn w:val="10"/>
    <w:link w:val="6"/>
    <w:semiHidden/>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E88DB-6DD5-4D3B-A64A-E68EE3173E1E}">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2554</Words>
  <Characters>2727</Characters>
  <Lines>57</Lines>
  <Paragraphs>45</Paragraphs>
  <TotalTime>17</TotalTime>
  <ScaleCrop>false</ScaleCrop>
  <LinksUpToDate>false</LinksUpToDate>
  <CharactersWithSpaces>2745</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2024-09-13T14:23:00Z</dcterms:created>
  <dc:creator>卢炫伶</dc:creator>
  <cp:lastModifiedBy>雯亦</cp:lastModifiedBy>
  <cp:lastPrinted>2024-09-14T11:09:00Z</cp:lastPrinted>
  <dcterms:modified xsi:type="dcterms:W3CDTF">2026-08-24T10:07:24Z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0126073BECB298CB2033846A2AB09CA6_43</vt:lpwstr>
  </property>
  <property fmtid="{D5CDD505-2E9C-101B-9397-08002B2CF9AE}" pid="4" name="MSIP_Label_defa4170-0d19-0005-0004-bc88714345d2_Enabled">
    <vt:lpwstr>true</vt:lpwstr>
  </property>
  <property fmtid="{D5CDD505-2E9C-101B-9397-08002B2CF9AE}" pid="5" name="MSIP_Label_defa4170-0d19-0005-0004-bc88714345d2_SetDate">
    <vt:lpwstr>2025-04-18T07:26:30Z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9e2f213d-c800-4318-8eb8-544d8ae269cb</vt:lpwstr>
  </property>
  <property fmtid="{D5CDD505-2E9C-101B-9397-08002B2CF9AE}" pid="9" name="MSIP_Label_defa4170-0d19-0005-0004-bc88714345d2_ActionId">
    <vt:lpwstr>ece3d4d1-9017-4138-9833-8247e3f4ad17</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KSOTemplateDocerSaveRecord">
    <vt:lpwstr>eyJoZGlkIjoiMzEwNTM5NzYwMDRjMzkwZTVkZjY2ODkwMGIxNGU0OTUiLCJ1c2VySWQiOiI0MzM1NTM4MDUifQ==</vt:lpwstr>
  </property>
</Properties>
</file>