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A4216" w14:textId="77777777" w:rsidR="00E840E8" w:rsidRDefault="00000000">
      <w:pPr>
        <w:spacing w:after="0" w:line="240" w:lineRule="auto"/>
        <w:jc w:val="center"/>
        <w:rPr>
          <w:rFonts w:ascii="黑体" w:eastAsia="黑体" w:hAnsi="黑体" w:cs="Times New Roman" w:hint="eastAsia"/>
          <w:bCs/>
          <w:sz w:val="36"/>
          <w:szCs w:val="36"/>
          <w14:ligatures w14:val="none"/>
        </w:rPr>
      </w:pPr>
      <w:r>
        <w:rPr>
          <w:rFonts w:ascii="黑体" w:eastAsia="黑体" w:hAnsi="黑体" w:cs="Times New Roman"/>
          <w:bCs/>
          <w:sz w:val="36"/>
          <w:szCs w:val="36"/>
          <w14:ligatures w14:val="none"/>
        </w:rPr>
        <w:t>中信证券股份有限公司</w:t>
      </w:r>
    </w:p>
    <w:p w14:paraId="10B60562" w14:textId="77777777" w:rsidR="00E840E8" w:rsidRDefault="00000000">
      <w:pPr>
        <w:spacing w:after="0" w:line="240" w:lineRule="auto"/>
        <w:jc w:val="center"/>
        <w:rPr>
          <w:rFonts w:ascii="黑体" w:eastAsia="黑体" w:hAnsi="黑体" w:cs="Times New Roman" w:hint="eastAsia"/>
          <w:bCs/>
          <w:sz w:val="36"/>
          <w:szCs w:val="36"/>
          <w14:ligatures w14:val="none"/>
        </w:rPr>
      </w:pPr>
      <w:r>
        <w:rPr>
          <w:rFonts w:ascii="黑体" w:eastAsia="黑体" w:hAnsi="黑体" w:cs="Times New Roman" w:hint="eastAsia"/>
          <w:bCs/>
          <w:sz w:val="36"/>
          <w:szCs w:val="36"/>
          <w14:ligatures w14:val="none"/>
        </w:rPr>
        <w:t>关于</w:t>
      </w:r>
      <w:r>
        <w:rPr>
          <w:rFonts w:ascii="黑体" w:eastAsia="黑体" w:hAnsi="黑体" w:cs="Times New Roman"/>
          <w:bCs/>
          <w:sz w:val="36"/>
          <w:szCs w:val="36"/>
          <w14:ligatures w14:val="none"/>
        </w:rPr>
        <w:t>重庆望变电气（集团）股份有限公司</w:t>
      </w:r>
    </w:p>
    <w:p w14:paraId="31F94DB4" w14:textId="77777777" w:rsidR="00E840E8" w:rsidRDefault="00000000">
      <w:pPr>
        <w:spacing w:after="0" w:line="240" w:lineRule="auto"/>
        <w:jc w:val="center"/>
        <w:rPr>
          <w:rFonts w:ascii="黑体" w:eastAsia="黑体" w:hAnsi="黑体" w:cs="Times New Roman" w:hint="eastAsia"/>
          <w:bCs/>
          <w:sz w:val="36"/>
          <w:szCs w:val="36"/>
          <w14:ligatures w14:val="none"/>
        </w:rPr>
      </w:pPr>
      <w:r>
        <w:rPr>
          <w:rFonts w:ascii="黑体" w:eastAsia="黑体" w:hAnsi="黑体" w:cs="Times New Roman"/>
          <w:bCs/>
          <w:sz w:val="36"/>
          <w:szCs w:val="36"/>
          <w14:ligatures w14:val="none"/>
        </w:rPr>
        <w:t>增加2026年度日常关联交易预计的核查意见</w:t>
      </w:r>
    </w:p>
    <w:p w14:paraId="4426C8B5" w14:textId="77777777" w:rsidR="00E840E8" w:rsidRDefault="00E840E8">
      <w:pPr>
        <w:spacing w:after="0" w:line="240" w:lineRule="auto"/>
        <w:jc w:val="center"/>
        <w:rPr>
          <w:rFonts w:ascii="黑体" w:eastAsia="黑体" w:hAnsi="黑体" w:cs="Times New Roman" w:hint="eastAsia"/>
          <w:bCs/>
          <w:sz w:val="36"/>
          <w:szCs w:val="36"/>
          <w14:ligatures w14:val="none"/>
        </w:rPr>
      </w:pPr>
    </w:p>
    <w:p w14:paraId="1EEEAB30"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中信证券股份有限公司（以下简称“中信证券”或“保荐人”）作为</w:t>
      </w:r>
      <w:r>
        <w:rPr>
          <w:rFonts w:ascii="Times New Roman" w:eastAsia="宋体" w:hAnsi="Times New Roman" w:cs="Times New Roman"/>
          <w:sz w:val="24"/>
          <w:szCs w:val="22"/>
        </w:rPr>
        <w:t>重庆望变电气（集团）股份有限公司</w:t>
      </w:r>
      <w:r>
        <w:rPr>
          <w:rFonts w:ascii="Times New Roman" w:eastAsia="宋体" w:hAnsi="Times New Roman" w:cs="Times New Roman" w:hint="eastAsia"/>
          <w:sz w:val="24"/>
          <w:szCs w:val="22"/>
        </w:rPr>
        <w:t>（以下简称“望变电气”或“公司”）向特定对象发行股票的保荐人，根据《证券发行上市保荐业务管理办法》《上海证券交易所股票上市规则》及《上海证券交易所上市公司自律监管指引第</w:t>
      </w:r>
      <w:r>
        <w:rPr>
          <w:rFonts w:ascii="Times New Roman" w:eastAsia="宋体" w:hAnsi="Times New Roman" w:cs="Times New Roman" w:hint="eastAsia"/>
          <w:sz w:val="24"/>
          <w:szCs w:val="22"/>
        </w:rPr>
        <w:t>1</w:t>
      </w:r>
      <w:r>
        <w:rPr>
          <w:rFonts w:ascii="Times New Roman" w:eastAsia="宋体" w:hAnsi="Times New Roman" w:cs="Times New Roman" w:hint="eastAsia"/>
          <w:sz w:val="24"/>
          <w:szCs w:val="22"/>
        </w:rPr>
        <w:t>号——规范运作》《上海证券交易所上市公司自律监管指引第</w:t>
      </w:r>
      <w:r>
        <w:rPr>
          <w:rFonts w:ascii="Times New Roman" w:eastAsia="宋体" w:hAnsi="Times New Roman" w:cs="Times New Roman" w:hint="eastAsia"/>
          <w:sz w:val="24"/>
          <w:szCs w:val="22"/>
        </w:rPr>
        <w:t>5</w:t>
      </w:r>
      <w:r>
        <w:rPr>
          <w:rFonts w:ascii="Times New Roman" w:eastAsia="宋体" w:hAnsi="Times New Roman" w:cs="Times New Roman" w:hint="eastAsia"/>
          <w:sz w:val="24"/>
          <w:szCs w:val="22"/>
        </w:rPr>
        <w:t>号——交易与关联交易》《上海证券交易所上市公司自律监管指引第</w:t>
      </w:r>
      <w:r>
        <w:rPr>
          <w:rFonts w:ascii="Times New Roman" w:eastAsia="宋体" w:hAnsi="Times New Roman" w:cs="Times New Roman" w:hint="eastAsia"/>
          <w:sz w:val="24"/>
          <w:szCs w:val="22"/>
        </w:rPr>
        <w:t>11</w:t>
      </w:r>
      <w:r>
        <w:rPr>
          <w:rFonts w:ascii="Times New Roman" w:eastAsia="宋体" w:hAnsi="Times New Roman" w:cs="Times New Roman" w:hint="eastAsia"/>
          <w:sz w:val="24"/>
          <w:szCs w:val="22"/>
        </w:rPr>
        <w:t>号——持续督导》等法律法规的要求，对望变电气增加</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年日常关联交易预计的事项进行了</w:t>
      </w:r>
      <w:r>
        <w:rPr>
          <w:rFonts w:ascii="Times New Roman" w:eastAsia="宋体" w:hAnsi="Times New Roman" w:cs="Times New Roman"/>
          <w:sz w:val="24"/>
          <w:szCs w:val="22"/>
        </w:rPr>
        <w:t>审慎</w:t>
      </w:r>
      <w:r>
        <w:rPr>
          <w:rFonts w:ascii="Times New Roman" w:eastAsia="宋体" w:hAnsi="Times New Roman" w:cs="Times New Roman" w:hint="eastAsia"/>
          <w:sz w:val="24"/>
          <w:szCs w:val="22"/>
        </w:rPr>
        <w:t>核查，</w:t>
      </w:r>
      <w:r>
        <w:rPr>
          <w:rFonts w:ascii="Times New Roman" w:eastAsia="宋体" w:hAnsi="Times New Roman" w:cs="Times New Roman"/>
          <w:sz w:val="24"/>
          <w:szCs w:val="22"/>
        </w:rPr>
        <w:t>核查情况及核查意见如下：</w:t>
      </w:r>
    </w:p>
    <w:p w14:paraId="452A0556" w14:textId="77777777" w:rsidR="00E840E8" w:rsidRDefault="00000000">
      <w:pPr>
        <w:pStyle w:val="003"/>
        <w:spacing w:before="156" w:after="156"/>
        <w:ind w:firstLine="482"/>
        <w:outlineLvl w:val="0"/>
      </w:pPr>
      <w:r>
        <w:rPr>
          <w:rFonts w:hint="eastAsia"/>
        </w:rPr>
        <w:t>一、</w:t>
      </w:r>
      <w:r>
        <w:rPr>
          <w:rFonts w:hint="eastAsia"/>
        </w:rPr>
        <w:t>2025</w:t>
      </w:r>
      <w:r>
        <w:rPr>
          <w:rFonts w:hint="eastAsia"/>
        </w:rPr>
        <w:t>年度日常关联交易情况</w:t>
      </w:r>
    </w:p>
    <w:p w14:paraId="781B9738"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2025</w:t>
      </w:r>
      <w:r>
        <w:rPr>
          <w:rFonts w:ascii="Times New Roman" w:eastAsia="宋体" w:hAnsi="Times New Roman" w:cs="Times New Roman" w:hint="eastAsia"/>
          <w:sz w:val="24"/>
          <w:szCs w:val="22"/>
        </w:rPr>
        <w:t>年度</w:t>
      </w:r>
      <w:r>
        <w:rPr>
          <w:rFonts w:ascii="Times New Roman" w:eastAsia="宋体" w:hAnsi="Times New Roman" w:cs="Times New Roman"/>
          <w:sz w:val="24"/>
          <w:szCs w:val="22"/>
        </w:rPr>
        <w:t>四川元启星光数字能源科技有限公司（含其控制其他企业，</w:t>
      </w:r>
      <w:r>
        <w:rPr>
          <w:rFonts w:ascii="Times New Roman" w:eastAsia="宋体" w:hAnsi="Times New Roman" w:cs="Times New Roman" w:hint="eastAsia"/>
          <w:sz w:val="24"/>
          <w:szCs w:val="22"/>
        </w:rPr>
        <w:t>以下简称“</w:t>
      </w:r>
      <w:r>
        <w:rPr>
          <w:rFonts w:ascii="Times New Roman" w:eastAsia="宋体" w:hAnsi="Times New Roman" w:cs="Times New Roman"/>
          <w:sz w:val="24"/>
          <w:szCs w:val="22"/>
        </w:rPr>
        <w:t>元启星光</w:t>
      </w:r>
      <w:r>
        <w:rPr>
          <w:rFonts w:ascii="Times New Roman" w:eastAsia="宋体" w:hAnsi="Times New Roman" w:cs="Times New Roman" w:hint="eastAsia"/>
          <w:sz w:val="24"/>
          <w:szCs w:val="22"/>
        </w:rPr>
        <w:t>”</w:t>
      </w:r>
      <w:r>
        <w:rPr>
          <w:rFonts w:ascii="Times New Roman" w:eastAsia="宋体" w:hAnsi="Times New Roman" w:cs="Times New Roman"/>
          <w:sz w:val="24"/>
          <w:szCs w:val="22"/>
        </w:rPr>
        <w:t>）</w:t>
      </w:r>
      <w:r>
        <w:rPr>
          <w:rFonts w:ascii="Times New Roman" w:eastAsia="宋体" w:hAnsi="Times New Roman" w:cs="Times New Roman" w:hint="eastAsia"/>
          <w:sz w:val="24"/>
          <w:szCs w:val="22"/>
        </w:rPr>
        <w:t>未被认定为公司关联方，</w:t>
      </w:r>
      <w:r>
        <w:rPr>
          <w:rFonts w:ascii="Times New Roman" w:eastAsia="宋体" w:hAnsi="Times New Roman" w:cs="Times New Roman" w:hint="eastAsia"/>
          <w:sz w:val="24"/>
          <w:szCs w:val="22"/>
        </w:rPr>
        <w:t>2025</w:t>
      </w:r>
      <w:r>
        <w:rPr>
          <w:rFonts w:ascii="Times New Roman" w:eastAsia="宋体" w:hAnsi="Times New Roman" w:cs="Times New Roman" w:hint="eastAsia"/>
          <w:sz w:val="24"/>
          <w:szCs w:val="22"/>
        </w:rPr>
        <w:t>年公司与元启星光签订合同总计</w:t>
      </w:r>
      <w:r>
        <w:rPr>
          <w:rFonts w:ascii="Times New Roman" w:eastAsia="宋体" w:hAnsi="Times New Roman" w:cs="Times New Roman" w:hint="eastAsia"/>
          <w:sz w:val="24"/>
          <w:szCs w:val="22"/>
        </w:rPr>
        <w:t>14,499.18</w:t>
      </w:r>
      <w:r>
        <w:rPr>
          <w:rFonts w:ascii="Times New Roman" w:eastAsia="宋体" w:hAnsi="Times New Roman" w:cs="Times New Roman" w:hint="eastAsia"/>
          <w:sz w:val="24"/>
          <w:szCs w:val="22"/>
        </w:rPr>
        <w:t>万元，未发货，未确认收入。</w:t>
      </w:r>
    </w:p>
    <w:p w14:paraId="55853D86" w14:textId="77777777" w:rsidR="00E840E8" w:rsidRDefault="00000000">
      <w:pPr>
        <w:pStyle w:val="003"/>
        <w:spacing w:before="156" w:after="156"/>
        <w:ind w:firstLine="482"/>
        <w:outlineLvl w:val="0"/>
      </w:pPr>
      <w:r>
        <w:rPr>
          <w:rFonts w:hint="eastAsia"/>
        </w:rPr>
        <w:t>二、</w:t>
      </w:r>
      <w:r>
        <w:rPr>
          <w:rFonts w:hint="eastAsia"/>
        </w:rPr>
        <w:t>2026</w:t>
      </w:r>
      <w:r>
        <w:rPr>
          <w:rFonts w:hint="eastAsia"/>
        </w:rPr>
        <w:t>年度日常关联交易情况</w:t>
      </w:r>
    </w:p>
    <w:p w14:paraId="73961305"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年公司与元启星光签订合同总计</w:t>
      </w:r>
      <w:r>
        <w:rPr>
          <w:rFonts w:ascii="Times New Roman" w:eastAsia="宋体" w:hAnsi="Times New Roman" w:cs="Times New Roman" w:hint="eastAsia"/>
          <w:sz w:val="24"/>
          <w:szCs w:val="22"/>
        </w:rPr>
        <w:t>25,790.73</w:t>
      </w:r>
      <w:r>
        <w:rPr>
          <w:rFonts w:ascii="Times New Roman" w:eastAsia="宋体" w:hAnsi="Times New Roman" w:cs="Times New Roman" w:hint="eastAsia"/>
          <w:sz w:val="24"/>
          <w:szCs w:val="22"/>
        </w:rPr>
        <w:t>万元，</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年上半年全额交易</w:t>
      </w:r>
      <w:r>
        <w:rPr>
          <w:rFonts w:ascii="Times New Roman" w:eastAsia="宋体" w:hAnsi="Times New Roman" w:cs="Times New Roman" w:hint="eastAsia"/>
          <w:sz w:val="24"/>
          <w:szCs w:val="22"/>
        </w:rPr>
        <w:t>17,890.99</w:t>
      </w:r>
      <w:r>
        <w:rPr>
          <w:rFonts w:ascii="Times New Roman" w:eastAsia="宋体" w:hAnsi="Times New Roman" w:cs="Times New Roman" w:hint="eastAsia"/>
          <w:sz w:val="24"/>
          <w:szCs w:val="22"/>
        </w:rPr>
        <w:t>万元，按净额已确认销售收入</w:t>
      </w:r>
      <w:r>
        <w:rPr>
          <w:rFonts w:ascii="Times New Roman" w:eastAsia="宋体" w:hAnsi="Times New Roman" w:cs="Times New Roman" w:hint="eastAsia"/>
          <w:sz w:val="24"/>
          <w:szCs w:val="22"/>
        </w:rPr>
        <w:t>9,681.40</w:t>
      </w:r>
      <w:r>
        <w:rPr>
          <w:rFonts w:ascii="Times New Roman" w:eastAsia="宋体" w:hAnsi="Times New Roman" w:cs="Times New Roman" w:hint="eastAsia"/>
          <w:sz w:val="24"/>
          <w:szCs w:val="22"/>
        </w:rPr>
        <w:t>万元，预计</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年下半年发生交易金额为</w:t>
      </w:r>
      <w:r>
        <w:rPr>
          <w:rFonts w:ascii="Times New Roman" w:eastAsia="宋体" w:hAnsi="Times New Roman" w:cs="Times New Roman" w:hint="eastAsia"/>
          <w:sz w:val="24"/>
          <w:szCs w:val="22"/>
        </w:rPr>
        <w:t>25,000</w:t>
      </w:r>
      <w:r>
        <w:rPr>
          <w:rFonts w:ascii="Times New Roman" w:eastAsia="宋体" w:hAnsi="Times New Roman" w:cs="Times New Roman" w:hint="eastAsia"/>
          <w:sz w:val="24"/>
          <w:szCs w:val="22"/>
        </w:rPr>
        <w:t>万元，具体情况如下：</w:t>
      </w:r>
    </w:p>
    <w:p w14:paraId="5F64A2BF" w14:textId="77777777" w:rsidR="00E840E8" w:rsidRDefault="00000000">
      <w:pPr>
        <w:spacing w:after="0" w:line="240" w:lineRule="auto"/>
        <w:jc w:val="right"/>
        <w:rPr>
          <w:rFonts w:ascii="Times New Roman" w:eastAsia="宋体" w:hAnsi="Times New Roman" w:cs="Times New Roman"/>
          <w:sz w:val="21"/>
          <w:szCs w:val="21"/>
        </w:rPr>
      </w:pPr>
      <w:r>
        <w:rPr>
          <w:rFonts w:ascii="Times New Roman" w:eastAsia="宋体" w:hAnsi="Times New Roman" w:cs="Times New Roman" w:hint="eastAsia"/>
          <w:sz w:val="21"/>
          <w:szCs w:val="21"/>
        </w:rPr>
        <w:t>单位：万元</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404"/>
        <w:gridCol w:w="621"/>
        <w:gridCol w:w="1205"/>
        <w:gridCol w:w="912"/>
        <w:gridCol w:w="1249"/>
        <w:gridCol w:w="1057"/>
        <w:gridCol w:w="1135"/>
        <w:gridCol w:w="688"/>
      </w:tblGrid>
      <w:tr w:rsidR="00E840E8" w14:paraId="52B6527D" w14:textId="77777777">
        <w:trPr>
          <w:trHeight w:val="397"/>
          <w:jc w:val="center"/>
        </w:trPr>
        <w:tc>
          <w:tcPr>
            <w:tcW w:w="847" w:type="pct"/>
            <w:vAlign w:val="center"/>
          </w:tcPr>
          <w:p w14:paraId="32C46403"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关联交易类型</w:t>
            </w:r>
          </w:p>
        </w:tc>
        <w:tc>
          <w:tcPr>
            <w:tcW w:w="374" w:type="pct"/>
            <w:vAlign w:val="center"/>
          </w:tcPr>
          <w:p w14:paraId="333D8CC6"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关联人</w:t>
            </w:r>
          </w:p>
        </w:tc>
        <w:tc>
          <w:tcPr>
            <w:tcW w:w="728" w:type="pct"/>
            <w:vAlign w:val="center"/>
          </w:tcPr>
          <w:p w14:paraId="5B4E5EEC"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2026</w:t>
            </w:r>
            <w:r>
              <w:rPr>
                <w:rFonts w:ascii="Times New Roman" w:eastAsia="宋体" w:hAnsi="Times New Roman" w:cs="宋体" w:hint="eastAsia"/>
                <w:b/>
                <w:bCs/>
                <w:sz w:val="21"/>
                <w:szCs w:val="18"/>
              </w:rPr>
              <w:t>年上半年实际发生金额（未经审计）</w:t>
            </w:r>
          </w:p>
        </w:tc>
        <w:tc>
          <w:tcPr>
            <w:tcW w:w="551" w:type="pct"/>
            <w:vAlign w:val="center"/>
          </w:tcPr>
          <w:p w14:paraId="689C5927" w14:textId="77777777" w:rsidR="00E840E8" w:rsidRDefault="00000000">
            <w:pPr>
              <w:autoSpaceDE w:val="0"/>
              <w:autoSpaceDN w:val="0"/>
              <w:adjustRightInd w:val="0"/>
              <w:spacing w:after="0" w:line="240" w:lineRule="auto"/>
              <w:jc w:val="center"/>
              <w:rPr>
                <w:rFonts w:ascii="Times New Roman" w:eastAsia="宋体" w:hAnsi="Times New Roman" w:cs="宋体"/>
                <w:b/>
                <w:color w:val="000000"/>
                <w:sz w:val="21"/>
                <w:szCs w:val="18"/>
              </w:rPr>
            </w:pPr>
            <w:r>
              <w:rPr>
                <w:rFonts w:ascii="Times New Roman" w:eastAsia="宋体" w:hAnsi="Times New Roman" w:cs="宋体" w:hint="eastAsia"/>
                <w:b/>
                <w:bCs/>
                <w:sz w:val="21"/>
                <w:szCs w:val="18"/>
              </w:rPr>
              <w:t>2026</w:t>
            </w:r>
            <w:r>
              <w:rPr>
                <w:rFonts w:ascii="Times New Roman" w:eastAsia="宋体" w:hAnsi="Times New Roman" w:cs="宋体" w:hint="eastAsia"/>
                <w:b/>
                <w:bCs/>
                <w:sz w:val="21"/>
                <w:szCs w:val="18"/>
              </w:rPr>
              <w:t>年下半年预计发生金额</w:t>
            </w:r>
          </w:p>
        </w:tc>
        <w:tc>
          <w:tcPr>
            <w:tcW w:w="755" w:type="pct"/>
            <w:vAlign w:val="center"/>
          </w:tcPr>
          <w:p w14:paraId="511509B4" w14:textId="77777777" w:rsidR="00E840E8" w:rsidRDefault="00000000">
            <w:pPr>
              <w:pStyle w:val="Default"/>
              <w:jc w:val="center"/>
              <w:rPr>
                <w:rFonts w:ascii="Times New Roman" w:hAnsi="Times New Roman"/>
                <w:b/>
                <w:bCs/>
                <w:sz w:val="21"/>
                <w:szCs w:val="18"/>
              </w:rPr>
            </w:pPr>
            <w:r>
              <w:rPr>
                <w:rFonts w:ascii="Times New Roman" w:hAnsi="Times New Roman" w:hint="eastAsia"/>
                <w:b/>
                <w:bCs/>
                <w:sz w:val="21"/>
                <w:szCs w:val="18"/>
              </w:rPr>
              <w:t>2025</w:t>
            </w:r>
            <w:r>
              <w:rPr>
                <w:rFonts w:ascii="Times New Roman" w:hAnsi="Times New Roman" w:hint="eastAsia"/>
                <w:b/>
                <w:bCs/>
                <w:sz w:val="21"/>
                <w:szCs w:val="18"/>
              </w:rPr>
              <w:t>年实际发生金额（截至</w:t>
            </w:r>
            <w:r>
              <w:rPr>
                <w:rFonts w:ascii="Times New Roman" w:hAnsi="Times New Roman" w:hint="eastAsia"/>
                <w:b/>
                <w:bCs/>
                <w:sz w:val="21"/>
                <w:szCs w:val="18"/>
              </w:rPr>
              <w:t>2025.12.31</w:t>
            </w:r>
            <w:r>
              <w:rPr>
                <w:rFonts w:ascii="Times New Roman" w:hAnsi="Times New Roman" w:hint="eastAsia"/>
                <w:b/>
                <w:bCs/>
                <w:sz w:val="21"/>
                <w:szCs w:val="18"/>
              </w:rPr>
              <w:t>）</w:t>
            </w:r>
          </w:p>
          <w:p w14:paraId="2F2224BE"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Times New Roman" w:hint="eastAsia"/>
                <w:b/>
                <w:bCs/>
                <w:sz w:val="21"/>
                <w:szCs w:val="18"/>
              </w:rPr>
              <w:t>（经审计）</w:t>
            </w:r>
          </w:p>
        </w:tc>
        <w:tc>
          <w:tcPr>
            <w:tcW w:w="639" w:type="pct"/>
            <w:vAlign w:val="center"/>
          </w:tcPr>
          <w:p w14:paraId="4BE86B82"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2025</w:t>
            </w:r>
            <w:r>
              <w:rPr>
                <w:rFonts w:ascii="Times New Roman" w:eastAsia="宋体" w:hAnsi="Times New Roman" w:cs="宋体" w:hint="eastAsia"/>
                <w:b/>
                <w:bCs/>
                <w:sz w:val="21"/>
                <w:szCs w:val="18"/>
              </w:rPr>
              <w:t>年实际发生金额占</w:t>
            </w:r>
            <w:bookmarkStart w:id="0" w:name="OLE_LINK1"/>
            <w:r>
              <w:rPr>
                <w:rFonts w:ascii="Times New Roman" w:eastAsia="宋体" w:hAnsi="Times New Roman" w:cs="宋体" w:hint="eastAsia"/>
                <w:b/>
                <w:bCs/>
                <w:sz w:val="21"/>
                <w:szCs w:val="18"/>
              </w:rPr>
              <w:t>同类的业务</w:t>
            </w:r>
            <w:bookmarkEnd w:id="0"/>
            <w:r>
              <w:rPr>
                <w:rFonts w:ascii="Times New Roman" w:eastAsia="宋体" w:hAnsi="Times New Roman" w:cs="宋体" w:hint="eastAsia"/>
                <w:b/>
                <w:bCs/>
                <w:sz w:val="21"/>
                <w:szCs w:val="18"/>
              </w:rPr>
              <w:t>比例（经审计）（</w:t>
            </w:r>
            <w:r>
              <w:rPr>
                <w:rFonts w:ascii="Times New Roman" w:eastAsia="宋体" w:hAnsi="Times New Roman" w:cs="宋体" w:hint="eastAsia"/>
                <w:b/>
                <w:bCs/>
                <w:sz w:val="21"/>
                <w:szCs w:val="18"/>
              </w:rPr>
              <w:t>%</w:t>
            </w:r>
            <w:r>
              <w:rPr>
                <w:rFonts w:ascii="Times New Roman" w:eastAsia="宋体" w:hAnsi="Times New Roman" w:cs="宋体" w:hint="eastAsia"/>
                <w:b/>
                <w:bCs/>
                <w:sz w:val="21"/>
                <w:szCs w:val="18"/>
              </w:rPr>
              <w:t>）</w:t>
            </w:r>
          </w:p>
        </w:tc>
        <w:tc>
          <w:tcPr>
            <w:tcW w:w="686" w:type="pct"/>
            <w:vAlign w:val="center"/>
          </w:tcPr>
          <w:p w14:paraId="2E7135F1"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color w:val="000000"/>
                <w:sz w:val="21"/>
                <w:szCs w:val="18"/>
              </w:rPr>
              <w:t>本次预计金额与上年实际发生金额差异较大的原因</w:t>
            </w:r>
          </w:p>
        </w:tc>
        <w:tc>
          <w:tcPr>
            <w:tcW w:w="416" w:type="pct"/>
            <w:vAlign w:val="center"/>
          </w:tcPr>
          <w:p w14:paraId="482F1E9D" w14:textId="77777777" w:rsidR="00E840E8" w:rsidRDefault="00000000">
            <w:pPr>
              <w:autoSpaceDE w:val="0"/>
              <w:autoSpaceDN w:val="0"/>
              <w:adjustRightInd w:val="0"/>
              <w:spacing w:after="0" w:line="240" w:lineRule="auto"/>
              <w:jc w:val="center"/>
              <w:rPr>
                <w:rFonts w:ascii="Times New Roman" w:eastAsia="宋体" w:hAnsi="Times New Roman" w:cs="宋体"/>
                <w:b/>
                <w:bCs/>
                <w:color w:val="000000"/>
                <w:sz w:val="21"/>
                <w:szCs w:val="18"/>
              </w:rPr>
            </w:pPr>
            <w:r>
              <w:rPr>
                <w:rFonts w:ascii="Times New Roman" w:eastAsia="宋体" w:hAnsi="Times New Roman" w:cs="宋体" w:hint="eastAsia"/>
                <w:b/>
                <w:bCs/>
                <w:color w:val="000000"/>
                <w:sz w:val="21"/>
                <w:szCs w:val="18"/>
              </w:rPr>
              <w:t>备注</w:t>
            </w:r>
          </w:p>
        </w:tc>
      </w:tr>
      <w:tr w:rsidR="00E840E8" w14:paraId="14E8BDBE" w14:textId="77777777">
        <w:trPr>
          <w:trHeight w:val="397"/>
          <w:jc w:val="center"/>
        </w:trPr>
        <w:tc>
          <w:tcPr>
            <w:tcW w:w="847" w:type="pct"/>
            <w:vAlign w:val="center"/>
          </w:tcPr>
          <w:p w14:paraId="37875D01" w14:textId="77777777" w:rsidR="00E840E8" w:rsidRDefault="00000000">
            <w:pPr>
              <w:autoSpaceDE w:val="0"/>
              <w:autoSpaceDN w:val="0"/>
              <w:adjustRightInd w:val="0"/>
              <w:spacing w:after="0" w:line="240" w:lineRule="auto"/>
              <w:jc w:val="both"/>
              <w:rPr>
                <w:rFonts w:ascii="Times New Roman" w:eastAsia="宋体" w:hAnsi="Times New Roman" w:cs="宋体"/>
                <w:sz w:val="21"/>
                <w:szCs w:val="18"/>
              </w:rPr>
            </w:pPr>
            <w:r>
              <w:rPr>
                <w:rFonts w:ascii="Times New Roman" w:eastAsia="宋体" w:hAnsi="Times New Roman" w:cs="宋体" w:hint="eastAsia"/>
                <w:sz w:val="21"/>
                <w:szCs w:val="18"/>
              </w:rPr>
              <w:t>向关联人销售</w:t>
            </w:r>
            <w:r>
              <w:rPr>
                <w:rFonts w:ascii="Times New Roman" w:eastAsia="宋体" w:hAnsi="Times New Roman" w:cs="宋体" w:hint="eastAsia"/>
                <w:sz w:val="21"/>
                <w:szCs w:val="18"/>
              </w:rPr>
              <w:lastRenderedPageBreak/>
              <w:t>产品</w:t>
            </w:r>
            <w:r>
              <w:rPr>
                <w:rFonts w:ascii="Times New Roman" w:eastAsia="宋体" w:hAnsi="Times New Roman" w:cs="宋体" w:hint="eastAsia"/>
                <w:sz w:val="21"/>
                <w:szCs w:val="18"/>
              </w:rPr>
              <w:t>/</w:t>
            </w:r>
            <w:r>
              <w:rPr>
                <w:rFonts w:ascii="Times New Roman" w:eastAsia="宋体" w:hAnsi="Times New Roman" w:cs="宋体" w:hint="eastAsia"/>
                <w:sz w:val="21"/>
                <w:szCs w:val="18"/>
              </w:rPr>
              <w:t>服务</w:t>
            </w:r>
          </w:p>
        </w:tc>
        <w:tc>
          <w:tcPr>
            <w:tcW w:w="374" w:type="pct"/>
            <w:vAlign w:val="center"/>
          </w:tcPr>
          <w:p w14:paraId="5F07AFCD" w14:textId="77777777" w:rsidR="00E840E8" w:rsidRDefault="00000000">
            <w:pPr>
              <w:autoSpaceDE w:val="0"/>
              <w:autoSpaceDN w:val="0"/>
              <w:adjustRightInd w:val="0"/>
              <w:spacing w:after="0" w:line="240" w:lineRule="auto"/>
              <w:jc w:val="both"/>
              <w:rPr>
                <w:rFonts w:ascii="Times New Roman" w:eastAsia="宋体" w:hAnsi="Times New Roman" w:cs="宋体"/>
                <w:sz w:val="21"/>
                <w:szCs w:val="18"/>
              </w:rPr>
            </w:pPr>
            <w:r>
              <w:rPr>
                <w:rFonts w:ascii="Times New Roman" w:eastAsia="宋体" w:hAnsi="Times New Roman" w:cs="宋体" w:hint="eastAsia"/>
                <w:sz w:val="21"/>
                <w:szCs w:val="18"/>
              </w:rPr>
              <w:lastRenderedPageBreak/>
              <w:t>元启</w:t>
            </w:r>
            <w:r>
              <w:rPr>
                <w:rFonts w:ascii="Times New Roman" w:eastAsia="宋体" w:hAnsi="Times New Roman" w:cs="宋体" w:hint="eastAsia"/>
                <w:sz w:val="21"/>
                <w:szCs w:val="18"/>
              </w:rPr>
              <w:lastRenderedPageBreak/>
              <w:t>星光</w:t>
            </w:r>
          </w:p>
        </w:tc>
        <w:tc>
          <w:tcPr>
            <w:tcW w:w="728" w:type="pct"/>
            <w:vAlign w:val="center"/>
          </w:tcPr>
          <w:p w14:paraId="44F02D67" w14:textId="77777777" w:rsidR="00E840E8" w:rsidRDefault="00000000">
            <w:pPr>
              <w:autoSpaceDE w:val="0"/>
              <w:autoSpaceDN w:val="0"/>
              <w:adjustRightInd w:val="0"/>
              <w:spacing w:after="0" w:line="240" w:lineRule="auto"/>
              <w:jc w:val="right"/>
              <w:rPr>
                <w:rFonts w:ascii="Times New Roman" w:eastAsia="宋体" w:hAnsi="Times New Roman" w:cs="宋体"/>
                <w:sz w:val="21"/>
                <w:szCs w:val="18"/>
              </w:rPr>
            </w:pPr>
            <w:r>
              <w:rPr>
                <w:rFonts w:ascii="Times New Roman" w:eastAsia="宋体" w:hAnsi="Times New Roman" w:cs="宋体" w:hint="eastAsia"/>
                <w:sz w:val="21"/>
                <w:szCs w:val="18"/>
              </w:rPr>
              <w:lastRenderedPageBreak/>
              <w:t>17,890.99</w:t>
            </w:r>
          </w:p>
        </w:tc>
        <w:tc>
          <w:tcPr>
            <w:tcW w:w="551" w:type="pct"/>
            <w:vAlign w:val="center"/>
          </w:tcPr>
          <w:p w14:paraId="4D0AB1C4" w14:textId="77777777" w:rsidR="00E840E8" w:rsidRDefault="00000000">
            <w:pPr>
              <w:autoSpaceDE w:val="0"/>
              <w:autoSpaceDN w:val="0"/>
              <w:adjustRightInd w:val="0"/>
              <w:spacing w:after="0" w:line="240" w:lineRule="auto"/>
              <w:jc w:val="right"/>
              <w:rPr>
                <w:rFonts w:ascii="Times New Roman" w:eastAsia="宋体" w:hAnsi="Times New Roman" w:cs="宋体"/>
                <w:sz w:val="21"/>
                <w:szCs w:val="18"/>
              </w:rPr>
            </w:pPr>
            <w:r>
              <w:rPr>
                <w:rFonts w:ascii="Times New Roman" w:eastAsia="宋体" w:hAnsi="Times New Roman" w:cs="宋体" w:hint="eastAsia"/>
                <w:sz w:val="21"/>
                <w:szCs w:val="18"/>
              </w:rPr>
              <w:t>25,000</w:t>
            </w:r>
          </w:p>
        </w:tc>
        <w:tc>
          <w:tcPr>
            <w:tcW w:w="755" w:type="pct"/>
            <w:vAlign w:val="center"/>
          </w:tcPr>
          <w:p w14:paraId="2E5294E1" w14:textId="77777777" w:rsidR="00E840E8" w:rsidRDefault="00000000">
            <w:pPr>
              <w:autoSpaceDE w:val="0"/>
              <w:autoSpaceDN w:val="0"/>
              <w:adjustRightInd w:val="0"/>
              <w:spacing w:after="0" w:line="240" w:lineRule="auto"/>
              <w:jc w:val="center"/>
              <w:rPr>
                <w:rFonts w:ascii="Times New Roman" w:eastAsia="宋体" w:hAnsi="Times New Roman" w:cs="宋体"/>
                <w:sz w:val="21"/>
                <w:szCs w:val="18"/>
              </w:rPr>
            </w:pPr>
            <w:r>
              <w:rPr>
                <w:rFonts w:ascii="Times New Roman" w:eastAsia="宋体" w:hAnsi="Times New Roman" w:cs="宋体" w:hint="eastAsia"/>
                <w:sz w:val="21"/>
                <w:szCs w:val="18"/>
                <w:lang w:bidi="ar"/>
              </w:rPr>
              <w:t>不适用</w:t>
            </w:r>
          </w:p>
        </w:tc>
        <w:tc>
          <w:tcPr>
            <w:tcW w:w="639" w:type="pct"/>
            <w:vAlign w:val="center"/>
          </w:tcPr>
          <w:p w14:paraId="31264C10" w14:textId="77777777" w:rsidR="00E840E8" w:rsidRDefault="00000000">
            <w:pPr>
              <w:autoSpaceDE w:val="0"/>
              <w:autoSpaceDN w:val="0"/>
              <w:adjustRightInd w:val="0"/>
              <w:spacing w:after="0" w:line="240" w:lineRule="auto"/>
              <w:jc w:val="center"/>
              <w:rPr>
                <w:rFonts w:ascii="Times New Roman" w:eastAsia="宋体" w:hAnsi="Times New Roman" w:cs="宋体"/>
                <w:sz w:val="21"/>
                <w:szCs w:val="18"/>
              </w:rPr>
            </w:pPr>
            <w:r>
              <w:rPr>
                <w:rFonts w:ascii="Times New Roman" w:eastAsia="宋体" w:hAnsi="Times New Roman" w:cs="宋体" w:hint="eastAsia"/>
                <w:sz w:val="21"/>
                <w:szCs w:val="18"/>
              </w:rPr>
              <w:t>不适用</w:t>
            </w:r>
          </w:p>
        </w:tc>
        <w:tc>
          <w:tcPr>
            <w:tcW w:w="686" w:type="pct"/>
            <w:vAlign w:val="center"/>
          </w:tcPr>
          <w:p w14:paraId="2540D0DD" w14:textId="77777777" w:rsidR="00E840E8" w:rsidRDefault="00000000">
            <w:pPr>
              <w:autoSpaceDE w:val="0"/>
              <w:autoSpaceDN w:val="0"/>
              <w:adjustRightInd w:val="0"/>
              <w:spacing w:after="0" w:line="240" w:lineRule="auto"/>
              <w:jc w:val="both"/>
              <w:rPr>
                <w:rFonts w:ascii="Times New Roman" w:eastAsia="宋体" w:hAnsi="Times New Roman" w:cs="宋体"/>
                <w:sz w:val="21"/>
                <w:szCs w:val="18"/>
              </w:rPr>
            </w:pPr>
            <w:r>
              <w:rPr>
                <w:rFonts w:ascii="Times New Roman" w:eastAsia="宋体" w:hAnsi="Times New Roman" w:cs="宋体" w:hint="eastAsia"/>
                <w:sz w:val="21"/>
                <w:szCs w:val="18"/>
              </w:rPr>
              <w:t>本期新增关</w:t>
            </w:r>
            <w:r>
              <w:rPr>
                <w:rFonts w:ascii="Times New Roman" w:eastAsia="宋体" w:hAnsi="Times New Roman" w:cs="宋体" w:hint="eastAsia"/>
                <w:sz w:val="21"/>
                <w:szCs w:val="18"/>
              </w:rPr>
              <w:lastRenderedPageBreak/>
              <w:t>联方</w:t>
            </w:r>
          </w:p>
        </w:tc>
        <w:tc>
          <w:tcPr>
            <w:tcW w:w="416" w:type="pct"/>
            <w:vAlign w:val="center"/>
          </w:tcPr>
          <w:p w14:paraId="429979F7" w14:textId="77777777" w:rsidR="00E840E8" w:rsidRDefault="00000000">
            <w:pPr>
              <w:autoSpaceDE w:val="0"/>
              <w:autoSpaceDN w:val="0"/>
              <w:adjustRightInd w:val="0"/>
              <w:spacing w:after="0" w:line="240" w:lineRule="auto"/>
              <w:jc w:val="center"/>
              <w:rPr>
                <w:rFonts w:ascii="Times New Roman" w:eastAsia="宋体" w:hAnsi="Times New Roman" w:cs="宋体"/>
                <w:sz w:val="21"/>
                <w:szCs w:val="18"/>
              </w:rPr>
            </w:pPr>
            <w:r>
              <w:rPr>
                <w:rFonts w:ascii="Times New Roman" w:eastAsia="宋体" w:hAnsi="Times New Roman" w:cs="宋体" w:hint="eastAsia"/>
                <w:sz w:val="21"/>
                <w:szCs w:val="18"/>
              </w:rPr>
              <w:lastRenderedPageBreak/>
              <w:t>-</w:t>
            </w:r>
          </w:p>
        </w:tc>
      </w:tr>
      <w:tr w:rsidR="00E840E8" w14:paraId="6595908A" w14:textId="77777777">
        <w:trPr>
          <w:trHeight w:val="397"/>
          <w:jc w:val="center"/>
        </w:trPr>
        <w:tc>
          <w:tcPr>
            <w:tcW w:w="1222" w:type="pct"/>
            <w:gridSpan w:val="2"/>
            <w:vAlign w:val="center"/>
          </w:tcPr>
          <w:p w14:paraId="3FC3E0AA"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合计</w:t>
            </w:r>
          </w:p>
        </w:tc>
        <w:tc>
          <w:tcPr>
            <w:tcW w:w="728" w:type="pct"/>
            <w:vAlign w:val="center"/>
          </w:tcPr>
          <w:p w14:paraId="588EADE7" w14:textId="77777777" w:rsidR="00E840E8" w:rsidRDefault="00000000">
            <w:pPr>
              <w:autoSpaceDE w:val="0"/>
              <w:autoSpaceDN w:val="0"/>
              <w:adjustRightInd w:val="0"/>
              <w:spacing w:after="0" w:line="240" w:lineRule="auto"/>
              <w:jc w:val="right"/>
              <w:rPr>
                <w:rFonts w:ascii="Times New Roman" w:eastAsia="宋体" w:hAnsi="Times New Roman" w:cs="宋体"/>
                <w:b/>
                <w:bCs/>
                <w:sz w:val="21"/>
                <w:szCs w:val="18"/>
              </w:rPr>
            </w:pPr>
            <w:r>
              <w:rPr>
                <w:rFonts w:ascii="Times New Roman" w:eastAsia="宋体" w:hAnsi="Times New Roman" w:cs="宋体" w:hint="eastAsia"/>
                <w:b/>
                <w:bCs/>
                <w:sz w:val="21"/>
                <w:szCs w:val="18"/>
              </w:rPr>
              <w:t>17,890.99</w:t>
            </w:r>
          </w:p>
        </w:tc>
        <w:tc>
          <w:tcPr>
            <w:tcW w:w="551" w:type="pct"/>
            <w:vAlign w:val="center"/>
          </w:tcPr>
          <w:p w14:paraId="74B25014" w14:textId="77777777" w:rsidR="00E840E8" w:rsidRDefault="00000000">
            <w:pPr>
              <w:autoSpaceDE w:val="0"/>
              <w:autoSpaceDN w:val="0"/>
              <w:adjustRightInd w:val="0"/>
              <w:spacing w:after="0" w:line="240" w:lineRule="auto"/>
              <w:jc w:val="right"/>
              <w:rPr>
                <w:rFonts w:ascii="Times New Roman" w:eastAsia="宋体" w:hAnsi="Times New Roman" w:cs="宋体"/>
                <w:b/>
                <w:bCs/>
                <w:sz w:val="21"/>
                <w:szCs w:val="18"/>
              </w:rPr>
            </w:pPr>
            <w:r>
              <w:rPr>
                <w:rFonts w:ascii="Times New Roman" w:eastAsia="宋体" w:hAnsi="Times New Roman" w:cs="宋体" w:hint="eastAsia"/>
                <w:b/>
                <w:bCs/>
                <w:sz w:val="21"/>
                <w:szCs w:val="18"/>
              </w:rPr>
              <w:t>25,000</w:t>
            </w:r>
          </w:p>
        </w:tc>
        <w:tc>
          <w:tcPr>
            <w:tcW w:w="755" w:type="pct"/>
            <w:vAlign w:val="center"/>
          </w:tcPr>
          <w:p w14:paraId="77B7154F"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lang w:bidi="ar"/>
              </w:rPr>
              <w:t>不适用</w:t>
            </w:r>
          </w:p>
        </w:tc>
        <w:tc>
          <w:tcPr>
            <w:tcW w:w="639" w:type="pct"/>
            <w:vAlign w:val="center"/>
          </w:tcPr>
          <w:p w14:paraId="45B97641"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不适用</w:t>
            </w:r>
          </w:p>
        </w:tc>
        <w:tc>
          <w:tcPr>
            <w:tcW w:w="686" w:type="pct"/>
            <w:vAlign w:val="center"/>
          </w:tcPr>
          <w:p w14:paraId="76FA6D82"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w:t>
            </w:r>
          </w:p>
        </w:tc>
        <w:tc>
          <w:tcPr>
            <w:tcW w:w="416" w:type="pct"/>
            <w:vAlign w:val="center"/>
          </w:tcPr>
          <w:p w14:paraId="00480286" w14:textId="77777777" w:rsidR="00E840E8" w:rsidRDefault="00000000">
            <w:pPr>
              <w:autoSpaceDE w:val="0"/>
              <w:autoSpaceDN w:val="0"/>
              <w:adjustRightInd w:val="0"/>
              <w:spacing w:after="0" w:line="240" w:lineRule="auto"/>
              <w:jc w:val="center"/>
              <w:rPr>
                <w:rFonts w:ascii="Times New Roman" w:eastAsia="宋体" w:hAnsi="Times New Roman" w:cs="宋体"/>
                <w:b/>
                <w:bCs/>
                <w:sz w:val="21"/>
                <w:szCs w:val="18"/>
              </w:rPr>
            </w:pPr>
            <w:r>
              <w:rPr>
                <w:rFonts w:ascii="Times New Roman" w:eastAsia="宋体" w:hAnsi="Times New Roman" w:cs="宋体" w:hint="eastAsia"/>
                <w:b/>
                <w:bCs/>
                <w:sz w:val="21"/>
                <w:szCs w:val="18"/>
              </w:rPr>
              <w:t>-</w:t>
            </w:r>
          </w:p>
        </w:tc>
      </w:tr>
    </w:tbl>
    <w:p w14:paraId="35D6F160" w14:textId="77777777" w:rsidR="00E840E8" w:rsidRDefault="00000000">
      <w:pPr>
        <w:pStyle w:val="003"/>
        <w:spacing w:before="156" w:after="156"/>
        <w:ind w:firstLine="482"/>
        <w:outlineLvl w:val="0"/>
      </w:pPr>
      <w:r>
        <w:rPr>
          <w:rFonts w:hint="eastAsia"/>
        </w:rPr>
        <w:t>三、关联人介绍与关联关系</w:t>
      </w:r>
    </w:p>
    <w:p w14:paraId="11F6BFAD" w14:textId="77777777" w:rsidR="00E840E8" w:rsidRDefault="00000000">
      <w:pPr>
        <w:pStyle w:val="003"/>
        <w:spacing w:before="156" w:after="156"/>
        <w:ind w:firstLine="482"/>
        <w:outlineLvl w:val="1"/>
      </w:pPr>
      <w:r>
        <w:rPr>
          <w:rFonts w:hint="eastAsia"/>
        </w:rPr>
        <w:t>（一）关联人基本情况</w:t>
      </w:r>
    </w:p>
    <w:tbl>
      <w:tblPr>
        <w:tblW w:w="499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85"/>
        <w:gridCol w:w="3160"/>
        <w:gridCol w:w="1210"/>
        <w:gridCol w:w="1918"/>
      </w:tblGrid>
      <w:tr w:rsidR="00E840E8" w14:paraId="66D7D1B3" w14:textId="77777777">
        <w:trPr>
          <w:trHeight w:val="397"/>
        </w:trPr>
        <w:tc>
          <w:tcPr>
            <w:tcW w:w="1200" w:type="pct"/>
            <w:vAlign w:val="center"/>
          </w:tcPr>
          <w:p w14:paraId="4224147B"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公司名称</w:t>
            </w:r>
          </w:p>
        </w:tc>
        <w:tc>
          <w:tcPr>
            <w:tcW w:w="1910" w:type="pct"/>
            <w:vAlign w:val="center"/>
          </w:tcPr>
          <w:p w14:paraId="7D329B35"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hint="eastAsia"/>
                <w:color w:val="000000"/>
                <w:sz w:val="21"/>
                <w:szCs w:val="21"/>
              </w:rPr>
              <w:t>四川元启星光数字能源科技有限公司</w:t>
            </w:r>
          </w:p>
        </w:tc>
        <w:tc>
          <w:tcPr>
            <w:tcW w:w="731" w:type="pct"/>
            <w:vAlign w:val="center"/>
          </w:tcPr>
          <w:p w14:paraId="19792902"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法定代表人</w:t>
            </w:r>
          </w:p>
        </w:tc>
        <w:tc>
          <w:tcPr>
            <w:tcW w:w="1160" w:type="pct"/>
            <w:vAlign w:val="center"/>
          </w:tcPr>
          <w:p w14:paraId="5826E2CE"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hint="eastAsia"/>
                <w:color w:val="000000"/>
                <w:sz w:val="21"/>
                <w:szCs w:val="21"/>
              </w:rPr>
              <w:t>孙运红</w:t>
            </w:r>
          </w:p>
        </w:tc>
      </w:tr>
      <w:tr w:rsidR="00E840E8" w14:paraId="04FD7199" w14:textId="77777777">
        <w:trPr>
          <w:trHeight w:val="397"/>
        </w:trPr>
        <w:tc>
          <w:tcPr>
            <w:tcW w:w="1200" w:type="pct"/>
            <w:vAlign w:val="center"/>
          </w:tcPr>
          <w:p w14:paraId="0094AA34"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注册资本</w:t>
            </w:r>
          </w:p>
        </w:tc>
        <w:tc>
          <w:tcPr>
            <w:tcW w:w="1910" w:type="pct"/>
            <w:vAlign w:val="center"/>
          </w:tcPr>
          <w:p w14:paraId="62524F20"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color w:val="000000"/>
                <w:sz w:val="21"/>
                <w:szCs w:val="21"/>
              </w:rPr>
              <w:t>12</w:t>
            </w:r>
            <w:r>
              <w:rPr>
                <w:rFonts w:ascii="Times New Roman" w:eastAsia="宋体" w:hAnsi="Times New Roman" w:cs="宋体" w:hint="eastAsia"/>
                <w:color w:val="000000"/>
                <w:sz w:val="21"/>
                <w:szCs w:val="21"/>
              </w:rPr>
              <w:t>,</w:t>
            </w:r>
            <w:r>
              <w:rPr>
                <w:rFonts w:ascii="Times New Roman" w:eastAsia="宋体" w:hAnsi="Times New Roman" w:cs="宋体"/>
                <w:color w:val="000000"/>
                <w:sz w:val="21"/>
                <w:szCs w:val="21"/>
              </w:rPr>
              <w:t>350</w:t>
            </w:r>
            <w:r>
              <w:rPr>
                <w:rFonts w:ascii="Times New Roman" w:eastAsia="宋体" w:hAnsi="Times New Roman" w:cs="宋体"/>
                <w:color w:val="000000"/>
                <w:sz w:val="21"/>
                <w:szCs w:val="21"/>
              </w:rPr>
              <w:t>万元</w:t>
            </w:r>
          </w:p>
        </w:tc>
        <w:tc>
          <w:tcPr>
            <w:tcW w:w="731" w:type="pct"/>
            <w:vAlign w:val="center"/>
          </w:tcPr>
          <w:p w14:paraId="0AB26E59"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成立时间</w:t>
            </w:r>
          </w:p>
        </w:tc>
        <w:tc>
          <w:tcPr>
            <w:tcW w:w="1160" w:type="pct"/>
            <w:vAlign w:val="center"/>
          </w:tcPr>
          <w:p w14:paraId="7A40049A"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color w:val="000000"/>
                <w:sz w:val="21"/>
                <w:szCs w:val="21"/>
              </w:rPr>
              <w:t>2025</w:t>
            </w:r>
            <w:r>
              <w:rPr>
                <w:rFonts w:ascii="Times New Roman" w:eastAsia="宋体" w:hAnsi="Times New Roman" w:cs="宋体" w:hint="eastAsia"/>
                <w:color w:val="000000"/>
                <w:sz w:val="21"/>
                <w:szCs w:val="21"/>
              </w:rPr>
              <w:t>年</w:t>
            </w:r>
            <w:r>
              <w:rPr>
                <w:rFonts w:ascii="Times New Roman" w:eastAsia="宋体" w:hAnsi="Times New Roman" w:cs="宋体"/>
                <w:color w:val="000000"/>
                <w:sz w:val="21"/>
                <w:szCs w:val="21"/>
              </w:rPr>
              <w:t>6</w:t>
            </w:r>
            <w:r>
              <w:rPr>
                <w:rFonts w:ascii="Times New Roman" w:eastAsia="宋体" w:hAnsi="Times New Roman" w:cs="宋体" w:hint="eastAsia"/>
                <w:color w:val="000000"/>
                <w:sz w:val="21"/>
                <w:szCs w:val="21"/>
              </w:rPr>
              <w:t>月</w:t>
            </w:r>
            <w:r>
              <w:rPr>
                <w:rFonts w:ascii="Times New Roman" w:eastAsia="宋体" w:hAnsi="Times New Roman" w:cs="宋体"/>
                <w:color w:val="000000"/>
                <w:sz w:val="21"/>
                <w:szCs w:val="21"/>
              </w:rPr>
              <w:t>18</w:t>
            </w:r>
            <w:r>
              <w:rPr>
                <w:rFonts w:ascii="Times New Roman" w:eastAsia="宋体" w:hAnsi="Times New Roman" w:cs="宋体" w:hint="eastAsia"/>
                <w:color w:val="000000"/>
                <w:sz w:val="21"/>
                <w:szCs w:val="21"/>
              </w:rPr>
              <w:t>日</w:t>
            </w:r>
          </w:p>
        </w:tc>
      </w:tr>
      <w:tr w:rsidR="00E840E8" w14:paraId="48E7EC15" w14:textId="77777777">
        <w:trPr>
          <w:trHeight w:val="397"/>
        </w:trPr>
        <w:tc>
          <w:tcPr>
            <w:tcW w:w="1200" w:type="pct"/>
            <w:vAlign w:val="center"/>
          </w:tcPr>
          <w:p w14:paraId="09FBB28F"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统一社会信用代码</w:t>
            </w:r>
          </w:p>
        </w:tc>
        <w:tc>
          <w:tcPr>
            <w:tcW w:w="1910" w:type="pct"/>
            <w:vAlign w:val="center"/>
          </w:tcPr>
          <w:p w14:paraId="17FDBF5D"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hint="eastAsia"/>
                <w:color w:val="000000"/>
                <w:sz w:val="21"/>
                <w:szCs w:val="21"/>
              </w:rPr>
              <w:t>91510726MAEP1XL12A</w:t>
            </w:r>
          </w:p>
        </w:tc>
        <w:tc>
          <w:tcPr>
            <w:tcW w:w="731" w:type="pct"/>
            <w:vAlign w:val="center"/>
          </w:tcPr>
          <w:p w14:paraId="7CA31B16"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企业类型</w:t>
            </w:r>
          </w:p>
        </w:tc>
        <w:tc>
          <w:tcPr>
            <w:tcW w:w="1160" w:type="pct"/>
            <w:vAlign w:val="center"/>
          </w:tcPr>
          <w:p w14:paraId="18532610"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hint="eastAsia"/>
                <w:color w:val="000000"/>
                <w:sz w:val="21"/>
                <w:szCs w:val="21"/>
              </w:rPr>
              <w:t>有限责任公司</w:t>
            </w:r>
          </w:p>
        </w:tc>
      </w:tr>
      <w:tr w:rsidR="00E840E8" w14:paraId="5C789D05" w14:textId="77777777">
        <w:trPr>
          <w:trHeight w:val="397"/>
        </w:trPr>
        <w:tc>
          <w:tcPr>
            <w:tcW w:w="1200" w:type="pct"/>
            <w:vAlign w:val="center"/>
          </w:tcPr>
          <w:p w14:paraId="0458CB48"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注册地</w:t>
            </w:r>
          </w:p>
        </w:tc>
        <w:tc>
          <w:tcPr>
            <w:tcW w:w="3800" w:type="pct"/>
            <w:gridSpan w:val="3"/>
            <w:vAlign w:val="center"/>
          </w:tcPr>
          <w:p w14:paraId="5D7B40FA" w14:textId="77777777" w:rsidR="00E840E8" w:rsidRDefault="00000000">
            <w:pPr>
              <w:autoSpaceDE w:val="0"/>
              <w:autoSpaceDN w:val="0"/>
              <w:adjustRightInd w:val="0"/>
              <w:spacing w:after="0" w:line="240" w:lineRule="auto"/>
              <w:jc w:val="both"/>
              <w:rPr>
                <w:rFonts w:ascii="Times New Roman" w:eastAsia="宋体" w:hAnsi="Times New Roman" w:cs="宋体"/>
                <w:color w:val="000000"/>
                <w:sz w:val="21"/>
                <w:szCs w:val="21"/>
              </w:rPr>
            </w:pPr>
            <w:r>
              <w:rPr>
                <w:rFonts w:ascii="Times New Roman" w:eastAsia="宋体" w:hAnsi="Times New Roman" w:cs="宋体" w:hint="eastAsia"/>
                <w:color w:val="000000"/>
                <w:sz w:val="21"/>
                <w:szCs w:val="21"/>
              </w:rPr>
              <w:t>四川省绵阳市北川羌族自治县擂鼓镇山东大道擂鼓段</w:t>
            </w:r>
            <w:r>
              <w:rPr>
                <w:rFonts w:ascii="Times New Roman" w:eastAsia="宋体" w:hAnsi="Times New Roman" w:cs="宋体" w:hint="eastAsia"/>
                <w:color w:val="000000"/>
                <w:sz w:val="21"/>
                <w:szCs w:val="21"/>
              </w:rPr>
              <w:t>160</w:t>
            </w:r>
            <w:r>
              <w:rPr>
                <w:rFonts w:ascii="Times New Roman" w:eastAsia="宋体" w:hAnsi="Times New Roman" w:cs="宋体" w:hint="eastAsia"/>
                <w:color w:val="000000"/>
                <w:sz w:val="21"/>
                <w:szCs w:val="21"/>
              </w:rPr>
              <w:t>号</w:t>
            </w:r>
            <w:r>
              <w:rPr>
                <w:rFonts w:ascii="Times New Roman" w:eastAsia="宋体" w:hAnsi="Times New Roman" w:cs="宋体" w:hint="eastAsia"/>
                <w:color w:val="000000"/>
                <w:sz w:val="21"/>
                <w:szCs w:val="21"/>
              </w:rPr>
              <w:t>1</w:t>
            </w:r>
            <w:r>
              <w:rPr>
                <w:rFonts w:ascii="Times New Roman" w:eastAsia="宋体" w:hAnsi="Times New Roman" w:cs="宋体" w:hint="eastAsia"/>
                <w:color w:val="000000"/>
                <w:sz w:val="21"/>
                <w:szCs w:val="21"/>
              </w:rPr>
              <w:t>幢</w:t>
            </w:r>
            <w:r>
              <w:rPr>
                <w:rFonts w:ascii="Times New Roman" w:eastAsia="宋体" w:hAnsi="Times New Roman" w:cs="宋体" w:hint="eastAsia"/>
                <w:color w:val="000000"/>
                <w:sz w:val="21"/>
                <w:szCs w:val="21"/>
              </w:rPr>
              <w:t>4</w:t>
            </w:r>
            <w:r>
              <w:rPr>
                <w:rFonts w:ascii="Times New Roman" w:eastAsia="宋体" w:hAnsi="Times New Roman" w:cs="宋体" w:hint="eastAsia"/>
                <w:color w:val="000000"/>
                <w:sz w:val="21"/>
                <w:szCs w:val="21"/>
              </w:rPr>
              <w:t>层</w:t>
            </w:r>
            <w:r>
              <w:rPr>
                <w:rFonts w:ascii="Times New Roman" w:eastAsia="宋体" w:hAnsi="Times New Roman" w:cs="宋体" w:hint="eastAsia"/>
                <w:color w:val="000000"/>
                <w:sz w:val="21"/>
                <w:szCs w:val="21"/>
              </w:rPr>
              <w:t>409</w:t>
            </w:r>
            <w:r>
              <w:rPr>
                <w:rFonts w:ascii="Times New Roman" w:eastAsia="宋体" w:hAnsi="Times New Roman" w:cs="宋体" w:hint="eastAsia"/>
                <w:color w:val="000000"/>
                <w:sz w:val="21"/>
                <w:szCs w:val="21"/>
              </w:rPr>
              <w:t>号</w:t>
            </w:r>
          </w:p>
        </w:tc>
      </w:tr>
      <w:tr w:rsidR="00E840E8" w14:paraId="1D06C85C" w14:textId="77777777">
        <w:trPr>
          <w:trHeight w:val="397"/>
        </w:trPr>
        <w:tc>
          <w:tcPr>
            <w:tcW w:w="1200" w:type="pct"/>
            <w:vAlign w:val="center"/>
          </w:tcPr>
          <w:p w14:paraId="1A2CBFBB"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主要办公地点</w:t>
            </w:r>
          </w:p>
        </w:tc>
        <w:tc>
          <w:tcPr>
            <w:tcW w:w="3800" w:type="pct"/>
            <w:gridSpan w:val="3"/>
            <w:vAlign w:val="center"/>
          </w:tcPr>
          <w:p w14:paraId="41C42686"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四川省绵阳市北川羌族自治县擂鼓镇山东大道擂鼓段</w:t>
            </w:r>
            <w:r>
              <w:rPr>
                <w:rFonts w:ascii="Times New Roman" w:hAnsi="Times New Roman" w:hint="eastAsia"/>
                <w:sz w:val="21"/>
                <w:szCs w:val="21"/>
              </w:rPr>
              <w:t>160</w:t>
            </w:r>
            <w:r>
              <w:rPr>
                <w:rFonts w:ascii="Times New Roman" w:hAnsi="Times New Roman" w:hint="eastAsia"/>
                <w:sz w:val="21"/>
                <w:szCs w:val="21"/>
              </w:rPr>
              <w:t>号</w:t>
            </w:r>
            <w:r>
              <w:rPr>
                <w:rFonts w:ascii="Times New Roman" w:hAnsi="Times New Roman" w:hint="eastAsia"/>
                <w:sz w:val="21"/>
                <w:szCs w:val="21"/>
              </w:rPr>
              <w:t>1</w:t>
            </w:r>
            <w:r>
              <w:rPr>
                <w:rFonts w:ascii="Times New Roman" w:hAnsi="Times New Roman" w:hint="eastAsia"/>
                <w:sz w:val="21"/>
                <w:szCs w:val="21"/>
              </w:rPr>
              <w:t>幢</w:t>
            </w:r>
            <w:r>
              <w:rPr>
                <w:rFonts w:ascii="Times New Roman" w:hAnsi="Times New Roman" w:hint="eastAsia"/>
                <w:sz w:val="21"/>
                <w:szCs w:val="21"/>
              </w:rPr>
              <w:t>4</w:t>
            </w:r>
            <w:r>
              <w:rPr>
                <w:rFonts w:ascii="Times New Roman" w:hAnsi="Times New Roman" w:hint="eastAsia"/>
                <w:sz w:val="21"/>
                <w:szCs w:val="21"/>
              </w:rPr>
              <w:t>层</w:t>
            </w:r>
            <w:r>
              <w:rPr>
                <w:rFonts w:ascii="Times New Roman" w:hAnsi="Times New Roman" w:hint="eastAsia"/>
                <w:sz w:val="21"/>
                <w:szCs w:val="21"/>
              </w:rPr>
              <w:t>409</w:t>
            </w:r>
            <w:r>
              <w:rPr>
                <w:rFonts w:ascii="Times New Roman" w:hAnsi="Times New Roman" w:hint="eastAsia"/>
                <w:sz w:val="21"/>
                <w:szCs w:val="21"/>
              </w:rPr>
              <w:t>号</w:t>
            </w:r>
          </w:p>
        </w:tc>
      </w:tr>
      <w:tr w:rsidR="00E840E8" w14:paraId="514F523C" w14:textId="77777777">
        <w:trPr>
          <w:trHeight w:val="397"/>
        </w:trPr>
        <w:tc>
          <w:tcPr>
            <w:tcW w:w="1200" w:type="pct"/>
            <w:vAlign w:val="center"/>
          </w:tcPr>
          <w:p w14:paraId="2841378E"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经营范围</w:t>
            </w:r>
          </w:p>
        </w:tc>
        <w:tc>
          <w:tcPr>
            <w:tcW w:w="3800" w:type="pct"/>
            <w:gridSpan w:val="3"/>
            <w:vAlign w:val="center"/>
          </w:tcPr>
          <w:p w14:paraId="68FD1D06" w14:textId="77777777" w:rsidR="00E840E8" w:rsidRDefault="00000000">
            <w:pPr>
              <w:pStyle w:val="Default"/>
              <w:jc w:val="both"/>
              <w:rPr>
                <w:rFonts w:ascii="Times New Roman" w:hAnsi="Times New Roman"/>
                <w:sz w:val="21"/>
                <w:szCs w:val="21"/>
              </w:rPr>
            </w:pPr>
            <w:r>
              <w:rPr>
                <w:rFonts w:ascii="Times New Roman" w:hAnsi="Times New Roman"/>
                <w:sz w:val="21"/>
                <w:szCs w:val="21"/>
              </w:rPr>
              <w:t>一般项目：技术服务、技术开发、技术咨询、技术交流、技术转让、技术推广；新兴能源技术研发；储能技术服务；电池销售；电池制造；电池零配件生产；电池零配件销售；物联网技术服务；物联网技术研发；物联网设备制造；物联网设备销售；输配电及控制设备制造；智能输配电及控制设备销售；智能控制系统集成；充电桩销售；电动汽车充电基础设施运营；光伏设备及元器件制造；光伏设备及元器件销售；太阳能发电技术服务；软件开发；软件销售；软件外包服务；停车场服务；合同能源管理；发电技术服务；货物进出口；技术进出口；专业设计服务；节能管理服务；通用零部件制造；电子产品销售；机械设备研发；工业工程设计服务；金属结构制造；金属结构销售；企业管理咨询；建筑材料销售；建筑装饰材料销售。（除依法须经批准的项目外，凭营业执照依法自主开展经营活动）许可项目：建设工程设计；供电业务；输电、供电、受电电力设施的安装、维修和试验。（依法须经批准的项目，经相关部门批准后方可开展经营活动，具体经营项目以相关部门批准文件或许可证件为准）</w:t>
            </w:r>
          </w:p>
        </w:tc>
      </w:tr>
      <w:tr w:rsidR="00E840E8" w14:paraId="5E8F19A3" w14:textId="77777777">
        <w:trPr>
          <w:trHeight w:val="397"/>
        </w:trPr>
        <w:tc>
          <w:tcPr>
            <w:tcW w:w="1200" w:type="pct"/>
            <w:vAlign w:val="center"/>
          </w:tcPr>
          <w:p w14:paraId="6B12A694"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主要股东</w:t>
            </w:r>
          </w:p>
        </w:tc>
        <w:tc>
          <w:tcPr>
            <w:tcW w:w="3800" w:type="pct"/>
            <w:gridSpan w:val="3"/>
            <w:vAlign w:val="center"/>
          </w:tcPr>
          <w:p w14:paraId="458D735A" w14:textId="77777777" w:rsidR="00E840E8" w:rsidRDefault="00000000">
            <w:pPr>
              <w:pStyle w:val="Default"/>
              <w:jc w:val="both"/>
              <w:rPr>
                <w:rFonts w:ascii="Times New Roman" w:hAnsi="Times New Roman"/>
                <w:sz w:val="21"/>
                <w:szCs w:val="21"/>
              </w:rPr>
            </w:pPr>
            <w:r>
              <w:rPr>
                <w:rFonts w:ascii="Times New Roman" w:hAnsi="Times New Roman" w:hint="eastAsia"/>
                <w:sz w:val="21"/>
                <w:szCs w:val="21"/>
              </w:rPr>
              <w:t>舟山智圆兴合管理咨询合伙企业（有限合伙）持股</w:t>
            </w:r>
            <w:r>
              <w:rPr>
                <w:rFonts w:ascii="Times New Roman" w:hAnsi="Times New Roman" w:hint="eastAsia"/>
                <w:sz w:val="21"/>
                <w:szCs w:val="21"/>
              </w:rPr>
              <w:t>42.92%</w:t>
            </w:r>
            <w:r>
              <w:rPr>
                <w:rFonts w:ascii="Times New Roman" w:hAnsi="Times New Roman" w:hint="eastAsia"/>
                <w:sz w:val="21"/>
                <w:szCs w:val="21"/>
              </w:rPr>
              <w:t>，</w:t>
            </w:r>
            <w:r>
              <w:rPr>
                <w:rFonts w:ascii="Times New Roman" w:hAnsi="Times New Roman"/>
                <w:sz w:val="21"/>
                <w:szCs w:val="21"/>
              </w:rPr>
              <w:t>陈方明</w:t>
            </w:r>
            <w:r>
              <w:rPr>
                <w:rFonts w:ascii="Times New Roman" w:hAnsi="Times New Roman" w:hint="eastAsia"/>
                <w:sz w:val="21"/>
                <w:szCs w:val="21"/>
              </w:rPr>
              <w:t>持股</w:t>
            </w:r>
            <w:r>
              <w:rPr>
                <w:rFonts w:ascii="Times New Roman" w:hAnsi="Times New Roman" w:hint="eastAsia"/>
                <w:sz w:val="21"/>
                <w:szCs w:val="21"/>
              </w:rPr>
              <w:t>19.03%</w:t>
            </w:r>
            <w:r>
              <w:rPr>
                <w:rFonts w:ascii="Times New Roman" w:hAnsi="Times New Roman" w:hint="eastAsia"/>
                <w:sz w:val="21"/>
                <w:szCs w:val="21"/>
              </w:rPr>
              <w:t>，孙运红持股</w:t>
            </w:r>
            <w:r>
              <w:rPr>
                <w:rFonts w:ascii="Times New Roman" w:hAnsi="Times New Roman" w:hint="eastAsia"/>
                <w:sz w:val="21"/>
                <w:szCs w:val="21"/>
              </w:rPr>
              <w:t>17.81%</w:t>
            </w:r>
            <w:r>
              <w:rPr>
                <w:rFonts w:ascii="Times New Roman" w:hAnsi="Times New Roman" w:hint="eastAsia"/>
                <w:sz w:val="21"/>
                <w:szCs w:val="21"/>
              </w:rPr>
              <w:t>，四川中原宏达集团有限公司持股</w:t>
            </w:r>
            <w:r>
              <w:rPr>
                <w:rFonts w:ascii="Times New Roman" w:hAnsi="Times New Roman" w:hint="eastAsia"/>
                <w:sz w:val="21"/>
                <w:szCs w:val="21"/>
              </w:rPr>
              <w:t>13.77%</w:t>
            </w:r>
            <w:r>
              <w:rPr>
                <w:rFonts w:ascii="Times New Roman" w:hAnsi="Times New Roman" w:hint="eastAsia"/>
                <w:sz w:val="21"/>
                <w:szCs w:val="21"/>
              </w:rPr>
              <w:t>，广州星元绿能投资合伙企业（有限合伙）持股</w:t>
            </w:r>
            <w:r>
              <w:rPr>
                <w:rFonts w:ascii="Times New Roman" w:hAnsi="Times New Roman" w:hint="eastAsia"/>
                <w:sz w:val="21"/>
                <w:szCs w:val="21"/>
              </w:rPr>
              <w:t>6.48%</w:t>
            </w:r>
            <w:r>
              <w:rPr>
                <w:rFonts w:ascii="Times New Roman" w:hAnsi="Times New Roman" w:hint="eastAsia"/>
                <w:sz w:val="21"/>
                <w:szCs w:val="21"/>
              </w:rPr>
              <w:t>。</w:t>
            </w:r>
          </w:p>
        </w:tc>
      </w:tr>
    </w:tbl>
    <w:p w14:paraId="32D7692B" w14:textId="77777777" w:rsidR="00E840E8" w:rsidRDefault="00000000">
      <w:pPr>
        <w:pStyle w:val="003"/>
        <w:spacing w:before="156" w:after="156"/>
        <w:ind w:firstLine="482"/>
        <w:outlineLvl w:val="1"/>
      </w:pPr>
      <w:r>
        <w:rPr>
          <w:rFonts w:hint="eastAsia"/>
        </w:rPr>
        <w:t>（二）关联人关系介绍</w:t>
      </w:r>
    </w:p>
    <w:p w14:paraId="0CEA6021"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公司于</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w:t>
      </w:r>
      <w:r>
        <w:rPr>
          <w:rFonts w:ascii="Times New Roman" w:eastAsia="宋体" w:hAnsi="Times New Roman" w:cs="Times New Roman" w:hint="eastAsia"/>
          <w:sz w:val="24"/>
          <w:szCs w:val="22"/>
        </w:rPr>
        <w:t>1</w:t>
      </w:r>
      <w:r>
        <w:rPr>
          <w:rFonts w:ascii="Times New Roman" w:eastAsia="宋体" w:hAnsi="Times New Roman" w:cs="Times New Roman" w:hint="eastAsia"/>
          <w:sz w:val="24"/>
          <w:szCs w:val="22"/>
        </w:rPr>
        <w:t>月</w:t>
      </w:r>
      <w:r>
        <w:rPr>
          <w:rFonts w:ascii="Times New Roman" w:eastAsia="宋体" w:hAnsi="Times New Roman" w:cs="Times New Roman" w:hint="eastAsia"/>
          <w:sz w:val="24"/>
          <w:szCs w:val="22"/>
        </w:rPr>
        <w:t>27</w:t>
      </w:r>
      <w:r>
        <w:rPr>
          <w:rFonts w:ascii="Times New Roman" w:eastAsia="宋体" w:hAnsi="Times New Roman" w:cs="Times New Roman" w:hint="eastAsia"/>
          <w:sz w:val="24"/>
          <w:szCs w:val="22"/>
        </w:rPr>
        <w:t>日成立了子公司重庆望来电智能装备科技有限公司（下称“望来电”），四川元启星光数字能源科技有限公司实际控制人之配偶，持有望来电</w:t>
      </w:r>
      <w:r>
        <w:rPr>
          <w:rFonts w:ascii="Times New Roman" w:eastAsia="宋体" w:hAnsi="Times New Roman" w:cs="Times New Roman" w:hint="eastAsia"/>
          <w:sz w:val="24"/>
          <w:szCs w:val="22"/>
        </w:rPr>
        <w:t>14.50%</w:t>
      </w:r>
      <w:r>
        <w:rPr>
          <w:rFonts w:ascii="Times New Roman" w:eastAsia="宋体" w:hAnsi="Times New Roman" w:cs="Times New Roman" w:hint="eastAsia"/>
          <w:sz w:val="24"/>
          <w:szCs w:val="22"/>
        </w:rPr>
        <w:t>的股权。</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年上半年，元启星光与公司（含控制企业，下同）发生交易，该交易额产生的收入和利润对公司目前的收入和利润有一定影响。</w:t>
      </w:r>
      <w:r>
        <w:rPr>
          <w:rFonts w:ascii="Times New Roman" w:eastAsia="宋体" w:hAnsi="Times New Roman" w:cs="Times New Roman" w:hint="eastAsia"/>
          <w:sz w:val="24"/>
          <w:szCs w:val="22"/>
        </w:rPr>
        <w:lastRenderedPageBreak/>
        <w:t>根据《上海证券交易所股票上市规则》相关规定及实质重于形式的原则将其列为公司关联人。</w:t>
      </w:r>
    </w:p>
    <w:p w14:paraId="16768CBC" w14:textId="77777777" w:rsidR="00E840E8" w:rsidRDefault="00000000">
      <w:pPr>
        <w:pStyle w:val="003"/>
        <w:spacing w:before="156" w:after="156"/>
        <w:ind w:firstLine="482"/>
        <w:outlineLvl w:val="1"/>
      </w:pPr>
      <w:r>
        <w:rPr>
          <w:rFonts w:hint="eastAsia"/>
        </w:rPr>
        <w:t>（三）关联人履约能力</w:t>
      </w:r>
    </w:p>
    <w:p w14:paraId="5D01CB5B"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sz w:val="24"/>
          <w:szCs w:val="22"/>
        </w:rPr>
        <w:t>上述关联方依法存续、资信情况和财务状况良好，具备持续经营和服务的履约能力，公司就上述交易与相关方签署相关合同或协议并严格按照约定执行，双方履约具有法律保障。</w:t>
      </w:r>
    </w:p>
    <w:p w14:paraId="28E351B4" w14:textId="77777777" w:rsidR="00E840E8" w:rsidRDefault="00000000">
      <w:pPr>
        <w:pStyle w:val="003"/>
        <w:spacing w:before="156" w:after="156"/>
        <w:ind w:firstLine="482"/>
        <w:outlineLvl w:val="0"/>
      </w:pPr>
      <w:r>
        <w:rPr>
          <w:rFonts w:hint="eastAsia"/>
        </w:rPr>
        <w:t>四、关联交易主要内容和定价政策</w:t>
      </w:r>
    </w:p>
    <w:p w14:paraId="33C23298"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sz w:val="24"/>
          <w:szCs w:val="22"/>
        </w:rPr>
        <w:t>本次增加日常关联交易预计额度为公司正常的经营行为，关联交易定价基本原则</w:t>
      </w:r>
      <w:r>
        <w:rPr>
          <w:rFonts w:ascii="Times New Roman" w:eastAsia="宋体" w:hAnsi="Times New Roman" w:cs="Times New Roman" w:hint="eastAsia"/>
          <w:sz w:val="24"/>
          <w:szCs w:val="22"/>
        </w:rPr>
        <w:t>为</w:t>
      </w:r>
      <w:r>
        <w:rPr>
          <w:rFonts w:ascii="Times New Roman" w:eastAsia="宋体" w:hAnsi="Times New Roman" w:cs="Times New Roman"/>
          <w:sz w:val="24"/>
          <w:szCs w:val="22"/>
        </w:rPr>
        <w:t>参照国内同行业或本地区同类商品的交易价格，经双方协商后确定</w:t>
      </w:r>
      <w:r>
        <w:rPr>
          <w:rFonts w:ascii="Times New Roman" w:eastAsia="宋体" w:hAnsi="Times New Roman" w:cs="Times New Roman" w:hint="eastAsia"/>
          <w:sz w:val="24"/>
          <w:szCs w:val="22"/>
        </w:rPr>
        <w:t>；</w:t>
      </w:r>
      <w:r>
        <w:rPr>
          <w:rFonts w:ascii="Times New Roman" w:eastAsia="宋体" w:hAnsi="Times New Roman" w:cs="Times New Roman"/>
          <w:sz w:val="24"/>
          <w:szCs w:val="22"/>
        </w:rPr>
        <w:t>如无上述价格时，按提供商品一方的实际成本加上合理利润确定交易价格</w:t>
      </w:r>
      <w:r>
        <w:rPr>
          <w:rFonts w:ascii="Times New Roman" w:eastAsia="宋体" w:hAnsi="Times New Roman" w:cs="Times New Roman" w:hint="eastAsia"/>
          <w:sz w:val="24"/>
          <w:szCs w:val="22"/>
        </w:rPr>
        <w:t>；</w:t>
      </w:r>
      <w:r>
        <w:rPr>
          <w:rFonts w:ascii="Times New Roman" w:eastAsia="宋体" w:hAnsi="Times New Roman" w:cs="Times New Roman"/>
          <w:sz w:val="24"/>
          <w:szCs w:val="22"/>
        </w:rPr>
        <w:t>当交易的商品在没有确切的市场价格，也不适合采用成本加成定价时，经双方协商确定交易价格</w:t>
      </w:r>
      <w:r>
        <w:rPr>
          <w:rFonts w:ascii="Times New Roman" w:eastAsia="宋体" w:hAnsi="Times New Roman" w:cs="Times New Roman" w:hint="eastAsia"/>
          <w:sz w:val="24"/>
          <w:szCs w:val="22"/>
        </w:rPr>
        <w:t>。</w:t>
      </w:r>
    </w:p>
    <w:p w14:paraId="3C1BC0A5" w14:textId="77777777" w:rsidR="00E840E8" w:rsidRDefault="00000000">
      <w:pPr>
        <w:pStyle w:val="003"/>
        <w:spacing w:before="156" w:after="156"/>
        <w:ind w:firstLine="482"/>
        <w:outlineLvl w:val="0"/>
      </w:pPr>
      <w:r>
        <w:rPr>
          <w:rFonts w:hint="eastAsia"/>
        </w:rPr>
        <w:t>五、关联交易目的和对上市公司的影响</w:t>
      </w:r>
      <w:r>
        <w:rPr>
          <w:rFonts w:hint="eastAsia"/>
        </w:rPr>
        <w:t xml:space="preserve"> </w:t>
      </w:r>
    </w:p>
    <w:p w14:paraId="0FBA421A"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公司的关联交易是基于公司发展的需要，公司与关联人的合作均系双方以经营效率最优化为基础所做的市场化选择，充分体现了专业协作、优势互补的合作原则。公司与上述关联人的交易，均照公开、公允、公正的原则进行，定价原则合理、公允，不存在损害公司或中小股东利益的情形。上述日常关联交易不会形成公司主营业务收入和利润对关联人的依赖，不会影响公司的独立性，对公司目前的收入和利润对公司有一定影响。</w:t>
      </w:r>
    </w:p>
    <w:p w14:paraId="77868FD9" w14:textId="77777777" w:rsidR="00E840E8" w:rsidRDefault="00000000">
      <w:pPr>
        <w:pStyle w:val="003"/>
        <w:spacing w:before="156" w:after="156"/>
        <w:ind w:firstLine="482"/>
        <w:outlineLvl w:val="0"/>
      </w:pPr>
      <w:r>
        <w:rPr>
          <w:rFonts w:hint="eastAsia"/>
        </w:rPr>
        <w:t>六、关联交易的审议程序</w:t>
      </w:r>
    </w:p>
    <w:p w14:paraId="00495EB6" w14:textId="77777777" w:rsidR="00E840E8" w:rsidRDefault="00000000">
      <w:pPr>
        <w:pStyle w:val="003"/>
        <w:spacing w:before="156" w:after="156"/>
        <w:ind w:firstLine="482"/>
        <w:outlineLvl w:val="1"/>
      </w:pPr>
      <w:r>
        <w:rPr>
          <w:rFonts w:hint="eastAsia"/>
        </w:rPr>
        <w:t>（一）独立董事专门会议审议情况</w:t>
      </w:r>
    </w:p>
    <w:p w14:paraId="19C32EBB"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公司于</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w:t>
      </w:r>
      <w:r>
        <w:rPr>
          <w:rFonts w:ascii="Times New Roman" w:eastAsia="宋体" w:hAnsi="Times New Roman" w:cs="Times New Roman" w:hint="eastAsia"/>
          <w:sz w:val="24"/>
          <w:szCs w:val="22"/>
        </w:rPr>
        <w:t>8</w:t>
      </w:r>
      <w:r>
        <w:rPr>
          <w:rFonts w:ascii="Times New Roman" w:eastAsia="宋体" w:hAnsi="Times New Roman" w:cs="Times New Roman" w:hint="eastAsia"/>
          <w:sz w:val="24"/>
          <w:szCs w:val="22"/>
        </w:rPr>
        <w:t>月</w:t>
      </w:r>
      <w:r>
        <w:rPr>
          <w:rFonts w:ascii="Times New Roman" w:eastAsia="宋体" w:hAnsi="Times New Roman" w:cs="Times New Roman" w:hint="eastAsia"/>
          <w:sz w:val="24"/>
          <w:szCs w:val="22"/>
        </w:rPr>
        <w:t>25</w:t>
      </w:r>
      <w:r>
        <w:rPr>
          <w:rFonts w:ascii="Times New Roman" w:eastAsia="宋体" w:hAnsi="Times New Roman" w:cs="Times New Roman" w:hint="eastAsia"/>
          <w:sz w:val="24"/>
          <w:szCs w:val="22"/>
        </w:rPr>
        <w:t>日召开第四届董事会独立董事专门会议第八次会议，审议通过了《关于增加</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年日常关联交易的议案》。独立董事一致认为本次增加</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年日常关联交易，是基于慎重原则，根据公司正常生产经营业务的需要制定的，符合公开、公平、公正的原则，定价公允，不存在损害公司和全体股东、特别是中小股东利益的情形。</w:t>
      </w:r>
    </w:p>
    <w:p w14:paraId="6FE481C4" w14:textId="77777777" w:rsidR="00E840E8" w:rsidRPr="00BF3AF0" w:rsidRDefault="00000000" w:rsidP="00F27520">
      <w:pPr>
        <w:pStyle w:val="003"/>
        <w:spacing w:before="156" w:after="156"/>
        <w:ind w:firstLine="482"/>
        <w:outlineLvl w:val="1"/>
      </w:pPr>
      <w:r w:rsidRPr="00BF3AF0">
        <w:rPr>
          <w:rFonts w:hint="eastAsia"/>
        </w:rPr>
        <w:lastRenderedPageBreak/>
        <w:t>（二）审计委员会审议情况</w:t>
      </w:r>
    </w:p>
    <w:p w14:paraId="2C532F80"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公司于</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w:t>
      </w:r>
      <w:r>
        <w:rPr>
          <w:rFonts w:ascii="Times New Roman" w:eastAsia="宋体" w:hAnsi="Times New Roman" w:cs="Times New Roman" w:hint="eastAsia"/>
          <w:sz w:val="24"/>
          <w:szCs w:val="22"/>
        </w:rPr>
        <w:t>8</w:t>
      </w:r>
      <w:r>
        <w:rPr>
          <w:rFonts w:ascii="Times New Roman" w:eastAsia="宋体" w:hAnsi="Times New Roman" w:cs="Times New Roman" w:hint="eastAsia"/>
          <w:sz w:val="24"/>
          <w:szCs w:val="22"/>
        </w:rPr>
        <w:t>月</w:t>
      </w:r>
      <w:r>
        <w:rPr>
          <w:rFonts w:ascii="Times New Roman" w:eastAsia="宋体" w:hAnsi="Times New Roman" w:cs="Times New Roman" w:hint="eastAsia"/>
          <w:sz w:val="24"/>
          <w:szCs w:val="22"/>
        </w:rPr>
        <w:t>25</w:t>
      </w:r>
      <w:r>
        <w:rPr>
          <w:rFonts w:ascii="Times New Roman" w:eastAsia="宋体" w:hAnsi="Times New Roman" w:cs="Times New Roman" w:hint="eastAsia"/>
          <w:sz w:val="24"/>
          <w:szCs w:val="22"/>
        </w:rPr>
        <w:t>日召开第四届董事会审计委员会第十六次会议，审议通过了《关于增加</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年日常关联交易的议案》。</w:t>
      </w:r>
    </w:p>
    <w:p w14:paraId="0E5211C0" w14:textId="77777777" w:rsidR="00E840E8" w:rsidRDefault="00000000">
      <w:pPr>
        <w:pStyle w:val="003"/>
        <w:spacing w:before="156" w:after="156"/>
        <w:ind w:firstLine="482"/>
        <w:outlineLvl w:val="1"/>
      </w:pPr>
      <w:r>
        <w:rPr>
          <w:rFonts w:hint="eastAsia"/>
        </w:rPr>
        <w:t>（三）董事会审议情况</w:t>
      </w:r>
    </w:p>
    <w:p w14:paraId="7D7FBAD4"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sz w:val="24"/>
          <w:szCs w:val="22"/>
        </w:rPr>
        <w:t>公司于</w:t>
      </w:r>
      <w:r>
        <w:rPr>
          <w:rFonts w:ascii="Times New Roman" w:eastAsia="宋体" w:hAnsi="Times New Roman" w:cs="Times New Roman"/>
          <w:sz w:val="24"/>
          <w:szCs w:val="22"/>
        </w:rPr>
        <w:t>2026</w:t>
      </w:r>
      <w:r>
        <w:rPr>
          <w:rFonts w:ascii="Times New Roman" w:eastAsia="宋体" w:hAnsi="Times New Roman" w:cs="Times New Roman"/>
          <w:sz w:val="24"/>
          <w:szCs w:val="22"/>
        </w:rPr>
        <w:t>年</w:t>
      </w:r>
      <w:r>
        <w:rPr>
          <w:rFonts w:ascii="Times New Roman" w:eastAsia="宋体" w:hAnsi="Times New Roman" w:cs="Times New Roman" w:hint="eastAsia"/>
          <w:sz w:val="24"/>
          <w:szCs w:val="22"/>
        </w:rPr>
        <w:t>8</w:t>
      </w:r>
      <w:r>
        <w:rPr>
          <w:rFonts w:ascii="Times New Roman" w:eastAsia="宋体" w:hAnsi="Times New Roman" w:cs="Times New Roman"/>
          <w:sz w:val="24"/>
          <w:szCs w:val="22"/>
        </w:rPr>
        <w:t>月</w:t>
      </w:r>
      <w:r>
        <w:rPr>
          <w:rFonts w:ascii="Times New Roman" w:eastAsia="宋体" w:hAnsi="Times New Roman" w:cs="Times New Roman" w:hint="eastAsia"/>
          <w:sz w:val="24"/>
          <w:szCs w:val="22"/>
        </w:rPr>
        <w:t>25</w:t>
      </w:r>
      <w:r>
        <w:rPr>
          <w:rFonts w:ascii="Times New Roman" w:eastAsia="宋体" w:hAnsi="Times New Roman" w:cs="Times New Roman"/>
          <w:sz w:val="24"/>
          <w:szCs w:val="22"/>
        </w:rPr>
        <w:t>日召开</w:t>
      </w:r>
      <w:r>
        <w:rPr>
          <w:rFonts w:ascii="Times New Roman" w:eastAsia="宋体" w:hAnsi="Times New Roman" w:cs="Times New Roman" w:hint="eastAsia"/>
          <w:sz w:val="24"/>
          <w:szCs w:val="22"/>
        </w:rPr>
        <w:t>第四届董事会第二十二次会议</w:t>
      </w:r>
      <w:r>
        <w:rPr>
          <w:rFonts w:ascii="Times New Roman" w:eastAsia="宋体" w:hAnsi="Times New Roman" w:cs="Times New Roman"/>
          <w:sz w:val="24"/>
          <w:szCs w:val="22"/>
        </w:rPr>
        <w:t>，审议通过了《</w:t>
      </w:r>
      <w:r>
        <w:rPr>
          <w:rFonts w:ascii="Times New Roman" w:eastAsia="宋体" w:hAnsi="Times New Roman" w:cs="Times New Roman" w:hint="eastAsia"/>
          <w:sz w:val="24"/>
          <w:szCs w:val="22"/>
        </w:rPr>
        <w:t>关于增加</w:t>
      </w:r>
      <w:r>
        <w:rPr>
          <w:rFonts w:ascii="Times New Roman" w:eastAsia="宋体" w:hAnsi="Times New Roman" w:cs="Times New Roman" w:hint="eastAsia"/>
          <w:sz w:val="24"/>
          <w:szCs w:val="22"/>
        </w:rPr>
        <w:t>2026</w:t>
      </w:r>
      <w:r>
        <w:rPr>
          <w:rFonts w:ascii="Times New Roman" w:eastAsia="宋体" w:hAnsi="Times New Roman" w:cs="Times New Roman" w:hint="eastAsia"/>
          <w:sz w:val="24"/>
          <w:szCs w:val="22"/>
        </w:rPr>
        <w:t>年日常关联交易的议案</w:t>
      </w:r>
      <w:r>
        <w:rPr>
          <w:rFonts w:ascii="Times New Roman" w:eastAsia="宋体" w:hAnsi="Times New Roman" w:cs="Times New Roman"/>
          <w:sz w:val="24"/>
          <w:szCs w:val="22"/>
        </w:rPr>
        <w:t>》。该议案尚需提交公司股东会审议。</w:t>
      </w:r>
    </w:p>
    <w:p w14:paraId="282F4D2E" w14:textId="77777777" w:rsidR="00E840E8" w:rsidRDefault="00000000">
      <w:pPr>
        <w:pStyle w:val="003"/>
        <w:spacing w:before="156" w:after="156"/>
        <w:ind w:firstLine="482"/>
        <w:outlineLvl w:val="0"/>
      </w:pPr>
      <w:r>
        <w:rPr>
          <w:rFonts w:hint="eastAsia"/>
        </w:rPr>
        <w:t>七、保荐人核查意见</w:t>
      </w:r>
    </w:p>
    <w:p w14:paraId="39B0A26C"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sz w:val="24"/>
          <w:szCs w:val="22"/>
        </w:rPr>
        <w:t>经核查，中信证券认为：公司增加</w:t>
      </w:r>
      <w:r>
        <w:rPr>
          <w:rFonts w:ascii="Times New Roman" w:eastAsia="宋体" w:hAnsi="Times New Roman" w:cs="Times New Roman"/>
          <w:sz w:val="24"/>
          <w:szCs w:val="22"/>
        </w:rPr>
        <w:t>2026</w:t>
      </w:r>
      <w:r>
        <w:rPr>
          <w:rFonts w:ascii="Times New Roman" w:eastAsia="宋体" w:hAnsi="Times New Roman" w:cs="Times New Roman"/>
          <w:sz w:val="24"/>
          <w:szCs w:val="22"/>
        </w:rPr>
        <w:t>年日常关联交易事项已经公司董事会审议通过，独立董事专门会议审议通过，尚需提交公司股东会审议。公司关于增加</w:t>
      </w:r>
      <w:r>
        <w:rPr>
          <w:rFonts w:ascii="Times New Roman" w:eastAsia="宋体" w:hAnsi="Times New Roman" w:cs="Times New Roman"/>
          <w:sz w:val="24"/>
          <w:szCs w:val="22"/>
        </w:rPr>
        <w:t>2026</w:t>
      </w:r>
      <w:r>
        <w:rPr>
          <w:rFonts w:ascii="Times New Roman" w:eastAsia="宋体" w:hAnsi="Times New Roman" w:cs="Times New Roman"/>
          <w:sz w:val="24"/>
          <w:szCs w:val="22"/>
        </w:rPr>
        <w:t>年日常关联交易事项的决策程序符合《上海证券交易所股票上市规则》《上海证券交易所上市公司自律监管指引第</w:t>
      </w:r>
      <w:r>
        <w:rPr>
          <w:rFonts w:ascii="Times New Roman" w:eastAsia="宋体" w:hAnsi="Times New Roman" w:cs="Times New Roman"/>
          <w:sz w:val="24"/>
          <w:szCs w:val="22"/>
        </w:rPr>
        <w:t>5</w:t>
      </w:r>
      <w:r>
        <w:rPr>
          <w:rFonts w:ascii="Times New Roman" w:eastAsia="宋体" w:hAnsi="Times New Roman" w:cs="Times New Roman"/>
          <w:sz w:val="24"/>
          <w:szCs w:val="22"/>
        </w:rPr>
        <w:t>号</w:t>
      </w:r>
      <w:r>
        <w:rPr>
          <w:rFonts w:ascii="Times New Roman" w:eastAsia="宋体" w:hAnsi="Times New Roman" w:cs="Times New Roman"/>
          <w:sz w:val="24"/>
          <w:szCs w:val="22"/>
        </w:rPr>
        <w:t>——</w:t>
      </w:r>
      <w:r>
        <w:rPr>
          <w:rFonts w:ascii="Times New Roman" w:eastAsia="宋体" w:hAnsi="Times New Roman" w:cs="Times New Roman"/>
          <w:sz w:val="24"/>
          <w:szCs w:val="22"/>
        </w:rPr>
        <w:t>交易与关联交易》等相关规定。公司本次增加</w:t>
      </w:r>
      <w:r>
        <w:rPr>
          <w:rFonts w:ascii="Times New Roman" w:eastAsia="宋体" w:hAnsi="Times New Roman" w:cs="Times New Roman"/>
          <w:sz w:val="24"/>
          <w:szCs w:val="22"/>
        </w:rPr>
        <w:t>2026</w:t>
      </w:r>
      <w:r>
        <w:rPr>
          <w:rFonts w:ascii="Times New Roman" w:eastAsia="宋体" w:hAnsi="Times New Roman" w:cs="Times New Roman"/>
          <w:sz w:val="24"/>
          <w:szCs w:val="22"/>
        </w:rPr>
        <w:t>年日常关联交易事项，均为公司开展日常经营活动所需，不存在损害公司和非关联股东的利益的情形。</w:t>
      </w:r>
    </w:p>
    <w:p w14:paraId="4853D25D"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hint="eastAsia"/>
          <w:sz w:val="24"/>
          <w:szCs w:val="22"/>
        </w:rPr>
        <w:t>综上，</w:t>
      </w:r>
      <w:r>
        <w:rPr>
          <w:rFonts w:ascii="Times New Roman" w:eastAsia="宋体" w:hAnsi="Times New Roman" w:cs="Times New Roman"/>
          <w:sz w:val="24"/>
          <w:szCs w:val="22"/>
        </w:rPr>
        <w:t>保荐</w:t>
      </w:r>
      <w:r>
        <w:rPr>
          <w:rFonts w:ascii="Times New Roman" w:eastAsia="宋体" w:hAnsi="Times New Roman" w:cs="Times New Roman" w:hint="eastAsia"/>
          <w:sz w:val="24"/>
          <w:szCs w:val="22"/>
        </w:rPr>
        <w:t>人</w:t>
      </w:r>
      <w:r>
        <w:rPr>
          <w:rFonts w:ascii="Times New Roman" w:eastAsia="宋体" w:hAnsi="Times New Roman" w:cs="Times New Roman"/>
          <w:sz w:val="24"/>
          <w:szCs w:val="22"/>
        </w:rPr>
        <w:t>对公司</w:t>
      </w:r>
      <w:r>
        <w:rPr>
          <w:rFonts w:ascii="Times New Roman" w:eastAsia="宋体" w:hAnsi="Times New Roman" w:cs="Times New Roman" w:hint="eastAsia"/>
          <w:sz w:val="24"/>
          <w:szCs w:val="22"/>
        </w:rPr>
        <w:t>本次</w:t>
      </w:r>
      <w:r>
        <w:rPr>
          <w:rFonts w:ascii="Times New Roman" w:eastAsia="宋体" w:hAnsi="Times New Roman" w:cs="Times New Roman"/>
          <w:sz w:val="24"/>
          <w:szCs w:val="22"/>
        </w:rPr>
        <w:t>增加</w:t>
      </w:r>
      <w:r>
        <w:rPr>
          <w:rFonts w:ascii="Times New Roman" w:eastAsia="宋体" w:hAnsi="Times New Roman" w:cs="Times New Roman"/>
          <w:sz w:val="24"/>
          <w:szCs w:val="22"/>
        </w:rPr>
        <w:t>2026</w:t>
      </w:r>
      <w:r>
        <w:rPr>
          <w:rFonts w:ascii="Times New Roman" w:eastAsia="宋体" w:hAnsi="Times New Roman" w:cs="Times New Roman"/>
          <w:sz w:val="24"/>
          <w:szCs w:val="22"/>
        </w:rPr>
        <w:t>年日常关联交易</w:t>
      </w:r>
      <w:r>
        <w:rPr>
          <w:rFonts w:ascii="Times New Roman" w:eastAsia="宋体" w:hAnsi="Times New Roman" w:cs="Times New Roman" w:hint="eastAsia"/>
          <w:sz w:val="24"/>
          <w:szCs w:val="22"/>
        </w:rPr>
        <w:t>预计</w:t>
      </w:r>
      <w:r>
        <w:rPr>
          <w:rFonts w:ascii="Times New Roman" w:eastAsia="宋体" w:hAnsi="Times New Roman" w:cs="Times New Roman"/>
          <w:sz w:val="24"/>
          <w:szCs w:val="22"/>
        </w:rPr>
        <w:t>事项无异议。</w:t>
      </w:r>
    </w:p>
    <w:p w14:paraId="52BA1E6A" w14:textId="77777777" w:rsidR="00E840E8" w:rsidRDefault="00000000">
      <w:pPr>
        <w:spacing w:beforeLines="50" w:before="156" w:line="360" w:lineRule="auto"/>
        <w:ind w:firstLineChars="200" w:firstLine="480"/>
        <w:jc w:val="both"/>
        <w:rPr>
          <w:rFonts w:ascii="Times New Roman" w:eastAsia="宋体" w:hAnsi="Times New Roman" w:cs="Times New Roman"/>
          <w:sz w:val="24"/>
          <w:szCs w:val="22"/>
        </w:rPr>
      </w:pPr>
      <w:r>
        <w:rPr>
          <w:rFonts w:ascii="Times New Roman" w:eastAsia="宋体" w:hAnsi="Times New Roman" w:cs="Times New Roman"/>
          <w:sz w:val="24"/>
          <w:szCs w:val="22"/>
        </w:rPr>
        <w:br w:type="page"/>
      </w:r>
    </w:p>
    <w:p w14:paraId="492DA02C" w14:textId="77777777" w:rsidR="00E840E8" w:rsidRDefault="00000000">
      <w:pPr>
        <w:widowControl/>
        <w:spacing w:beforeLines="20" w:before="62" w:afterLines="20" w:after="62" w:line="360" w:lineRule="auto"/>
        <w:jc w:val="both"/>
        <w:rPr>
          <w:rFonts w:ascii="Times New Roman" w:eastAsia="宋体" w:hAnsi="Times New Roman" w:cs="Times New Roman"/>
          <w:color w:val="000000"/>
          <w:kern w:val="0"/>
          <w:sz w:val="24"/>
          <w:szCs w:val="23"/>
          <w14:ligatures w14:val="none"/>
        </w:rPr>
      </w:pPr>
      <w:r>
        <w:rPr>
          <w:rFonts w:ascii="Times New Roman" w:eastAsia="宋体" w:hAnsi="Times New Roman" w:cs="Times New Roman"/>
          <w:color w:val="000000"/>
          <w:kern w:val="0"/>
          <w:sz w:val="24"/>
          <w:szCs w:val="23"/>
          <w14:ligatures w14:val="none"/>
        </w:rPr>
        <w:lastRenderedPageBreak/>
        <w:t>（本页无正文，为《中信证券股份有限公司关于重庆望变电气（集团）股份有限公司增加</w:t>
      </w:r>
      <w:r>
        <w:rPr>
          <w:rFonts w:ascii="Times New Roman" w:eastAsia="宋体" w:hAnsi="Times New Roman" w:cs="Times New Roman"/>
          <w:color w:val="000000"/>
          <w:kern w:val="0"/>
          <w:sz w:val="24"/>
          <w:szCs w:val="23"/>
          <w14:ligatures w14:val="none"/>
        </w:rPr>
        <w:t>2026</w:t>
      </w:r>
      <w:r>
        <w:rPr>
          <w:rFonts w:ascii="Times New Roman" w:eastAsia="宋体" w:hAnsi="Times New Roman" w:cs="Times New Roman"/>
          <w:color w:val="000000"/>
          <w:kern w:val="0"/>
          <w:sz w:val="24"/>
          <w:szCs w:val="23"/>
          <w14:ligatures w14:val="none"/>
        </w:rPr>
        <w:t>年度日常关联交易预计的核查意见》之签章页）</w:t>
      </w:r>
    </w:p>
    <w:p w14:paraId="7666A5C0" w14:textId="77777777" w:rsidR="00E840E8" w:rsidRDefault="00E840E8">
      <w:pPr>
        <w:spacing w:after="0" w:line="240" w:lineRule="auto"/>
        <w:jc w:val="both"/>
        <w:rPr>
          <w:rFonts w:ascii="Calibri" w:eastAsia="宋体" w:hAnsi="Calibri" w:cs="Times New Roman"/>
          <w:sz w:val="21"/>
          <w:szCs w:val="22"/>
          <w14:ligatures w14:val="none"/>
        </w:rPr>
      </w:pPr>
    </w:p>
    <w:p w14:paraId="5AF1BAEC" w14:textId="77777777" w:rsidR="00E840E8" w:rsidRDefault="00E840E8">
      <w:pPr>
        <w:spacing w:after="0" w:line="240" w:lineRule="auto"/>
        <w:jc w:val="both"/>
        <w:rPr>
          <w:rFonts w:ascii="Calibri" w:eastAsia="宋体" w:hAnsi="Calibri" w:cs="Times New Roman"/>
          <w:sz w:val="21"/>
          <w:szCs w:val="22"/>
          <w14:ligatures w14:val="none"/>
        </w:rPr>
      </w:pPr>
    </w:p>
    <w:p w14:paraId="069CD976" w14:textId="77777777" w:rsidR="00E840E8" w:rsidRDefault="00E840E8">
      <w:pPr>
        <w:spacing w:after="0" w:line="240" w:lineRule="auto"/>
        <w:jc w:val="both"/>
        <w:rPr>
          <w:rFonts w:ascii="Calibri" w:eastAsia="宋体" w:hAnsi="Calibri" w:cs="Times New Roman"/>
          <w:sz w:val="21"/>
          <w:szCs w:val="22"/>
          <w14:ligatures w14:val="none"/>
        </w:rPr>
      </w:pPr>
    </w:p>
    <w:p w14:paraId="4A4F42A8" w14:textId="77777777" w:rsidR="00E840E8" w:rsidRDefault="00E840E8">
      <w:pPr>
        <w:spacing w:after="0" w:line="240" w:lineRule="auto"/>
        <w:jc w:val="both"/>
        <w:rPr>
          <w:rFonts w:ascii="Calibri" w:eastAsia="宋体" w:hAnsi="Calibri" w:cs="Times New Roman"/>
          <w:sz w:val="21"/>
          <w:szCs w:val="22"/>
          <w14:ligatures w14:val="none"/>
        </w:rPr>
      </w:pPr>
    </w:p>
    <w:p w14:paraId="5DBD091C" w14:textId="77777777" w:rsidR="00E840E8" w:rsidRDefault="00E840E8">
      <w:pPr>
        <w:spacing w:after="0" w:line="240" w:lineRule="auto"/>
        <w:jc w:val="both"/>
        <w:rPr>
          <w:rFonts w:ascii="Calibri" w:eastAsia="宋体" w:hAnsi="Calibri" w:cs="Times New Roman"/>
          <w:sz w:val="21"/>
          <w:szCs w:val="22"/>
          <w14:ligatures w14:val="none"/>
        </w:rPr>
      </w:pPr>
    </w:p>
    <w:p w14:paraId="38136E75" w14:textId="77777777" w:rsidR="00E840E8" w:rsidRDefault="00E840E8">
      <w:pPr>
        <w:spacing w:after="0" w:line="240" w:lineRule="auto"/>
        <w:jc w:val="both"/>
        <w:rPr>
          <w:rFonts w:ascii="Calibri" w:eastAsia="宋体" w:hAnsi="Calibri" w:cs="Times New Roman"/>
          <w:sz w:val="21"/>
          <w:szCs w:val="22"/>
          <w14:ligatures w14:val="none"/>
        </w:rPr>
      </w:pPr>
    </w:p>
    <w:p w14:paraId="5C815EEF" w14:textId="77777777" w:rsidR="00E840E8" w:rsidRDefault="00E840E8">
      <w:pPr>
        <w:spacing w:after="0" w:line="240" w:lineRule="auto"/>
        <w:jc w:val="both"/>
        <w:rPr>
          <w:rFonts w:ascii="Calibri" w:eastAsia="宋体" w:hAnsi="Calibri" w:cs="Times New Roman"/>
          <w:sz w:val="21"/>
          <w:szCs w:val="22"/>
          <w14:ligatures w14:val="none"/>
        </w:rPr>
      </w:pPr>
    </w:p>
    <w:p w14:paraId="6A23EE42" w14:textId="77777777" w:rsidR="00E840E8" w:rsidRDefault="00E840E8">
      <w:pPr>
        <w:spacing w:after="0" w:line="240" w:lineRule="auto"/>
        <w:jc w:val="both"/>
        <w:rPr>
          <w:rFonts w:ascii="Calibri" w:eastAsia="宋体" w:hAnsi="Calibri" w:cs="Times New Roman"/>
          <w:sz w:val="21"/>
          <w:szCs w:val="22"/>
          <w14:ligatures w14:val="none"/>
        </w:rPr>
      </w:pPr>
    </w:p>
    <w:tbl>
      <w:tblPr>
        <w:tblStyle w:val="c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5"/>
        <w:gridCol w:w="2076"/>
        <w:gridCol w:w="22"/>
        <w:gridCol w:w="1771"/>
        <w:gridCol w:w="22"/>
        <w:gridCol w:w="2098"/>
        <w:gridCol w:w="232"/>
      </w:tblGrid>
      <w:tr w:rsidR="00E840E8" w14:paraId="21163695" w14:textId="77777777">
        <w:trPr>
          <w:gridAfter w:val="1"/>
          <w:wAfter w:w="232" w:type="dxa"/>
        </w:trPr>
        <w:tc>
          <w:tcPr>
            <w:tcW w:w="2085" w:type="dxa"/>
          </w:tcPr>
          <w:p w14:paraId="7F784858" w14:textId="77777777" w:rsidR="00E840E8" w:rsidRDefault="00000000">
            <w:pPr>
              <w:spacing w:beforeLines="50" w:before="156" w:after="0" w:line="360" w:lineRule="auto"/>
              <w:rPr>
                <w:rFonts w:ascii="Calibri" w:eastAsia="宋体" w:hAnsi="Calibri" w:cs="Times New Roman"/>
                <w:sz w:val="24"/>
                <w14:ligatures w14:val="none"/>
              </w:rPr>
            </w:pPr>
            <w:r>
              <w:rPr>
                <w:rFonts w:ascii="Calibri" w:eastAsia="宋体" w:hAnsi="Calibri" w:cs="Times New Roman"/>
                <w:sz w:val="24"/>
                <w14:ligatures w14:val="none"/>
              </w:rPr>
              <w:t>保荐代表人：</w:t>
            </w:r>
          </w:p>
        </w:tc>
        <w:tc>
          <w:tcPr>
            <w:tcW w:w="2098" w:type="dxa"/>
            <w:gridSpan w:val="2"/>
            <w:tcBorders>
              <w:bottom w:val="single" w:sz="4" w:space="0" w:color="auto"/>
            </w:tcBorders>
          </w:tcPr>
          <w:p w14:paraId="447C472A" w14:textId="77777777" w:rsidR="00E840E8" w:rsidRDefault="00E840E8">
            <w:pPr>
              <w:spacing w:beforeLines="50" w:before="156" w:after="0" w:line="360" w:lineRule="auto"/>
              <w:rPr>
                <w:rFonts w:ascii="Calibri" w:eastAsia="宋体" w:hAnsi="Calibri" w:cs="Times New Roman"/>
                <w:sz w:val="24"/>
                <w14:ligatures w14:val="none"/>
              </w:rPr>
            </w:pPr>
          </w:p>
        </w:tc>
        <w:tc>
          <w:tcPr>
            <w:tcW w:w="1793" w:type="dxa"/>
            <w:gridSpan w:val="2"/>
          </w:tcPr>
          <w:p w14:paraId="6EC2DF03" w14:textId="77777777" w:rsidR="00E840E8" w:rsidRDefault="00E840E8">
            <w:pPr>
              <w:spacing w:beforeLines="50" w:before="156" w:after="0" w:line="360" w:lineRule="auto"/>
              <w:rPr>
                <w:rFonts w:ascii="Calibri" w:eastAsia="宋体" w:hAnsi="Calibri" w:cs="Times New Roman"/>
                <w:sz w:val="24"/>
                <w14:ligatures w14:val="none"/>
              </w:rPr>
            </w:pPr>
          </w:p>
        </w:tc>
        <w:tc>
          <w:tcPr>
            <w:tcW w:w="2098" w:type="dxa"/>
            <w:tcBorders>
              <w:bottom w:val="single" w:sz="4" w:space="0" w:color="auto"/>
            </w:tcBorders>
          </w:tcPr>
          <w:p w14:paraId="44F25E3D" w14:textId="77777777" w:rsidR="00E840E8" w:rsidRDefault="00E840E8">
            <w:pPr>
              <w:spacing w:beforeLines="50" w:before="156" w:after="0" w:line="360" w:lineRule="auto"/>
              <w:rPr>
                <w:rFonts w:ascii="Calibri" w:eastAsia="宋体" w:hAnsi="Calibri" w:cs="Times New Roman"/>
                <w:sz w:val="24"/>
                <w14:ligatures w14:val="none"/>
              </w:rPr>
            </w:pPr>
          </w:p>
        </w:tc>
      </w:tr>
      <w:tr w:rsidR="00E840E8" w14:paraId="4AA283B1" w14:textId="77777777">
        <w:trPr>
          <w:gridAfter w:val="1"/>
          <w:wAfter w:w="232" w:type="dxa"/>
        </w:trPr>
        <w:tc>
          <w:tcPr>
            <w:tcW w:w="2085" w:type="dxa"/>
          </w:tcPr>
          <w:p w14:paraId="6C38C599" w14:textId="77777777" w:rsidR="00E840E8" w:rsidRDefault="00E840E8">
            <w:pPr>
              <w:spacing w:beforeLines="50" w:before="156" w:after="0" w:line="360" w:lineRule="auto"/>
              <w:rPr>
                <w:rFonts w:ascii="Calibri" w:eastAsia="宋体" w:hAnsi="Calibri" w:cs="Times New Roman"/>
                <w:sz w:val="24"/>
                <w14:ligatures w14:val="none"/>
              </w:rPr>
            </w:pPr>
          </w:p>
        </w:tc>
        <w:tc>
          <w:tcPr>
            <w:tcW w:w="2098" w:type="dxa"/>
            <w:gridSpan w:val="2"/>
            <w:tcBorders>
              <w:top w:val="single" w:sz="4" w:space="0" w:color="auto"/>
            </w:tcBorders>
            <w:vAlign w:val="center"/>
          </w:tcPr>
          <w:p w14:paraId="590165C2" w14:textId="77777777" w:rsidR="00E840E8" w:rsidRDefault="00000000">
            <w:pPr>
              <w:spacing w:beforeLines="50" w:before="156" w:after="0" w:line="360" w:lineRule="auto"/>
              <w:jc w:val="center"/>
              <w:rPr>
                <w:rFonts w:ascii="Calibri" w:eastAsia="宋体" w:hAnsi="Calibri" w:cs="Times New Roman"/>
                <w:sz w:val="24"/>
                <w14:ligatures w14:val="none"/>
              </w:rPr>
            </w:pPr>
            <w:r>
              <w:rPr>
                <w:rFonts w:ascii="Calibri" w:eastAsia="宋体" w:hAnsi="Calibri" w:cs="Times New Roman"/>
                <w:sz w:val="24"/>
                <w14:ligatures w14:val="none"/>
              </w:rPr>
              <w:t>李艳萍</w:t>
            </w:r>
          </w:p>
        </w:tc>
        <w:tc>
          <w:tcPr>
            <w:tcW w:w="1793" w:type="dxa"/>
            <w:gridSpan w:val="2"/>
            <w:vAlign w:val="center"/>
          </w:tcPr>
          <w:p w14:paraId="25A9A1F7" w14:textId="77777777" w:rsidR="00E840E8" w:rsidRDefault="00E840E8">
            <w:pPr>
              <w:spacing w:beforeLines="50" w:before="156" w:after="0" w:line="360" w:lineRule="auto"/>
              <w:rPr>
                <w:rFonts w:ascii="Calibri" w:eastAsia="宋体" w:hAnsi="Calibri" w:cs="Times New Roman"/>
                <w:sz w:val="24"/>
                <w14:ligatures w14:val="none"/>
              </w:rPr>
            </w:pPr>
          </w:p>
        </w:tc>
        <w:tc>
          <w:tcPr>
            <w:tcW w:w="2098" w:type="dxa"/>
            <w:tcBorders>
              <w:top w:val="single" w:sz="4" w:space="0" w:color="auto"/>
            </w:tcBorders>
            <w:vAlign w:val="center"/>
          </w:tcPr>
          <w:p w14:paraId="77B73614" w14:textId="77777777" w:rsidR="00E840E8" w:rsidRDefault="00000000">
            <w:pPr>
              <w:spacing w:beforeLines="50" w:before="156" w:after="0" w:line="360" w:lineRule="auto"/>
              <w:jc w:val="center"/>
              <w:rPr>
                <w:rFonts w:ascii="Calibri" w:eastAsia="宋体" w:hAnsi="Calibri" w:cs="Times New Roman"/>
                <w:sz w:val="24"/>
                <w14:ligatures w14:val="none"/>
              </w:rPr>
            </w:pPr>
            <w:r>
              <w:rPr>
                <w:rFonts w:ascii="Calibri" w:eastAsia="宋体" w:hAnsi="Calibri" w:cs="Times New Roman"/>
                <w:sz w:val="24"/>
                <w14:ligatures w14:val="none"/>
              </w:rPr>
              <w:t>杨家旗</w:t>
            </w:r>
          </w:p>
        </w:tc>
      </w:tr>
      <w:tr w:rsidR="00E840E8" w14:paraId="1E52CCA7" w14:textId="77777777">
        <w:tc>
          <w:tcPr>
            <w:tcW w:w="2085" w:type="dxa"/>
          </w:tcPr>
          <w:p w14:paraId="57A302D4" w14:textId="77777777" w:rsidR="00E840E8" w:rsidRDefault="00E840E8">
            <w:pPr>
              <w:spacing w:beforeLines="50" w:before="156" w:after="0" w:line="360" w:lineRule="auto"/>
              <w:rPr>
                <w:rFonts w:ascii="Calibri" w:eastAsia="宋体" w:hAnsi="Calibri" w:cs="Times New Roman"/>
                <w:sz w:val="24"/>
                <w14:ligatures w14:val="none"/>
              </w:rPr>
            </w:pPr>
          </w:p>
        </w:tc>
        <w:tc>
          <w:tcPr>
            <w:tcW w:w="2076" w:type="dxa"/>
            <w:vAlign w:val="center"/>
          </w:tcPr>
          <w:p w14:paraId="23B05D94" w14:textId="77777777" w:rsidR="00E840E8" w:rsidRDefault="00E840E8">
            <w:pPr>
              <w:spacing w:beforeLines="50" w:before="156" w:after="0" w:line="360" w:lineRule="auto"/>
              <w:rPr>
                <w:rFonts w:ascii="Calibri" w:eastAsia="宋体" w:hAnsi="Calibri" w:cs="Times New Roman"/>
                <w:sz w:val="24"/>
                <w14:ligatures w14:val="none"/>
              </w:rPr>
            </w:pPr>
          </w:p>
        </w:tc>
        <w:tc>
          <w:tcPr>
            <w:tcW w:w="1793" w:type="dxa"/>
            <w:gridSpan w:val="2"/>
            <w:vAlign w:val="center"/>
          </w:tcPr>
          <w:p w14:paraId="4002B315" w14:textId="77777777" w:rsidR="00E840E8" w:rsidRDefault="00E840E8">
            <w:pPr>
              <w:spacing w:beforeLines="50" w:before="156" w:after="0" w:line="360" w:lineRule="auto"/>
              <w:rPr>
                <w:rFonts w:ascii="Calibri" w:eastAsia="宋体" w:hAnsi="Calibri" w:cs="Times New Roman"/>
                <w:sz w:val="24"/>
                <w14:ligatures w14:val="none"/>
              </w:rPr>
            </w:pPr>
          </w:p>
        </w:tc>
        <w:tc>
          <w:tcPr>
            <w:tcW w:w="2352" w:type="dxa"/>
            <w:gridSpan w:val="3"/>
            <w:vAlign w:val="center"/>
          </w:tcPr>
          <w:p w14:paraId="429D0EEF" w14:textId="77777777" w:rsidR="00E840E8" w:rsidRDefault="00E840E8">
            <w:pPr>
              <w:spacing w:beforeLines="50" w:before="156" w:after="0" w:line="360" w:lineRule="auto"/>
              <w:rPr>
                <w:rFonts w:ascii="Calibri" w:eastAsia="宋体" w:hAnsi="Calibri" w:cs="Times New Roman"/>
                <w:sz w:val="24"/>
                <w14:ligatures w14:val="none"/>
              </w:rPr>
            </w:pPr>
          </w:p>
        </w:tc>
      </w:tr>
    </w:tbl>
    <w:p w14:paraId="6981F6BC" w14:textId="77777777" w:rsidR="00E840E8" w:rsidRDefault="00E840E8">
      <w:pPr>
        <w:spacing w:beforeLines="50" w:before="156" w:after="0" w:line="360" w:lineRule="auto"/>
        <w:jc w:val="both"/>
        <w:rPr>
          <w:rFonts w:ascii="Times New Roman" w:eastAsia="宋体" w:hAnsi="Times New Roman" w:cs="Times New Roman"/>
          <w:sz w:val="24"/>
          <w14:ligatures w14:val="none"/>
        </w:rPr>
      </w:pPr>
    </w:p>
    <w:p w14:paraId="39E382DB" w14:textId="77777777" w:rsidR="00E840E8" w:rsidRDefault="00E840E8">
      <w:pPr>
        <w:spacing w:beforeLines="50" w:before="156" w:after="0" w:line="360" w:lineRule="auto"/>
        <w:jc w:val="both"/>
        <w:rPr>
          <w:rFonts w:ascii="Times New Roman" w:eastAsia="宋体" w:hAnsi="Times New Roman" w:cs="Times New Roman"/>
          <w:sz w:val="24"/>
          <w14:ligatures w14:val="none"/>
        </w:rPr>
      </w:pPr>
    </w:p>
    <w:p w14:paraId="681FEF5C" w14:textId="77777777" w:rsidR="00E840E8" w:rsidRDefault="00E840E8">
      <w:pPr>
        <w:spacing w:beforeLines="50" w:before="156" w:after="0" w:line="360" w:lineRule="auto"/>
        <w:jc w:val="both"/>
        <w:rPr>
          <w:rFonts w:ascii="Times New Roman" w:eastAsia="宋体" w:hAnsi="Times New Roman" w:cs="Times New Roman"/>
          <w:sz w:val="24"/>
          <w14:ligatures w14:val="none"/>
        </w:rPr>
      </w:pPr>
    </w:p>
    <w:p w14:paraId="2C2E9A87" w14:textId="77777777" w:rsidR="00E840E8" w:rsidRDefault="00000000">
      <w:pPr>
        <w:spacing w:beforeLines="50" w:before="156" w:after="0" w:line="360" w:lineRule="auto"/>
        <w:ind w:firstLineChars="200" w:firstLine="480"/>
        <w:jc w:val="right"/>
        <w:rPr>
          <w:rFonts w:ascii="宋体" w:eastAsia="宋体" w:hAnsi="宋体" w:cs="Times New Roman" w:hint="eastAsia"/>
          <w:sz w:val="24"/>
          <w14:ligatures w14:val="none"/>
        </w:rPr>
      </w:pPr>
      <w:r>
        <w:rPr>
          <w:rFonts w:ascii="宋体" w:eastAsia="宋体" w:hAnsi="宋体" w:cs="Times New Roman"/>
          <w:sz w:val="24"/>
          <w14:ligatures w14:val="none"/>
        </w:rPr>
        <w:t>中信证券股份有限公司</w:t>
      </w:r>
    </w:p>
    <w:p w14:paraId="12EAFB6C" w14:textId="77777777" w:rsidR="00E840E8" w:rsidRDefault="00000000">
      <w:pPr>
        <w:spacing w:beforeLines="50" w:before="156" w:after="0" w:line="360" w:lineRule="auto"/>
        <w:ind w:firstLineChars="200" w:firstLine="480"/>
        <w:jc w:val="right"/>
        <w:rPr>
          <w:rFonts w:ascii="宋体" w:eastAsia="宋体" w:hAnsi="宋体" w:cs="Times New Roman" w:hint="eastAsia"/>
          <w:sz w:val="24"/>
          <w14:ligatures w14:val="none"/>
        </w:rPr>
      </w:pPr>
      <w:r>
        <w:rPr>
          <w:rFonts w:ascii="宋体" w:eastAsia="宋体" w:hAnsi="宋体" w:cs="Times New Roman"/>
          <w:sz w:val="24"/>
          <w14:ligatures w14:val="none"/>
        </w:rPr>
        <w:t>年    月     日</w:t>
      </w:r>
    </w:p>
    <w:p w14:paraId="5BBC118F" w14:textId="77777777" w:rsidR="00E840E8" w:rsidRDefault="00E840E8">
      <w:pPr>
        <w:spacing w:after="0" w:line="240" w:lineRule="auto"/>
        <w:jc w:val="both"/>
        <w:rPr>
          <w:rFonts w:ascii="Calibri" w:eastAsia="宋体" w:hAnsi="Calibri" w:cs="Times New Roman"/>
          <w:sz w:val="21"/>
          <w:szCs w:val="22"/>
          <w14:ligatures w14:val="none"/>
        </w:rPr>
      </w:pPr>
    </w:p>
    <w:p w14:paraId="58FA850C" w14:textId="77777777" w:rsidR="00E840E8" w:rsidRDefault="00E840E8">
      <w:pPr>
        <w:spacing w:beforeLines="50" w:before="156" w:line="360" w:lineRule="auto"/>
        <w:jc w:val="both"/>
        <w:rPr>
          <w:rFonts w:ascii="Times New Roman" w:eastAsia="宋体" w:hAnsi="Times New Roman" w:cs="Times New Roman"/>
          <w:sz w:val="24"/>
          <w:szCs w:val="22"/>
        </w:rPr>
      </w:pPr>
    </w:p>
    <w:sectPr w:rsidR="00E840E8">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7585B" w14:textId="77777777" w:rsidR="00DF428B" w:rsidRDefault="00DF428B">
      <w:pPr>
        <w:spacing w:line="240" w:lineRule="auto"/>
        <w:rPr>
          <w:rFonts w:hint="eastAsia"/>
        </w:rPr>
      </w:pPr>
      <w:r>
        <w:separator/>
      </w:r>
    </w:p>
  </w:endnote>
  <w:endnote w:type="continuationSeparator" w:id="0">
    <w:p w14:paraId="608B06C3" w14:textId="77777777" w:rsidR="00DF428B" w:rsidRDefault="00DF428B">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altName w:val="方正仿宋_GBK"/>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743366"/>
    </w:sdtPr>
    <w:sdtEndPr>
      <w:rPr>
        <w:rFonts w:ascii="Times New Roman" w:hAnsi="Times New Roman" w:cs="Times New Roman"/>
      </w:rPr>
    </w:sdtEndPr>
    <w:sdtContent>
      <w:p w14:paraId="1709999C" w14:textId="77777777" w:rsidR="00E840E8" w:rsidRDefault="00000000">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FA241" w14:textId="77777777" w:rsidR="00DF428B" w:rsidRDefault="00DF428B">
      <w:pPr>
        <w:spacing w:after="0"/>
        <w:rPr>
          <w:rFonts w:hint="eastAsia"/>
        </w:rPr>
      </w:pPr>
      <w:r>
        <w:separator/>
      </w:r>
    </w:p>
  </w:footnote>
  <w:footnote w:type="continuationSeparator" w:id="0">
    <w:p w14:paraId="127EE35D" w14:textId="77777777" w:rsidR="00DF428B" w:rsidRDefault="00DF428B">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HorizontalSpacing w:val="11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8CF"/>
    <w:rsid w:val="00013F0C"/>
    <w:rsid w:val="00020153"/>
    <w:rsid w:val="00037F12"/>
    <w:rsid w:val="00080FA3"/>
    <w:rsid w:val="000A08BE"/>
    <w:rsid w:val="000B7C20"/>
    <w:rsid w:val="000C371F"/>
    <w:rsid w:val="000D1A4F"/>
    <w:rsid w:val="000D1BAC"/>
    <w:rsid w:val="00103613"/>
    <w:rsid w:val="00104D5B"/>
    <w:rsid w:val="00151AE6"/>
    <w:rsid w:val="00153488"/>
    <w:rsid w:val="001628CF"/>
    <w:rsid w:val="00187E1F"/>
    <w:rsid w:val="001B7D0F"/>
    <w:rsid w:val="00213D93"/>
    <w:rsid w:val="00231D3F"/>
    <w:rsid w:val="0023615B"/>
    <w:rsid w:val="00252A52"/>
    <w:rsid w:val="00257D58"/>
    <w:rsid w:val="00263BC8"/>
    <w:rsid w:val="00263C41"/>
    <w:rsid w:val="0026478B"/>
    <w:rsid w:val="002C07BF"/>
    <w:rsid w:val="002C6DBC"/>
    <w:rsid w:val="0031770A"/>
    <w:rsid w:val="00393A33"/>
    <w:rsid w:val="003957EF"/>
    <w:rsid w:val="00396972"/>
    <w:rsid w:val="00402EEF"/>
    <w:rsid w:val="00473318"/>
    <w:rsid w:val="00490511"/>
    <w:rsid w:val="00493622"/>
    <w:rsid w:val="004B332B"/>
    <w:rsid w:val="004C0C00"/>
    <w:rsid w:val="004C2339"/>
    <w:rsid w:val="004E773E"/>
    <w:rsid w:val="004F089D"/>
    <w:rsid w:val="0054659A"/>
    <w:rsid w:val="00553F37"/>
    <w:rsid w:val="00555CE4"/>
    <w:rsid w:val="005670C2"/>
    <w:rsid w:val="00587858"/>
    <w:rsid w:val="005B785C"/>
    <w:rsid w:val="005C55A8"/>
    <w:rsid w:val="005F1E73"/>
    <w:rsid w:val="005F5F72"/>
    <w:rsid w:val="0061058F"/>
    <w:rsid w:val="00662B9A"/>
    <w:rsid w:val="00670984"/>
    <w:rsid w:val="00697038"/>
    <w:rsid w:val="006E0C30"/>
    <w:rsid w:val="006E243E"/>
    <w:rsid w:val="006F2932"/>
    <w:rsid w:val="007012B8"/>
    <w:rsid w:val="00714FB5"/>
    <w:rsid w:val="007170BF"/>
    <w:rsid w:val="007235B8"/>
    <w:rsid w:val="007520C9"/>
    <w:rsid w:val="007A7F8F"/>
    <w:rsid w:val="007B48ED"/>
    <w:rsid w:val="007C3CAF"/>
    <w:rsid w:val="007E1A54"/>
    <w:rsid w:val="00814B3F"/>
    <w:rsid w:val="008303C6"/>
    <w:rsid w:val="008503E3"/>
    <w:rsid w:val="008A3D45"/>
    <w:rsid w:val="008C7BE0"/>
    <w:rsid w:val="008D10F9"/>
    <w:rsid w:val="008D3A7F"/>
    <w:rsid w:val="00961C54"/>
    <w:rsid w:val="00963276"/>
    <w:rsid w:val="009D0D5A"/>
    <w:rsid w:val="009E1CE3"/>
    <w:rsid w:val="00A0059A"/>
    <w:rsid w:val="00A02BC8"/>
    <w:rsid w:val="00A413B8"/>
    <w:rsid w:val="00A519AC"/>
    <w:rsid w:val="00A96B18"/>
    <w:rsid w:val="00AA0800"/>
    <w:rsid w:val="00AA5C54"/>
    <w:rsid w:val="00AB365A"/>
    <w:rsid w:val="00AC0F15"/>
    <w:rsid w:val="00AC19BA"/>
    <w:rsid w:val="00B04997"/>
    <w:rsid w:val="00B1180C"/>
    <w:rsid w:val="00B304A8"/>
    <w:rsid w:val="00B3511B"/>
    <w:rsid w:val="00BF3AF0"/>
    <w:rsid w:val="00C22FAF"/>
    <w:rsid w:val="00C32675"/>
    <w:rsid w:val="00C35F72"/>
    <w:rsid w:val="00C551F2"/>
    <w:rsid w:val="00C62BE1"/>
    <w:rsid w:val="00C84897"/>
    <w:rsid w:val="00C96C07"/>
    <w:rsid w:val="00CB2E55"/>
    <w:rsid w:val="00CC05F0"/>
    <w:rsid w:val="00CD757C"/>
    <w:rsid w:val="00CF4ACD"/>
    <w:rsid w:val="00D05AA3"/>
    <w:rsid w:val="00D56A6F"/>
    <w:rsid w:val="00D627E6"/>
    <w:rsid w:val="00D81768"/>
    <w:rsid w:val="00DA6EA8"/>
    <w:rsid w:val="00DB7C87"/>
    <w:rsid w:val="00DD4541"/>
    <w:rsid w:val="00DF12DB"/>
    <w:rsid w:val="00DF428B"/>
    <w:rsid w:val="00E43342"/>
    <w:rsid w:val="00E54602"/>
    <w:rsid w:val="00E54AF9"/>
    <w:rsid w:val="00E55F40"/>
    <w:rsid w:val="00E63DB1"/>
    <w:rsid w:val="00E840E8"/>
    <w:rsid w:val="00E90946"/>
    <w:rsid w:val="00EE322C"/>
    <w:rsid w:val="00F0505B"/>
    <w:rsid w:val="00F06C7D"/>
    <w:rsid w:val="00F27520"/>
    <w:rsid w:val="00F346C7"/>
    <w:rsid w:val="00F51E63"/>
    <w:rsid w:val="00F769DA"/>
    <w:rsid w:val="00FB0152"/>
    <w:rsid w:val="00FB6B65"/>
    <w:rsid w:val="00FC455D"/>
    <w:rsid w:val="3D17028E"/>
    <w:rsid w:val="59C917EF"/>
    <w:rsid w:val="5F6BB275"/>
    <w:rsid w:val="6371A93B"/>
    <w:rsid w:val="63F3C385"/>
    <w:rsid w:val="6CEF48EB"/>
    <w:rsid w:val="6D73CACF"/>
    <w:rsid w:val="6FE7784A"/>
    <w:rsid w:val="77F7845D"/>
    <w:rsid w:val="79FFC87B"/>
    <w:rsid w:val="7DE404EF"/>
    <w:rsid w:val="7EDF5AAD"/>
    <w:rsid w:val="7F920024"/>
    <w:rsid w:val="7FE6505D"/>
    <w:rsid w:val="7FF3BA2F"/>
    <w:rsid w:val="7FFF5519"/>
    <w:rsid w:val="ADFC4782"/>
    <w:rsid w:val="B7D74094"/>
    <w:rsid w:val="BDDFE929"/>
    <w:rsid w:val="DBFADDC5"/>
    <w:rsid w:val="DFEB4010"/>
    <w:rsid w:val="EBF7B9CF"/>
    <w:rsid w:val="EFFBD50A"/>
    <w:rsid w:val="EFFBEE8F"/>
    <w:rsid w:val="FEB37D37"/>
    <w:rsid w:val="FFFF2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19A30"/>
  <w15:docId w15:val="{2D72C1B6-96DA-4C82-A355-9EFCE101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Body Text"/>
    <w:basedOn w:val="a"/>
    <w:semiHidden/>
    <w:qFormat/>
    <w:rPr>
      <w:rFonts w:ascii="仿宋" w:eastAsia="仿宋" w:hAnsi="仿宋" w:cs="仿宋"/>
      <w:sz w:val="30"/>
      <w:szCs w:val="30"/>
    </w:rPr>
  </w:style>
  <w:style w:type="paragraph" w:styleId="a6">
    <w:name w:val="footer"/>
    <w:basedOn w:val="a"/>
    <w:link w:val="a7"/>
    <w:uiPriority w:val="99"/>
    <w:unhideWhenUsed/>
    <w:qFormat/>
    <w:pPr>
      <w:tabs>
        <w:tab w:val="center" w:pos="4153"/>
        <w:tab w:val="right" w:pos="8306"/>
      </w:tabs>
      <w:snapToGrid w:val="0"/>
      <w:spacing w:line="240" w:lineRule="auto"/>
    </w:pPr>
    <w:rPr>
      <w:sz w:val="18"/>
      <w:szCs w:val="18"/>
    </w:rPr>
  </w:style>
  <w:style w:type="paragraph" w:styleId="a8">
    <w:name w:val="header"/>
    <w:basedOn w:val="a"/>
    <w:link w:val="a9"/>
    <w:uiPriority w:val="99"/>
    <w:unhideWhenUsed/>
    <w:qFormat/>
    <w:pPr>
      <w:tabs>
        <w:tab w:val="center" w:pos="4153"/>
        <w:tab w:val="right" w:pos="8306"/>
      </w:tabs>
      <w:snapToGrid w:val="0"/>
      <w:spacing w:line="240" w:lineRule="auto"/>
      <w:jc w:val="center"/>
    </w:pPr>
    <w:rPr>
      <w:sz w:val="18"/>
      <w:szCs w:val="18"/>
    </w:rPr>
  </w:style>
  <w:style w:type="paragraph" w:styleId="aa">
    <w:name w:val="Subtitle"/>
    <w:basedOn w:val="a"/>
    <w:next w:val="a"/>
    <w:link w:val="ab"/>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c">
    <w:name w:val="Title"/>
    <w:basedOn w:val="a"/>
    <w:next w:val="a"/>
    <w:link w:val="ad"/>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jc w:val="center"/>
    </w:pPr>
    <w:rPr>
      <w:i/>
      <w:iCs/>
      <w:color w:val="404040" w:themeColor="text1" w:themeTint="BF"/>
    </w:rPr>
  </w:style>
  <w:style w:type="character" w:customStyle="1" w:styleId="af3">
    <w:name w:val="引用 字符"/>
    <w:basedOn w:val="a0"/>
    <w:link w:val="af2"/>
    <w:uiPriority w:val="29"/>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5">
    <w:name w:val="Intense Quote"/>
    <w:basedOn w:val="a"/>
    <w:next w:val="a"/>
    <w:link w:val="af6"/>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明显引用 字符"/>
    <w:basedOn w:val="a0"/>
    <w:link w:val="af5"/>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rPr>
      <w:sz w:val="18"/>
      <w:szCs w:val="18"/>
    </w:rPr>
  </w:style>
  <w:style w:type="character" w:customStyle="1" w:styleId="a4">
    <w:name w:val="批注文字 字符"/>
    <w:basedOn w:val="a0"/>
    <w:link w:val="a3"/>
    <w:uiPriority w:val="99"/>
    <w:rPr>
      <w:rFonts w:asciiTheme="minorHAnsi" w:eastAsiaTheme="minorEastAsia" w:hAnsiTheme="minorHAnsi" w:cstheme="minorBidi"/>
      <w:kern w:val="2"/>
      <w:sz w:val="22"/>
      <w:szCs w:val="24"/>
      <w14:ligatures w14:val="standardContextual"/>
    </w:rPr>
  </w:style>
  <w:style w:type="character" w:customStyle="1" w:styleId="af">
    <w:name w:val="批注主题 字符"/>
    <w:basedOn w:val="a4"/>
    <w:link w:val="ae"/>
    <w:uiPriority w:val="99"/>
    <w:semiHidden/>
    <w:qFormat/>
    <w:rPr>
      <w:rFonts w:asciiTheme="minorHAnsi" w:eastAsiaTheme="minorEastAsia" w:hAnsiTheme="minorHAnsi" w:cstheme="minorBidi"/>
      <w:b/>
      <w:bCs/>
      <w:kern w:val="2"/>
      <w:sz w:val="22"/>
      <w:szCs w:val="24"/>
      <w14:ligatures w14:val="standardContextual"/>
    </w:rPr>
  </w:style>
  <w:style w:type="paragraph" w:customStyle="1" w:styleId="13">
    <w:name w:val="修订1"/>
    <w:hidden/>
    <w:uiPriority w:val="99"/>
    <w:unhideWhenUsed/>
    <w:rPr>
      <w:rFonts w:asciiTheme="minorHAnsi" w:eastAsiaTheme="minorEastAsia" w:hAnsiTheme="minorHAnsi" w:cstheme="minorBidi"/>
      <w:kern w:val="2"/>
      <w:sz w:val="22"/>
      <w:szCs w:val="24"/>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31">
    <w:name w:val="修订3"/>
    <w:hidden/>
    <w:uiPriority w:val="99"/>
    <w:unhideWhenUsed/>
    <w:rPr>
      <w:rFonts w:asciiTheme="minorHAnsi" w:eastAsiaTheme="minorEastAsia" w:hAnsiTheme="minorHAnsi" w:cstheme="minorBidi"/>
      <w:kern w:val="2"/>
      <w:sz w:val="22"/>
      <w:szCs w:val="24"/>
      <w14:ligatures w14:val="standardContextual"/>
    </w:rPr>
  </w:style>
  <w:style w:type="character" w:customStyle="1" w:styleId="font21">
    <w:name w:val="font21"/>
    <w:basedOn w:val="a0"/>
    <w:qFormat/>
    <w:rPr>
      <w:rFonts w:ascii="宋体" w:eastAsia="宋体" w:hAnsi="宋体" w:cs="宋体" w:hint="eastAsia"/>
      <w:color w:val="000000"/>
      <w:sz w:val="21"/>
      <w:szCs w:val="21"/>
      <w:u w:val="none"/>
    </w:rPr>
  </w:style>
  <w:style w:type="paragraph" w:customStyle="1" w:styleId="41">
    <w:name w:val="修订4"/>
    <w:hidden/>
    <w:uiPriority w:val="99"/>
    <w:unhideWhenUsed/>
    <w:rPr>
      <w:rFonts w:asciiTheme="minorHAnsi" w:eastAsiaTheme="minorEastAsia" w:hAnsiTheme="minorHAnsi" w:cstheme="minorBidi"/>
      <w:kern w:val="2"/>
      <w:sz w:val="22"/>
      <w:szCs w:val="24"/>
      <w14:ligatures w14:val="standardContextual"/>
    </w:rPr>
  </w:style>
  <w:style w:type="paragraph" w:customStyle="1" w:styleId="51">
    <w:name w:val="修订5"/>
    <w:hidden/>
    <w:uiPriority w:val="99"/>
    <w:unhideWhenUsed/>
    <w:rPr>
      <w:rFonts w:asciiTheme="minorHAnsi" w:eastAsiaTheme="minorEastAsia" w:hAnsiTheme="minorHAnsi" w:cstheme="minorBidi"/>
      <w:kern w:val="2"/>
      <w:sz w:val="22"/>
      <w:szCs w:val="24"/>
      <w14:ligatures w14:val="standardContextual"/>
    </w:rPr>
  </w:style>
  <w:style w:type="paragraph" w:customStyle="1" w:styleId="003">
    <w:name w:val="003三级标题"/>
    <w:basedOn w:val="a"/>
    <w:link w:val="0030"/>
    <w:qFormat/>
    <w:pPr>
      <w:keepNext/>
      <w:keepLines/>
      <w:widowControl/>
      <w:spacing w:beforeLines="50" w:before="50" w:afterLines="50" w:after="50" w:line="360" w:lineRule="auto"/>
      <w:ind w:firstLineChars="200" w:firstLine="200"/>
      <w:jc w:val="both"/>
      <w:outlineLvl w:val="2"/>
    </w:pPr>
    <w:rPr>
      <w:rFonts w:ascii="Times New Roman" w:eastAsia="宋体" w:hAnsi="Times New Roman" w:cs="Times New Roman"/>
      <w:b/>
      <w:bCs/>
      <w:sz w:val="24"/>
      <w:szCs w:val="28"/>
      <w14:ligatures w14:val="none"/>
    </w:rPr>
  </w:style>
  <w:style w:type="character" w:customStyle="1" w:styleId="0030">
    <w:name w:val="003三级标题 字符"/>
    <w:link w:val="003"/>
    <w:qFormat/>
    <w:locked/>
    <w:rPr>
      <w:b/>
      <w:bCs/>
      <w:kern w:val="2"/>
      <w:sz w:val="24"/>
      <w:szCs w:val="28"/>
    </w:rPr>
  </w:style>
  <w:style w:type="table" w:customStyle="1" w:styleId="14">
    <w:name w:val="网格型1"/>
    <w:basedOn w:val="a1"/>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qFormat/>
    <w:tblPr>
      <w:tblCellMar>
        <w:top w:w="0" w:type="dxa"/>
        <w:left w:w="0" w:type="dxa"/>
        <w:bottom w:w="0" w:type="dxa"/>
        <w:right w:w="0" w:type="dxa"/>
      </w:tblCellMar>
    </w:tblPr>
  </w:style>
  <w:style w:type="table" w:customStyle="1" w:styleId="c1">
    <w:name w:val="网格型c1"/>
    <w:basedOn w:val="a1"/>
    <w:uiPriority w:val="39"/>
    <w:qFormat/>
    <w:pPr>
      <w:widowControl w:val="0"/>
      <w:jc w:val="both"/>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正文1"/>
    <w:qFormat/>
    <w:pPr>
      <w:spacing w:line="360" w:lineRule="auto"/>
    </w:pPr>
    <w:rPr>
      <w:rFonts w:ascii="仿宋" w:eastAsia="仿宋" w:hAnsi="仿宋" w:cstheme="minorBidi"/>
      <w:sz w:val="32"/>
      <w:szCs w:val="22"/>
      <w:lang w:eastAsia="en-US"/>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table" w:customStyle="1" w:styleId="c2">
    <w:name w:val="网格型c2"/>
    <w:basedOn w:val="a1"/>
    <w:uiPriority w:val="39"/>
    <w:qFormat/>
    <w:pPr>
      <w:widowControl w:val="0"/>
      <w:jc w:val="both"/>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
    <w:name w:val="修订6"/>
    <w:hidden/>
    <w:uiPriority w:val="99"/>
    <w:unhideWhenUsed/>
    <w:rPr>
      <w:rFonts w:asciiTheme="minorHAnsi" w:eastAsiaTheme="minorEastAsia" w:hAnsiTheme="minorHAnsi" w:cstheme="minorBidi"/>
      <w:kern w:val="2"/>
      <w:sz w:val="22"/>
      <w:szCs w:val="24"/>
      <w14:ligatures w14:val="standardContextual"/>
    </w:rPr>
  </w:style>
  <w:style w:type="paragraph" w:styleId="af7">
    <w:name w:val="Revision"/>
    <w:hidden/>
    <w:uiPriority w:val="99"/>
    <w:unhideWhenUsed/>
    <w:rsid w:val="00BF3AF0"/>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E882C-533B-4AC5-A9BB-746EE6369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1391</Words>
  <Characters>1518</Characters>
  <Application>Microsoft Office Word</Application>
  <DocSecurity>0</DocSecurity>
  <Lines>94</Lines>
  <Paragraphs>90</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成浩 杨</dc:creator>
  <cp:lastModifiedBy>成浩 杨</cp:lastModifiedBy>
  <cp:revision>6</cp:revision>
  <dcterms:created xsi:type="dcterms:W3CDTF">2026-08-24T09:43:00Z</dcterms:created>
  <dcterms:modified xsi:type="dcterms:W3CDTF">2026-08-26T08:51:00Z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BE44E960FED36AA08B088B6AC2C03ECB_43</vt:lpwstr>
  </property>
  <property fmtid="{D5CDD505-2E9C-101B-9397-08002B2CF9AE}" pid="4" name="KSOTemplateDocerSaveRecord">
    <vt:lpwstr>eyJoZGlkIjoiMzEwNTM5NzYwMDRjMzkwZTVkZjY2ODkwMGIxNGU0OTUiLCJ1c2VySWQiOiI0MzM1NTM4MDUifQ==</vt:lpwstr>
  </property>
</Properties>
</file>