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asciiTheme="minorEastAsia" w:hAnsiTheme="minorEastAsia"/>
          <w:b/>
          <w:bCs/>
          <w:sz w:val="24"/>
          <w:szCs w:val="24"/>
          <w:lang w:val="en-US" w:eastAsia="zh-CN"/>
        </w:rPr>
      </w:pPr>
      <w:r>
        <w:rPr>
          <w:rFonts w:ascii="宋体" w:hAnsi="宋体" w:eastAsia="宋体"/>
          <w:b/>
          <w:bCs/>
        </w:rPr>
        <w:t xml:space="preserve">证券代码：603191     </w:t>
      </w:r>
      <w:r>
        <w:rPr>
          <w:rFonts w:hint="eastAsia" w:ascii="宋体" w:hAnsi="宋体" w:eastAsia="宋体"/>
          <w:b/>
          <w:bCs/>
          <w:lang w:val="en-US" w:eastAsia="zh-CN"/>
        </w:rPr>
        <w:t xml:space="preserve">       </w:t>
      </w:r>
      <w:r>
        <w:rPr>
          <w:rFonts w:ascii="宋体" w:hAnsi="宋体" w:eastAsia="宋体"/>
          <w:b/>
          <w:bCs/>
        </w:rPr>
        <w:t xml:space="preserve">  证券简称：望变电气    </w:t>
      </w:r>
      <w:r>
        <w:rPr>
          <w:rFonts w:hint="eastAsia" w:ascii="宋体" w:hAnsi="宋体" w:eastAsia="宋体"/>
          <w:b/>
          <w:bCs/>
          <w:lang w:val="en-US" w:eastAsia="zh-CN"/>
        </w:rPr>
        <w:t xml:space="preserve">    </w:t>
      </w:r>
      <w:r>
        <w:rPr>
          <w:rFonts w:ascii="宋体" w:hAnsi="宋体" w:eastAsia="宋体"/>
          <w:b/>
          <w:bCs/>
        </w:rPr>
        <w:t xml:space="preserve">    公告编号：2026-</w:t>
      </w:r>
      <w:r>
        <w:rPr>
          <w:rFonts w:hint="eastAsia" w:ascii="宋体" w:hAnsi="宋体" w:eastAsia="宋体"/>
          <w:b/>
          <w:bCs/>
          <w:lang w:val="en-US" w:eastAsia="zh-CN"/>
        </w:rPr>
        <w:t>067</w:t>
      </w:r>
    </w:p>
    <w:p>
      <w:pPr>
        <w:jc w:val="right"/>
        <w:rPr>
          <w:rFonts w:asciiTheme="minorEastAsia" w:hAnsiTheme="minorEastAsia"/>
          <w:b/>
          <w:sz w:val="24"/>
          <w:szCs w:val="24"/>
        </w:rPr>
      </w:pPr>
    </w:p>
    <w:p>
      <w:pPr>
        <w:jc w:val="right"/>
        <w:rPr>
          <w:rFonts w:asciiTheme="minorEastAsia" w:hAnsiTheme="minorEastAsia"/>
          <w:b/>
          <w:sz w:val="24"/>
          <w:szCs w:val="24"/>
        </w:rPr>
      </w:pPr>
    </w:p>
    <w:p>
      <w:pPr>
        <w:adjustRightInd w:val="0"/>
        <w:snapToGrid w:val="0"/>
        <w:spacing w:before="156" w:beforeLines="50" w:afterLines="0" w:line="560" w:lineRule="exact"/>
        <w:jc w:val="center"/>
        <w:rPr>
          <w:rFonts w:hint="eastAsia" w:ascii="宋体" w:hAnsi="宋体" w:cs="仿宋_GB2312"/>
          <w:b/>
          <w:color w:val="FF0000"/>
          <w:sz w:val="36"/>
          <w:szCs w:val="36"/>
        </w:rPr>
      </w:pPr>
      <w:r>
        <w:rPr>
          <w:rFonts w:hint="eastAsia" w:ascii="宋体" w:hAnsi="宋体" w:cs="仿宋_GB2312"/>
          <w:b/>
          <w:color w:val="FF0000"/>
          <w:sz w:val="36"/>
          <w:szCs w:val="36"/>
        </w:rPr>
        <w:t>重庆望变电气（集团）股份有限公司</w:t>
      </w:r>
    </w:p>
    <w:p>
      <w:pPr>
        <w:adjustRightInd w:val="0"/>
        <w:snapToGrid w:val="0"/>
        <w:spacing w:before="156" w:beforeLines="50" w:afterLines="0" w:line="560" w:lineRule="exact"/>
        <w:jc w:val="center"/>
        <w:rPr>
          <w:rFonts w:hint="eastAsia" w:ascii="宋体" w:hAnsi="宋体" w:cs="仿宋_GB2312" w:eastAsiaTheme="minorEastAsia"/>
          <w:b/>
          <w:color w:val="FF0000"/>
          <w:sz w:val="36"/>
          <w:szCs w:val="36"/>
        </w:rPr>
      </w:pPr>
      <w:r>
        <w:rPr>
          <w:rFonts w:hint="eastAsia" w:ascii="宋体" w:hAnsi="宋体" w:cs="仿宋_GB2312" w:eastAsiaTheme="minorEastAsia"/>
          <w:b/>
          <w:color w:val="FF0000"/>
          <w:sz w:val="36"/>
          <w:szCs w:val="36"/>
        </w:rPr>
        <w:t>2026年8月对子公司提供担保的进展公告</w:t>
      </w:r>
    </w:p>
    <w:p>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adjustRightInd w:val="0"/>
        <w:snapToGrid w:val="0"/>
        <w:spacing w:line="560" w:lineRule="exact"/>
        <w:ind w:firstLine="600"/>
        <w:jc w:val="right"/>
        <w:rPr>
          <w:rFonts w:cs="仿宋_GB2312" w:asciiTheme="minorEastAsia" w:hAnsiTheme="minorEastAsia"/>
          <w:sz w:val="24"/>
          <w:szCs w:val="24"/>
        </w:rPr>
      </w:pPr>
    </w:p>
    <w:p>
      <w:pPr>
        <w:widowControl/>
        <w:adjustRightInd w:val="0"/>
        <w:snapToGrid w:val="0"/>
        <w:spacing w:line="560" w:lineRule="exact"/>
        <w:jc w:val="left"/>
        <w:rPr>
          <w:rFonts w:asciiTheme="minorEastAsia" w:hAnsiTheme="minorEastAsia" w:cstheme="minorEastAsia"/>
          <w:b/>
          <w:bCs/>
          <w:sz w:val="28"/>
          <w:szCs w:val="28"/>
        </w:rPr>
      </w:pPr>
      <w:r>
        <w:rPr>
          <w:rFonts w:hint="eastAsia" w:asciiTheme="minorEastAsia" w:hAnsiTheme="minorEastAsia" w:cstheme="minorEastAsia"/>
          <w:b/>
          <w:bCs/>
          <w:sz w:val="28"/>
          <w:szCs w:val="28"/>
        </w:rPr>
        <w:t>重要内容提示：</w:t>
      </w:r>
    </w:p>
    <w:p>
      <w:pPr>
        <w:widowControl/>
        <w:numPr>
          <w:ilvl w:val="0"/>
          <w:numId w:val="1"/>
        </w:numPr>
        <w:adjustRightInd w:val="0"/>
        <w:snapToGrid w:val="0"/>
        <w:spacing w:line="560" w:lineRule="exact"/>
        <w:ind w:left="0" w:firstLine="482" w:firstLineChars="200"/>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担保对象及基本情况</w:t>
      </w:r>
    </w:p>
    <w:tbl>
      <w:tblPr>
        <w:tblStyle w:val="13"/>
        <w:tblW w:w="499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4"/>
        <w:gridCol w:w="3490"/>
        <w:gridCol w:w="39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jc w:val="center"/>
        </w:trPr>
        <w:tc>
          <w:tcPr>
            <w:tcW w:w="1075" w:type="dxa"/>
            <w:vMerge w:val="restart"/>
            <w:vAlign w:val="center"/>
          </w:tcPr>
          <w:p>
            <w:pPr>
              <w:widowControl/>
              <w:adjustRightInd w:val="0"/>
              <w:snapToGrid w:val="0"/>
              <w:rPr>
                <w:rFonts w:ascii="宋体" w:hAnsi="宋体" w:eastAsia="宋体" w:cs="宋体"/>
                <w:b/>
                <w:bCs/>
                <w:color w:val="000000"/>
                <w:kern w:val="0"/>
                <w:sz w:val="24"/>
                <w:szCs w:val="24"/>
              </w:rPr>
            </w:pPr>
            <w:bookmarkStart w:id="0" w:name="OLE_LINK10"/>
            <w:bookmarkStart w:id="1" w:name="OLE_LINK11"/>
            <w:bookmarkStart w:id="9" w:name="_GoBack" w:colFirst="1" w:colLast="1"/>
            <w:r>
              <w:rPr>
                <w:rFonts w:hint="eastAsia" w:ascii="宋体" w:hAnsi="宋体" w:eastAsia="宋体" w:cs="宋体"/>
                <w:b/>
                <w:bCs/>
                <w:color w:val="000000"/>
                <w:kern w:val="0"/>
                <w:sz w:val="24"/>
                <w:szCs w:val="24"/>
              </w:rPr>
              <w:t>担  保</w:t>
            </w:r>
          </w:p>
          <w:p>
            <w:pPr>
              <w:widowControl/>
              <w:adjustRightInd w:val="0"/>
              <w:snapToGrid w:val="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xml:space="preserve">对  象 </w:t>
            </w:r>
            <w:bookmarkEnd w:id="0"/>
            <w:bookmarkEnd w:id="1"/>
          </w:p>
        </w:tc>
        <w:tc>
          <w:tcPr>
            <w:tcW w:w="3397" w:type="dxa"/>
            <w:vAlign w:val="center"/>
          </w:tcPr>
          <w:p>
            <w:pPr>
              <w:widowControl/>
              <w:adjustRightInd w:val="0"/>
              <w:snapToGrid w:val="0"/>
              <w:rPr>
                <w:rFonts w:ascii="宋体" w:hAnsi="宋体" w:eastAsia="宋体" w:cs="宋体"/>
                <w:color w:val="000000"/>
                <w:sz w:val="24"/>
                <w:szCs w:val="24"/>
              </w:rPr>
            </w:pPr>
            <w:r>
              <w:rPr>
                <w:rFonts w:hint="eastAsia" w:ascii="宋体" w:hAnsi="宋体" w:eastAsia="宋体" w:cs="宋体"/>
                <w:color w:val="000000"/>
                <w:kern w:val="0"/>
                <w:sz w:val="24"/>
                <w:szCs w:val="24"/>
              </w:rPr>
              <w:t>被担保人名称</w:t>
            </w:r>
          </w:p>
        </w:tc>
        <w:tc>
          <w:tcPr>
            <w:tcW w:w="3809" w:type="dxa"/>
            <w:vAlign w:val="center"/>
          </w:tcPr>
          <w:p>
            <w:pPr>
              <w:jc w:val="center"/>
              <w:rPr>
                <w:rFonts w:ascii="宋体" w:hAnsi="宋体" w:eastAsia="宋体" w:cs="宋体"/>
                <w:sz w:val="24"/>
                <w:szCs w:val="24"/>
              </w:rPr>
            </w:pPr>
            <w:r>
              <w:rPr>
                <w:rFonts w:hint="eastAsia" w:ascii="宋体" w:hAnsi="宋体" w:eastAsia="宋体" w:cs="宋体"/>
                <w:sz w:val="24"/>
                <w:szCs w:val="24"/>
              </w:rPr>
              <w:t>云南变压器电气股份有限公司（以下简称“云变电气”）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1" w:hRule="atLeast"/>
          <w:jc w:val="center"/>
        </w:trPr>
        <w:tc>
          <w:tcPr>
            <w:tcW w:w="1075" w:type="dxa"/>
            <w:vMerge w:val="continue"/>
            <w:vAlign w:val="center"/>
          </w:tcPr>
          <w:p>
            <w:pPr>
              <w:widowControl/>
              <w:adjustRightInd w:val="0"/>
              <w:snapToGrid w:val="0"/>
              <w:rPr>
                <w:rFonts w:ascii="宋体" w:hAnsi="宋体" w:eastAsia="宋体" w:cs="宋体"/>
                <w:color w:val="000000"/>
                <w:sz w:val="24"/>
                <w:szCs w:val="24"/>
              </w:rPr>
            </w:pPr>
            <w:bookmarkStart w:id="2" w:name="_Hlk210917321"/>
          </w:p>
        </w:tc>
        <w:tc>
          <w:tcPr>
            <w:tcW w:w="3397" w:type="dxa"/>
            <w:vAlign w:val="center"/>
          </w:tcPr>
          <w:p>
            <w:pPr>
              <w:widowControl/>
              <w:adjustRightInd w:val="0"/>
              <w:snapToGrid w:val="0"/>
              <w:rPr>
                <w:rFonts w:ascii="宋体" w:hAnsi="宋体" w:eastAsia="宋体" w:cs="宋体"/>
                <w:color w:val="000000"/>
                <w:sz w:val="24"/>
                <w:szCs w:val="24"/>
              </w:rPr>
            </w:pPr>
            <w:r>
              <w:rPr>
                <w:rFonts w:hint="eastAsia" w:ascii="宋体" w:hAnsi="宋体" w:eastAsia="宋体" w:cs="宋体"/>
                <w:color w:val="000000"/>
                <w:kern w:val="0"/>
                <w:sz w:val="24"/>
                <w:szCs w:val="24"/>
              </w:rPr>
              <w:t>本次担保金额</w:t>
            </w:r>
          </w:p>
        </w:tc>
        <w:tc>
          <w:tcPr>
            <w:tcW w:w="3809" w:type="dxa"/>
            <w:vAlign w:val="center"/>
          </w:tcPr>
          <w:p>
            <w:pPr>
              <w:jc w:val="center"/>
              <w:rPr>
                <w:rFonts w:ascii="宋体" w:hAnsi="宋体" w:eastAsia="宋体" w:cs="宋体"/>
                <w:sz w:val="24"/>
                <w:szCs w:val="24"/>
              </w:rPr>
            </w:pPr>
            <w:r>
              <w:rPr>
                <w:rFonts w:hint="eastAsia" w:ascii="宋体" w:hAnsi="宋体" w:eastAsia="宋体" w:cs="宋体"/>
                <w:sz w:val="24"/>
                <w:szCs w:val="24"/>
              </w:rPr>
              <w:t>12,000.00万元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8" w:hRule="atLeast"/>
          <w:jc w:val="center"/>
        </w:trPr>
        <w:tc>
          <w:tcPr>
            <w:tcW w:w="1075" w:type="dxa"/>
            <w:vMerge w:val="continue"/>
            <w:vAlign w:val="center"/>
          </w:tcPr>
          <w:p>
            <w:pPr>
              <w:widowControl/>
              <w:adjustRightInd w:val="0"/>
              <w:snapToGrid w:val="0"/>
              <w:rPr>
                <w:rFonts w:ascii="宋体" w:hAnsi="宋体" w:eastAsia="宋体" w:cs="宋体"/>
                <w:color w:val="000000"/>
                <w:sz w:val="24"/>
                <w:szCs w:val="24"/>
              </w:rPr>
            </w:pPr>
          </w:p>
        </w:tc>
        <w:tc>
          <w:tcPr>
            <w:tcW w:w="3397" w:type="dxa"/>
            <w:vAlign w:val="center"/>
          </w:tcPr>
          <w:p>
            <w:pPr>
              <w:widowControl/>
              <w:adjustRightInd w:val="0"/>
              <w:snapToGrid w:val="0"/>
              <w:rPr>
                <w:rFonts w:ascii="宋体" w:hAnsi="宋体" w:eastAsia="宋体" w:cs="宋体"/>
                <w:color w:val="000000"/>
                <w:sz w:val="24"/>
                <w:szCs w:val="24"/>
              </w:rPr>
            </w:pPr>
            <w:r>
              <w:rPr>
                <w:rFonts w:hint="eastAsia" w:ascii="宋体" w:hAnsi="宋体" w:eastAsia="宋体" w:cs="宋体"/>
                <w:color w:val="000000"/>
                <w:kern w:val="0"/>
                <w:sz w:val="24"/>
                <w:szCs w:val="24"/>
              </w:rPr>
              <w:t>实际为其提供的担保余额</w:t>
            </w:r>
          </w:p>
        </w:tc>
        <w:tc>
          <w:tcPr>
            <w:tcW w:w="3809" w:type="dxa"/>
            <w:vAlign w:val="center"/>
          </w:tcPr>
          <w:p>
            <w:pPr>
              <w:jc w:val="center"/>
              <w:rPr>
                <w:rFonts w:ascii="宋体" w:hAnsi="宋体" w:eastAsia="宋体" w:cs="宋体"/>
                <w:sz w:val="24"/>
                <w:szCs w:val="24"/>
              </w:rPr>
            </w:pPr>
            <w:r>
              <w:rPr>
                <w:rFonts w:hint="eastAsia" w:ascii="宋体" w:hAnsi="宋体" w:eastAsia="宋体" w:cs="宋体"/>
                <w:sz w:val="24"/>
                <w:szCs w:val="24"/>
              </w:rPr>
              <w:t>61,370.06万元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8" w:hRule="atLeast"/>
          <w:jc w:val="center"/>
        </w:trPr>
        <w:tc>
          <w:tcPr>
            <w:tcW w:w="1075" w:type="dxa"/>
            <w:vMerge w:val="continue"/>
            <w:vAlign w:val="center"/>
          </w:tcPr>
          <w:p>
            <w:pPr>
              <w:widowControl/>
              <w:adjustRightInd w:val="0"/>
              <w:snapToGrid w:val="0"/>
              <w:rPr>
                <w:rFonts w:ascii="宋体" w:hAnsi="宋体" w:eastAsia="宋体" w:cs="宋体"/>
                <w:color w:val="000000"/>
                <w:sz w:val="24"/>
                <w:szCs w:val="24"/>
              </w:rPr>
            </w:pPr>
          </w:p>
        </w:tc>
        <w:tc>
          <w:tcPr>
            <w:tcW w:w="3397" w:type="dxa"/>
            <w:vAlign w:val="center"/>
          </w:tcPr>
          <w:p>
            <w:pPr>
              <w:widowControl/>
              <w:adjustRightInd w:val="0"/>
              <w:snapToGrid w:val="0"/>
              <w:rPr>
                <w:rFonts w:ascii="宋体" w:hAnsi="宋体" w:eastAsia="宋体" w:cs="宋体"/>
                <w:color w:val="000000"/>
                <w:sz w:val="24"/>
                <w:szCs w:val="24"/>
              </w:rPr>
            </w:pPr>
            <w:r>
              <w:rPr>
                <w:rFonts w:hint="eastAsia" w:ascii="宋体" w:hAnsi="宋体" w:eastAsia="宋体" w:cs="宋体"/>
                <w:color w:val="000000"/>
                <w:kern w:val="0"/>
                <w:sz w:val="24"/>
                <w:szCs w:val="24"/>
              </w:rPr>
              <w:t>是否在前期预计额度内</w:t>
            </w:r>
          </w:p>
        </w:tc>
        <w:tc>
          <w:tcPr>
            <w:tcW w:w="3809" w:type="dxa"/>
            <w:vAlign w:val="center"/>
          </w:tcPr>
          <w:p>
            <w:pPr>
              <w:jc w:val="center"/>
              <w:rPr>
                <w:rFonts w:ascii="宋体" w:hAnsi="宋体" w:eastAsia="宋体" w:cs="宋体"/>
                <w:sz w:val="24"/>
                <w:szCs w:val="24"/>
              </w:rPr>
            </w:pPr>
            <w:r>
              <w:rPr>
                <w:rFonts w:hint="eastAsia" w:ascii="宋体" w:hAnsi="宋体" w:eastAsia="宋体" w:cs="宋体"/>
                <w:sz w:val="24"/>
                <w:szCs w:val="24"/>
              </w:rPr>
              <w:t>☑是  □否  □不适用：_________</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4" w:hRule="atLeast"/>
          <w:jc w:val="center"/>
        </w:trPr>
        <w:tc>
          <w:tcPr>
            <w:tcW w:w="1075" w:type="dxa"/>
            <w:vMerge w:val="continue"/>
            <w:vAlign w:val="center"/>
          </w:tcPr>
          <w:p>
            <w:pPr>
              <w:widowControl/>
              <w:adjustRightInd w:val="0"/>
              <w:snapToGrid w:val="0"/>
              <w:rPr>
                <w:rFonts w:ascii="宋体" w:hAnsi="宋体" w:eastAsia="宋体" w:cs="宋体"/>
                <w:color w:val="000000"/>
                <w:sz w:val="24"/>
                <w:szCs w:val="24"/>
              </w:rPr>
            </w:pPr>
          </w:p>
        </w:tc>
        <w:tc>
          <w:tcPr>
            <w:tcW w:w="3397" w:type="dxa"/>
            <w:vAlign w:val="center"/>
          </w:tcPr>
          <w:p>
            <w:pPr>
              <w:widowControl/>
              <w:adjustRightInd w:val="0"/>
              <w:snapToGrid w:val="0"/>
              <w:rPr>
                <w:rFonts w:ascii="宋体" w:hAnsi="宋体" w:eastAsia="宋体" w:cs="宋体"/>
                <w:color w:val="000000"/>
                <w:sz w:val="24"/>
                <w:szCs w:val="24"/>
              </w:rPr>
            </w:pPr>
            <w:r>
              <w:rPr>
                <w:rFonts w:hint="eastAsia" w:ascii="宋体" w:hAnsi="宋体" w:eastAsia="宋体" w:cs="宋体"/>
                <w:color w:val="000000"/>
                <w:sz w:val="24"/>
                <w:szCs w:val="24"/>
              </w:rPr>
              <w:t>本次担保是否有反担保</w:t>
            </w:r>
          </w:p>
        </w:tc>
        <w:tc>
          <w:tcPr>
            <w:tcW w:w="3809" w:type="dxa"/>
            <w:vAlign w:val="center"/>
          </w:tcPr>
          <w:p>
            <w:pPr>
              <w:jc w:val="center"/>
              <w:rPr>
                <w:rFonts w:ascii="宋体" w:hAnsi="宋体" w:eastAsia="宋体" w:cs="宋体"/>
                <w:sz w:val="24"/>
                <w:szCs w:val="24"/>
              </w:rPr>
            </w:pPr>
            <w:r>
              <w:rPr>
                <w:rFonts w:hint="eastAsia" w:ascii="宋体" w:hAnsi="宋体" w:eastAsia="宋体" w:cs="宋体"/>
                <w:sz w:val="24"/>
                <w:szCs w:val="24"/>
              </w:rPr>
              <w:t>□是  ☑否  □不适用：_________</w:t>
            </w:r>
          </w:p>
        </w:tc>
      </w:tr>
      <w:bookmarkEnd w:id="9"/>
      <w:bookmarkEnd w:id="2"/>
    </w:tbl>
    <w:p/>
    <w:p>
      <w:pPr>
        <w:widowControl/>
        <w:numPr>
          <w:ilvl w:val="0"/>
          <w:numId w:val="1"/>
        </w:numPr>
        <w:adjustRightInd w:val="0"/>
        <w:snapToGrid w:val="0"/>
        <w:spacing w:line="560" w:lineRule="exact"/>
        <w:ind w:left="0" w:firstLine="482" w:firstLineChars="200"/>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累计担保情况</w:t>
      </w:r>
    </w:p>
    <w:tbl>
      <w:tblPr>
        <w:tblStyle w:val="13"/>
        <w:tblW w:w="499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42"/>
        <w:gridCol w:w="48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3" w:hRule="atLeast"/>
          <w:jc w:val="center"/>
        </w:trPr>
        <w:tc>
          <w:tcPr>
            <w:tcW w:w="3642" w:type="dxa"/>
            <w:vAlign w:val="center"/>
          </w:tcPr>
          <w:p>
            <w:pPr>
              <w:widowControl/>
              <w:adjustRightInd w:val="0"/>
              <w:snapToGrid w:val="0"/>
              <w:rPr>
                <w:rFonts w:ascii="宋体" w:hAnsi="宋体" w:eastAsia="宋体" w:cs="宋体"/>
                <w:b/>
                <w:bCs/>
                <w:sz w:val="24"/>
                <w:szCs w:val="24"/>
              </w:rPr>
            </w:pPr>
            <w:r>
              <w:rPr>
                <w:rFonts w:hint="eastAsia" w:ascii="宋体" w:hAnsi="宋体" w:eastAsia="宋体" w:cs="宋体"/>
                <w:b/>
                <w:bCs/>
                <w:color w:val="000000"/>
                <w:kern w:val="0"/>
                <w:sz w:val="24"/>
                <w:szCs w:val="24"/>
              </w:rPr>
              <w:t>对外担保逾期的累计金额（万元）</w:t>
            </w:r>
          </w:p>
        </w:tc>
        <w:tc>
          <w:tcPr>
            <w:tcW w:w="4863" w:type="dxa"/>
            <w:vAlign w:val="center"/>
          </w:tcPr>
          <w:p>
            <w:pPr>
              <w:jc w:val="center"/>
              <w:rPr>
                <w:rFonts w:ascii="宋体" w:hAnsi="宋体" w:eastAsia="宋体" w:cs="宋体"/>
                <w:sz w:val="24"/>
                <w:szCs w:val="24"/>
              </w:rPr>
            </w:pPr>
            <w:r>
              <w:rPr>
                <w:rFonts w:hint="eastAsia" w:ascii="宋体" w:hAnsi="宋体" w:eastAsia="宋体" w:cs="宋体"/>
                <w:sz w:val="24"/>
                <w:szCs w:val="24"/>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jc w:val="center"/>
        </w:trPr>
        <w:tc>
          <w:tcPr>
            <w:tcW w:w="3642" w:type="dxa"/>
            <w:vAlign w:val="center"/>
          </w:tcPr>
          <w:p>
            <w:pPr>
              <w:jc w:val="center"/>
              <w:rPr>
                <w:rFonts w:ascii="宋体" w:hAnsi="宋体" w:eastAsia="宋体" w:cs="宋体"/>
                <w:sz w:val="24"/>
                <w:szCs w:val="24"/>
              </w:rPr>
            </w:pPr>
            <w:r>
              <w:rPr>
                <w:rFonts w:hint="eastAsia" w:ascii="宋体" w:hAnsi="宋体" w:eastAsia="宋体" w:cs="宋体"/>
                <w:b/>
                <w:bCs/>
                <w:color w:val="000000"/>
                <w:kern w:val="0"/>
                <w:sz w:val="24"/>
                <w:szCs w:val="24"/>
              </w:rPr>
              <w:t>截至8月末上市公司及其控股子公司对外担保总额（万元）</w:t>
            </w:r>
          </w:p>
        </w:tc>
        <w:tc>
          <w:tcPr>
            <w:tcW w:w="4863" w:type="dxa"/>
            <w:vAlign w:val="center"/>
          </w:tcPr>
          <w:p>
            <w:pPr>
              <w:jc w:val="center"/>
              <w:rPr>
                <w:rFonts w:ascii="宋体" w:hAnsi="宋体" w:eastAsia="宋体" w:cs="宋体"/>
                <w:sz w:val="24"/>
                <w:szCs w:val="24"/>
              </w:rPr>
            </w:pPr>
            <w:r>
              <w:rPr>
                <w:rFonts w:hint="eastAsia" w:ascii="宋体" w:hAnsi="宋体" w:eastAsia="宋体" w:cs="宋体"/>
                <w:sz w:val="24"/>
                <w:szCs w:val="24"/>
              </w:rPr>
              <w:t>202,074.10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jc w:val="center"/>
        </w:trPr>
        <w:tc>
          <w:tcPr>
            <w:tcW w:w="3642" w:type="dxa"/>
            <w:vAlign w:val="center"/>
          </w:tcPr>
          <w:p>
            <w:pPr>
              <w:widowControl/>
              <w:adjustRightInd w:val="0"/>
              <w:snapToGrid w:val="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对外担保总额占上市公司最近一期</w:t>
            </w:r>
            <w:bookmarkStart w:id="3" w:name="OLE_LINK5"/>
            <w:r>
              <w:rPr>
                <w:rFonts w:hint="eastAsia" w:ascii="宋体" w:hAnsi="宋体" w:eastAsia="宋体" w:cs="宋体"/>
                <w:b/>
                <w:bCs/>
                <w:color w:val="000000"/>
                <w:kern w:val="0"/>
                <w:sz w:val="24"/>
                <w:szCs w:val="24"/>
              </w:rPr>
              <w:t>经审计净资产</w:t>
            </w:r>
            <w:bookmarkEnd w:id="3"/>
            <w:r>
              <w:rPr>
                <w:rFonts w:hint="eastAsia" w:ascii="宋体" w:hAnsi="宋体" w:eastAsia="宋体" w:cs="宋体"/>
                <w:b/>
                <w:bCs/>
                <w:color w:val="000000"/>
                <w:kern w:val="0"/>
                <w:sz w:val="24"/>
                <w:szCs w:val="24"/>
              </w:rPr>
              <w:t>的比例（%）</w:t>
            </w:r>
          </w:p>
        </w:tc>
        <w:tc>
          <w:tcPr>
            <w:tcW w:w="4863" w:type="dxa"/>
            <w:vAlign w:val="center"/>
          </w:tcPr>
          <w:p>
            <w:pPr>
              <w:jc w:val="center"/>
              <w:rPr>
                <w:rFonts w:ascii="宋体" w:hAnsi="宋体" w:eastAsia="宋体" w:cs="宋体"/>
                <w:sz w:val="24"/>
                <w:szCs w:val="24"/>
              </w:rPr>
            </w:pPr>
            <w:r>
              <w:rPr>
                <w:rFonts w:hint="eastAsia" w:ascii="宋体" w:hAnsi="宋体" w:eastAsia="宋体" w:cs="宋体"/>
                <w:sz w:val="24"/>
                <w:szCs w:val="24"/>
              </w:rPr>
              <w:t>81.00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8" w:hRule="atLeast"/>
          <w:jc w:val="center"/>
        </w:trPr>
        <w:tc>
          <w:tcPr>
            <w:tcW w:w="3642" w:type="dxa"/>
            <w:vAlign w:val="center"/>
          </w:tcPr>
          <w:p>
            <w:pPr>
              <w:widowControl/>
              <w:adjustRightInd w:val="0"/>
              <w:snapToGrid w:val="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特别风险提示（如有请勾选）</w:t>
            </w:r>
          </w:p>
        </w:tc>
        <w:tc>
          <w:tcPr>
            <w:tcW w:w="4863" w:type="dxa"/>
            <w:vAlign w:val="center"/>
          </w:tcPr>
          <w:p>
            <w:pPr>
              <w:jc w:val="left"/>
              <w:rPr>
                <w:rFonts w:ascii="宋体" w:hAnsi="宋体" w:eastAsia="宋体" w:cs="宋体"/>
                <w:sz w:val="24"/>
                <w:szCs w:val="24"/>
              </w:rPr>
            </w:pPr>
            <w:r>
              <w:rPr>
                <w:rFonts w:hint="eastAsia" w:ascii="宋体" w:hAnsi="宋体" w:eastAsia="宋体" w:cs="宋体"/>
                <w:sz w:val="24"/>
                <w:szCs w:val="24"/>
              </w:rPr>
              <w:t>□对外担保总额超过最近一期经审计净资产100%</w:t>
            </w:r>
            <w:r>
              <w:rPr>
                <w:rFonts w:hint="eastAsia" w:ascii="宋体" w:hAnsi="宋体" w:eastAsia="宋体" w:cs="宋体"/>
                <w:sz w:val="24"/>
                <w:szCs w:val="24"/>
              </w:rPr>
              <w:br w:type="textWrapping"/>
            </w:r>
            <w:r>
              <w:rPr>
                <w:rFonts w:hint="eastAsia" w:ascii="宋体" w:hAnsi="宋体" w:eastAsia="宋体" w:cs="宋体"/>
                <w:sz w:val="24"/>
                <w:szCs w:val="24"/>
              </w:rPr>
              <w:t>□担保金额超过上市公司最近一期经审计净资产50%</w:t>
            </w:r>
            <w:r>
              <w:rPr>
                <w:rFonts w:hint="eastAsia" w:ascii="宋体" w:hAnsi="宋体" w:eastAsia="宋体" w:cs="宋体"/>
                <w:sz w:val="24"/>
                <w:szCs w:val="24"/>
              </w:rPr>
              <w:br w:type="textWrapping"/>
            </w:r>
            <w:r>
              <w:rPr>
                <w:rFonts w:hint="eastAsia" w:ascii="宋体" w:hAnsi="宋体" w:eastAsia="宋体" w:cs="宋体"/>
                <w:sz w:val="24"/>
                <w:szCs w:val="24"/>
              </w:rPr>
              <w:t>□对合并报表外单位担保金额达到或超过最近一期经审计净资产30%的情况下</w:t>
            </w:r>
            <w:r>
              <w:rPr>
                <w:rFonts w:hint="eastAsia" w:ascii="宋体" w:hAnsi="宋体" w:eastAsia="宋体" w:cs="宋体"/>
                <w:sz w:val="24"/>
                <w:szCs w:val="24"/>
              </w:rPr>
              <w:br w:type="textWrapping"/>
            </w:r>
            <w:r>
              <w:rPr>
                <w:rFonts w:hint="eastAsia" w:ascii="宋体" w:hAnsi="宋体" w:eastAsia="宋体" w:cs="宋体"/>
                <w:sz w:val="24"/>
                <w:szCs w:val="24"/>
              </w:rPr>
              <w:t>☑对资产负债率超过70%的单位提供担保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3" w:hRule="atLeast"/>
          <w:jc w:val="center"/>
        </w:trPr>
        <w:tc>
          <w:tcPr>
            <w:tcW w:w="3642" w:type="dxa"/>
            <w:vAlign w:val="center"/>
          </w:tcPr>
          <w:p>
            <w:pPr>
              <w:widowControl/>
              <w:adjustRightInd w:val="0"/>
              <w:snapToGrid w:val="0"/>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其他风险提示（如有）</w:t>
            </w:r>
          </w:p>
        </w:tc>
        <w:tc>
          <w:tcPr>
            <w:tcW w:w="4863" w:type="dxa"/>
            <w:vAlign w:val="center"/>
          </w:tcPr>
          <w:p>
            <w:pPr>
              <w:jc w:val="center"/>
              <w:rPr>
                <w:rFonts w:ascii="宋体" w:hAnsi="宋体" w:eastAsia="宋体" w:cs="宋体"/>
                <w:sz w:val="24"/>
                <w:szCs w:val="24"/>
              </w:rPr>
            </w:pPr>
            <w:r>
              <w:rPr>
                <w:rFonts w:hint="eastAsia" w:ascii="宋体" w:hAnsi="宋体" w:eastAsia="宋体" w:cs="宋体"/>
                <w:sz w:val="24"/>
                <w:szCs w:val="24"/>
              </w:rPr>
              <w:t>无</w:t>
            </w:r>
          </w:p>
        </w:tc>
      </w:tr>
    </w:tbl>
    <w:p>
      <w:pPr>
        <w:widowControl/>
        <w:adjustRightInd w:val="0"/>
        <w:snapToGrid w:val="0"/>
        <w:spacing w:line="560" w:lineRule="exact"/>
        <w:ind w:firstLine="600"/>
        <w:jc w:val="left"/>
        <w:rPr>
          <w:rFonts w:asciiTheme="minorEastAsia" w:hAnsiTheme="minorEastAsia" w:cstheme="minorEastAsia"/>
          <w:kern w:val="0"/>
          <w:sz w:val="24"/>
          <w:szCs w:val="24"/>
        </w:rPr>
      </w:pPr>
    </w:p>
    <w:p>
      <w:pPr>
        <w:widowControl/>
        <w:numPr>
          <w:ilvl w:val="0"/>
          <w:numId w:val="2"/>
        </w:numPr>
        <w:adjustRightInd w:val="0"/>
        <w:snapToGrid w:val="0"/>
        <w:spacing w:line="560" w:lineRule="exact"/>
        <w:ind w:firstLine="482" w:firstLineChars="200"/>
        <w:jc w:val="left"/>
        <w:outlineLvl w:val="0"/>
        <w:rPr>
          <w:rFonts w:ascii="宋体" w:hAnsi="宋体" w:eastAsia="宋体" w:cs="宋体"/>
          <w:b/>
          <w:bCs/>
          <w:sz w:val="24"/>
          <w:szCs w:val="24"/>
        </w:rPr>
      </w:pPr>
      <w:r>
        <w:rPr>
          <w:rFonts w:hint="eastAsia" w:ascii="宋体" w:hAnsi="宋体" w:eastAsia="宋体" w:cs="宋体"/>
          <w:b/>
          <w:bCs/>
          <w:sz w:val="24"/>
          <w:szCs w:val="24"/>
        </w:rPr>
        <w:t>担保情况概述</w:t>
      </w:r>
    </w:p>
    <w:p>
      <w:pPr>
        <w:pStyle w:val="20"/>
        <w:widowControl/>
        <w:numPr>
          <w:ilvl w:val="0"/>
          <w:numId w:val="3"/>
        </w:numPr>
        <w:adjustRightInd w:val="0"/>
        <w:snapToGrid w:val="0"/>
        <w:spacing w:line="560" w:lineRule="exact"/>
        <w:ind w:firstLineChars="0"/>
        <w:jc w:val="left"/>
        <w:outlineLvl w:val="1"/>
        <w:rPr>
          <w:rFonts w:ascii="宋体" w:hAnsi="宋体" w:eastAsia="宋体" w:cs="宋体"/>
          <w:sz w:val="24"/>
          <w:szCs w:val="24"/>
        </w:rPr>
      </w:pPr>
      <w:r>
        <w:rPr>
          <w:rFonts w:hint="eastAsia" w:ascii="宋体" w:hAnsi="宋体" w:eastAsia="宋体" w:cs="宋体"/>
          <w:sz w:val="24"/>
          <w:szCs w:val="24"/>
        </w:rPr>
        <w:t>担保的基本情况</w:t>
      </w:r>
    </w:p>
    <w:p>
      <w:pPr>
        <w:widowControl/>
        <w:adjustRightInd w:val="0"/>
        <w:snapToGrid w:val="0"/>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2026年8月，公司及下属子公司新增对外担保人民币12,000.00万元，系公司为全资子公司云南变压器电气股份有限公司（以下简称“云变电气”）提供的连带责任保证。公司与华夏银行股份有限公司昆明圆通支行签署《最高额保证合同》（合同编号：KM10（高保）20260005），为云变电气在编号为KM10（融资）20260005的《最高额融资合同》项下债务提供最高本金余额人民币12,000.00万元的连带责任保证。</w:t>
      </w:r>
    </w:p>
    <w:p>
      <w:pPr>
        <w:widowControl/>
        <w:adjustRightInd w:val="0"/>
        <w:snapToGrid w:val="0"/>
        <w:spacing w:line="560" w:lineRule="exact"/>
        <w:ind w:firstLine="480" w:firstLineChars="200"/>
        <w:rPr>
          <w:rFonts w:ascii="宋体" w:hAnsi="宋体" w:eastAsia="宋体" w:cs="宋体"/>
          <w:color w:val="000000"/>
          <w:kern w:val="0"/>
          <w:sz w:val="24"/>
          <w:szCs w:val="24"/>
        </w:rPr>
      </w:pPr>
      <w:r>
        <w:rPr>
          <w:rFonts w:hint="eastAsia" w:ascii="宋体" w:hAnsi="宋体" w:eastAsia="宋体" w:cs="宋体"/>
          <w:sz w:val="24"/>
          <w:szCs w:val="24"/>
        </w:rPr>
        <w:t>上述担保无反担保。华夏银行相关原担保合同由本次新签合同替代，不再单独计入公司已签署担保合同总额；原授信项下尚未结清债务按照新签担保合同约定继续纳入担保范围。上述担保事项属于公司2025年第一次临时股东会授权范围并在有效期内，无需再次提交公司董事会、股东会审议。</w:t>
      </w:r>
    </w:p>
    <w:p>
      <w:pPr>
        <w:pStyle w:val="20"/>
        <w:widowControl/>
        <w:numPr>
          <w:ilvl w:val="0"/>
          <w:numId w:val="3"/>
        </w:numPr>
        <w:adjustRightInd w:val="0"/>
        <w:snapToGrid w:val="0"/>
        <w:spacing w:line="560" w:lineRule="exact"/>
        <w:ind w:firstLineChars="0"/>
        <w:jc w:val="left"/>
        <w:outlineLvl w:val="1"/>
        <w:rPr>
          <w:rFonts w:ascii="宋体" w:hAnsi="宋体" w:eastAsia="宋体" w:cs="宋体"/>
          <w:sz w:val="24"/>
          <w:szCs w:val="24"/>
        </w:rPr>
      </w:pPr>
      <w:r>
        <w:rPr>
          <w:rFonts w:hint="eastAsia" w:ascii="宋体" w:hAnsi="宋体" w:eastAsia="宋体" w:cs="宋体"/>
          <w:sz w:val="24"/>
          <w:szCs w:val="24"/>
        </w:rPr>
        <w:t>内部决策程序</w:t>
      </w:r>
    </w:p>
    <w:p>
      <w:pPr>
        <w:widowControl/>
        <w:adjustRightInd w:val="0"/>
        <w:snapToGrid w:val="0"/>
        <w:spacing w:line="560" w:lineRule="exact"/>
        <w:ind w:firstLine="480" w:firstLineChars="200"/>
        <w:rPr>
          <w:rFonts w:ascii="宋体" w:hAnsi="宋体" w:eastAsia="宋体" w:cs="宋体"/>
          <w:color w:val="000000"/>
          <w:kern w:val="0"/>
          <w:sz w:val="24"/>
          <w:szCs w:val="24"/>
        </w:rPr>
      </w:pPr>
      <w:bookmarkStart w:id="4" w:name="OLE_LINK1"/>
      <w:r>
        <w:rPr>
          <w:rFonts w:hint="eastAsia" w:ascii="宋体" w:hAnsi="宋体" w:eastAsia="宋体" w:cs="宋体"/>
          <w:color w:val="000000"/>
          <w:kern w:val="0"/>
          <w:sz w:val="24"/>
          <w:szCs w:val="24"/>
        </w:rPr>
        <w:t>公司于2025年12月9日召开</w:t>
      </w:r>
      <w:bookmarkStart w:id="5" w:name="OLE_LINK14"/>
      <w:r>
        <w:rPr>
          <w:rFonts w:hint="eastAsia" w:ascii="宋体" w:hAnsi="宋体" w:eastAsia="宋体" w:cs="宋体"/>
          <w:color w:val="000000"/>
          <w:kern w:val="0"/>
          <w:sz w:val="24"/>
          <w:szCs w:val="24"/>
        </w:rPr>
        <w:t>第四届董事会第十五次会议</w:t>
      </w:r>
      <w:bookmarkEnd w:id="5"/>
      <w:r>
        <w:rPr>
          <w:rFonts w:hint="eastAsia" w:ascii="宋体" w:hAnsi="宋体" w:eastAsia="宋体" w:cs="宋体"/>
          <w:color w:val="000000"/>
          <w:kern w:val="0"/>
          <w:sz w:val="24"/>
          <w:szCs w:val="24"/>
        </w:rPr>
        <w:t>审议通过《关于预计2026年度向银行等金融机构申请综合授信额度及为子公司提供融资担保额度的议案》，同意2026年度为子公司重庆惠泽电器有限公司（以下简称“惠泽电器”）向银行等金融机构申请综合授信或借款提供新增额度不超过4亿元人民币（或等值外币）的担保</w:t>
      </w:r>
      <w:bookmarkEnd w:id="4"/>
      <w:r>
        <w:rPr>
          <w:rFonts w:hint="eastAsia" w:ascii="宋体" w:hAnsi="宋体" w:eastAsia="宋体" w:cs="宋体"/>
          <w:color w:val="000000"/>
          <w:kern w:val="0"/>
          <w:sz w:val="24"/>
          <w:szCs w:val="24"/>
        </w:rPr>
        <w:t>；同意2026年度为子公司黔南望江变压器有限公司（以下简称“黔南望江”）向银行等金融机构申请综合授信或借款提供新增额度不超过2亿元人民币（或等值外币）的担保；同意2026年度为子公司云南变压器电气股份有限公司（以下简称“云变电气”）向银行等金融机构申请综合授信或借款提供新增额度不超过18亿元人民币（或等值外币）的担保；同意2026年度为资产负债率超过70%的子公司望来充（重庆）科技有限责任公司及子公司（以下简称“望来充”）向银行等金融机构申请综合授信或借款提供新增额度不超过6亿元人民币（或等值外币）的担保。上述担保额度有效期自2026年1月1日至2026年12月31日。该担保事项已提交公司2025年第一次临时股东会审议通过。具体情况详见公司在上海证券交易所网站</w:t>
      </w:r>
      <w:bookmarkStart w:id="6" w:name="OLE_LINK6"/>
      <w:r>
        <w:rPr>
          <w:rFonts w:hint="eastAsia" w:ascii="宋体" w:hAnsi="宋体" w:eastAsia="宋体" w:cs="宋体"/>
          <w:color w:val="000000"/>
          <w:kern w:val="0"/>
          <w:sz w:val="24"/>
          <w:szCs w:val="24"/>
        </w:rPr>
        <w:t>www.sse.com.cn</w:t>
      </w:r>
      <w:bookmarkEnd w:id="6"/>
      <w:r>
        <w:rPr>
          <w:rFonts w:hint="eastAsia" w:ascii="宋体" w:hAnsi="宋体" w:eastAsia="宋体" w:cs="宋体"/>
          <w:color w:val="000000"/>
          <w:kern w:val="0"/>
          <w:sz w:val="24"/>
          <w:szCs w:val="24"/>
        </w:rPr>
        <w:t>披露的《关于预计2026年度对子公司新增担保额度的公告》（公告编号：2025-062）和《2025年第一次临时股东会决议公告》（公告编号：2025-067）。</w:t>
      </w:r>
    </w:p>
    <w:p>
      <w:pPr>
        <w:widowControl/>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宋体" w:hAnsi="宋体" w:eastAsia="宋体" w:cs="宋体"/>
          <w:color w:val="000000"/>
          <w:kern w:val="0"/>
          <w:sz w:val="24"/>
          <w:szCs w:val="24"/>
        </w:rPr>
        <w:t>公司于2026年4月2日召开第四届董事会第十八次会议审议通过《关于增加2026年度对子公司担保额度的议案》，同意2026年度为子公司重庆望来电科技有限公司（以下简称“望来电”）向银行等金融机构申请综合授信或借款提供新增额度不超过10亿元人民币（或等值外币）的担保。该担保事项已提交公司2025年度股东会审议通过。具体情况详见公司在</w:t>
      </w:r>
      <w:bookmarkStart w:id="7" w:name="OLE_LINK2"/>
      <w:r>
        <w:rPr>
          <w:rFonts w:hint="eastAsia" w:ascii="宋体" w:hAnsi="宋体" w:eastAsia="宋体" w:cs="宋体"/>
          <w:color w:val="000000"/>
          <w:kern w:val="0"/>
          <w:sz w:val="24"/>
          <w:szCs w:val="24"/>
        </w:rPr>
        <w:t>上海证券交易所网站</w:t>
      </w:r>
      <w:bookmarkEnd w:id="7"/>
      <w:r>
        <w:rPr>
          <w:rFonts w:hint="eastAsia" w:ascii="宋体" w:hAnsi="宋体" w:eastAsia="宋体" w:cs="宋体"/>
          <w:color w:val="000000"/>
          <w:kern w:val="0"/>
          <w:sz w:val="24"/>
          <w:szCs w:val="24"/>
        </w:rPr>
        <w:t>www.sse.com.cn披露的《关于增加2026年度对子公司担保额度暨2026年3月对子公司提供担保的进展公告》（公告编号：2026-024）和《2025年年度股东会决议公告》（公告编号：2026-036）。</w:t>
      </w:r>
    </w:p>
    <w:p>
      <w:pPr>
        <w:widowControl/>
        <w:adjustRightInd w:val="0"/>
        <w:snapToGrid w:val="0"/>
        <w:spacing w:line="56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（三）8月担保基本情况</w:t>
      </w:r>
    </w:p>
    <w:tbl>
      <w:tblPr>
        <w:tblStyle w:val="13"/>
        <w:tblW w:w="526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52"/>
        <w:gridCol w:w="588"/>
        <w:gridCol w:w="894"/>
        <w:gridCol w:w="728"/>
        <w:gridCol w:w="1067"/>
        <w:gridCol w:w="971"/>
        <w:gridCol w:w="1002"/>
        <w:gridCol w:w="794"/>
        <w:gridCol w:w="1219"/>
        <w:gridCol w:w="441"/>
        <w:gridCol w:w="71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担保方</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被担保方</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担保方持股比例</w:t>
            </w:r>
          </w:p>
        </w:tc>
        <w:tc>
          <w:tcPr>
            <w:tcW w:w="709" w:type="dxa"/>
            <w:vAlign w:val="center"/>
          </w:tcPr>
          <w:p>
            <w:pPr>
              <w:jc w:val="center"/>
              <w:rPr>
                <w:rFonts w:ascii="宋体" w:hAnsi="宋体" w:eastAsia="宋体" w:cs="宋体"/>
                <w:sz w:val="18"/>
                <w:szCs w:val="18"/>
              </w:rPr>
            </w:pPr>
            <w:r>
              <w:rPr>
                <w:rFonts w:hint="eastAsia" w:ascii="宋体" w:hAnsi="宋体" w:eastAsia="宋体" w:cs="宋体"/>
                <w:sz w:val="18"/>
                <w:szCs w:val="18"/>
              </w:rPr>
              <w:t>被担</w:t>
            </w:r>
            <w:r>
              <w:rPr>
                <w:rFonts w:hint="eastAsia" w:ascii="宋体" w:hAnsi="宋体" w:eastAsia="宋体" w:cs="宋体"/>
                <w:sz w:val="18"/>
                <w:szCs w:val="18"/>
              </w:rPr>
              <w:br w:type="textWrapping"/>
            </w:r>
            <w:r>
              <w:rPr>
                <w:rFonts w:hint="eastAsia" w:ascii="宋体" w:hAnsi="宋体" w:eastAsia="宋体" w:cs="宋体"/>
                <w:sz w:val="18"/>
                <w:szCs w:val="18"/>
              </w:rPr>
              <w:t>保方2026.06.30资产负债率（未经审计）</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2026年预计担保额度</w:t>
            </w:r>
            <w:r>
              <w:rPr>
                <w:rFonts w:hint="eastAsia" w:ascii="宋体" w:hAnsi="宋体" w:eastAsia="宋体" w:cs="宋体"/>
                <w:sz w:val="18"/>
                <w:szCs w:val="18"/>
              </w:rPr>
              <w:br w:type="textWrapping"/>
            </w:r>
            <w:r>
              <w:rPr>
                <w:rFonts w:hint="eastAsia" w:ascii="宋体" w:hAnsi="宋体" w:eastAsia="宋体" w:cs="宋体"/>
                <w:sz w:val="18"/>
                <w:szCs w:val="18"/>
              </w:rPr>
              <w:t>（万元）</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截至2026年8月末担保余额</w:t>
            </w:r>
            <w:r>
              <w:rPr>
                <w:rFonts w:hint="eastAsia" w:ascii="宋体" w:hAnsi="宋体" w:eastAsia="宋体" w:cs="宋体"/>
                <w:sz w:val="18"/>
                <w:szCs w:val="18"/>
              </w:rPr>
              <w:br w:type="textWrapping"/>
            </w:r>
            <w:r>
              <w:rPr>
                <w:rFonts w:hint="eastAsia" w:ascii="宋体" w:hAnsi="宋体" w:eastAsia="宋体" w:cs="宋体"/>
                <w:sz w:val="18"/>
                <w:szCs w:val="18"/>
              </w:rPr>
              <w:t>（万元）</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8月新增担保额度</w:t>
            </w:r>
            <w:r>
              <w:rPr>
                <w:rFonts w:hint="eastAsia" w:ascii="宋体" w:hAnsi="宋体" w:eastAsia="宋体" w:cs="宋体"/>
                <w:sz w:val="18"/>
                <w:szCs w:val="18"/>
              </w:rPr>
              <w:br w:type="textWrapping"/>
            </w:r>
            <w:r>
              <w:rPr>
                <w:rFonts w:hint="eastAsia" w:ascii="宋体" w:hAnsi="宋体" w:eastAsia="宋体" w:cs="宋体"/>
                <w:sz w:val="18"/>
                <w:szCs w:val="18"/>
              </w:rPr>
              <w:t>（万元）</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截至2026年8月末担保余额占上市公司最近一期经审计净资产比例</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担保预计有效期</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是否关联担保</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是否有反担保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8729" w:type="dxa"/>
            <w:gridSpan w:val="11"/>
            <w:vAlign w:val="center"/>
          </w:tcPr>
          <w:p>
            <w:pPr>
              <w:jc w:val="center"/>
              <w:rPr>
                <w:rFonts w:ascii="宋体" w:hAnsi="宋体" w:eastAsia="宋体" w:cs="宋体"/>
                <w:sz w:val="18"/>
                <w:szCs w:val="18"/>
              </w:rPr>
            </w:pPr>
            <w:r>
              <w:rPr>
                <w:rFonts w:hint="eastAsia" w:ascii="宋体" w:hAnsi="宋体" w:eastAsia="宋体" w:cs="宋体"/>
                <w:sz w:val="18"/>
                <w:szCs w:val="18"/>
              </w:rPr>
              <w:t>对控股子公司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望变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黔南</w:t>
            </w:r>
            <w:r>
              <w:rPr>
                <w:rFonts w:hint="eastAsia" w:ascii="宋体" w:hAnsi="宋体" w:eastAsia="宋体" w:cs="宋体"/>
                <w:sz w:val="18"/>
                <w:szCs w:val="18"/>
              </w:rPr>
              <w:br w:type="textWrapping"/>
            </w:r>
            <w:r>
              <w:rPr>
                <w:rFonts w:hint="eastAsia" w:ascii="宋体" w:hAnsi="宋体" w:eastAsia="宋体" w:cs="宋体"/>
                <w:sz w:val="18"/>
                <w:szCs w:val="18"/>
              </w:rPr>
              <w:t>望江</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100.00%</w:t>
            </w:r>
          </w:p>
        </w:tc>
        <w:tc>
          <w:tcPr>
            <w:tcW w:w="709" w:type="dxa"/>
            <w:vAlign w:val="center"/>
          </w:tcPr>
          <w:p>
            <w:pPr>
              <w:jc w:val="center"/>
              <w:rPr>
                <w:rFonts w:ascii="宋体" w:hAnsi="宋体" w:eastAsia="宋体" w:cs="宋体"/>
                <w:sz w:val="18"/>
                <w:szCs w:val="18"/>
              </w:rPr>
            </w:pPr>
            <w:r>
              <w:rPr>
                <w:rFonts w:ascii="宋体" w:hAnsi="宋体" w:eastAsia="宋体" w:cs="宋体"/>
                <w:sz w:val="18"/>
                <w:szCs w:val="18"/>
              </w:rPr>
              <w:t>74.31%</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20,000.00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4,208.39</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1.69%</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望变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云变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100.00%</w:t>
            </w:r>
          </w:p>
        </w:tc>
        <w:tc>
          <w:tcPr>
            <w:tcW w:w="709" w:type="dxa"/>
            <w:vAlign w:val="center"/>
          </w:tcPr>
          <w:p>
            <w:pPr>
              <w:jc w:val="center"/>
              <w:rPr>
                <w:rFonts w:ascii="宋体" w:hAnsi="宋体" w:eastAsia="宋体" w:cs="宋体"/>
                <w:sz w:val="18"/>
                <w:szCs w:val="18"/>
              </w:rPr>
            </w:pPr>
            <w:r>
              <w:rPr>
                <w:rFonts w:ascii="宋体" w:hAnsi="宋体" w:eastAsia="宋体" w:cs="宋体"/>
                <w:sz w:val="18"/>
                <w:szCs w:val="18"/>
              </w:rPr>
              <w:t>68.17%</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180,000.00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61,370.06</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12,000.00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24.60%</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债务履行期限届满之日起三年</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望变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惠泽</w:t>
            </w:r>
            <w:r>
              <w:rPr>
                <w:rFonts w:hint="eastAsia" w:ascii="宋体" w:hAnsi="宋体" w:eastAsia="宋体" w:cs="宋体"/>
                <w:sz w:val="18"/>
                <w:szCs w:val="18"/>
              </w:rPr>
              <w:br w:type="textWrapping"/>
            </w:r>
            <w:r>
              <w:rPr>
                <w:rFonts w:hint="eastAsia" w:ascii="宋体" w:hAnsi="宋体" w:eastAsia="宋体" w:cs="宋体"/>
                <w:sz w:val="18"/>
                <w:szCs w:val="18"/>
              </w:rPr>
              <w:t>电器</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100.00%</w:t>
            </w:r>
          </w:p>
        </w:tc>
        <w:tc>
          <w:tcPr>
            <w:tcW w:w="709" w:type="dxa"/>
            <w:vAlign w:val="center"/>
          </w:tcPr>
          <w:p>
            <w:pPr>
              <w:jc w:val="center"/>
              <w:rPr>
                <w:rFonts w:ascii="宋体" w:hAnsi="宋体" w:eastAsia="宋体" w:cs="宋体"/>
                <w:sz w:val="18"/>
                <w:szCs w:val="18"/>
              </w:rPr>
            </w:pPr>
            <w:r>
              <w:rPr>
                <w:rFonts w:ascii="宋体" w:hAnsi="宋体" w:eastAsia="宋体" w:cs="宋体"/>
                <w:sz w:val="18"/>
                <w:szCs w:val="18"/>
              </w:rPr>
              <w:t>76.57%</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40,000.00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2,235.31</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0.90%</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望变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望来充</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100.00%</w:t>
            </w:r>
          </w:p>
        </w:tc>
        <w:tc>
          <w:tcPr>
            <w:tcW w:w="709" w:type="dxa"/>
            <w:vAlign w:val="center"/>
          </w:tcPr>
          <w:p>
            <w:pPr>
              <w:jc w:val="center"/>
              <w:rPr>
                <w:rFonts w:ascii="宋体" w:hAnsi="宋体" w:eastAsia="宋体" w:cs="宋体"/>
                <w:sz w:val="18"/>
                <w:szCs w:val="18"/>
              </w:rPr>
            </w:pPr>
            <w:r>
              <w:rPr>
                <w:rFonts w:ascii="宋体" w:hAnsi="宋体" w:eastAsia="宋体" w:cs="宋体"/>
                <w:sz w:val="18"/>
                <w:szCs w:val="18"/>
              </w:rPr>
              <w:t>72.11%</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60,000.00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4,927.24</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1.98%</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ascii="宋体" w:hAnsi="宋体" w:eastAsia="宋体" w:cs="宋体"/>
                <w:sz w:val="18"/>
                <w:szCs w:val="18"/>
              </w:rPr>
            </w:pPr>
            <w:r>
              <w:rPr>
                <w:rFonts w:hint="eastAsia" w:ascii="宋体" w:hAnsi="宋体" w:eastAsia="宋体" w:cs="宋体"/>
                <w:sz w:val="18"/>
                <w:szCs w:val="18"/>
              </w:rPr>
              <w:t>望变</w:t>
            </w:r>
            <w:r>
              <w:rPr>
                <w:rFonts w:hint="eastAsia" w:ascii="宋体" w:hAnsi="宋体" w:eastAsia="宋体" w:cs="宋体"/>
                <w:sz w:val="18"/>
                <w:szCs w:val="18"/>
              </w:rPr>
              <w:br w:type="textWrapping"/>
            </w:r>
            <w:r>
              <w:rPr>
                <w:rFonts w:hint="eastAsia" w:ascii="宋体" w:hAnsi="宋体" w:eastAsia="宋体" w:cs="宋体"/>
                <w:sz w:val="18"/>
                <w:szCs w:val="18"/>
              </w:rPr>
              <w:t>电气</w:t>
            </w:r>
          </w:p>
        </w:tc>
        <w:tc>
          <w:tcPr>
            <w:tcW w:w="558" w:type="dxa"/>
            <w:vAlign w:val="center"/>
          </w:tcPr>
          <w:p>
            <w:pPr>
              <w:jc w:val="center"/>
              <w:rPr>
                <w:rFonts w:ascii="宋体" w:hAnsi="宋体" w:eastAsia="宋体" w:cs="宋体"/>
                <w:sz w:val="18"/>
                <w:szCs w:val="18"/>
              </w:rPr>
            </w:pPr>
            <w:r>
              <w:rPr>
                <w:rFonts w:hint="eastAsia" w:ascii="宋体" w:hAnsi="宋体" w:eastAsia="宋体" w:cs="宋体"/>
                <w:sz w:val="18"/>
                <w:szCs w:val="18"/>
              </w:rPr>
              <w:t>望来电</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80.00%</w:t>
            </w:r>
          </w:p>
        </w:tc>
        <w:tc>
          <w:tcPr>
            <w:tcW w:w="709" w:type="dxa"/>
            <w:vAlign w:val="center"/>
          </w:tcPr>
          <w:p>
            <w:pPr>
              <w:jc w:val="center"/>
              <w:rPr>
                <w:rFonts w:ascii="宋体" w:hAnsi="宋体" w:eastAsia="宋体" w:cs="宋体"/>
                <w:sz w:val="18"/>
                <w:szCs w:val="18"/>
              </w:rPr>
            </w:pPr>
            <w:r>
              <w:rPr>
                <w:rFonts w:ascii="宋体" w:hAnsi="宋体" w:eastAsia="宋体" w:cs="宋体"/>
                <w:sz w:val="18"/>
                <w:szCs w:val="18"/>
              </w:rPr>
              <w:t>62.16%</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100,000.00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0.00%</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110" w:type="dxa"/>
            <w:gridSpan w:val="2"/>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870"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709"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1039" w:type="dxa"/>
            <w:vAlign w:val="center"/>
          </w:tcPr>
          <w:p>
            <w:pPr>
              <w:jc w:val="center"/>
              <w:rPr>
                <w:rFonts w:ascii="宋体" w:hAnsi="宋体" w:eastAsia="宋体" w:cs="宋体"/>
                <w:sz w:val="18"/>
                <w:szCs w:val="18"/>
              </w:rPr>
            </w:pPr>
            <w:r>
              <w:rPr>
                <w:rFonts w:hint="eastAsia" w:ascii="宋体" w:hAnsi="宋体" w:eastAsia="宋体" w:cs="宋体"/>
                <w:sz w:val="18"/>
                <w:szCs w:val="18"/>
              </w:rPr>
              <w:t>400,000.00</w:t>
            </w:r>
          </w:p>
        </w:tc>
        <w:tc>
          <w:tcPr>
            <w:tcW w:w="945" w:type="dxa"/>
            <w:vAlign w:val="center"/>
          </w:tcPr>
          <w:p>
            <w:pPr>
              <w:jc w:val="center"/>
              <w:rPr>
                <w:rFonts w:ascii="宋体" w:hAnsi="宋体" w:eastAsia="宋体" w:cs="宋体"/>
                <w:sz w:val="18"/>
                <w:szCs w:val="18"/>
              </w:rPr>
            </w:pPr>
            <w:r>
              <w:rPr>
                <w:rFonts w:hint="eastAsia" w:ascii="宋体" w:hAnsi="宋体" w:eastAsia="宋体" w:cs="宋体"/>
                <w:sz w:val="18"/>
                <w:szCs w:val="18"/>
              </w:rPr>
              <w:t>72,741.00</w:t>
            </w:r>
          </w:p>
        </w:tc>
        <w:tc>
          <w:tcPr>
            <w:tcW w:w="975" w:type="dxa"/>
            <w:vAlign w:val="center"/>
          </w:tcPr>
          <w:p>
            <w:pPr>
              <w:jc w:val="center"/>
              <w:rPr>
                <w:rFonts w:ascii="宋体" w:hAnsi="宋体" w:eastAsia="宋体" w:cs="宋体"/>
                <w:sz w:val="18"/>
                <w:szCs w:val="18"/>
              </w:rPr>
            </w:pPr>
            <w:r>
              <w:rPr>
                <w:rFonts w:hint="eastAsia" w:ascii="宋体" w:hAnsi="宋体" w:eastAsia="宋体" w:cs="宋体"/>
                <w:sz w:val="18"/>
                <w:szCs w:val="18"/>
              </w:rPr>
              <w:t>12,000.00</w:t>
            </w:r>
          </w:p>
        </w:tc>
        <w:tc>
          <w:tcPr>
            <w:tcW w:w="773" w:type="dxa"/>
            <w:vAlign w:val="center"/>
          </w:tcPr>
          <w:p>
            <w:pPr>
              <w:jc w:val="center"/>
              <w:rPr>
                <w:rFonts w:ascii="宋体" w:hAnsi="宋体" w:eastAsia="宋体" w:cs="宋体"/>
                <w:sz w:val="18"/>
                <w:szCs w:val="18"/>
              </w:rPr>
            </w:pPr>
            <w:r>
              <w:rPr>
                <w:rFonts w:hint="eastAsia" w:ascii="宋体" w:hAnsi="宋体" w:eastAsia="宋体" w:cs="宋体"/>
                <w:sz w:val="18"/>
                <w:szCs w:val="18"/>
              </w:rPr>
              <w:t>29.16%</w:t>
            </w:r>
          </w:p>
        </w:tc>
        <w:tc>
          <w:tcPr>
            <w:tcW w:w="1187" w:type="dxa"/>
            <w:vAlign w:val="center"/>
          </w:tcPr>
          <w:p>
            <w:pPr>
              <w:jc w:val="center"/>
              <w:rPr>
                <w:rFonts w:ascii="宋体" w:hAnsi="宋体" w:eastAsia="宋体" w:cs="宋体"/>
                <w:sz w:val="18"/>
                <w:szCs w:val="18"/>
              </w:rPr>
            </w:pPr>
            <w:r>
              <w:rPr>
                <w:rFonts w:hint="eastAsia" w:ascii="宋体" w:hAnsi="宋体" w:eastAsia="宋体" w:cs="宋体"/>
                <w:sz w:val="18"/>
                <w:szCs w:val="18"/>
              </w:rPr>
              <w:t>-</w:t>
            </w:r>
          </w:p>
        </w:tc>
        <w:tc>
          <w:tcPr>
            <w:tcW w:w="429"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c>
          <w:tcPr>
            <w:tcW w:w="692" w:type="dxa"/>
            <w:vAlign w:val="center"/>
          </w:tcPr>
          <w:p>
            <w:pPr>
              <w:jc w:val="center"/>
              <w:rPr>
                <w:rFonts w:ascii="宋体" w:hAnsi="宋体" w:eastAsia="宋体" w:cs="宋体"/>
                <w:sz w:val="18"/>
                <w:szCs w:val="18"/>
              </w:rPr>
            </w:pPr>
            <w:r>
              <w:rPr>
                <w:rFonts w:hint="eastAsia" w:ascii="宋体" w:hAnsi="宋体" w:eastAsia="宋体" w:cs="宋体"/>
                <w:sz w:val="18"/>
                <w:szCs w:val="18"/>
              </w:rPr>
              <w:t>否</w:t>
            </w:r>
          </w:p>
        </w:tc>
      </w:tr>
    </w:tbl>
    <w:p>
      <w:pPr>
        <w:widowControl/>
        <w:adjustRightInd w:val="0"/>
        <w:snapToGrid w:val="0"/>
        <w:spacing w:line="560" w:lineRule="exact"/>
        <w:jc w:val="left"/>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说明：本表尾差系四舍五入所致。</w:t>
      </w:r>
    </w:p>
    <w:p>
      <w:pPr>
        <w:widowControl/>
        <w:numPr>
          <w:ilvl w:val="0"/>
          <w:numId w:val="2"/>
        </w:numPr>
        <w:adjustRightInd w:val="0"/>
        <w:snapToGrid w:val="0"/>
        <w:spacing w:line="560" w:lineRule="exact"/>
        <w:ind w:firstLine="562" w:firstLineChars="200"/>
        <w:jc w:val="left"/>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被担保人基本情况</w:t>
      </w:r>
    </w:p>
    <w:p>
      <w:pPr>
        <w:pStyle w:val="20"/>
        <w:widowControl/>
        <w:numPr>
          <w:ilvl w:val="0"/>
          <w:numId w:val="4"/>
        </w:numPr>
        <w:adjustRightInd w:val="0"/>
        <w:snapToGrid w:val="0"/>
        <w:spacing w:line="560" w:lineRule="exact"/>
        <w:ind w:firstLineChars="0"/>
        <w:jc w:val="left"/>
        <w:outlineLvl w:val="1"/>
        <w:rPr>
          <w:rFonts w:asciiTheme="minorEastAsia" w:hAnsiTheme="minorEastAsia" w:cstheme="minorEastAsia"/>
          <w:sz w:val="24"/>
          <w:szCs w:val="24"/>
        </w:rPr>
      </w:pPr>
      <w:r>
        <w:rPr>
          <w:rFonts w:hint="eastAsia" w:asciiTheme="minorEastAsia" w:hAnsiTheme="minorEastAsia" w:cstheme="minorEastAsia"/>
          <w:sz w:val="24"/>
          <w:szCs w:val="24"/>
        </w:rPr>
        <w:t>基本情况</w:t>
      </w:r>
    </w:p>
    <w:p>
      <w:pPr>
        <w:widowControl/>
        <w:adjustRightInd w:val="0"/>
        <w:snapToGrid w:val="0"/>
        <w:spacing w:line="560" w:lineRule="exact"/>
        <w:ind w:left="480"/>
        <w:jc w:val="left"/>
        <w:outlineLvl w:val="1"/>
        <w:rPr>
          <w:rFonts w:asciiTheme="minorEastAsia" w:hAnsiTheme="minorEastAsia" w:cstheme="minorEastAsia"/>
          <w:sz w:val="24"/>
          <w:szCs w:val="24"/>
        </w:rPr>
      </w:pPr>
      <w:r>
        <w:rPr>
          <w:rFonts w:asciiTheme="minorEastAsia" w:hAnsiTheme="minorEastAsia" w:cstheme="minorEastAsia"/>
          <w:sz w:val="24"/>
          <w:szCs w:val="24"/>
        </w:rPr>
        <w:t>1</w:t>
      </w:r>
      <w:r>
        <w:rPr>
          <w:rFonts w:hint="eastAsia" w:asciiTheme="minorEastAsia" w:hAnsiTheme="minorEastAsia" w:cstheme="minorEastAsia"/>
          <w:sz w:val="24"/>
          <w:szCs w:val="24"/>
        </w:rPr>
        <w:t>、</w:t>
      </w:r>
      <w:r>
        <w:rPr>
          <w:rFonts w:ascii="宋体" w:hAnsi="宋体" w:eastAsia="宋体" w:cstheme="minorEastAsia"/>
          <w:sz w:val="24"/>
          <w:szCs w:val="24"/>
        </w:rPr>
        <w:t>云南变压器电气股份有限公司</w:t>
      </w:r>
    </w:p>
    <w:tbl>
      <w:tblPr>
        <w:tblStyle w:val="12"/>
        <w:tblW w:w="5294" w:type="pct"/>
        <w:jc w:val="center"/>
        <w:tblLayout w:type="autofit"/>
        <w:tblCellMar>
          <w:top w:w="0" w:type="dxa"/>
          <w:left w:w="0" w:type="dxa"/>
          <w:bottom w:w="0" w:type="dxa"/>
          <w:right w:w="0" w:type="dxa"/>
        </w:tblCellMar>
      </w:tblPr>
      <w:tblGrid>
        <w:gridCol w:w="2512"/>
        <w:gridCol w:w="1512"/>
        <w:gridCol w:w="2127"/>
        <w:gridCol w:w="2762"/>
      </w:tblGrid>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被担保人类型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☑法人</w:t>
            </w:r>
          </w:p>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______________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被担保人名称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云南变压器电气股份有限公司</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被担保人类型及上市公司持股情况</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☑全资子公司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□控股子公司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□参股公司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w:t>
            </w:r>
            <w:r>
              <w:rPr>
                <w:rFonts w:eastAsia="宋体" w:asciiTheme="minorEastAsia" w:hAnsiTheme="minorEastAsia" w:cstheme="minorEastAsia"/>
                <w:sz w:val="16"/>
                <w:szCs w:val="16"/>
              </w:rPr>
              <w:t>_</w:t>
            </w:r>
            <w:r>
              <w:rPr>
                <w:rFonts w:hint="eastAsia" w:eastAsia="宋体" w:asciiTheme="minorEastAsia" w:hAnsiTheme="minorEastAsia" w:cstheme="minorEastAsia"/>
                <w:sz w:val="16"/>
                <w:szCs w:val="16"/>
              </w:rPr>
              <w:t>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主要股东及持股比例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望变电气持股100%</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法定代表人</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肖斌</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统一社会信用代码</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91530000713402501X</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成立时间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1999年1月23日</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中国（云南）自由贸易试验区昆明片区经开区洛羊街道办事处拓翔路</w:t>
            </w:r>
            <w:r>
              <w:rPr>
                <w:rFonts w:eastAsia="宋体" w:asciiTheme="minorEastAsia" w:hAnsiTheme="minorEastAsia" w:cstheme="minorEastAsia"/>
                <w:color w:val="000000"/>
                <w:kern w:val="0"/>
                <w:sz w:val="16"/>
                <w:szCs w:val="16"/>
              </w:rPr>
              <w:t>212号</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注册资本</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人民币</w:t>
            </w:r>
            <w:r>
              <w:rPr>
                <w:rFonts w:eastAsia="宋体" w:asciiTheme="minorEastAsia" w:hAnsiTheme="minorEastAsia" w:cstheme="minorEastAsia"/>
                <w:color w:val="000000"/>
                <w:kern w:val="0"/>
                <w:sz w:val="16"/>
                <w:szCs w:val="16"/>
              </w:rPr>
              <w:t>10,041.3641万元</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公司类型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其他股份有限公司（非上市）</w:t>
            </w:r>
          </w:p>
        </w:tc>
      </w:tr>
      <w:tr>
        <w:tblPrEx>
          <w:tblCellMar>
            <w:top w:w="0" w:type="dxa"/>
            <w:left w:w="0" w:type="dxa"/>
            <w:bottom w:w="0" w:type="dxa"/>
            <w:right w:w="0" w:type="dxa"/>
          </w:tblCellMar>
        </w:tblPrEx>
        <w:trPr>
          <w:trHeight w:val="397" w:hRule="atLeast"/>
          <w:jc w:val="center"/>
        </w:trPr>
        <w:tc>
          <w:tcPr>
            <w:tcW w:w="140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经营范围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各种变压器的生产制造、销售；变压器产品生产所需的原辅助材料、电磁线、硅钢片、机械设备、仪器仪表、备品、备件、零配件、高低压开关柜、箱式变电站、电线电缆及相关技术，变压器修理，电子电器产品；货物进出口、技术进出口业务；电力工程施工总承包；电力设施承装（修、试）业务。</w:t>
            </w:r>
          </w:p>
        </w:tc>
      </w:tr>
      <w:tr>
        <w:tblPrEx>
          <w:tblCellMar>
            <w:top w:w="0" w:type="dxa"/>
            <w:left w:w="0" w:type="dxa"/>
            <w:bottom w:w="0" w:type="dxa"/>
            <w:right w:w="0" w:type="dxa"/>
          </w:tblCellMar>
        </w:tblPrEx>
        <w:trPr>
          <w:trHeight w:val="397" w:hRule="atLeast"/>
          <w:jc w:val="center"/>
        </w:trPr>
        <w:tc>
          <w:tcPr>
            <w:tcW w:w="1409" w:type="pct"/>
            <w:vMerge w:val="restar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主要财务指标（万元）</w:t>
            </w: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项目</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宋体" w:hAnsi="宋体" w:cs="宋体"/>
                <w:kern w:val="0"/>
                <w:sz w:val="16"/>
                <w:szCs w:val="16"/>
              </w:rPr>
            </w:pPr>
            <w:r>
              <w:rPr>
                <w:rFonts w:hint="eastAsia" w:ascii="宋体" w:hAnsi="宋体" w:eastAsia="宋体" w:cs="宋体"/>
                <w:kern w:val="0"/>
                <w:sz w:val="16"/>
                <w:szCs w:val="16"/>
              </w:rPr>
              <w:t>2026年</w:t>
            </w:r>
            <w:r>
              <w:rPr>
                <w:rFonts w:hint="eastAsia" w:ascii="宋体" w:hAnsi="宋体" w:eastAsia="宋体" w:cs="宋体"/>
                <w:kern w:val="0"/>
                <w:sz w:val="16"/>
                <w:szCs w:val="16"/>
                <w:lang w:val="en-US" w:eastAsia="zh-CN"/>
              </w:rPr>
              <w:t>6</w:t>
            </w:r>
            <w:r>
              <w:rPr>
                <w:rFonts w:hint="eastAsia" w:ascii="宋体" w:hAnsi="宋体" w:eastAsia="宋体" w:cs="宋体"/>
                <w:kern w:val="0"/>
                <w:sz w:val="16"/>
                <w:szCs w:val="16"/>
              </w:rPr>
              <w:t>月</w:t>
            </w:r>
            <w:r>
              <w:rPr>
                <w:rFonts w:ascii="宋体" w:hAnsi="宋体" w:eastAsia="宋体" w:cs="宋体"/>
                <w:kern w:val="0"/>
                <w:sz w:val="16"/>
                <w:szCs w:val="16"/>
              </w:rPr>
              <w:t>3</w:t>
            </w:r>
            <w:r>
              <w:rPr>
                <w:rFonts w:hint="eastAsia" w:ascii="宋体" w:hAnsi="宋体" w:eastAsia="宋体" w:cs="宋体"/>
                <w:kern w:val="0"/>
                <w:sz w:val="16"/>
                <w:szCs w:val="16"/>
                <w:lang w:val="en-US" w:eastAsia="zh-CN"/>
              </w:rPr>
              <w:t>0</w:t>
            </w:r>
            <w:r>
              <w:rPr>
                <w:rFonts w:hint="eastAsia" w:ascii="宋体" w:hAnsi="宋体" w:eastAsia="宋体" w:cs="宋体"/>
                <w:kern w:val="0"/>
                <w:sz w:val="16"/>
                <w:szCs w:val="16"/>
              </w:rPr>
              <w:t>日</w:t>
            </w:r>
          </w:p>
          <w:p>
            <w:pPr>
              <w:widowControl/>
              <w:adjustRightInd w:val="0"/>
              <w:snapToGrid w:val="0"/>
              <w:jc w:val="center"/>
              <w:rPr>
                <w:rFonts w:asciiTheme="minorEastAsia" w:hAnsiTheme="minorEastAsia" w:cstheme="minorEastAsia"/>
                <w:color w:val="FF0000"/>
                <w:kern w:val="0"/>
                <w:sz w:val="16"/>
                <w:szCs w:val="16"/>
              </w:rPr>
            </w:pPr>
            <w:r>
              <w:rPr>
                <w:rFonts w:hint="eastAsia" w:ascii="宋体" w:hAnsi="宋体" w:eastAsia="宋体" w:cs="宋体"/>
                <w:kern w:val="0"/>
                <w:sz w:val="16"/>
                <w:szCs w:val="16"/>
              </w:rPr>
              <w:t>（未经审计）</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宋体" w:hAnsi="宋体" w:cs="宋体"/>
                <w:kern w:val="0"/>
                <w:sz w:val="16"/>
                <w:szCs w:val="16"/>
              </w:rPr>
            </w:pPr>
            <w:r>
              <w:rPr>
                <w:rFonts w:hint="eastAsia" w:ascii="宋体" w:hAnsi="宋体" w:eastAsia="宋体" w:cs="宋体"/>
                <w:kern w:val="0"/>
                <w:sz w:val="16"/>
                <w:szCs w:val="16"/>
              </w:rPr>
              <w:t>2025年12月31日</w:t>
            </w:r>
          </w:p>
          <w:p>
            <w:pPr>
              <w:widowControl/>
              <w:adjustRightInd w:val="0"/>
              <w:snapToGrid w:val="0"/>
              <w:jc w:val="center"/>
              <w:rPr>
                <w:rFonts w:asciiTheme="minorEastAsia" w:hAnsiTheme="minorEastAsia" w:cstheme="minorEastAsia"/>
                <w:color w:val="FF0000"/>
                <w:kern w:val="0"/>
                <w:sz w:val="16"/>
                <w:szCs w:val="16"/>
              </w:rPr>
            </w:pPr>
            <w:r>
              <w:rPr>
                <w:rFonts w:hint="eastAsia" w:ascii="宋体" w:hAnsi="宋体" w:eastAsia="宋体" w:cs="宋体"/>
                <w:kern w:val="0"/>
                <w:sz w:val="16"/>
                <w:szCs w:val="16"/>
              </w:rPr>
              <w:t>（经审计）</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bookmarkStart w:id="8" w:name="_Hlk229146614"/>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 xml:space="preserve"> 215,348.76</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220,749.60</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负债总额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keepNext w:val="0"/>
              <w:keepLines w:val="0"/>
              <w:widowControl/>
              <w:suppressLineNumbers w:val="0"/>
              <w:jc w:val="right"/>
              <w:textAlignment w:val="center"/>
              <w:rPr>
                <w:rFonts w:ascii="等线" w:hAnsi="等线" w:eastAsia="等线" w:cs="等线"/>
                <w:i w:val="0"/>
                <w:iCs w:val="0"/>
                <w:color w:val="000000"/>
                <w:kern w:val="2"/>
                <w:sz w:val="22"/>
                <w:szCs w:val="22"/>
                <w:u w:val="none"/>
                <w:lang w:val="en-US" w:eastAsia="zh-CN" w:bidi="ar-SA"/>
              </w:rPr>
            </w:pPr>
            <w:r>
              <w:rPr>
                <w:rFonts w:hint="eastAsia" w:eastAsia="宋体" w:asciiTheme="minorEastAsia" w:hAnsiTheme="minorEastAsia" w:cstheme="minorEastAsia"/>
                <w:i w:val="0"/>
                <w:iCs w:val="0"/>
                <w:color w:val="000000"/>
                <w:kern w:val="0"/>
                <w:sz w:val="16"/>
                <w:szCs w:val="16"/>
                <w:u w:val="none"/>
                <w:lang w:val="en-US" w:eastAsia="zh-CN" w:bidi="ar"/>
              </w:rPr>
              <w:t>146,812.11</w:t>
            </w:r>
            <w:r>
              <w:rPr>
                <w:rFonts w:hint="eastAsia" w:ascii="等线" w:hAnsi="等线" w:eastAsia="等线" w:cs="等线"/>
                <w:i w:val="0"/>
                <w:iCs w:val="0"/>
                <w:color w:val="000000"/>
                <w:kern w:val="0"/>
                <w:sz w:val="22"/>
                <w:szCs w:val="22"/>
                <w:u w:val="none"/>
                <w:lang w:val="en-US" w:eastAsia="zh-CN" w:bidi="ar"/>
              </w:rPr>
              <w:t xml:space="preserve"> </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154,795.20</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资产净额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68,536.65</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65,954.40</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ascii="宋体" w:hAnsi="宋体" w:cs="宋体"/>
                <w:color w:val="000000"/>
                <w:kern w:val="0"/>
                <w:sz w:val="16"/>
                <w:szCs w:val="16"/>
                <w:lang w:bidi="ar"/>
              </w:rPr>
            </w:pPr>
            <w:r>
              <w:rPr>
                <w:rFonts w:hint="eastAsia" w:ascii="宋体" w:hAnsi="宋体" w:eastAsia="宋体" w:cs="宋体"/>
                <w:color w:val="000000"/>
                <w:kern w:val="0"/>
                <w:sz w:val="16"/>
                <w:szCs w:val="16"/>
                <w:lang w:bidi="ar"/>
              </w:rPr>
              <w:t>2026年1-</w:t>
            </w:r>
            <w:r>
              <w:rPr>
                <w:rFonts w:hint="eastAsia" w:ascii="宋体" w:hAnsi="宋体" w:eastAsia="宋体" w:cs="宋体"/>
                <w:color w:val="000000"/>
                <w:kern w:val="0"/>
                <w:sz w:val="16"/>
                <w:szCs w:val="16"/>
                <w:lang w:val="en-US" w:eastAsia="zh-CN" w:bidi="ar"/>
              </w:rPr>
              <w:t>6</w:t>
            </w:r>
            <w:r>
              <w:rPr>
                <w:rFonts w:hint="eastAsia" w:ascii="宋体" w:hAnsi="宋体" w:eastAsia="宋体" w:cs="宋体"/>
                <w:color w:val="000000"/>
                <w:kern w:val="0"/>
                <w:sz w:val="16"/>
                <w:szCs w:val="16"/>
                <w:lang w:bidi="ar"/>
              </w:rPr>
              <w:t>月</w:t>
            </w:r>
          </w:p>
          <w:p>
            <w:pPr>
              <w:widowControl/>
              <w:jc w:val="center"/>
              <w:textAlignment w:val="center"/>
              <w:rPr>
                <w:rFonts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（未经审计）</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ascii="宋体" w:hAnsi="宋体" w:cs="宋体"/>
                <w:color w:val="000000"/>
                <w:kern w:val="0"/>
                <w:sz w:val="16"/>
                <w:szCs w:val="16"/>
                <w:lang w:bidi="ar"/>
              </w:rPr>
            </w:pPr>
            <w:r>
              <w:rPr>
                <w:rFonts w:hint="eastAsia" w:ascii="宋体" w:hAnsi="宋体" w:eastAsia="宋体" w:cs="宋体"/>
                <w:color w:val="000000"/>
                <w:kern w:val="0"/>
                <w:sz w:val="16"/>
                <w:szCs w:val="16"/>
                <w:lang w:bidi="ar"/>
              </w:rPr>
              <w:t>2025年1-12月</w:t>
            </w:r>
          </w:p>
          <w:p>
            <w:pPr>
              <w:widowControl/>
              <w:jc w:val="center"/>
              <w:textAlignment w:val="center"/>
              <w:rPr>
                <w:rFonts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（经审计）</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营业收入</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 xml:space="preserve"> 57,983.71</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130,858.57</w:t>
            </w:r>
          </w:p>
        </w:tc>
      </w:tr>
      <w:tr>
        <w:tblPrEx>
          <w:tblCellMar>
            <w:top w:w="0" w:type="dxa"/>
            <w:left w:w="0" w:type="dxa"/>
            <w:bottom w:w="0" w:type="dxa"/>
            <w:right w:w="0" w:type="dxa"/>
          </w:tblCellMar>
        </w:tblPrEx>
        <w:trPr>
          <w:trHeight w:val="397" w:hRule="atLeast"/>
          <w:jc w:val="center"/>
        </w:trPr>
        <w:tc>
          <w:tcPr>
            <w:tcW w:w="1409"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净利润</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 xml:space="preserve"> 2,581.63</w:t>
            </w:r>
          </w:p>
        </w:tc>
        <w:tc>
          <w:tcPr>
            <w:tcW w:w="15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4,206.06</w:t>
            </w:r>
          </w:p>
        </w:tc>
      </w:tr>
      <w:bookmarkEnd w:id="8"/>
    </w:tbl>
    <w:p/>
    <w:p>
      <w:pPr>
        <w:widowControl/>
        <w:numPr>
          <w:ilvl w:val="0"/>
          <w:numId w:val="2"/>
        </w:numPr>
        <w:adjustRightInd w:val="0"/>
        <w:snapToGrid w:val="0"/>
        <w:spacing w:line="560" w:lineRule="exact"/>
        <w:ind w:firstLine="562" w:firstLineChars="200"/>
        <w:jc w:val="left"/>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担保协议的主要内容</w:t>
      </w:r>
    </w:p>
    <w:p>
      <w:pPr>
        <w:widowControl/>
        <w:adjustRightInd w:val="0"/>
        <w:snapToGrid w:val="0"/>
        <w:spacing w:line="560" w:lineRule="exact"/>
        <w:ind w:firstLine="480" w:firstLineChars="200"/>
        <w:jc w:val="lef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公司与华夏银行股份有限公司昆明圆通支行签署的《最高额保证合同》（合同编号：KM10（高保）20260005）</w:t>
      </w:r>
    </w:p>
    <w:p>
      <w:pPr>
        <w:widowControl/>
        <w:adjustRightInd w:val="0"/>
        <w:snapToGrid w:val="0"/>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1、保证人：重庆望变电气（集团）股份有限公司</w:t>
      </w:r>
    </w:p>
    <w:p>
      <w:pPr>
        <w:widowControl/>
        <w:numPr>
          <w:ilvl w:val="255"/>
          <w:numId w:val="0"/>
        </w:numPr>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2、保证方式：连带责任保证</w:t>
      </w:r>
    </w:p>
    <w:p>
      <w:pPr>
        <w:widowControl/>
        <w:numPr>
          <w:ilvl w:val="255"/>
          <w:numId w:val="0"/>
        </w:numPr>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3、保证范围：</w:t>
      </w:r>
    </w:p>
    <w:p>
      <w:pPr>
        <w:widowControl/>
        <w:numPr>
          <w:ilvl w:val="255"/>
          <w:numId w:val="0"/>
        </w:numPr>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本合同担保的范围包括主合同项下的债务本金、利息、罚息、复利、违约金、损害赔偿金、为实现债权而发生的费用及其他所有应付费用，其中最高债权本金余额为人民币12,000.00万元。</w:t>
      </w:r>
    </w:p>
    <w:p>
      <w:pPr>
        <w:widowControl/>
        <w:numPr>
          <w:ilvl w:val="255"/>
          <w:numId w:val="0"/>
        </w:numPr>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4、保证期限：</w:t>
      </w:r>
    </w:p>
    <w:p>
      <w:pPr>
        <w:widowControl/>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本合同项下所担保的债务逐笔单独计算保证期间，各债务保证期间为</w:t>
      </w:r>
      <w:r>
        <w:rPr>
          <w:rFonts w:asciiTheme="minorEastAsia" w:hAnsiTheme="minorEastAsia" w:cstheme="minorEastAsia"/>
          <w:color w:val="000000"/>
          <w:kern w:val="0"/>
          <w:sz w:val="24"/>
          <w:szCs w:val="24"/>
        </w:rPr>
        <w:t>被担保债权的确定日</w:t>
      </w:r>
      <w:r>
        <w:rPr>
          <w:rFonts w:hint="eastAsia" w:asciiTheme="minorEastAsia" w:hAnsiTheme="minorEastAsia" w:cstheme="minorEastAsia"/>
          <w:color w:val="000000"/>
          <w:kern w:val="0"/>
          <w:sz w:val="24"/>
          <w:szCs w:val="24"/>
        </w:rPr>
        <w:t>或该笔债务履行期限届满之日起三年；在该保证期间内，债权人有权就所涉主债权的全部或部分、多笔或单笔，一并或分别要求保证人承担保证责任。</w:t>
      </w:r>
    </w:p>
    <w:p>
      <w:pPr>
        <w:widowControl/>
        <w:adjustRightInd w:val="0"/>
        <w:snapToGrid w:val="0"/>
        <w:spacing w:line="560" w:lineRule="exact"/>
        <w:ind w:firstLine="562" w:firstLineChars="200"/>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四、担保的必要性和合理性</w:t>
      </w:r>
    </w:p>
    <w:p>
      <w:pPr>
        <w:widowControl/>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公司本月新增的对外担保主要为满足子公司日常生产经营需要，保证其生产经营活动的顺利开展，符合公司实际经营情况和整体发展战略，具有必要性和合理性。被担保对象为公司全资子公司，公司对其日常经营活动和资信状况能够及时掌握，担保风险总体可控，不会对公司及股东特别是中小股东利益造成重大不利影响。</w:t>
      </w:r>
    </w:p>
    <w:p>
      <w:pPr>
        <w:widowControl/>
        <w:numPr>
          <w:ilvl w:val="0"/>
          <w:numId w:val="2"/>
        </w:numPr>
        <w:adjustRightInd w:val="0"/>
        <w:snapToGrid w:val="0"/>
        <w:spacing w:line="560" w:lineRule="exact"/>
        <w:ind w:firstLine="562" w:firstLineChars="200"/>
        <w:jc w:val="left"/>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五、董事会意见</w:t>
      </w:r>
    </w:p>
    <w:p>
      <w:pPr>
        <w:widowControl/>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上述担保事项属于公司2025年第一次临时股东会授权范围并在有效期内，无需再次提交公司董事会、股东会审议。</w:t>
      </w:r>
    </w:p>
    <w:p>
      <w:pPr>
        <w:widowControl/>
        <w:numPr>
          <w:ilvl w:val="0"/>
          <w:numId w:val="2"/>
        </w:numPr>
        <w:adjustRightInd w:val="0"/>
        <w:snapToGrid w:val="0"/>
        <w:spacing w:line="560" w:lineRule="exact"/>
        <w:ind w:firstLine="562" w:firstLineChars="200"/>
        <w:jc w:val="left"/>
        <w:outlineLvl w:val="0"/>
        <w:rPr>
          <w:rFonts w:asciiTheme="minorEastAsia" w:hAnsiTheme="minorEastAsia" w:cstheme="minorEastAsia"/>
          <w:b/>
          <w:bCs/>
          <w:sz w:val="28"/>
          <w:szCs w:val="28"/>
        </w:rPr>
      </w:pPr>
      <w:r>
        <w:rPr>
          <w:rFonts w:hint="eastAsia" w:asciiTheme="minorEastAsia" w:hAnsiTheme="minorEastAsia" w:cstheme="minorEastAsia"/>
          <w:b/>
          <w:bCs/>
          <w:sz w:val="28"/>
          <w:szCs w:val="28"/>
        </w:rPr>
        <w:t>六、累计对外担保数量及逾期担保的数量</w:t>
      </w:r>
    </w:p>
    <w:p>
      <w:pPr>
        <w:widowControl/>
        <w:adjustRightInd w:val="0"/>
        <w:snapToGrid w:val="0"/>
        <w:spacing w:line="560" w:lineRule="exact"/>
        <w:ind w:firstLine="480" w:firstLineChars="200"/>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截至2026年8月末，公司对外担保均为对子公司的担保，累计担保总额为400,000万元（其中已签署担保合同的担保总额为202,074.10万元），担保余额为72,741.00万元，已签署担保合同的担保总额占公司最近一期经审计净资产的81.00%，担保余额占公司最近一期经审计净资产的29.16%；不存在逾期担保。</w:t>
      </w:r>
    </w:p>
    <w:p>
      <w:pPr>
        <w:adjustRightInd w:val="0"/>
        <w:snapToGrid w:val="0"/>
        <w:spacing w:line="360" w:lineRule="auto"/>
        <w:rPr>
          <w:rFonts w:asciiTheme="minorEastAsia" w:hAnsiTheme="minorEastAsia"/>
          <w:bCs/>
          <w:sz w:val="24"/>
          <w:szCs w:val="24"/>
        </w:rPr>
      </w:pPr>
    </w:p>
    <w:p>
      <w:pPr>
        <w:adjustRightInd w:val="0"/>
        <w:snapToGrid w:val="0"/>
        <w:spacing w:line="360" w:lineRule="auto"/>
        <w:ind w:firstLine="480" w:firstLineChars="200"/>
        <w:rPr>
          <w:rFonts w:asciiTheme="minorEastAsia" w:hAnsiTheme="minorEastAsia"/>
          <w:bCs/>
          <w:sz w:val="24"/>
          <w:szCs w:val="24"/>
        </w:rPr>
      </w:pPr>
      <w:r>
        <w:rPr>
          <w:rFonts w:hint="eastAsia" w:asciiTheme="minorEastAsia" w:hAnsiTheme="minorEastAsia"/>
          <w:bCs/>
          <w:sz w:val="24"/>
          <w:szCs w:val="24"/>
        </w:rPr>
        <w:t>特此公告。</w:t>
      </w:r>
    </w:p>
    <w:p>
      <w:pPr>
        <w:adjustRightInd w:val="0"/>
        <w:snapToGrid w:val="0"/>
        <w:spacing w:line="360" w:lineRule="auto"/>
        <w:rPr>
          <w:rFonts w:asciiTheme="minorEastAsia" w:hAnsiTheme="minorEastAsia"/>
          <w:bCs/>
          <w:sz w:val="24"/>
          <w:szCs w:val="24"/>
        </w:rPr>
      </w:pPr>
    </w:p>
    <w:p>
      <w:pPr>
        <w:adjustRightInd w:val="0"/>
        <w:snapToGrid w:val="0"/>
        <w:spacing w:line="360" w:lineRule="auto"/>
        <w:jc w:val="right"/>
        <w:rPr>
          <w:rFonts w:asciiTheme="minorEastAsia" w:hAnsiTheme="minorEastAsia"/>
          <w:bCs/>
          <w:sz w:val="24"/>
          <w:szCs w:val="24"/>
        </w:rPr>
      </w:pPr>
      <w:r>
        <w:rPr>
          <w:rFonts w:hint="eastAsia" w:asciiTheme="minorEastAsia" w:hAnsiTheme="minorEastAsia"/>
          <w:bCs/>
          <w:sz w:val="24"/>
          <w:szCs w:val="24"/>
        </w:rPr>
        <w:t>重庆望变电气（集团）股份有限公司董事会</w:t>
      </w:r>
    </w:p>
    <w:p>
      <w:pPr>
        <w:widowControl/>
        <w:adjustRightInd w:val="0"/>
        <w:snapToGrid w:val="0"/>
        <w:spacing w:line="560" w:lineRule="exact"/>
        <w:ind w:firstLine="480" w:firstLineChars="200"/>
        <w:jc w:val="right"/>
        <w:rPr>
          <w:rFonts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2026年9月3日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041D5"/>
    <w:multiLevelType w:val="multilevel"/>
    <w:tmpl w:val="00E041D5"/>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168B4FAA"/>
    <w:multiLevelType w:val="singleLevel"/>
    <w:tmpl w:val="168B4FAA"/>
    <w:lvl w:ilvl="0" w:tentative="0">
      <w:start w:val="1"/>
      <w:numFmt w:val="bullet"/>
      <w:lvlText w:val=""/>
      <w:lvlJc w:val="left"/>
      <w:pPr>
        <w:ind w:left="420" w:hanging="420"/>
      </w:pPr>
      <w:rPr>
        <w:rFonts w:hint="default" w:ascii="Wingdings" w:hAnsi="Wingdings"/>
      </w:rPr>
    </w:lvl>
  </w:abstractNum>
  <w:abstractNum w:abstractNumId="2">
    <w:nsid w:val="52EA2A72"/>
    <w:multiLevelType w:val="singleLevel"/>
    <w:tmpl w:val="52EA2A72"/>
    <w:lvl w:ilvl="0" w:tentative="0">
      <w:start w:val="1"/>
      <w:numFmt w:val="chineseCounting"/>
      <w:suff w:val="nothing"/>
      <w:lvlText w:val="%1、"/>
      <w:lvlJc w:val="left"/>
      <w:rPr>
        <w:rFonts w:hint="eastAsia"/>
      </w:rPr>
    </w:lvl>
  </w:abstractNum>
  <w:abstractNum w:abstractNumId="3">
    <w:nsid w:val="580E64DF"/>
    <w:multiLevelType w:val="multilevel"/>
    <w:tmpl w:val="580E64DF"/>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 w:name="RemovedBindingXPath" w:val="true"/>
  </w:docVars>
  <w:rsids>
    <w:rsidRoot w:val="00172A27"/>
    <w:rsid w:val="00004EF0"/>
    <w:rsid w:val="0000622B"/>
    <w:rsid w:val="00007894"/>
    <w:rsid w:val="00011B58"/>
    <w:rsid w:val="00011D6B"/>
    <w:rsid w:val="00011E7C"/>
    <w:rsid w:val="000134A9"/>
    <w:rsid w:val="00013C7A"/>
    <w:rsid w:val="00014DAA"/>
    <w:rsid w:val="0001513D"/>
    <w:rsid w:val="00015213"/>
    <w:rsid w:val="00016A68"/>
    <w:rsid w:val="000209EB"/>
    <w:rsid w:val="00023FE2"/>
    <w:rsid w:val="00024791"/>
    <w:rsid w:val="00024B0F"/>
    <w:rsid w:val="000316A0"/>
    <w:rsid w:val="000316DE"/>
    <w:rsid w:val="000320FF"/>
    <w:rsid w:val="000368E2"/>
    <w:rsid w:val="00036E39"/>
    <w:rsid w:val="000415E2"/>
    <w:rsid w:val="00041AFF"/>
    <w:rsid w:val="00041B70"/>
    <w:rsid w:val="00046446"/>
    <w:rsid w:val="0005296D"/>
    <w:rsid w:val="0005330F"/>
    <w:rsid w:val="000552DE"/>
    <w:rsid w:val="00055BB1"/>
    <w:rsid w:val="00055D12"/>
    <w:rsid w:val="0005649D"/>
    <w:rsid w:val="00057954"/>
    <w:rsid w:val="00057AAF"/>
    <w:rsid w:val="0006154D"/>
    <w:rsid w:val="0006356A"/>
    <w:rsid w:val="00064281"/>
    <w:rsid w:val="000657A0"/>
    <w:rsid w:val="00071209"/>
    <w:rsid w:val="00071335"/>
    <w:rsid w:val="00071DCE"/>
    <w:rsid w:val="00071DFD"/>
    <w:rsid w:val="00071EFB"/>
    <w:rsid w:val="0007584E"/>
    <w:rsid w:val="0007700C"/>
    <w:rsid w:val="00083DB8"/>
    <w:rsid w:val="000843BF"/>
    <w:rsid w:val="000847A8"/>
    <w:rsid w:val="0008599D"/>
    <w:rsid w:val="0008617F"/>
    <w:rsid w:val="00091B04"/>
    <w:rsid w:val="00091E1F"/>
    <w:rsid w:val="00093210"/>
    <w:rsid w:val="00093A5E"/>
    <w:rsid w:val="00094CDA"/>
    <w:rsid w:val="00095035"/>
    <w:rsid w:val="0009529B"/>
    <w:rsid w:val="0009688B"/>
    <w:rsid w:val="00097314"/>
    <w:rsid w:val="00097EF7"/>
    <w:rsid w:val="000A0447"/>
    <w:rsid w:val="000A0B83"/>
    <w:rsid w:val="000A0BA2"/>
    <w:rsid w:val="000A2CC0"/>
    <w:rsid w:val="000A2F81"/>
    <w:rsid w:val="000A3309"/>
    <w:rsid w:val="000A5346"/>
    <w:rsid w:val="000A581B"/>
    <w:rsid w:val="000A6385"/>
    <w:rsid w:val="000A777E"/>
    <w:rsid w:val="000A779D"/>
    <w:rsid w:val="000B1C0F"/>
    <w:rsid w:val="000B26F4"/>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07B"/>
    <w:rsid w:val="000E65BF"/>
    <w:rsid w:val="000F2FE3"/>
    <w:rsid w:val="000F32A6"/>
    <w:rsid w:val="000F39F7"/>
    <w:rsid w:val="000F4243"/>
    <w:rsid w:val="000F590A"/>
    <w:rsid w:val="00102EE0"/>
    <w:rsid w:val="00105374"/>
    <w:rsid w:val="00110400"/>
    <w:rsid w:val="00110C53"/>
    <w:rsid w:val="00110FD3"/>
    <w:rsid w:val="00111FD6"/>
    <w:rsid w:val="00117BC7"/>
    <w:rsid w:val="00120E15"/>
    <w:rsid w:val="001211A0"/>
    <w:rsid w:val="00123A27"/>
    <w:rsid w:val="0013329D"/>
    <w:rsid w:val="001337D8"/>
    <w:rsid w:val="001345D6"/>
    <w:rsid w:val="00135412"/>
    <w:rsid w:val="00136B4D"/>
    <w:rsid w:val="00142572"/>
    <w:rsid w:val="00142BE7"/>
    <w:rsid w:val="00144A2D"/>
    <w:rsid w:val="00145904"/>
    <w:rsid w:val="00145AE4"/>
    <w:rsid w:val="00146AE6"/>
    <w:rsid w:val="00147BA3"/>
    <w:rsid w:val="001509BD"/>
    <w:rsid w:val="00151523"/>
    <w:rsid w:val="00152CD1"/>
    <w:rsid w:val="00153D9F"/>
    <w:rsid w:val="001543A9"/>
    <w:rsid w:val="00154ECD"/>
    <w:rsid w:val="00154F63"/>
    <w:rsid w:val="001559AA"/>
    <w:rsid w:val="00157662"/>
    <w:rsid w:val="0016101B"/>
    <w:rsid w:val="001627BA"/>
    <w:rsid w:val="001635C5"/>
    <w:rsid w:val="001656ED"/>
    <w:rsid w:val="001745A0"/>
    <w:rsid w:val="00174FAC"/>
    <w:rsid w:val="001763D0"/>
    <w:rsid w:val="00180494"/>
    <w:rsid w:val="00183AD3"/>
    <w:rsid w:val="001868A3"/>
    <w:rsid w:val="00186AC7"/>
    <w:rsid w:val="0019044B"/>
    <w:rsid w:val="00191AE4"/>
    <w:rsid w:val="00192312"/>
    <w:rsid w:val="00192656"/>
    <w:rsid w:val="00192FA9"/>
    <w:rsid w:val="001953C1"/>
    <w:rsid w:val="00196816"/>
    <w:rsid w:val="001A2E2D"/>
    <w:rsid w:val="001A3084"/>
    <w:rsid w:val="001A41D6"/>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61C9"/>
    <w:rsid w:val="001C6DB0"/>
    <w:rsid w:val="001D05A4"/>
    <w:rsid w:val="001D091E"/>
    <w:rsid w:val="001D0AAF"/>
    <w:rsid w:val="001D157D"/>
    <w:rsid w:val="001D269D"/>
    <w:rsid w:val="001D5956"/>
    <w:rsid w:val="001D5AFC"/>
    <w:rsid w:val="001D5BCD"/>
    <w:rsid w:val="001D6ABC"/>
    <w:rsid w:val="001E0E4D"/>
    <w:rsid w:val="001E1D88"/>
    <w:rsid w:val="001E6D93"/>
    <w:rsid w:val="001E75C4"/>
    <w:rsid w:val="001F00E1"/>
    <w:rsid w:val="001F2083"/>
    <w:rsid w:val="001F422F"/>
    <w:rsid w:val="001F6B2B"/>
    <w:rsid w:val="00202534"/>
    <w:rsid w:val="002048A3"/>
    <w:rsid w:val="00206BC7"/>
    <w:rsid w:val="00207652"/>
    <w:rsid w:val="00207743"/>
    <w:rsid w:val="00213781"/>
    <w:rsid w:val="00214ACE"/>
    <w:rsid w:val="00215E68"/>
    <w:rsid w:val="002160DD"/>
    <w:rsid w:val="00216775"/>
    <w:rsid w:val="002217D3"/>
    <w:rsid w:val="00224529"/>
    <w:rsid w:val="0022784F"/>
    <w:rsid w:val="00230F96"/>
    <w:rsid w:val="00231D36"/>
    <w:rsid w:val="0023362A"/>
    <w:rsid w:val="00235137"/>
    <w:rsid w:val="00235F3E"/>
    <w:rsid w:val="002370D9"/>
    <w:rsid w:val="002432E5"/>
    <w:rsid w:val="00244577"/>
    <w:rsid w:val="00244EAA"/>
    <w:rsid w:val="00250A64"/>
    <w:rsid w:val="00254100"/>
    <w:rsid w:val="00254558"/>
    <w:rsid w:val="0025534A"/>
    <w:rsid w:val="002604F9"/>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90FC6"/>
    <w:rsid w:val="002930BD"/>
    <w:rsid w:val="002948E5"/>
    <w:rsid w:val="00295147"/>
    <w:rsid w:val="00295A30"/>
    <w:rsid w:val="00296B71"/>
    <w:rsid w:val="002A0D99"/>
    <w:rsid w:val="002A2075"/>
    <w:rsid w:val="002A20B3"/>
    <w:rsid w:val="002A3368"/>
    <w:rsid w:val="002A40E8"/>
    <w:rsid w:val="002A5BD6"/>
    <w:rsid w:val="002A6062"/>
    <w:rsid w:val="002A64B0"/>
    <w:rsid w:val="002B03CC"/>
    <w:rsid w:val="002B0DEC"/>
    <w:rsid w:val="002B3462"/>
    <w:rsid w:val="002B5FF1"/>
    <w:rsid w:val="002B7FB0"/>
    <w:rsid w:val="002C07EF"/>
    <w:rsid w:val="002C0A13"/>
    <w:rsid w:val="002C1998"/>
    <w:rsid w:val="002C4298"/>
    <w:rsid w:val="002C51A6"/>
    <w:rsid w:val="002C578E"/>
    <w:rsid w:val="002C73D0"/>
    <w:rsid w:val="002D11F5"/>
    <w:rsid w:val="002D1C0D"/>
    <w:rsid w:val="002D3246"/>
    <w:rsid w:val="002D7A46"/>
    <w:rsid w:val="002E0F85"/>
    <w:rsid w:val="002E17BB"/>
    <w:rsid w:val="002E3CFE"/>
    <w:rsid w:val="002E5862"/>
    <w:rsid w:val="002E5ACE"/>
    <w:rsid w:val="002E6FED"/>
    <w:rsid w:val="002F0218"/>
    <w:rsid w:val="002F42DE"/>
    <w:rsid w:val="002F4615"/>
    <w:rsid w:val="002F7887"/>
    <w:rsid w:val="00300E0C"/>
    <w:rsid w:val="003068DE"/>
    <w:rsid w:val="00306CA5"/>
    <w:rsid w:val="003071F3"/>
    <w:rsid w:val="003102ED"/>
    <w:rsid w:val="0031228F"/>
    <w:rsid w:val="00313D6A"/>
    <w:rsid w:val="00317BC2"/>
    <w:rsid w:val="003216A9"/>
    <w:rsid w:val="003216CC"/>
    <w:rsid w:val="0032367F"/>
    <w:rsid w:val="00323A21"/>
    <w:rsid w:val="0032458D"/>
    <w:rsid w:val="003253F1"/>
    <w:rsid w:val="00325654"/>
    <w:rsid w:val="0032604F"/>
    <w:rsid w:val="003315CC"/>
    <w:rsid w:val="00331C12"/>
    <w:rsid w:val="00333180"/>
    <w:rsid w:val="00335113"/>
    <w:rsid w:val="00337BE0"/>
    <w:rsid w:val="003402FE"/>
    <w:rsid w:val="003428F3"/>
    <w:rsid w:val="00344B74"/>
    <w:rsid w:val="0034755D"/>
    <w:rsid w:val="00352FEF"/>
    <w:rsid w:val="0035344A"/>
    <w:rsid w:val="00353872"/>
    <w:rsid w:val="00354510"/>
    <w:rsid w:val="00355E1B"/>
    <w:rsid w:val="00356E10"/>
    <w:rsid w:val="00357EA0"/>
    <w:rsid w:val="00361700"/>
    <w:rsid w:val="003651DF"/>
    <w:rsid w:val="00366CCD"/>
    <w:rsid w:val="00367453"/>
    <w:rsid w:val="00370B90"/>
    <w:rsid w:val="00374A19"/>
    <w:rsid w:val="00375B9C"/>
    <w:rsid w:val="00376606"/>
    <w:rsid w:val="003766EF"/>
    <w:rsid w:val="003834BA"/>
    <w:rsid w:val="003843C8"/>
    <w:rsid w:val="0038738F"/>
    <w:rsid w:val="003914D9"/>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2A48"/>
    <w:rsid w:val="003C419C"/>
    <w:rsid w:val="003C6D08"/>
    <w:rsid w:val="003D0C6A"/>
    <w:rsid w:val="003D2966"/>
    <w:rsid w:val="003D4895"/>
    <w:rsid w:val="003D508E"/>
    <w:rsid w:val="003E1749"/>
    <w:rsid w:val="003E2F2A"/>
    <w:rsid w:val="003E2F5B"/>
    <w:rsid w:val="003E3361"/>
    <w:rsid w:val="003E4198"/>
    <w:rsid w:val="003E4F31"/>
    <w:rsid w:val="003E6330"/>
    <w:rsid w:val="003F2C3B"/>
    <w:rsid w:val="003F333E"/>
    <w:rsid w:val="003F4556"/>
    <w:rsid w:val="003F59BF"/>
    <w:rsid w:val="003F619C"/>
    <w:rsid w:val="003F651E"/>
    <w:rsid w:val="00404DF5"/>
    <w:rsid w:val="00405849"/>
    <w:rsid w:val="00405F2E"/>
    <w:rsid w:val="0040650F"/>
    <w:rsid w:val="00410144"/>
    <w:rsid w:val="004119E8"/>
    <w:rsid w:val="00413896"/>
    <w:rsid w:val="00415080"/>
    <w:rsid w:val="004150E8"/>
    <w:rsid w:val="00423B5B"/>
    <w:rsid w:val="004240D4"/>
    <w:rsid w:val="00424E22"/>
    <w:rsid w:val="00425642"/>
    <w:rsid w:val="00426491"/>
    <w:rsid w:val="00427543"/>
    <w:rsid w:val="00430B69"/>
    <w:rsid w:val="0043754A"/>
    <w:rsid w:val="00437CE1"/>
    <w:rsid w:val="0044168F"/>
    <w:rsid w:val="00442A1B"/>
    <w:rsid w:val="00443BB9"/>
    <w:rsid w:val="004443A8"/>
    <w:rsid w:val="00444D15"/>
    <w:rsid w:val="004452CF"/>
    <w:rsid w:val="00445C36"/>
    <w:rsid w:val="004462D1"/>
    <w:rsid w:val="00447880"/>
    <w:rsid w:val="00453D3D"/>
    <w:rsid w:val="004544C4"/>
    <w:rsid w:val="00456A7E"/>
    <w:rsid w:val="0046022C"/>
    <w:rsid w:val="00460544"/>
    <w:rsid w:val="0046389B"/>
    <w:rsid w:val="004640B3"/>
    <w:rsid w:val="004677A9"/>
    <w:rsid w:val="004700D5"/>
    <w:rsid w:val="00471C18"/>
    <w:rsid w:val="00472CF3"/>
    <w:rsid w:val="004770E5"/>
    <w:rsid w:val="00481F48"/>
    <w:rsid w:val="00482007"/>
    <w:rsid w:val="004824A9"/>
    <w:rsid w:val="0048261B"/>
    <w:rsid w:val="0048475F"/>
    <w:rsid w:val="00484A20"/>
    <w:rsid w:val="00484CD8"/>
    <w:rsid w:val="00490CC5"/>
    <w:rsid w:val="004912C1"/>
    <w:rsid w:val="00491A22"/>
    <w:rsid w:val="00491D85"/>
    <w:rsid w:val="004923D4"/>
    <w:rsid w:val="00493080"/>
    <w:rsid w:val="00496916"/>
    <w:rsid w:val="00497DCE"/>
    <w:rsid w:val="004A1747"/>
    <w:rsid w:val="004A1FDB"/>
    <w:rsid w:val="004A2D0E"/>
    <w:rsid w:val="004A330D"/>
    <w:rsid w:val="004A3F7D"/>
    <w:rsid w:val="004A4875"/>
    <w:rsid w:val="004A4FC9"/>
    <w:rsid w:val="004A6E8A"/>
    <w:rsid w:val="004B1154"/>
    <w:rsid w:val="004B1C50"/>
    <w:rsid w:val="004B35E5"/>
    <w:rsid w:val="004B6EAD"/>
    <w:rsid w:val="004B72D1"/>
    <w:rsid w:val="004B735F"/>
    <w:rsid w:val="004B744D"/>
    <w:rsid w:val="004C21B3"/>
    <w:rsid w:val="004C2C49"/>
    <w:rsid w:val="004C7913"/>
    <w:rsid w:val="004D2D6C"/>
    <w:rsid w:val="004D2FF1"/>
    <w:rsid w:val="004D4A66"/>
    <w:rsid w:val="004D55A9"/>
    <w:rsid w:val="004D6C6D"/>
    <w:rsid w:val="004D6D5C"/>
    <w:rsid w:val="004D76A4"/>
    <w:rsid w:val="004E0A6F"/>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4E27"/>
    <w:rsid w:val="0050528F"/>
    <w:rsid w:val="0050633D"/>
    <w:rsid w:val="00507910"/>
    <w:rsid w:val="0051261C"/>
    <w:rsid w:val="0051318F"/>
    <w:rsid w:val="00513AA2"/>
    <w:rsid w:val="005173B0"/>
    <w:rsid w:val="00520E8A"/>
    <w:rsid w:val="00521184"/>
    <w:rsid w:val="005223BE"/>
    <w:rsid w:val="0052623E"/>
    <w:rsid w:val="00526671"/>
    <w:rsid w:val="00530B9D"/>
    <w:rsid w:val="00530BC3"/>
    <w:rsid w:val="0053277A"/>
    <w:rsid w:val="00533839"/>
    <w:rsid w:val="0053497E"/>
    <w:rsid w:val="00536579"/>
    <w:rsid w:val="00536BBF"/>
    <w:rsid w:val="00537CD7"/>
    <w:rsid w:val="00540BFA"/>
    <w:rsid w:val="00541D93"/>
    <w:rsid w:val="00543F21"/>
    <w:rsid w:val="00544318"/>
    <w:rsid w:val="005443EB"/>
    <w:rsid w:val="00545344"/>
    <w:rsid w:val="005465C2"/>
    <w:rsid w:val="00547C23"/>
    <w:rsid w:val="0055150E"/>
    <w:rsid w:val="00552D74"/>
    <w:rsid w:val="005543F1"/>
    <w:rsid w:val="00554723"/>
    <w:rsid w:val="0055573D"/>
    <w:rsid w:val="00555DE5"/>
    <w:rsid w:val="005568D3"/>
    <w:rsid w:val="00557E2E"/>
    <w:rsid w:val="00560B7B"/>
    <w:rsid w:val="00561A5A"/>
    <w:rsid w:val="005633F3"/>
    <w:rsid w:val="005658C9"/>
    <w:rsid w:val="005755D1"/>
    <w:rsid w:val="00580A5C"/>
    <w:rsid w:val="0058191C"/>
    <w:rsid w:val="00581D6A"/>
    <w:rsid w:val="005876FC"/>
    <w:rsid w:val="0059056B"/>
    <w:rsid w:val="00591B49"/>
    <w:rsid w:val="0059356D"/>
    <w:rsid w:val="00594A91"/>
    <w:rsid w:val="00595464"/>
    <w:rsid w:val="005970A7"/>
    <w:rsid w:val="005A1457"/>
    <w:rsid w:val="005A1EDA"/>
    <w:rsid w:val="005A26F2"/>
    <w:rsid w:val="005A2FBD"/>
    <w:rsid w:val="005A53C1"/>
    <w:rsid w:val="005A5B25"/>
    <w:rsid w:val="005A5C2E"/>
    <w:rsid w:val="005B0EDC"/>
    <w:rsid w:val="005B236C"/>
    <w:rsid w:val="005B2BCD"/>
    <w:rsid w:val="005B2EBC"/>
    <w:rsid w:val="005B4D00"/>
    <w:rsid w:val="005B4EB2"/>
    <w:rsid w:val="005B5F6B"/>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5FB"/>
    <w:rsid w:val="00607A44"/>
    <w:rsid w:val="00610692"/>
    <w:rsid w:val="00610DA7"/>
    <w:rsid w:val="00611348"/>
    <w:rsid w:val="006136ED"/>
    <w:rsid w:val="006149BA"/>
    <w:rsid w:val="00617BE8"/>
    <w:rsid w:val="006208E7"/>
    <w:rsid w:val="00621CB3"/>
    <w:rsid w:val="00622196"/>
    <w:rsid w:val="006249D3"/>
    <w:rsid w:val="00624BC4"/>
    <w:rsid w:val="00630145"/>
    <w:rsid w:val="006310D7"/>
    <w:rsid w:val="006315A8"/>
    <w:rsid w:val="00637BBF"/>
    <w:rsid w:val="00637D27"/>
    <w:rsid w:val="00637D82"/>
    <w:rsid w:val="00640106"/>
    <w:rsid w:val="00643A3E"/>
    <w:rsid w:val="00644C25"/>
    <w:rsid w:val="0064661F"/>
    <w:rsid w:val="0064773D"/>
    <w:rsid w:val="0064798C"/>
    <w:rsid w:val="00650B0F"/>
    <w:rsid w:val="00652AAD"/>
    <w:rsid w:val="00654590"/>
    <w:rsid w:val="00654F20"/>
    <w:rsid w:val="0065550D"/>
    <w:rsid w:val="006634E1"/>
    <w:rsid w:val="00667F7F"/>
    <w:rsid w:val="00674103"/>
    <w:rsid w:val="00674AEB"/>
    <w:rsid w:val="00675CB6"/>
    <w:rsid w:val="006775D3"/>
    <w:rsid w:val="006800B3"/>
    <w:rsid w:val="00681310"/>
    <w:rsid w:val="00681474"/>
    <w:rsid w:val="00681F63"/>
    <w:rsid w:val="00684C23"/>
    <w:rsid w:val="00686268"/>
    <w:rsid w:val="00691E10"/>
    <w:rsid w:val="00692118"/>
    <w:rsid w:val="00692532"/>
    <w:rsid w:val="00694107"/>
    <w:rsid w:val="00695C7D"/>
    <w:rsid w:val="0069742F"/>
    <w:rsid w:val="006A0A03"/>
    <w:rsid w:val="006A2470"/>
    <w:rsid w:val="006A2D38"/>
    <w:rsid w:val="006A7E6C"/>
    <w:rsid w:val="006B040A"/>
    <w:rsid w:val="006B3409"/>
    <w:rsid w:val="006B56A9"/>
    <w:rsid w:val="006B6815"/>
    <w:rsid w:val="006C1BEB"/>
    <w:rsid w:val="006C3189"/>
    <w:rsid w:val="006C45E1"/>
    <w:rsid w:val="006C6684"/>
    <w:rsid w:val="006C6BCF"/>
    <w:rsid w:val="006C6E81"/>
    <w:rsid w:val="006D219E"/>
    <w:rsid w:val="006D26B5"/>
    <w:rsid w:val="006D2DEE"/>
    <w:rsid w:val="006D420A"/>
    <w:rsid w:val="006D47BA"/>
    <w:rsid w:val="006D4D88"/>
    <w:rsid w:val="006D553C"/>
    <w:rsid w:val="006D6908"/>
    <w:rsid w:val="006D6B22"/>
    <w:rsid w:val="006E4344"/>
    <w:rsid w:val="006E58EC"/>
    <w:rsid w:val="006E5D45"/>
    <w:rsid w:val="006E5EA3"/>
    <w:rsid w:val="006E6123"/>
    <w:rsid w:val="006E6358"/>
    <w:rsid w:val="006F42F8"/>
    <w:rsid w:val="006F53B5"/>
    <w:rsid w:val="006F6D69"/>
    <w:rsid w:val="006F7462"/>
    <w:rsid w:val="00700132"/>
    <w:rsid w:val="007014E3"/>
    <w:rsid w:val="00702F53"/>
    <w:rsid w:val="007030FE"/>
    <w:rsid w:val="00703E29"/>
    <w:rsid w:val="0070411A"/>
    <w:rsid w:val="00704EED"/>
    <w:rsid w:val="00707527"/>
    <w:rsid w:val="0071102F"/>
    <w:rsid w:val="00713304"/>
    <w:rsid w:val="007138A7"/>
    <w:rsid w:val="007138E6"/>
    <w:rsid w:val="00714974"/>
    <w:rsid w:val="00715DED"/>
    <w:rsid w:val="00722B3D"/>
    <w:rsid w:val="0072538A"/>
    <w:rsid w:val="0072567D"/>
    <w:rsid w:val="007258B1"/>
    <w:rsid w:val="00730012"/>
    <w:rsid w:val="007303A5"/>
    <w:rsid w:val="007313FD"/>
    <w:rsid w:val="007324A9"/>
    <w:rsid w:val="007360F2"/>
    <w:rsid w:val="00740988"/>
    <w:rsid w:val="00740AA9"/>
    <w:rsid w:val="00741673"/>
    <w:rsid w:val="007456C7"/>
    <w:rsid w:val="007475E2"/>
    <w:rsid w:val="0075159E"/>
    <w:rsid w:val="00751CB0"/>
    <w:rsid w:val="007530BA"/>
    <w:rsid w:val="00754B42"/>
    <w:rsid w:val="0075511E"/>
    <w:rsid w:val="00755AB7"/>
    <w:rsid w:val="00760C74"/>
    <w:rsid w:val="00761840"/>
    <w:rsid w:val="00764B52"/>
    <w:rsid w:val="00765194"/>
    <w:rsid w:val="007664EE"/>
    <w:rsid w:val="00766608"/>
    <w:rsid w:val="007672B9"/>
    <w:rsid w:val="0077016A"/>
    <w:rsid w:val="00772113"/>
    <w:rsid w:val="0077427C"/>
    <w:rsid w:val="007755A3"/>
    <w:rsid w:val="00775E7C"/>
    <w:rsid w:val="00781F4C"/>
    <w:rsid w:val="00783EEA"/>
    <w:rsid w:val="00783FAF"/>
    <w:rsid w:val="00792C7B"/>
    <w:rsid w:val="00794DE8"/>
    <w:rsid w:val="007951BF"/>
    <w:rsid w:val="0079698F"/>
    <w:rsid w:val="007A02EA"/>
    <w:rsid w:val="007A1462"/>
    <w:rsid w:val="007A1735"/>
    <w:rsid w:val="007A1EA2"/>
    <w:rsid w:val="007A4620"/>
    <w:rsid w:val="007A4CF8"/>
    <w:rsid w:val="007A580E"/>
    <w:rsid w:val="007A5EEB"/>
    <w:rsid w:val="007A63DB"/>
    <w:rsid w:val="007B0851"/>
    <w:rsid w:val="007B1BBD"/>
    <w:rsid w:val="007B2222"/>
    <w:rsid w:val="007B2CD1"/>
    <w:rsid w:val="007B40F7"/>
    <w:rsid w:val="007B54AA"/>
    <w:rsid w:val="007C0558"/>
    <w:rsid w:val="007C270D"/>
    <w:rsid w:val="007C28AA"/>
    <w:rsid w:val="007C2908"/>
    <w:rsid w:val="007C3027"/>
    <w:rsid w:val="007C4C7C"/>
    <w:rsid w:val="007C4D82"/>
    <w:rsid w:val="007C5260"/>
    <w:rsid w:val="007C6C50"/>
    <w:rsid w:val="007D43E7"/>
    <w:rsid w:val="007D6893"/>
    <w:rsid w:val="007E01D7"/>
    <w:rsid w:val="007E26F1"/>
    <w:rsid w:val="007E275A"/>
    <w:rsid w:val="007E57E6"/>
    <w:rsid w:val="007E5D35"/>
    <w:rsid w:val="007F1A07"/>
    <w:rsid w:val="007F23D2"/>
    <w:rsid w:val="007F2DFB"/>
    <w:rsid w:val="007F2F92"/>
    <w:rsid w:val="007F3AEE"/>
    <w:rsid w:val="007F4653"/>
    <w:rsid w:val="007F471F"/>
    <w:rsid w:val="00800893"/>
    <w:rsid w:val="00801DB9"/>
    <w:rsid w:val="00801EFA"/>
    <w:rsid w:val="00803176"/>
    <w:rsid w:val="00803391"/>
    <w:rsid w:val="008037AC"/>
    <w:rsid w:val="00806033"/>
    <w:rsid w:val="0080670C"/>
    <w:rsid w:val="00806E59"/>
    <w:rsid w:val="008073A7"/>
    <w:rsid w:val="00807B57"/>
    <w:rsid w:val="00810BF8"/>
    <w:rsid w:val="008113D9"/>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47576"/>
    <w:rsid w:val="008531D2"/>
    <w:rsid w:val="008573C5"/>
    <w:rsid w:val="00861AE5"/>
    <w:rsid w:val="00862B46"/>
    <w:rsid w:val="00862EC3"/>
    <w:rsid w:val="00863A5A"/>
    <w:rsid w:val="00865F95"/>
    <w:rsid w:val="0087074B"/>
    <w:rsid w:val="00871507"/>
    <w:rsid w:val="00873ADE"/>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CCB"/>
    <w:rsid w:val="008A7D7C"/>
    <w:rsid w:val="008B188A"/>
    <w:rsid w:val="008B379F"/>
    <w:rsid w:val="008B3809"/>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6FD9"/>
    <w:rsid w:val="009174BD"/>
    <w:rsid w:val="009178E3"/>
    <w:rsid w:val="00926436"/>
    <w:rsid w:val="009278A1"/>
    <w:rsid w:val="00927CC9"/>
    <w:rsid w:val="00930785"/>
    <w:rsid w:val="00930E04"/>
    <w:rsid w:val="00931325"/>
    <w:rsid w:val="0093179D"/>
    <w:rsid w:val="00932D84"/>
    <w:rsid w:val="00933ABB"/>
    <w:rsid w:val="00933BFC"/>
    <w:rsid w:val="00935948"/>
    <w:rsid w:val="00941234"/>
    <w:rsid w:val="0094186D"/>
    <w:rsid w:val="00942575"/>
    <w:rsid w:val="0094357B"/>
    <w:rsid w:val="009456C6"/>
    <w:rsid w:val="00945D56"/>
    <w:rsid w:val="00946D24"/>
    <w:rsid w:val="00947FFA"/>
    <w:rsid w:val="00950AAF"/>
    <w:rsid w:val="00951D84"/>
    <w:rsid w:val="0095268E"/>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53BB"/>
    <w:rsid w:val="00975A09"/>
    <w:rsid w:val="0097707A"/>
    <w:rsid w:val="00977C25"/>
    <w:rsid w:val="009828C4"/>
    <w:rsid w:val="00983F0D"/>
    <w:rsid w:val="0099203A"/>
    <w:rsid w:val="0099345F"/>
    <w:rsid w:val="00995DCF"/>
    <w:rsid w:val="00996537"/>
    <w:rsid w:val="00997254"/>
    <w:rsid w:val="009A1B98"/>
    <w:rsid w:val="009A240C"/>
    <w:rsid w:val="009A415C"/>
    <w:rsid w:val="009A5C7D"/>
    <w:rsid w:val="009A5DAF"/>
    <w:rsid w:val="009A6862"/>
    <w:rsid w:val="009A6874"/>
    <w:rsid w:val="009A7601"/>
    <w:rsid w:val="009B026F"/>
    <w:rsid w:val="009B3ABD"/>
    <w:rsid w:val="009B7AEF"/>
    <w:rsid w:val="009B7EEF"/>
    <w:rsid w:val="009C0EFD"/>
    <w:rsid w:val="009C16F8"/>
    <w:rsid w:val="009C4C43"/>
    <w:rsid w:val="009D3111"/>
    <w:rsid w:val="009D3181"/>
    <w:rsid w:val="009D334A"/>
    <w:rsid w:val="009D6FBE"/>
    <w:rsid w:val="009E0F21"/>
    <w:rsid w:val="009E13E0"/>
    <w:rsid w:val="009E1B59"/>
    <w:rsid w:val="009E2422"/>
    <w:rsid w:val="009E3118"/>
    <w:rsid w:val="009E3815"/>
    <w:rsid w:val="009E3C2D"/>
    <w:rsid w:val="009E3F9D"/>
    <w:rsid w:val="009E5CAD"/>
    <w:rsid w:val="009E6FB7"/>
    <w:rsid w:val="009E714A"/>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203FC"/>
    <w:rsid w:val="00A20428"/>
    <w:rsid w:val="00A2230A"/>
    <w:rsid w:val="00A2244E"/>
    <w:rsid w:val="00A23612"/>
    <w:rsid w:val="00A23A2C"/>
    <w:rsid w:val="00A24451"/>
    <w:rsid w:val="00A25B82"/>
    <w:rsid w:val="00A3014C"/>
    <w:rsid w:val="00A304A8"/>
    <w:rsid w:val="00A30B9D"/>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4BAD"/>
    <w:rsid w:val="00A85E4A"/>
    <w:rsid w:val="00A86143"/>
    <w:rsid w:val="00A86B49"/>
    <w:rsid w:val="00A86B82"/>
    <w:rsid w:val="00A87A5F"/>
    <w:rsid w:val="00A87FBF"/>
    <w:rsid w:val="00A92E02"/>
    <w:rsid w:val="00A93829"/>
    <w:rsid w:val="00A94E34"/>
    <w:rsid w:val="00A964BD"/>
    <w:rsid w:val="00A979DD"/>
    <w:rsid w:val="00AA1C47"/>
    <w:rsid w:val="00AA3C83"/>
    <w:rsid w:val="00AA5E72"/>
    <w:rsid w:val="00AA6069"/>
    <w:rsid w:val="00AA7102"/>
    <w:rsid w:val="00AA7415"/>
    <w:rsid w:val="00AB0831"/>
    <w:rsid w:val="00AB1F2F"/>
    <w:rsid w:val="00AB4698"/>
    <w:rsid w:val="00AB6B5F"/>
    <w:rsid w:val="00AB6CDA"/>
    <w:rsid w:val="00AC0223"/>
    <w:rsid w:val="00AC0EEE"/>
    <w:rsid w:val="00AC14B1"/>
    <w:rsid w:val="00AC4F9E"/>
    <w:rsid w:val="00AC6058"/>
    <w:rsid w:val="00AD1B3E"/>
    <w:rsid w:val="00AD1D01"/>
    <w:rsid w:val="00AD2B2A"/>
    <w:rsid w:val="00AD3237"/>
    <w:rsid w:val="00AD5304"/>
    <w:rsid w:val="00AD589B"/>
    <w:rsid w:val="00AD70C1"/>
    <w:rsid w:val="00AE16B6"/>
    <w:rsid w:val="00AE24BF"/>
    <w:rsid w:val="00AE34ED"/>
    <w:rsid w:val="00AF1BCF"/>
    <w:rsid w:val="00AF3530"/>
    <w:rsid w:val="00AF519C"/>
    <w:rsid w:val="00AF5826"/>
    <w:rsid w:val="00AF6BD7"/>
    <w:rsid w:val="00AF78B6"/>
    <w:rsid w:val="00B00964"/>
    <w:rsid w:val="00B0118B"/>
    <w:rsid w:val="00B02A59"/>
    <w:rsid w:val="00B03C06"/>
    <w:rsid w:val="00B079F8"/>
    <w:rsid w:val="00B1112F"/>
    <w:rsid w:val="00B12B9F"/>
    <w:rsid w:val="00B153FE"/>
    <w:rsid w:val="00B16B54"/>
    <w:rsid w:val="00B21775"/>
    <w:rsid w:val="00B220C8"/>
    <w:rsid w:val="00B232A4"/>
    <w:rsid w:val="00B2503F"/>
    <w:rsid w:val="00B25514"/>
    <w:rsid w:val="00B30E28"/>
    <w:rsid w:val="00B335A3"/>
    <w:rsid w:val="00B33BF1"/>
    <w:rsid w:val="00B413F2"/>
    <w:rsid w:val="00B423B7"/>
    <w:rsid w:val="00B46BAB"/>
    <w:rsid w:val="00B47730"/>
    <w:rsid w:val="00B47C6F"/>
    <w:rsid w:val="00B47D6F"/>
    <w:rsid w:val="00B47F45"/>
    <w:rsid w:val="00B50D6B"/>
    <w:rsid w:val="00B523BF"/>
    <w:rsid w:val="00B5278E"/>
    <w:rsid w:val="00B53A02"/>
    <w:rsid w:val="00B555DE"/>
    <w:rsid w:val="00B6051E"/>
    <w:rsid w:val="00B6154C"/>
    <w:rsid w:val="00B70394"/>
    <w:rsid w:val="00B72F06"/>
    <w:rsid w:val="00B73783"/>
    <w:rsid w:val="00B73C2D"/>
    <w:rsid w:val="00B74DC3"/>
    <w:rsid w:val="00B76C1C"/>
    <w:rsid w:val="00B82274"/>
    <w:rsid w:val="00B82B7A"/>
    <w:rsid w:val="00B82C84"/>
    <w:rsid w:val="00B849F2"/>
    <w:rsid w:val="00B84BB2"/>
    <w:rsid w:val="00B85244"/>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062F"/>
    <w:rsid w:val="00BE14A3"/>
    <w:rsid w:val="00BE17F4"/>
    <w:rsid w:val="00BE22B3"/>
    <w:rsid w:val="00BE3BA4"/>
    <w:rsid w:val="00BE422C"/>
    <w:rsid w:val="00BE614C"/>
    <w:rsid w:val="00BE67AE"/>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235"/>
    <w:rsid w:val="00C176BF"/>
    <w:rsid w:val="00C17AE0"/>
    <w:rsid w:val="00C3028C"/>
    <w:rsid w:val="00C3055C"/>
    <w:rsid w:val="00C30D11"/>
    <w:rsid w:val="00C31861"/>
    <w:rsid w:val="00C3247C"/>
    <w:rsid w:val="00C3330C"/>
    <w:rsid w:val="00C356F5"/>
    <w:rsid w:val="00C36CB8"/>
    <w:rsid w:val="00C415DA"/>
    <w:rsid w:val="00C4327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6296"/>
    <w:rsid w:val="00C67A0D"/>
    <w:rsid w:val="00C7509C"/>
    <w:rsid w:val="00C76965"/>
    <w:rsid w:val="00C76AE5"/>
    <w:rsid w:val="00C7718C"/>
    <w:rsid w:val="00C81131"/>
    <w:rsid w:val="00C823BD"/>
    <w:rsid w:val="00C823C0"/>
    <w:rsid w:val="00C82ADF"/>
    <w:rsid w:val="00C85898"/>
    <w:rsid w:val="00C85AB9"/>
    <w:rsid w:val="00C85B23"/>
    <w:rsid w:val="00C85DFC"/>
    <w:rsid w:val="00C87D04"/>
    <w:rsid w:val="00C87EFC"/>
    <w:rsid w:val="00C914B2"/>
    <w:rsid w:val="00C93E0F"/>
    <w:rsid w:val="00C96AA0"/>
    <w:rsid w:val="00C96B4E"/>
    <w:rsid w:val="00C9754C"/>
    <w:rsid w:val="00CA0B24"/>
    <w:rsid w:val="00CA2A83"/>
    <w:rsid w:val="00CA40B0"/>
    <w:rsid w:val="00CA5963"/>
    <w:rsid w:val="00CA5F3C"/>
    <w:rsid w:val="00CA6285"/>
    <w:rsid w:val="00CA62D8"/>
    <w:rsid w:val="00CB23BD"/>
    <w:rsid w:val="00CB3998"/>
    <w:rsid w:val="00CB5618"/>
    <w:rsid w:val="00CB577A"/>
    <w:rsid w:val="00CB5B4B"/>
    <w:rsid w:val="00CC290D"/>
    <w:rsid w:val="00CC483E"/>
    <w:rsid w:val="00CD0519"/>
    <w:rsid w:val="00CD09B1"/>
    <w:rsid w:val="00CD2075"/>
    <w:rsid w:val="00CD4232"/>
    <w:rsid w:val="00CD4E82"/>
    <w:rsid w:val="00CD5F14"/>
    <w:rsid w:val="00CD6A04"/>
    <w:rsid w:val="00CE00E1"/>
    <w:rsid w:val="00CE374C"/>
    <w:rsid w:val="00CE4A6D"/>
    <w:rsid w:val="00CE5795"/>
    <w:rsid w:val="00CE63C1"/>
    <w:rsid w:val="00CF18C5"/>
    <w:rsid w:val="00CF1E4D"/>
    <w:rsid w:val="00CF2A56"/>
    <w:rsid w:val="00CF44E4"/>
    <w:rsid w:val="00CF46A3"/>
    <w:rsid w:val="00CF5FE7"/>
    <w:rsid w:val="00D07067"/>
    <w:rsid w:val="00D075AA"/>
    <w:rsid w:val="00D101BD"/>
    <w:rsid w:val="00D10370"/>
    <w:rsid w:val="00D11861"/>
    <w:rsid w:val="00D11D57"/>
    <w:rsid w:val="00D15067"/>
    <w:rsid w:val="00D1557F"/>
    <w:rsid w:val="00D16C7C"/>
    <w:rsid w:val="00D16E03"/>
    <w:rsid w:val="00D17158"/>
    <w:rsid w:val="00D200F8"/>
    <w:rsid w:val="00D208E9"/>
    <w:rsid w:val="00D2146D"/>
    <w:rsid w:val="00D234C0"/>
    <w:rsid w:val="00D23EC6"/>
    <w:rsid w:val="00D25D68"/>
    <w:rsid w:val="00D2601F"/>
    <w:rsid w:val="00D27CC0"/>
    <w:rsid w:val="00D30E41"/>
    <w:rsid w:val="00D31534"/>
    <w:rsid w:val="00D32EF8"/>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1E8C"/>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1E99"/>
    <w:rsid w:val="00D83B77"/>
    <w:rsid w:val="00D83E3D"/>
    <w:rsid w:val="00D84631"/>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0E2"/>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66F8"/>
    <w:rsid w:val="00E00586"/>
    <w:rsid w:val="00E03013"/>
    <w:rsid w:val="00E05768"/>
    <w:rsid w:val="00E06E01"/>
    <w:rsid w:val="00E07261"/>
    <w:rsid w:val="00E10295"/>
    <w:rsid w:val="00E163F5"/>
    <w:rsid w:val="00E16CF4"/>
    <w:rsid w:val="00E17AAA"/>
    <w:rsid w:val="00E2023C"/>
    <w:rsid w:val="00E22FD2"/>
    <w:rsid w:val="00E24040"/>
    <w:rsid w:val="00E254DE"/>
    <w:rsid w:val="00E279C7"/>
    <w:rsid w:val="00E27F47"/>
    <w:rsid w:val="00E30737"/>
    <w:rsid w:val="00E337B2"/>
    <w:rsid w:val="00E36046"/>
    <w:rsid w:val="00E368C1"/>
    <w:rsid w:val="00E36F0D"/>
    <w:rsid w:val="00E42686"/>
    <w:rsid w:val="00E45713"/>
    <w:rsid w:val="00E46E94"/>
    <w:rsid w:val="00E5141A"/>
    <w:rsid w:val="00E525EF"/>
    <w:rsid w:val="00E52B61"/>
    <w:rsid w:val="00E542ED"/>
    <w:rsid w:val="00E54D91"/>
    <w:rsid w:val="00E54EA4"/>
    <w:rsid w:val="00E551C4"/>
    <w:rsid w:val="00E5608B"/>
    <w:rsid w:val="00E564F8"/>
    <w:rsid w:val="00E56FD8"/>
    <w:rsid w:val="00E57237"/>
    <w:rsid w:val="00E57487"/>
    <w:rsid w:val="00E57F99"/>
    <w:rsid w:val="00E61E73"/>
    <w:rsid w:val="00E64429"/>
    <w:rsid w:val="00E646EE"/>
    <w:rsid w:val="00E65054"/>
    <w:rsid w:val="00E6534B"/>
    <w:rsid w:val="00E66780"/>
    <w:rsid w:val="00E6678D"/>
    <w:rsid w:val="00E705B8"/>
    <w:rsid w:val="00E711DA"/>
    <w:rsid w:val="00E7715F"/>
    <w:rsid w:val="00E773DC"/>
    <w:rsid w:val="00E810AC"/>
    <w:rsid w:val="00E828AC"/>
    <w:rsid w:val="00E87CC3"/>
    <w:rsid w:val="00E90841"/>
    <w:rsid w:val="00E91098"/>
    <w:rsid w:val="00E9210B"/>
    <w:rsid w:val="00EA3AE2"/>
    <w:rsid w:val="00EA4CD3"/>
    <w:rsid w:val="00EA4FFB"/>
    <w:rsid w:val="00EA5F42"/>
    <w:rsid w:val="00EA6164"/>
    <w:rsid w:val="00EA7A01"/>
    <w:rsid w:val="00EA7CCD"/>
    <w:rsid w:val="00EB154B"/>
    <w:rsid w:val="00EB234D"/>
    <w:rsid w:val="00EB3F6F"/>
    <w:rsid w:val="00EB5C44"/>
    <w:rsid w:val="00EB5FE0"/>
    <w:rsid w:val="00EC185B"/>
    <w:rsid w:val="00EC3165"/>
    <w:rsid w:val="00EC428E"/>
    <w:rsid w:val="00EC50AD"/>
    <w:rsid w:val="00EC6872"/>
    <w:rsid w:val="00ED0449"/>
    <w:rsid w:val="00ED1087"/>
    <w:rsid w:val="00ED5A7B"/>
    <w:rsid w:val="00ED769C"/>
    <w:rsid w:val="00EE1525"/>
    <w:rsid w:val="00EE1C35"/>
    <w:rsid w:val="00EE2292"/>
    <w:rsid w:val="00EE372B"/>
    <w:rsid w:val="00EE4651"/>
    <w:rsid w:val="00EE7822"/>
    <w:rsid w:val="00EE7ED0"/>
    <w:rsid w:val="00EF07A4"/>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0CEE"/>
    <w:rsid w:val="00F330F8"/>
    <w:rsid w:val="00F33971"/>
    <w:rsid w:val="00F34586"/>
    <w:rsid w:val="00F350B8"/>
    <w:rsid w:val="00F375BA"/>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3E7B"/>
    <w:rsid w:val="00F65DB9"/>
    <w:rsid w:val="00F6669E"/>
    <w:rsid w:val="00F666D6"/>
    <w:rsid w:val="00F67D23"/>
    <w:rsid w:val="00F7320A"/>
    <w:rsid w:val="00F74046"/>
    <w:rsid w:val="00F74414"/>
    <w:rsid w:val="00F75D20"/>
    <w:rsid w:val="00F80FF3"/>
    <w:rsid w:val="00F82D72"/>
    <w:rsid w:val="00F83E12"/>
    <w:rsid w:val="00F85225"/>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4C29"/>
    <w:rsid w:val="00FD1625"/>
    <w:rsid w:val="00FD179F"/>
    <w:rsid w:val="00FD1905"/>
    <w:rsid w:val="00FD20A5"/>
    <w:rsid w:val="00FD3374"/>
    <w:rsid w:val="00FD7736"/>
    <w:rsid w:val="00FE102D"/>
    <w:rsid w:val="00FE1CA2"/>
    <w:rsid w:val="00FE4655"/>
    <w:rsid w:val="00FE46A9"/>
    <w:rsid w:val="00FE4A6A"/>
    <w:rsid w:val="00FE6863"/>
    <w:rsid w:val="00FF1D89"/>
    <w:rsid w:val="00FF1E2E"/>
    <w:rsid w:val="00FF22CF"/>
    <w:rsid w:val="00FF2991"/>
    <w:rsid w:val="00FF4DF1"/>
    <w:rsid w:val="00FF5B20"/>
    <w:rsid w:val="00FF5D8D"/>
    <w:rsid w:val="015123B9"/>
    <w:rsid w:val="052B38A3"/>
    <w:rsid w:val="073225FF"/>
    <w:rsid w:val="082F25E4"/>
    <w:rsid w:val="0A8F5D00"/>
    <w:rsid w:val="0D75742F"/>
    <w:rsid w:val="0E552DBD"/>
    <w:rsid w:val="0EA7186A"/>
    <w:rsid w:val="0EE330C9"/>
    <w:rsid w:val="0F3D375A"/>
    <w:rsid w:val="10C04E65"/>
    <w:rsid w:val="10D017D9"/>
    <w:rsid w:val="1348114C"/>
    <w:rsid w:val="138B5786"/>
    <w:rsid w:val="1CA0145B"/>
    <w:rsid w:val="1E1E31CB"/>
    <w:rsid w:val="21603540"/>
    <w:rsid w:val="22CE1EEF"/>
    <w:rsid w:val="24011B01"/>
    <w:rsid w:val="261F3F85"/>
    <w:rsid w:val="27F7686E"/>
    <w:rsid w:val="29E03A2B"/>
    <w:rsid w:val="2B7ED06F"/>
    <w:rsid w:val="2D3D4257"/>
    <w:rsid w:val="2DDA0928"/>
    <w:rsid w:val="32B41128"/>
    <w:rsid w:val="35DE565D"/>
    <w:rsid w:val="369547EC"/>
    <w:rsid w:val="37023270"/>
    <w:rsid w:val="37AE5168"/>
    <w:rsid w:val="3A3D4F53"/>
    <w:rsid w:val="3C6533D1"/>
    <w:rsid w:val="3D3A7EAF"/>
    <w:rsid w:val="3EA0216F"/>
    <w:rsid w:val="3F7E74F8"/>
    <w:rsid w:val="42925DB2"/>
    <w:rsid w:val="448B464D"/>
    <w:rsid w:val="4B887C1D"/>
    <w:rsid w:val="4C115F9A"/>
    <w:rsid w:val="4C2537F3"/>
    <w:rsid w:val="4D037D0C"/>
    <w:rsid w:val="4EE778FC"/>
    <w:rsid w:val="50446580"/>
    <w:rsid w:val="513525FF"/>
    <w:rsid w:val="520934A3"/>
    <w:rsid w:val="53093721"/>
    <w:rsid w:val="535029F5"/>
    <w:rsid w:val="53B322F3"/>
    <w:rsid w:val="5CDE4274"/>
    <w:rsid w:val="5DFE4393"/>
    <w:rsid w:val="5DFF29E0"/>
    <w:rsid w:val="5EDF3AF6"/>
    <w:rsid w:val="5FD94BDB"/>
    <w:rsid w:val="613B41DF"/>
    <w:rsid w:val="615835BC"/>
    <w:rsid w:val="62FA5B29"/>
    <w:rsid w:val="64632CB3"/>
    <w:rsid w:val="68B41309"/>
    <w:rsid w:val="68FF6CAB"/>
    <w:rsid w:val="69CA7F8E"/>
    <w:rsid w:val="6B32428E"/>
    <w:rsid w:val="6B9F0575"/>
    <w:rsid w:val="6CEF7485"/>
    <w:rsid w:val="6D464B59"/>
    <w:rsid w:val="6D517150"/>
    <w:rsid w:val="739E1612"/>
    <w:rsid w:val="73EF1F12"/>
    <w:rsid w:val="75AF62D4"/>
    <w:rsid w:val="760E16AB"/>
    <w:rsid w:val="784244D4"/>
    <w:rsid w:val="7BC14284"/>
    <w:rsid w:val="7C624CE5"/>
    <w:rsid w:val="7F921D31"/>
    <w:rsid w:val="AEFF9737"/>
    <w:rsid w:val="AEFFAB2F"/>
    <w:rsid w:val="DDFFD477"/>
    <w:rsid w:val="FADAB0B6"/>
    <w:rsid w:val="FFBBF84C"/>
    <w:rsid w:val="FFED0BA2"/>
    <w:rsid w:val="FFFB1921"/>
    <w:rsid w:val="FFFFE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4"/>
    <w:semiHidden/>
    <w:unhideWhenUsed/>
    <w:qFormat/>
    <w:uiPriority w:val="99"/>
    <w:rPr>
      <w:rFonts w:ascii="宋体" w:eastAsia="宋体"/>
      <w:sz w:val="18"/>
      <w:szCs w:val="18"/>
    </w:rPr>
  </w:style>
  <w:style w:type="paragraph" w:styleId="5">
    <w:name w:val="annotation text"/>
    <w:basedOn w:val="1"/>
    <w:link w:val="32"/>
    <w:unhideWhenUsed/>
    <w:qFormat/>
    <w:uiPriority w:val="99"/>
    <w:pPr>
      <w:jc w:val="left"/>
    </w:pPr>
  </w:style>
  <w:style w:type="paragraph" w:styleId="6">
    <w:name w:val="Date"/>
    <w:basedOn w:val="1"/>
    <w:next w:val="1"/>
    <w:link w:val="44"/>
    <w:semiHidden/>
    <w:unhideWhenUsed/>
    <w:qFormat/>
    <w:uiPriority w:val="99"/>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annotation subject"/>
    <w:basedOn w:val="5"/>
    <w:next w:val="5"/>
    <w:link w:val="34"/>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qFormat/>
    <w:uiPriority w:val="9"/>
    <w:rPr>
      <w:rFonts w:asciiTheme="majorHAnsi" w:hAnsiTheme="majorHAnsi" w:eastAsiaTheme="majorEastAsia" w:cstheme="majorBidi"/>
      <w:b/>
      <w:bCs/>
      <w:sz w:val="32"/>
      <w:szCs w:val="32"/>
    </w:rPr>
  </w:style>
  <w:style w:type="character" w:customStyle="1" w:styleId="19">
    <w:name w:val="批注框文本 字符"/>
    <w:basedOn w:val="14"/>
    <w:link w:val="7"/>
    <w:semiHidden/>
    <w:qFormat/>
    <w:uiPriority w:val="99"/>
    <w:rPr>
      <w:sz w:val="18"/>
      <w:szCs w:val="18"/>
    </w:rPr>
  </w:style>
  <w:style w:type="paragraph" w:styleId="20">
    <w:name w:val="List Paragraph"/>
    <w:basedOn w:val="1"/>
    <w:qFormat/>
    <w:uiPriority w:val="34"/>
    <w:pPr>
      <w:ind w:firstLine="420" w:firstLineChars="200"/>
    </w:pPr>
  </w:style>
  <w:style w:type="character" w:styleId="21">
    <w:name w:val="Placeholder Text"/>
    <w:basedOn w:val="14"/>
    <w:semiHidden/>
    <w:qFormat/>
    <w:uiPriority w:val="99"/>
    <w:rPr>
      <w:color w:val="auto"/>
    </w:rPr>
  </w:style>
  <w:style w:type="character" w:customStyle="1" w:styleId="22">
    <w:name w:val="页眉 字符"/>
    <w:basedOn w:val="14"/>
    <w:link w:val="9"/>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文档结构图 字符"/>
    <w:basedOn w:val="14"/>
    <w:link w:val="4"/>
    <w:semiHidden/>
    <w:qFormat/>
    <w:uiPriority w:val="99"/>
    <w:rPr>
      <w:rFonts w:ascii="宋体" w:eastAsia="宋体"/>
      <w:sz w:val="18"/>
      <w:szCs w:val="18"/>
    </w:rPr>
  </w:style>
  <w:style w:type="character" w:customStyle="1" w:styleId="25">
    <w:name w:val="样式1"/>
    <w:qFormat/>
    <w:uiPriority w:val="1"/>
  </w:style>
  <w:style w:type="character" w:customStyle="1" w:styleId="26">
    <w:name w:val="样式2"/>
    <w:basedOn w:val="25"/>
    <w:qFormat/>
    <w:uiPriority w:val="1"/>
  </w:style>
  <w:style w:type="character" w:customStyle="1" w:styleId="27">
    <w:name w:val="样式3"/>
    <w:basedOn w:val="25"/>
    <w:qFormat/>
    <w:uiPriority w:val="1"/>
  </w:style>
  <w:style w:type="character" w:customStyle="1" w:styleId="28">
    <w:name w:val="样式4"/>
    <w:basedOn w:val="25"/>
    <w:qFormat/>
    <w:uiPriority w:val="1"/>
  </w:style>
  <w:style w:type="character" w:customStyle="1" w:styleId="29">
    <w:name w:val="样式5"/>
    <w:basedOn w:val="25"/>
    <w:qFormat/>
    <w:uiPriority w:val="1"/>
  </w:style>
  <w:style w:type="character" w:customStyle="1" w:styleId="30">
    <w:name w:val="样式6"/>
    <w:basedOn w:val="28"/>
    <w:qFormat/>
    <w:uiPriority w:val="1"/>
  </w:style>
  <w:style w:type="character" w:customStyle="1" w:styleId="31">
    <w:name w:val="样式7"/>
    <w:basedOn w:val="28"/>
    <w:qFormat/>
    <w:uiPriority w:val="1"/>
  </w:style>
  <w:style w:type="character" w:customStyle="1" w:styleId="32">
    <w:name w:val="批注文字 字符"/>
    <w:basedOn w:val="14"/>
    <w:link w:val="5"/>
    <w:qFormat/>
    <w:uiPriority w:val="99"/>
  </w:style>
  <w:style w:type="paragraph" w:customStyle="1" w:styleId="33">
    <w:name w:val="p0"/>
    <w:basedOn w:val="1"/>
    <w:qFormat/>
    <w:uiPriority w:val="0"/>
    <w:pPr>
      <w:widowControl/>
    </w:pPr>
    <w:rPr>
      <w:rFonts w:ascii="Book Antiqua" w:hAnsi="Book Antiqua" w:eastAsia="宋体" w:cs="宋体"/>
      <w:kern w:val="0"/>
      <w:sz w:val="24"/>
      <w:szCs w:val="24"/>
    </w:rPr>
  </w:style>
  <w:style w:type="character" w:customStyle="1" w:styleId="34">
    <w:name w:val="批注主题 字符"/>
    <w:basedOn w:val="32"/>
    <w:link w:val="11"/>
    <w:semiHidden/>
    <w:qFormat/>
    <w:uiPriority w:val="99"/>
    <w:rPr>
      <w:b/>
      <w:bCs/>
    </w:rPr>
  </w:style>
  <w:style w:type="paragraph" w:customStyle="1" w:styleId="35">
    <w:name w:val="Table Text"/>
    <w:basedOn w:val="1"/>
    <w:semiHidden/>
    <w:qFormat/>
    <w:uiPriority w:val="0"/>
    <w:pPr>
      <w:spacing w:before="64" w:line="284" w:lineRule="auto"/>
      <w:ind w:left="18" w:right="30" w:hanging="7"/>
      <w:jc w:val="left"/>
    </w:pPr>
    <w:rPr>
      <w:rFonts w:ascii="Times New Roman" w:hAnsi="Times New Roman" w:eastAsia="Times New Roman"/>
      <w:sz w:val="24"/>
      <w:szCs w:val="24"/>
      <w:lang w:eastAsia="en-US"/>
    </w:rPr>
  </w:style>
  <w:style w:type="table" w:customStyle="1" w:styleId="36">
    <w:name w:val="Table Normal"/>
    <w:semiHidden/>
    <w:unhideWhenUsed/>
    <w:qFormat/>
    <w:uiPriority w:val="0"/>
    <w:tblPr>
      <w:tblCellMar>
        <w:top w:w="0" w:type="dxa"/>
        <w:left w:w="0" w:type="dxa"/>
        <w:bottom w:w="0" w:type="dxa"/>
        <w:right w:w="0" w:type="dxa"/>
      </w:tblCellMar>
    </w:tblPr>
  </w:style>
  <w:style w:type="paragraph" w:customStyle="1" w:styleId="3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4"/>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1">
    <w:name w:val="未处理的提及1"/>
    <w:basedOn w:val="14"/>
    <w:semiHidden/>
    <w:unhideWhenUsed/>
    <w:qFormat/>
    <w:uiPriority w:val="99"/>
    <w:rPr>
      <w:color w:val="605E5C"/>
      <w:shd w:val="clear" w:color="auto" w:fill="E1DFDD"/>
    </w:rPr>
  </w:style>
  <w:style w:type="paragraph" w:customStyle="1" w:styleId="42">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3">
    <w:name w:val="修订6"/>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日期 字符"/>
    <w:basedOn w:val="14"/>
    <w:link w:val="6"/>
    <w:semiHidden/>
    <w:qFormat/>
    <w:uiPriority w:val="99"/>
    <w:rPr>
      <w:rFonts w:asciiTheme="minorHAnsi" w:hAnsiTheme="minorHAnsi" w:eastAsiaTheme="minorEastAsia" w:cstheme="minorBidi"/>
      <w:kern w:val="2"/>
      <w:sz w:val="21"/>
      <w:szCs w:val="22"/>
    </w:rPr>
  </w:style>
  <w:style w:type="paragraph" w:customStyle="1" w:styleId="45">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clcta-gie="clcta-gie" xmlns:b="http://mapping.word.org/2012/binding" xmlns:clcta-taf="clcta-taf" xmlns:clcta-fte="clcta-fte" xmlns:xlink="xlink" xmlns:clcta-be="clcta-be"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]]></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]]></t:sse>
</t:template>
</file>

<file path=customXml/itemProps1.xml><?xml version="1.0" encoding="utf-8"?>
<ds:datastoreItem xmlns:ds="http://schemas.openxmlformats.org/officeDocument/2006/customXml" ds:itemID="{BA98B501-917D-472D-AC19-F30F1EB82784}">
  <ds:schemaRefs/>
</ds:datastoreItem>
</file>

<file path=customXml/itemProps2.xml><?xml version="1.0" encoding="utf-8"?>
<ds:datastoreItem xmlns:ds="http://schemas.openxmlformats.org/officeDocument/2006/customXml" ds:itemID="{6946C436-FBFE-4818-858F-57D7285C98D3}">
  <ds:schemaRefs/>
</ds:datastoreItem>
</file>

<file path=customXml/itemProps3.xml><?xml version="1.0" encoding="utf-8"?>
<ds:datastoreItem xmlns:ds="http://schemas.openxmlformats.org/officeDocument/2006/customXml" ds:itemID="{4511FAB5-2CDB-48CD-B312-58EE4B3BFC5C}">
  <ds:schemaRefs/>
</ds:datastoreItem>
</file>

<file path=customXml/itemProps4.xml><?xml version="1.0" encoding="utf-8"?>
<ds:datastoreItem xmlns:ds="http://schemas.openxmlformats.org/officeDocument/2006/customXml" ds:itemID="{4D712232-0D2F-4918-AFFB-BA045CC0B17B}">
  <ds:schemaRefs/>
</ds:datastoreItem>
</file>

<file path=docProps/app.xml><?xml version="1.0" encoding="utf-8"?>
<Properties xmlns="http://schemas.openxmlformats.org/officeDocument/2006/extended-properties" xmlns:vt="http://schemas.openxmlformats.org/officeDocument/2006/docPropsVTypes">
  <Template>SSEReport.dotm</Template>
  <Company>HP</Company>
  <Pages>6</Pages>
  <Words>2825</Words>
  <Characters>3496</Characters>
  <Lines>26</Lines>
  <Paragraphs>7</Paragraphs>
  <TotalTime>2</TotalTime>
  <ScaleCrop>false</ScaleCrop>
  <LinksUpToDate>false</LinksUpToDate>
  <CharactersWithSpaces>3528</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2026-05-08T05:10:00Z</dcterms:created>
  <dc:creator>lanjiang</dc:creator>
  <cp:lastModifiedBy>雯亦</cp:lastModifiedBy>
  <dcterms:modified xsi:type="dcterms:W3CDTF">2026-09-02T09:30:01Z</dcterms:modified>
  <dc:subject>对子公司担保进展公告</dc:subject>
  <dc:title>2026年7月对子公司提供担保的进展公告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eyJoZGlkIjoiZjA0MDY0YWU2NTBjNGFiY2ZjOTQ3OTMxZWYyYzI4ZDYiLCJ1c2VySWQiOiIzMjIxMjU5MDUifQ==</vt:lpwstr>
  </property>
  <property fmtid="{D5CDD505-2E9C-101B-9397-08002B2CF9AE}" pid="3" name="KSOProductBuildVer">
    <vt:lpwstr>2052-11.1.0.12165</vt:lpwstr>
  </property>
  <property fmtid="{D5CDD505-2E9C-101B-9397-08002B2CF9AE}" pid="4" name="ICV">
    <vt:lpwstr>934376E1F8FF4434A4349AA1C532B4C8</vt:lpwstr>
  </property>
</Properties>
</file>