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jc w:val="left"/>
        <w:rPr>
          <w:rFonts w:hint="default" w:ascii="仿宋" w:hAnsi="仿宋" w:eastAsia="宋体"/>
          <w:sz w:val="30"/>
          <w:szCs w:val="30"/>
          <w:lang w:val="en-US" w:eastAsia="zh-CN"/>
        </w:rPr>
      </w:pPr>
      <w:r>
        <w:rPr>
          <w:rFonts w:hint="eastAsia" w:ascii="宋体" w:hAnsi="宋体" w:eastAsia="宋体"/>
          <w:b/>
          <w:sz w:val="24"/>
          <w:szCs w:val="24"/>
        </w:rPr>
        <w:t>证券代码：</w:t>
      </w:r>
      <w:r>
        <w:rPr>
          <w:rFonts w:ascii="宋体" w:hAnsi="宋体" w:eastAsia="宋体"/>
          <w:b/>
          <w:sz w:val="24"/>
          <w:szCs w:val="24"/>
        </w:rPr>
        <w:t xml:space="preserve">603191       </w:t>
      </w:r>
      <w:r>
        <w:rPr>
          <w:rFonts w:hint="eastAsia" w:ascii="宋体" w:hAnsi="宋体" w:eastAsia="宋体"/>
          <w:b/>
          <w:sz w:val="24"/>
          <w:szCs w:val="24"/>
        </w:rPr>
        <w:t xml:space="preserve">证券简称：望变电气 </w:t>
      </w:r>
      <w:r>
        <w:rPr>
          <w:rFonts w:ascii="宋体" w:hAnsi="宋体" w:eastAsia="宋体"/>
          <w:b/>
          <w:sz w:val="24"/>
          <w:szCs w:val="24"/>
        </w:rPr>
        <w:t xml:space="preserve">        </w:t>
      </w:r>
      <w:r>
        <w:rPr>
          <w:rFonts w:hint="eastAsia" w:ascii="宋体" w:hAnsi="宋体" w:eastAsia="宋体"/>
          <w:b/>
          <w:sz w:val="24"/>
          <w:szCs w:val="24"/>
        </w:rPr>
        <w:t>公告编号</w:t>
      </w:r>
      <w:r>
        <w:rPr>
          <w:rFonts w:hint="eastAsia" w:ascii="宋体" w:hAnsi="宋体" w:eastAsia="宋体"/>
          <w:b/>
          <w:sz w:val="24"/>
          <w:szCs w:val="24"/>
          <w:highlight w:val="none"/>
        </w:rPr>
        <w:t>：2</w:t>
      </w:r>
      <w:r>
        <w:rPr>
          <w:rFonts w:ascii="宋体" w:hAnsi="宋体" w:eastAsia="宋体"/>
          <w:b/>
          <w:sz w:val="24"/>
          <w:szCs w:val="24"/>
          <w:highlight w:val="none"/>
        </w:rPr>
        <w:t>02</w:t>
      </w:r>
      <w:r>
        <w:rPr>
          <w:rFonts w:hint="eastAsia" w:ascii="宋体" w:hAnsi="宋体" w:eastAsia="宋体"/>
          <w:b/>
          <w:sz w:val="24"/>
          <w:szCs w:val="24"/>
          <w:highlight w:val="none"/>
          <w:lang w:val="en-US" w:eastAsia="zh-CN"/>
        </w:rPr>
        <w:t>6-061</w:t>
      </w:r>
    </w:p>
    <w:p>
      <w:pPr>
        <w:adjustRightInd w:val="0"/>
        <w:snapToGrid w:val="0"/>
        <w:spacing w:before="156" w:beforeLines="50" w:line="560" w:lineRule="exact"/>
        <w:jc w:val="center"/>
        <w:outlineLvl w:val="0"/>
        <w:rPr>
          <w:rFonts w:ascii="宋体" w:hAnsi="宋体" w:eastAsia="宋体" w:cs="仿宋_GB2312"/>
          <w:b/>
          <w:bCs/>
          <w:color w:val="FF0000"/>
          <w:sz w:val="36"/>
          <w:szCs w:val="36"/>
        </w:rPr>
      </w:pPr>
      <w:r>
        <w:rPr>
          <w:rFonts w:hint="eastAsia" w:ascii="宋体" w:hAnsi="宋体" w:eastAsia="宋体" w:cs="仿宋_GB2312"/>
          <w:b/>
          <w:bCs/>
          <w:color w:val="FF0000"/>
          <w:sz w:val="36"/>
          <w:szCs w:val="36"/>
        </w:rPr>
        <w:t>重庆望变电气（集团）股份有限公司</w:t>
      </w:r>
    </w:p>
    <w:p>
      <w:pPr>
        <w:adjustRightInd w:val="0"/>
        <w:snapToGrid w:val="0"/>
        <w:spacing w:before="156" w:beforeLines="50" w:line="560" w:lineRule="exact"/>
        <w:jc w:val="center"/>
        <w:outlineLvl w:val="0"/>
        <w:rPr>
          <w:rFonts w:ascii="宋体" w:hAnsi="宋体" w:eastAsia="宋体" w:cs="仿宋_GB2312"/>
          <w:b/>
          <w:bCs/>
          <w:color w:val="FF0000"/>
          <w:sz w:val="36"/>
          <w:szCs w:val="36"/>
        </w:rPr>
      </w:pPr>
      <w:r>
        <w:rPr>
          <w:rFonts w:hint="eastAsia" w:ascii="宋体" w:hAnsi="宋体" w:eastAsia="宋体" w:cs="仿宋_GB2312"/>
          <w:b/>
          <w:bCs/>
          <w:color w:val="FF0000"/>
          <w:sz w:val="36"/>
          <w:szCs w:val="36"/>
        </w:rPr>
        <w:t>关于使</w:t>
      </w:r>
      <w:r>
        <w:rPr>
          <w:rFonts w:hint="eastAsia" w:ascii="宋体" w:hAnsi="宋体" w:eastAsia="宋体" w:cs="仿宋_GB2312"/>
          <w:b/>
          <w:bCs/>
          <w:color w:val="FF0000"/>
          <w:sz w:val="36"/>
          <w:szCs w:val="36"/>
          <w:highlight w:val="none"/>
        </w:rPr>
        <w:t>用暂时闲置募集资金进</w:t>
      </w:r>
      <w:r>
        <w:rPr>
          <w:rFonts w:hint="eastAsia" w:ascii="宋体" w:hAnsi="宋体" w:eastAsia="宋体" w:cs="仿宋_GB2312"/>
          <w:b/>
          <w:bCs/>
          <w:color w:val="FF0000"/>
          <w:sz w:val="36"/>
          <w:szCs w:val="36"/>
        </w:rPr>
        <w:t>行现金管理的公告</w:t>
      </w:r>
    </w:p>
    <w:p>
      <w:pPr>
        <w:adjustRightInd w:val="0"/>
        <w:snapToGrid w:val="0"/>
        <w:spacing w:before="156" w:beforeLines="50" w:line="560" w:lineRule="exact"/>
        <w:jc w:val="center"/>
        <w:rPr>
          <w:rFonts w:ascii="仿宋_GB2312" w:hAnsi="仿宋_GB2312" w:eastAsia="仿宋_GB2312" w:cs="仿宋_GB2312"/>
          <w:b/>
          <w:bCs/>
          <w:color w:val="FF0000"/>
          <w:sz w:val="30"/>
          <w:szCs w:val="30"/>
        </w:rPr>
      </w:pPr>
    </w:p>
    <w:p>
      <w:pPr>
        <w:pBdr>
          <w:top w:val="single" w:color="auto" w:sz="4" w:space="1"/>
          <w:left w:val="single" w:color="auto" w:sz="4" w:space="4"/>
          <w:bottom w:val="single" w:color="auto" w:sz="4" w:space="1"/>
          <w:right w:val="single" w:color="auto" w:sz="4" w:space="4"/>
        </w:pBdr>
        <w:adjustRightInd w:val="0"/>
        <w:snapToGrid w:val="0"/>
        <w:spacing w:line="560" w:lineRule="exact"/>
        <w:ind w:firstLine="480" w:firstLineChars="200"/>
        <w:rPr>
          <w:rFonts w:ascii="仿宋" w:hAnsi="仿宋" w:eastAsia="仿宋"/>
          <w:color w:val="000000"/>
          <w:sz w:val="24"/>
          <w:szCs w:val="24"/>
        </w:rPr>
      </w:pPr>
      <w:r>
        <w:rPr>
          <w:rFonts w:hint="eastAsia" w:ascii="仿宋" w:hAnsi="仿宋" w:eastAsia="仿宋"/>
          <w:color w:val="000000"/>
          <w:sz w:val="24"/>
          <w:szCs w:val="24"/>
        </w:rPr>
        <w:t>本公司董事会及全体董事保证本公告内容不存在任何虚假记载、误导性陈述或者重大遗漏，并对其内容的真实性、准确性和完整性承担法律责任。</w:t>
      </w:r>
    </w:p>
    <w:p>
      <w:pPr>
        <w:autoSpaceDE w:val="0"/>
        <w:autoSpaceDN w:val="0"/>
        <w:adjustRightInd w:val="0"/>
        <w:snapToGrid w:val="0"/>
        <w:spacing w:line="560" w:lineRule="exact"/>
        <w:rPr>
          <w:rFonts w:ascii="宋体" w:hAnsi="宋体" w:eastAsia="宋体"/>
          <w:color w:val="000000"/>
          <w:sz w:val="24"/>
          <w:szCs w:val="24"/>
        </w:rPr>
      </w:pPr>
    </w:p>
    <w:p>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textAlignment w:val="auto"/>
        <w:rPr>
          <w:rFonts w:hint="default" w:ascii="宋体" w:hAnsi="宋体" w:eastAsia="宋体"/>
          <w:color w:val="000000"/>
          <w:sz w:val="24"/>
          <w:szCs w:val="24"/>
          <w:highlight w:val="none"/>
          <w:lang w:val="en-US" w:eastAsia="zh-CN"/>
        </w:rPr>
      </w:pPr>
      <w:r>
        <w:rPr>
          <w:rFonts w:hint="eastAsia" w:ascii="宋体" w:hAnsi="宋体" w:eastAsia="宋体"/>
          <w:color w:val="000000"/>
          <w:sz w:val="24"/>
          <w:szCs w:val="24"/>
        </w:rPr>
        <w:t>重庆望变电气（集团）股份有限公司（以下简称“公司”）于202</w:t>
      </w:r>
      <w:r>
        <w:rPr>
          <w:rFonts w:hint="eastAsia" w:ascii="宋体" w:hAnsi="宋体" w:eastAsia="宋体"/>
          <w:color w:val="000000"/>
          <w:sz w:val="24"/>
          <w:szCs w:val="24"/>
          <w:lang w:val="en-US" w:eastAsia="zh-CN"/>
        </w:rPr>
        <w:t>6</w:t>
      </w:r>
      <w:r>
        <w:rPr>
          <w:rFonts w:hint="eastAsia" w:ascii="宋体" w:hAnsi="宋体" w:eastAsia="宋体"/>
          <w:color w:val="000000"/>
          <w:sz w:val="24"/>
          <w:szCs w:val="24"/>
        </w:rPr>
        <w:t>年</w:t>
      </w:r>
      <w:r>
        <w:rPr>
          <w:rFonts w:hint="eastAsia" w:ascii="宋体" w:hAnsi="宋体" w:eastAsia="宋体"/>
          <w:color w:val="000000"/>
          <w:sz w:val="24"/>
          <w:szCs w:val="24"/>
          <w:lang w:val="en-US" w:eastAsia="zh-CN"/>
        </w:rPr>
        <w:t>8</w:t>
      </w:r>
      <w:r>
        <w:rPr>
          <w:rFonts w:hint="eastAsia" w:ascii="宋体" w:hAnsi="宋体" w:eastAsia="宋体"/>
          <w:color w:val="000000"/>
          <w:sz w:val="24"/>
          <w:szCs w:val="24"/>
        </w:rPr>
        <w:t>月</w:t>
      </w:r>
      <w:r>
        <w:rPr>
          <w:rFonts w:hint="eastAsia" w:ascii="宋体" w:hAnsi="宋体" w:eastAsia="宋体"/>
          <w:color w:val="000000"/>
          <w:sz w:val="24"/>
          <w:szCs w:val="24"/>
          <w:lang w:val="en-US" w:eastAsia="zh-CN"/>
        </w:rPr>
        <w:t>25</w:t>
      </w:r>
      <w:r>
        <w:rPr>
          <w:rFonts w:hint="eastAsia" w:ascii="宋体" w:hAnsi="宋体" w:eastAsia="宋体"/>
          <w:color w:val="000000"/>
          <w:sz w:val="24"/>
          <w:szCs w:val="24"/>
        </w:rPr>
        <w:t>日召开了第四届董事会第</w:t>
      </w:r>
      <w:r>
        <w:rPr>
          <w:rFonts w:hint="eastAsia" w:ascii="宋体" w:hAnsi="宋体" w:eastAsia="宋体"/>
          <w:color w:val="000000"/>
          <w:sz w:val="24"/>
          <w:szCs w:val="24"/>
          <w:lang w:val="en-US" w:eastAsia="zh-CN"/>
        </w:rPr>
        <w:t>二十二</w:t>
      </w:r>
      <w:r>
        <w:rPr>
          <w:rFonts w:hint="eastAsia" w:ascii="宋体" w:hAnsi="宋体" w:eastAsia="宋体"/>
          <w:color w:val="000000"/>
          <w:sz w:val="24"/>
          <w:szCs w:val="24"/>
        </w:rPr>
        <w:t>次会议和第四届</w:t>
      </w:r>
      <w:r>
        <w:rPr>
          <w:rFonts w:hint="eastAsia" w:ascii="宋体" w:hAnsi="宋体" w:eastAsia="宋体"/>
          <w:color w:val="000000"/>
          <w:sz w:val="24"/>
          <w:szCs w:val="24"/>
          <w:lang w:val="en-US" w:eastAsia="zh-CN"/>
        </w:rPr>
        <w:t>董事会审计委员会第十六次</w:t>
      </w:r>
      <w:r>
        <w:rPr>
          <w:rFonts w:hint="eastAsia" w:ascii="宋体" w:hAnsi="宋体" w:eastAsia="宋体"/>
          <w:color w:val="000000"/>
          <w:sz w:val="24"/>
          <w:szCs w:val="24"/>
        </w:rPr>
        <w:t>会议，审议通过了《关于使用暂时闲置募集资金进行现金管理的议案》，同意公司使用不</w:t>
      </w:r>
      <w:r>
        <w:rPr>
          <w:rFonts w:hint="eastAsia" w:ascii="宋体" w:hAnsi="宋体" w:eastAsia="宋体"/>
          <w:color w:val="000000"/>
          <w:sz w:val="24"/>
          <w:szCs w:val="24"/>
          <w:highlight w:val="none"/>
        </w:rPr>
        <w:t>超过</w:t>
      </w:r>
      <w:r>
        <w:rPr>
          <w:rFonts w:ascii="宋体" w:hAnsi="宋体" w:eastAsia="宋体" w:cs="宋体"/>
          <w:sz w:val="24"/>
          <w:szCs w:val="24"/>
          <w:highlight w:val="none"/>
        </w:rPr>
        <w:t>22,703.87</w:t>
      </w:r>
      <w:r>
        <w:rPr>
          <w:rFonts w:hint="eastAsia" w:ascii="宋体" w:hAnsi="宋体" w:eastAsia="宋体"/>
          <w:color w:val="000000"/>
          <w:sz w:val="24"/>
          <w:szCs w:val="24"/>
          <w:highlight w:val="none"/>
        </w:rPr>
        <w:t>万元</w:t>
      </w:r>
      <w:r>
        <w:rPr>
          <w:rFonts w:hint="eastAsia" w:ascii="宋体" w:hAnsi="宋体" w:eastAsia="宋体" w:cs="宋体"/>
          <w:color w:val="000000"/>
          <w:sz w:val="24"/>
          <w:szCs w:val="24"/>
          <w:highlight w:val="none"/>
        </w:rPr>
        <w:t>的暂时闲置募集资金进行现金管理，</w:t>
      </w:r>
      <w:r>
        <w:rPr>
          <w:rFonts w:hint="eastAsia" w:ascii="宋体" w:hAnsi="宋体" w:eastAsia="宋体" w:cs="宋体"/>
          <w:sz w:val="24"/>
          <w:szCs w:val="24"/>
          <w:highlight w:val="none"/>
          <w:lang w:val="en-US" w:eastAsia="zh-CN"/>
        </w:rPr>
        <w:t>该额度的有效期自2026年8月25日至2026年12月31日止</w:t>
      </w:r>
      <w:r>
        <w:rPr>
          <w:rFonts w:hint="eastAsia" w:ascii="宋体" w:hAnsi="宋体" w:eastAsia="宋体" w:cs="宋体"/>
          <w:sz w:val="24"/>
          <w:szCs w:val="24"/>
          <w:highlight w:val="none"/>
        </w:rPr>
        <w:t>，在上述额度</w:t>
      </w:r>
      <w:r>
        <w:rPr>
          <w:rFonts w:hint="eastAsia" w:ascii="宋体" w:hAnsi="宋体" w:eastAsia="宋体" w:cs="宋体"/>
          <w:sz w:val="24"/>
          <w:szCs w:val="24"/>
          <w:highlight w:val="none"/>
          <w:lang w:val="en-US" w:eastAsia="zh-CN"/>
        </w:rPr>
        <w:t>及</w:t>
      </w:r>
      <w:r>
        <w:rPr>
          <w:rFonts w:hint="eastAsia" w:ascii="宋体" w:hAnsi="宋体" w:eastAsia="宋体" w:cs="宋体"/>
          <w:sz w:val="24"/>
          <w:szCs w:val="24"/>
          <w:highlight w:val="none"/>
        </w:rPr>
        <w:t>有效期限内，公司可循环滚动使用</w:t>
      </w:r>
      <w:r>
        <w:rPr>
          <w:rFonts w:hint="eastAsia" w:ascii="宋体" w:hAnsi="宋体" w:eastAsia="宋体" w:cs="宋体"/>
          <w:color w:val="000000"/>
          <w:sz w:val="24"/>
          <w:szCs w:val="24"/>
          <w:highlight w:val="none"/>
        </w:rPr>
        <w:t>，公</w:t>
      </w:r>
      <w:r>
        <w:rPr>
          <w:rFonts w:hint="eastAsia" w:ascii="宋体" w:hAnsi="宋体" w:eastAsia="宋体"/>
          <w:color w:val="000000"/>
          <w:sz w:val="24"/>
          <w:szCs w:val="24"/>
          <w:highlight w:val="none"/>
        </w:rPr>
        <w:t>司董事会授权总经理行使投资决策并签署相关合同文件</w:t>
      </w:r>
      <w:r>
        <w:rPr>
          <w:rFonts w:hint="eastAsia" w:ascii="宋体" w:hAnsi="宋体" w:eastAsia="宋体"/>
          <w:color w:val="000000"/>
          <w:sz w:val="24"/>
          <w:szCs w:val="24"/>
          <w:highlight w:val="none"/>
          <w:lang w:eastAsia="zh-CN"/>
        </w:rPr>
        <w:t>，</w:t>
      </w:r>
      <w:r>
        <w:rPr>
          <w:rFonts w:hint="eastAsia" w:ascii="宋体" w:hAnsi="宋体" w:eastAsia="宋体"/>
          <w:color w:val="000000"/>
          <w:sz w:val="24"/>
          <w:szCs w:val="24"/>
          <w:highlight w:val="none"/>
          <w:lang w:val="en-US" w:eastAsia="zh-CN"/>
        </w:rPr>
        <w:t>该议案无需提交公司股东会审议。</w:t>
      </w:r>
    </w:p>
    <w:p>
      <w:pPr>
        <w:keepNext/>
        <w:keepLines/>
        <w:widowControl/>
        <w:spacing w:before="156" w:beforeLines="50" w:after="156" w:afterLines="50" w:line="360" w:lineRule="auto"/>
        <w:ind w:firstLine="482" w:firstLineChars="200"/>
        <w:jc w:val="both"/>
        <w:outlineLvl w:val="0"/>
        <w:rPr>
          <w:rFonts w:ascii="Times New Roman" w:hAnsi="Times New Roman" w:eastAsia="宋体" w:cs="Times New Roman"/>
          <w:b/>
          <w:bCs/>
          <w:kern w:val="2"/>
          <w:sz w:val="24"/>
          <w:szCs w:val="28"/>
          <w:lang w:val="en-US" w:eastAsia="zh-CN" w:bidi="ar-SA"/>
          <w14:ligatures w14:val="none"/>
        </w:rPr>
      </w:pPr>
      <w:r>
        <w:rPr>
          <w:rFonts w:hint="eastAsia" w:ascii="Times New Roman" w:hAnsi="Times New Roman" w:eastAsia="宋体" w:cs="Times New Roman"/>
          <w:b/>
          <w:bCs/>
          <w:kern w:val="2"/>
          <w:sz w:val="24"/>
          <w:szCs w:val="28"/>
          <w:lang w:val="en-US" w:eastAsia="zh-CN" w:bidi="ar-SA"/>
          <w14:ligatures w14:val="none"/>
        </w:rPr>
        <w:t>一、募集资金基本情况</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经中国证券监督管理委员会《关于同意重庆望变电气（集团）股份有限公司向特定对象发行股票注册的批复》（证监许可〔2026〕18</w:t>
      </w:r>
      <w:r>
        <w:rPr>
          <w:rFonts w:hint="eastAsia" w:ascii="Times New Roman" w:hAnsi="Times New Roman" w:eastAsia="宋体" w:cs="Times New Roman"/>
          <w:sz w:val="24"/>
          <w:szCs w:val="22"/>
          <w:lang w:val="en-US" w:eastAsia="zh-CN"/>
          <w14:ligatures w14:val="standardContextual"/>
        </w:rPr>
        <w:t>3</w:t>
      </w:r>
      <w:bookmarkStart w:id="0" w:name="_GoBack"/>
      <w:bookmarkEnd w:id="0"/>
      <w:r>
        <w:rPr>
          <w:rFonts w:hint="eastAsia" w:ascii="Times New Roman" w:hAnsi="Times New Roman" w:eastAsia="宋体" w:cs="Times New Roman"/>
          <w:sz w:val="24"/>
          <w:szCs w:val="22"/>
          <w14:ligatures w14:val="standardContextual"/>
        </w:rPr>
        <w:t>4号）同意，重庆望变电气（集团）股份有限公司（以下简称“公司”）向特定对象发行A股股票19,493,177股，每股发行价格为人民币11.71元，募集资金总额人民币228,265,102.67元，扣除与发行有关的费用不含税人民币2,286,179.43元，实际募集资金净额为人民币225,978,923.24元（以下简称“本次发行”）。截至2026年8月20日，募集资金已足额划至公司本次发行募集资金专户。2026年8月20日，天健会计师事务所（特殊普通合伙）出具了《验资报告》（天健验〔2026〕8-12号）予以确认。</w:t>
      </w:r>
    </w:p>
    <w:p>
      <w:pPr>
        <w:keepNext/>
        <w:keepLines/>
        <w:widowControl/>
        <w:spacing w:before="156" w:beforeLines="50" w:after="156" w:afterLines="50" w:line="360" w:lineRule="auto"/>
        <w:ind w:firstLine="482" w:firstLineChars="200"/>
        <w:jc w:val="both"/>
        <w:outlineLvl w:val="0"/>
        <w:rPr>
          <w:rFonts w:ascii="Times New Roman" w:hAnsi="Times New Roman" w:eastAsia="宋体" w:cs="Times New Roman"/>
          <w:b/>
          <w:bCs/>
          <w:kern w:val="2"/>
          <w:sz w:val="24"/>
          <w:szCs w:val="28"/>
          <w:lang w:val="en-US" w:eastAsia="zh-CN" w:bidi="ar-SA"/>
          <w14:ligatures w14:val="none"/>
        </w:rPr>
      </w:pPr>
      <w:r>
        <w:rPr>
          <w:rFonts w:hint="eastAsia" w:ascii="Times New Roman" w:hAnsi="Times New Roman" w:eastAsia="宋体" w:cs="Times New Roman"/>
          <w:b/>
          <w:bCs/>
          <w:kern w:val="2"/>
          <w:sz w:val="24"/>
          <w:szCs w:val="28"/>
          <w:lang w:val="en-US" w:eastAsia="zh-CN" w:bidi="ar-SA"/>
          <w14:ligatures w14:val="none"/>
        </w:rPr>
        <w:t>二、募集资金管理情况</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为了规范募集资金的管理和使用，保护投资者权益，公司依照《中华人民共和国公司法》《中华人民共和国证券法》《上海证券交易所股票上市规则》《上海证券交易所上市公司自律监管指引第1号——规范运作》等法律法规，结合公司实际情况，制定了《重庆望变电气（集团）股份有限公司募集资金管理制度》（以下简称“《管理制度》”），该《管理制度》经公司</w:t>
      </w:r>
      <w:r>
        <w:rPr>
          <w:rFonts w:ascii="Times New Roman" w:hAnsi="Times New Roman" w:eastAsia="宋体" w:cs="Times New Roman"/>
          <w:sz w:val="24"/>
          <w:szCs w:val="22"/>
          <w14:ligatures w14:val="standardContextual"/>
        </w:rPr>
        <w:t>第四届董事会第十五次会议</w:t>
      </w:r>
      <w:r>
        <w:rPr>
          <w:rFonts w:hint="eastAsia" w:ascii="Times New Roman" w:hAnsi="Times New Roman" w:eastAsia="宋体" w:cs="Times New Roman"/>
          <w:sz w:val="24"/>
          <w:szCs w:val="22"/>
          <w14:ligatures w14:val="standardContextual"/>
        </w:rPr>
        <w:t>审议通过，并经公司</w:t>
      </w:r>
      <w:r>
        <w:rPr>
          <w:rFonts w:ascii="Times New Roman" w:hAnsi="Times New Roman" w:eastAsia="宋体" w:cs="Times New Roman"/>
          <w:sz w:val="24"/>
          <w:szCs w:val="22"/>
          <w14:ligatures w14:val="standardContextual"/>
        </w:rPr>
        <w:t>2025年第一次临时股东会</w:t>
      </w:r>
      <w:r>
        <w:rPr>
          <w:rFonts w:hint="eastAsia" w:ascii="Times New Roman" w:hAnsi="Times New Roman" w:eastAsia="宋体" w:cs="Times New Roman"/>
          <w:sz w:val="24"/>
          <w:szCs w:val="22"/>
          <w14:ligatures w14:val="standardContextual"/>
        </w:rPr>
        <w:t>表决通过。</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根据《管理制度》的要求，并结合公司经营需要，公司在招商银行股份有限公司重庆长寿支行（以下简称“开户银行”）开设</w:t>
      </w:r>
      <w:r>
        <w:rPr>
          <w:rFonts w:hint="eastAsia" w:ascii="Times New Roman" w:hAnsi="Times New Roman" w:eastAsia="宋体" w:cs="Times New Roman"/>
          <w:sz w:val="24"/>
          <w:szCs w:val="22"/>
          <w:lang w:eastAsia="zh-CN"/>
          <w14:ligatures w14:val="standardContextual"/>
        </w:rPr>
        <w:t>了</w:t>
      </w:r>
      <w:r>
        <w:rPr>
          <w:rFonts w:hint="eastAsia" w:ascii="Times New Roman" w:hAnsi="Times New Roman" w:eastAsia="宋体" w:cs="Times New Roman"/>
          <w:sz w:val="24"/>
          <w:szCs w:val="22"/>
          <w14:ligatures w14:val="standardContextual"/>
        </w:rPr>
        <w:t>募集资金专项账户。公司与开户银行、保荐人签署了募集资金三方监管协议，对本次发行募集资金的存放和使用情况进行监督。</w:t>
      </w:r>
    </w:p>
    <w:p>
      <w:pPr>
        <w:keepNext/>
        <w:keepLines/>
        <w:widowControl/>
        <w:spacing w:before="156" w:beforeLines="50" w:after="156" w:afterLines="50" w:line="360" w:lineRule="auto"/>
        <w:ind w:firstLine="482" w:firstLineChars="200"/>
        <w:jc w:val="both"/>
        <w:outlineLvl w:val="0"/>
        <w:rPr>
          <w:rFonts w:ascii="Times New Roman" w:hAnsi="Times New Roman" w:eastAsia="宋体" w:cs="Times New Roman"/>
          <w:b/>
          <w:bCs/>
          <w:kern w:val="2"/>
          <w:sz w:val="24"/>
          <w:szCs w:val="28"/>
          <w:lang w:val="en-US" w:eastAsia="zh-CN" w:bidi="ar-SA"/>
          <w14:ligatures w14:val="none"/>
        </w:rPr>
      </w:pPr>
      <w:r>
        <w:rPr>
          <w:rFonts w:hint="eastAsia" w:ascii="Times New Roman" w:hAnsi="Times New Roman" w:eastAsia="宋体" w:cs="Times New Roman"/>
          <w:b/>
          <w:bCs/>
          <w:kern w:val="2"/>
          <w:sz w:val="24"/>
          <w:szCs w:val="28"/>
          <w:lang w:val="en-US" w:eastAsia="zh-CN" w:bidi="ar-SA"/>
          <w14:ligatures w14:val="none"/>
        </w:rPr>
        <w:t>三、募集资金存储情况</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公司本次发行股票募集资金存储情况如下：</w:t>
      </w:r>
    </w:p>
    <w:p>
      <w:pPr>
        <w:spacing w:before="0" w:beforeLines="-2147483648" w:after="0" w:line="240" w:lineRule="auto"/>
        <w:ind w:firstLine="0" w:firstLineChars="0"/>
        <w:jc w:val="right"/>
        <w:rPr>
          <w:rFonts w:ascii="Times New Roman" w:hAnsi="Times New Roman" w:eastAsia="宋体" w:cs="Times New Roman"/>
          <w:sz w:val="21"/>
          <w:szCs w:val="21"/>
          <w14:ligatures w14:val="standardContextual"/>
        </w:rPr>
      </w:pPr>
      <w:r>
        <w:rPr>
          <w:rFonts w:hint="eastAsia" w:ascii="Times New Roman" w:hAnsi="Times New Roman" w:eastAsia="宋体" w:cs="Times New Roman"/>
          <w:sz w:val="21"/>
          <w:szCs w:val="21"/>
          <w14:ligatures w14:val="standardContextual"/>
        </w:rPr>
        <w:t>单位：元</w:t>
      </w:r>
    </w:p>
    <w:tbl>
      <w:tblPr>
        <w:tblStyle w:val="9"/>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559"/>
        <w:gridCol w:w="1445"/>
        <w:gridCol w:w="1692"/>
        <w:gridCol w:w="1617"/>
        <w:gridCol w:w="1243"/>
        <w:gridCol w:w="950"/>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tblHeader/>
          <w:jc w:val="center"/>
        </w:trPr>
        <w:tc>
          <w:tcPr>
            <w:tcW w:w="916" w:type="pct"/>
            <w:shd w:val="clear" w:color="auto" w:fill="FFFFFF"/>
            <w:tcMar>
              <w:top w:w="100" w:type="dxa"/>
              <w:left w:w="100" w:type="dxa"/>
              <w:bottom w:w="100" w:type="dxa"/>
              <w:right w:w="100" w:type="dxa"/>
            </w:tcMar>
            <w:vAlign w:val="center"/>
          </w:tcPr>
          <w:p>
            <w:pPr>
              <w:widowControl/>
              <w:wordWrap/>
              <w:spacing w:after="0" w:line="240" w:lineRule="auto"/>
              <w:jc w:val="center"/>
              <w:rPr>
                <w:rFonts w:ascii="Times New Roman" w:hAnsi="Times New Roman" w:eastAsia="宋体" w:cs="宋体"/>
                <w:b/>
                <w:bCs/>
                <w:color w:val="000000"/>
                <w:sz w:val="21"/>
                <w:szCs w:val="21"/>
                <w14:ligatures w14:val="standardContextual"/>
              </w:rPr>
            </w:pPr>
            <w:r>
              <w:rPr>
                <w:rFonts w:hint="eastAsia" w:ascii="Times New Roman" w:hAnsi="Times New Roman" w:eastAsia="宋体" w:cs="宋体"/>
                <w:b/>
                <w:bCs/>
                <w:color w:val="000000"/>
                <w:kern w:val="0"/>
                <w:sz w:val="21"/>
                <w:szCs w:val="21"/>
                <w:lang w:bidi="ar"/>
                <w14:ligatures w14:val="standardContextual"/>
              </w:rPr>
              <w:t>账户名称</w:t>
            </w:r>
          </w:p>
        </w:tc>
        <w:tc>
          <w:tcPr>
            <w:tcW w:w="849"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宋体"/>
                <w:b/>
                <w:bCs/>
                <w:color w:val="000000"/>
                <w:sz w:val="21"/>
                <w:szCs w:val="21"/>
                <w14:ligatures w14:val="standardContextual"/>
              </w:rPr>
            </w:pPr>
            <w:r>
              <w:rPr>
                <w:rFonts w:hint="eastAsia" w:ascii="Times New Roman" w:hAnsi="Times New Roman" w:eastAsia="宋体" w:cs="宋体"/>
                <w:b/>
                <w:bCs/>
                <w:color w:val="000000"/>
                <w:kern w:val="0"/>
                <w:sz w:val="21"/>
                <w:szCs w:val="21"/>
                <w:lang w:bidi="ar"/>
                <w14:ligatures w14:val="standardContextual"/>
              </w:rPr>
              <w:t>开户行名称</w:t>
            </w:r>
          </w:p>
        </w:tc>
        <w:tc>
          <w:tcPr>
            <w:tcW w:w="994"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宋体"/>
                <w:b/>
                <w:bCs/>
                <w:color w:val="000000"/>
                <w:sz w:val="21"/>
                <w:szCs w:val="21"/>
                <w14:ligatures w14:val="standardContextual"/>
              </w:rPr>
            </w:pPr>
            <w:r>
              <w:rPr>
                <w:rFonts w:hint="eastAsia" w:ascii="Times New Roman" w:hAnsi="Times New Roman" w:eastAsia="宋体" w:cs="宋体"/>
                <w:b/>
                <w:bCs/>
                <w:color w:val="000000"/>
                <w:kern w:val="0"/>
                <w:sz w:val="21"/>
                <w:szCs w:val="21"/>
                <w:lang w:bidi="ar"/>
                <w14:ligatures w14:val="standardContextual"/>
              </w:rPr>
              <w:t>银行账号</w:t>
            </w:r>
          </w:p>
        </w:tc>
        <w:tc>
          <w:tcPr>
            <w:tcW w:w="950"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宋体"/>
                <w:b/>
                <w:bCs/>
                <w:color w:val="000000"/>
                <w:sz w:val="21"/>
                <w:szCs w:val="21"/>
                <w14:ligatures w14:val="standardContextual"/>
              </w:rPr>
            </w:pPr>
            <w:r>
              <w:rPr>
                <w:rFonts w:hint="eastAsia" w:ascii="Times New Roman" w:hAnsi="Times New Roman" w:eastAsia="宋体" w:cs="宋体"/>
                <w:b/>
                <w:bCs/>
                <w:color w:val="000000"/>
                <w:kern w:val="0"/>
                <w:sz w:val="21"/>
                <w:szCs w:val="21"/>
                <w:lang w:bidi="ar"/>
                <w14:ligatures w14:val="standardContextual"/>
              </w:rPr>
              <w:t>存储金额</w:t>
            </w:r>
          </w:p>
        </w:tc>
        <w:tc>
          <w:tcPr>
            <w:tcW w:w="730"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宋体"/>
                <w:b/>
                <w:bCs/>
                <w:color w:val="000000"/>
                <w:sz w:val="21"/>
                <w:szCs w:val="21"/>
                <w14:ligatures w14:val="standardContextual"/>
              </w:rPr>
            </w:pPr>
            <w:r>
              <w:rPr>
                <w:rFonts w:ascii="Times New Roman" w:hAnsi="Times New Roman" w:eastAsia="宋体" w:cs="Times New Roman"/>
                <w:b/>
                <w:bCs/>
                <w:kern w:val="0"/>
                <w:sz w:val="21"/>
                <w:szCs w:val="21"/>
                <w14:ligatures w14:val="standardContextual"/>
              </w:rPr>
              <w:t>存储方式</w:t>
            </w:r>
          </w:p>
        </w:tc>
        <w:tc>
          <w:tcPr>
            <w:tcW w:w="558"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Times New Roman"/>
                <w:b/>
                <w:bCs/>
                <w:kern w:val="0"/>
                <w:sz w:val="21"/>
                <w:szCs w:val="21"/>
                <w14:ligatures w14:val="standardContextual"/>
              </w:rPr>
            </w:pPr>
            <w:r>
              <w:rPr>
                <w:rFonts w:hint="eastAsia" w:ascii="Times New Roman" w:hAnsi="Times New Roman" w:eastAsia="宋体" w:cs="Times New Roman"/>
                <w:b/>
                <w:bCs/>
                <w:kern w:val="0"/>
                <w:sz w:val="21"/>
                <w:szCs w:val="21"/>
                <w14:ligatures w14:val="standardContextual"/>
              </w:rPr>
              <w:t>用途</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916"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宋体"/>
                <w:color w:val="000000"/>
                <w:sz w:val="21"/>
                <w:szCs w:val="21"/>
                <w14:ligatures w14:val="standardContextual"/>
              </w:rPr>
            </w:pPr>
            <w:r>
              <w:rPr>
                <w:rFonts w:hint="eastAsia" w:ascii="Times New Roman" w:hAnsi="Times New Roman" w:eastAsia="宋体" w:cs="宋体"/>
                <w:color w:val="000000"/>
                <w:kern w:val="0"/>
                <w:sz w:val="21"/>
                <w:szCs w:val="21"/>
                <w:lang w:bidi="ar"/>
                <w14:ligatures w14:val="standardContextual"/>
              </w:rPr>
              <w:t>重庆望变电气（集团）股份有限公司</w:t>
            </w:r>
          </w:p>
        </w:tc>
        <w:tc>
          <w:tcPr>
            <w:tcW w:w="849"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宋体"/>
                <w:color w:val="000000"/>
                <w:sz w:val="21"/>
                <w:szCs w:val="21"/>
                <w14:ligatures w14:val="standardContextual"/>
              </w:rPr>
            </w:pPr>
            <w:r>
              <w:rPr>
                <w:rFonts w:hint="eastAsia" w:ascii="Times New Roman" w:hAnsi="Times New Roman" w:eastAsia="宋体" w:cs="宋体"/>
                <w:color w:val="000000"/>
                <w:kern w:val="0"/>
                <w:sz w:val="21"/>
                <w:szCs w:val="21"/>
                <w:lang w:bidi="ar"/>
                <w14:ligatures w14:val="standardContextual"/>
              </w:rPr>
              <w:t>招商银行股份有限公司重庆长寿支行</w:t>
            </w:r>
          </w:p>
        </w:tc>
        <w:tc>
          <w:tcPr>
            <w:tcW w:w="994"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Times New Roman Regular"/>
                <w:color w:val="000000"/>
                <w:sz w:val="21"/>
                <w:szCs w:val="21"/>
                <w14:ligatures w14:val="standardContextual"/>
              </w:rPr>
            </w:pPr>
            <w:r>
              <w:rPr>
                <w:rFonts w:ascii="Times New Roman" w:hAnsi="Times New Roman" w:eastAsia="宋体" w:cs="Times New Roman Regular"/>
                <w:color w:val="000000"/>
                <w:kern w:val="0"/>
                <w:sz w:val="21"/>
                <w:szCs w:val="21"/>
                <w:lang w:bidi="ar"/>
                <w14:ligatures w14:val="standardContextual"/>
              </w:rPr>
              <w:t>123905910610008</w:t>
            </w:r>
          </w:p>
        </w:tc>
        <w:tc>
          <w:tcPr>
            <w:tcW w:w="950"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Times New Roman Regular"/>
                <w:color w:val="000000"/>
                <w:sz w:val="21"/>
                <w:szCs w:val="21"/>
                <w14:ligatures w14:val="standardContextual"/>
              </w:rPr>
            </w:pPr>
            <w:r>
              <w:rPr>
                <w:rFonts w:hint="eastAsia" w:ascii="Times New Roman" w:hAnsi="Times New Roman" w:eastAsia="宋体" w:cs="Times New Roman Regular"/>
                <w:color w:val="000000"/>
                <w:kern w:val="0"/>
                <w:sz w:val="21"/>
                <w:szCs w:val="21"/>
                <w:lang w:bidi="ar"/>
                <w14:ligatures w14:val="standardContextual"/>
              </w:rPr>
              <w:t>227,038,687.58</w:t>
            </w:r>
          </w:p>
        </w:tc>
        <w:tc>
          <w:tcPr>
            <w:tcW w:w="730"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宋体"/>
                <w:color w:val="000000"/>
                <w:sz w:val="21"/>
                <w:szCs w:val="21"/>
                <w14:ligatures w14:val="standardContextual"/>
              </w:rPr>
            </w:pPr>
            <w:r>
              <w:rPr>
                <w:rFonts w:hint="eastAsia" w:ascii="Times New Roman" w:hAnsi="Times New Roman" w:eastAsia="宋体" w:cs="Times New Roman"/>
                <w:kern w:val="0"/>
                <w:sz w:val="21"/>
                <w:szCs w:val="21"/>
                <w14:ligatures w14:val="standardContextual"/>
              </w:rPr>
              <w:t>活期存款/活期协议存款</w:t>
            </w:r>
          </w:p>
        </w:tc>
        <w:tc>
          <w:tcPr>
            <w:tcW w:w="558" w:type="pct"/>
            <w:shd w:val="clear" w:color="auto" w:fill="FFFFFF"/>
            <w:tcMar>
              <w:top w:w="100" w:type="dxa"/>
              <w:left w:w="100" w:type="dxa"/>
              <w:bottom w:w="100" w:type="dxa"/>
              <w:right w:w="100" w:type="dxa"/>
            </w:tcMar>
            <w:vAlign w:val="center"/>
          </w:tcPr>
          <w:p>
            <w:pPr>
              <w:widowControl/>
              <w:wordWrap w:val="0"/>
              <w:spacing w:after="0" w:line="240" w:lineRule="auto"/>
              <w:jc w:val="center"/>
              <w:rPr>
                <w:rFonts w:ascii="Times New Roman" w:hAnsi="Times New Roman" w:eastAsia="宋体" w:cs="Times New Roman"/>
                <w:kern w:val="0"/>
                <w:sz w:val="21"/>
                <w:szCs w:val="21"/>
                <w14:ligatures w14:val="standardContextual"/>
              </w:rPr>
            </w:pPr>
            <w:r>
              <w:rPr>
                <w:rFonts w:hint="eastAsia" w:ascii="Times New Roman" w:hAnsi="Times New Roman" w:eastAsia="宋体" w:cs="Times New Roman"/>
                <w:kern w:val="0"/>
                <w:sz w:val="21"/>
                <w:szCs w:val="21"/>
                <w14:ligatures w14:val="standardContextual"/>
              </w:rPr>
              <w:t>补充流动资金</w:t>
            </w:r>
          </w:p>
        </w:tc>
      </w:tr>
    </w:tbl>
    <w:p>
      <w:pPr>
        <w:keepNext/>
        <w:keepLines/>
        <w:widowControl/>
        <w:spacing w:before="156" w:beforeLines="50" w:after="156" w:afterLines="50" w:line="360" w:lineRule="auto"/>
        <w:ind w:firstLine="482" w:firstLineChars="200"/>
        <w:jc w:val="both"/>
        <w:outlineLvl w:val="0"/>
        <w:rPr>
          <w:rFonts w:ascii="Times New Roman" w:hAnsi="Times New Roman" w:eastAsia="宋体" w:cs="Times New Roman"/>
          <w:b/>
          <w:bCs/>
          <w:kern w:val="2"/>
          <w:sz w:val="24"/>
          <w:szCs w:val="28"/>
          <w:lang w:val="en-US" w:eastAsia="zh-CN" w:bidi="ar-SA"/>
          <w14:ligatures w14:val="none"/>
        </w:rPr>
      </w:pPr>
      <w:r>
        <w:rPr>
          <w:rFonts w:hint="eastAsia" w:ascii="Times New Roman" w:hAnsi="Times New Roman" w:eastAsia="宋体" w:cs="Times New Roman"/>
          <w:b/>
          <w:bCs/>
          <w:kern w:val="2"/>
          <w:sz w:val="24"/>
          <w:szCs w:val="28"/>
          <w:lang w:val="en-US" w:eastAsia="zh-CN" w:bidi="ar-SA"/>
          <w14:ligatures w14:val="none"/>
        </w:rPr>
        <w:t>四、本次使用暂时闲置募集资金进行现金管理的基本情况</w:t>
      </w:r>
    </w:p>
    <w:p>
      <w:pPr>
        <w:keepNext/>
        <w:spacing w:before="156" w:beforeLines="50" w:after="156" w:afterLines="50" w:line="360" w:lineRule="auto"/>
        <w:ind w:firstLine="482" w:firstLineChars="200"/>
        <w:jc w:val="both"/>
        <w:rPr>
          <w:rFonts w:ascii="Times New Roman" w:hAnsi="Times New Roman" w:eastAsia="宋体" w:cs="Times New Roman"/>
          <w:b/>
          <w:bCs/>
          <w:sz w:val="24"/>
          <w:szCs w:val="22"/>
          <w14:ligatures w14:val="standardContextual"/>
        </w:rPr>
      </w:pPr>
      <w:r>
        <w:rPr>
          <w:rFonts w:hint="eastAsia" w:ascii="Times New Roman" w:hAnsi="Times New Roman" w:eastAsia="宋体" w:cs="Times New Roman"/>
          <w:b/>
          <w:bCs/>
          <w:sz w:val="24"/>
          <w:szCs w:val="22"/>
          <w14:ligatures w14:val="standardContextual"/>
        </w:rPr>
        <w:t>（一）投资目的</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由于补充流动资金需要一定周期，公司的募集资金存在暂时闲置的情形。为提高公司闲置募集资金使用效率，在确保日常经营资金需求和资金安全的前提下，公司拟利用闲置募集资金进行现金管理，以增加公司资金收益。</w:t>
      </w:r>
    </w:p>
    <w:p>
      <w:pPr>
        <w:keepNext/>
        <w:spacing w:before="156" w:beforeLines="50" w:after="156" w:afterLines="50" w:line="360" w:lineRule="auto"/>
        <w:ind w:firstLine="482" w:firstLineChars="200"/>
        <w:jc w:val="both"/>
        <w:rPr>
          <w:rFonts w:ascii="Times New Roman" w:hAnsi="Times New Roman" w:eastAsia="宋体" w:cs="Times New Roman"/>
          <w:b/>
          <w:bCs/>
          <w:sz w:val="24"/>
          <w:szCs w:val="22"/>
          <w14:ligatures w14:val="standardContextual"/>
        </w:rPr>
      </w:pPr>
      <w:r>
        <w:rPr>
          <w:rFonts w:hint="eastAsia" w:ascii="Times New Roman" w:hAnsi="Times New Roman" w:eastAsia="宋体" w:cs="Times New Roman"/>
          <w:b/>
          <w:bCs/>
          <w:sz w:val="24"/>
          <w:szCs w:val="22"/>
          <w14:ligatures w14:val="standardContextual"/>
        </w:rPr>
        <w:t>（二）资金来源及额度</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公司拟使用合计最高额不超过22,703.87万元的暂时闲置募集资金进行现金管理，并于到期后归还至募集资金专用账户。</w:t>
      </w:r>
    </w:p>
    <w:p>
      <w:pPr>
        <w:keepNext/>
        <w:spacing w:before="156" w:beforeLines="50" w:after="156" w:afterLines="50" w:line="360" w:lineRule="auto"/>
        <w:ind w:firstLine="482" w:firstLineChars="200"/>
        <w:jc w:val="both"/>
        <w:rPr>
          <w:rFonts w:ascii="Times New Roman" w:hAnsi="Times New Roman" w:eastAsia="宋体" w:cs="Times New Roman"/>
          <w:b/>
          <w:bCs/>
          <w:sz w:val="24"/>
          <w:szCs w:val="22"/>
          <w14:ligatures w14:val="standardContextual"/>
        </w:rPr>
      </w:pPr>
      <w:r>
        <w:rPr>
          <w:rFonts w:hint="eastAsia" w:ascii="Times New Roman" w:hAnsi="Times New Roman" w:eastAsia="宋体" w:cs="Times New Roman"/>
          <w:b/>
          <w:bCs/>
          <w:sz w:val="24"/>
          <w:szCs w:val="22"/>
          <w14:ligatures w14:val="standardContextual"/>
        </w:rPr>
        <w:t>（三）投资范围</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为控制风险，公司拟使用暂时闲置募集资金购买安全性高、流动性好、具有合法经营资格的金融机构销售的投资产品（包括协定存款、定期存款、通知存款、大额存单、结构性存款、收益凭证等）。投资产品不得用于质押，公司不得使用上述资金从事以证券投资为目的的投资行为。</w:t>
      </w:r>
    </w:p>
    <w:p>
      <w:pPr>
        <w:keepNext/>
        <w:spacing w:before="156" w:beforeLines="50" w:after="156" w:afterLines="50" w:line="360" w:lineRule="auto"/>
        <w:ind w:firstLine="482" w:firstLineChars="200"/>
        <w:jc w:val="both"/>
        <w:rPr>
          <w:rFonts w:ascii="Times New Roman" w:hAnsi="Times New Roman" w:eastAsia="宋体" w:cs="Times New Roman"/>
          <w:b/>
          <w:bCs/>
          <w:sz w:val="24"/>
          <w:szCs w:val="22"/>
          <w14:ligatures w14:val="standardContextual"/>
        </w:rPr>
      </w:pPr>
      <w:r>
        <w:rPr>
          <w:rFonts w:hint="eastAsia" w:ascii="Times New Roman" w:hAnsi="Times New Roman" w:eastAsia="宋体" w:cs="Times New Roman"/>
          <w:b/>
          <w:bCs/>
          <w:sz w:val="24"/>
          <w:szCs w:val="22"/>
          <w14:ligatures w14:val="standardContextual"/>
        </w:rPr>
        <w:t>（四）投资期限</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自2026年8月25日至2026年12月31日止，上述额度在有效期限内，公司可循环滚动使用。</w:t>
      </w:r>
    </w:p>
    <w:p>
      <w:pPr>
        <w:keepNext/>
        <w:spacing w:before="156" w:beforeLines="50" w:after="156" w:afterLines="50" w:line="360" w:lineRule="auto"/>
        <w:ind w:firstLine="482" w:firstLineChars="200"/>
        <w:jc w:val="both"/>
        <w:rPr>
          <w:rFonts w:ascii="Times New Roman" w:hAnsi="Times New Roman" w:eastAsia="宋体" w:cs="Times New Roman"/>
          <w:b/>
          <w:bCs/>
          <w:sz w:val="24"/>
          <w:szCs w:val="22"/>
          <w14:ligatures w14:val="standardContextual"/>
        </w:rPr>
      </w:pPr>
      <w:r>
        <w:rPr>
          <w:rFonts w:hint="eastAsia" w:ascii="Times New Roman" w:hAnsi="Times New Roman" w:eastAsia="宋体" w:cs="Times New Roman"/>
          <w:b/>
          <w:bCs/>
          <w:sz w:val="24"/>
          <w:szCs w:val="22"/>
          <w14:ligatures w14:val="standardContextual"/>
        </w:rPr>
        <w:t>（五）实施方式</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在上述投资额度和期限范围内，授权总经理行使投资决策并签署相关合同文件，包括但不限于：选择合格的金融机构、投资产品品种、明确投资金额、投资期限、签署合同或协议等。公司财务部门负责具体组织实施，并建立投资台账。</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公司购买的现金管理产品不得用于质押，产品专用结算账户不得存放非募集资金或用作其他用途。</w:t>
      </w:r>
    </w:p>
    <w:p>
      <w:pPr>
        <w:keepNext/>
        <w:spacing w:before="156" w:beforeLines="50" w:after="156" w:afterLines="50" w:line="360" w:lineRule="auto"/>
        <w:ind w:firstLine="482" w:firstLineChars="200"/>
        <w:jc w:val="both"/>
        <w:rPr>
          <w:rFonts w:ascii="Times New Roman" w:hAnsi="Times New Roman" w:eastAsia="宋体" w:cs="Times New Roman"/>
          <w:b/>
          <w:bCs/>
          <w:sz w:val="24"/>
          <w:szCs w:val="22"/>
          <w14:ligatures w14:val="standardContextual"/>
        </w:rPr>
      </w:pPr>
      <w:r>
        <w:rPr>
          <w:rFonts w:hint="eastAsia" w:ascii="Times New Roman" w:hAnsi="Times New Roman" w:eastAsia="宋体" w:cs="Times New Roman"/>
          <w:b/>
          <w:bCs/>
          <w:sz w:val="24"/>
          <w:szCs w:val="22"/>
          <w14:ligatures w14:val="standardContextual"/>
        </w:rPr>
        <w:t>（六）信息披露</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公司将根据《上海证券交易所股票上市规则》</w:t>
      </w:r>
      <w:r>
        <w:rPr>
          <w:rFonts w:ascii="Times New Roman" w:hAnsi="Times New Roman" w:eastAsia="宋体" w:cs="Times New Roman"/>
          <w:sz w:val="24"/>
          <w:szCs w:val="22"/>
          <w14:ligatures w14:val="standardContextual"/>
        </w:rPr>
        <w:t>《上市公司募集资金监管规则》</w:t>
      </w:r>
      <w:r>
        <w:rPr>
          <w:rFonts w:hint="eastAsia" w:ascii="Times New Roman" w:hAnsi="Times New Roman" w:eastAsia="宋体" w:cs="Times New Roman"/>
          <w:sz w:val="24"/>
          <w:szCs w:val="22"/>
          <w14:ligatures w14:val="standardContextual"/>
        </w:rPr>
        <w:t>等相关法规和规范性文件的要求，及时履行信息披露义务。</w:t>
      </w:r>
    </w:p>
    <w:p>
      <w:pPr>
        <w:keepNext/>
        <w:spacing w:before="156" w:beforeLines="50" w:after="156" w:afterLines="50" w:line="360" w:lineRule="auto"/>
        <w:ind w:firstLine="482" w:firstLineChars="200"/>
        <w:jc w:val="both"/>
        <w:rPr>
          <w:rFonts w:ascii="Times New Roman" w:hAnsi="Times New Roman" w:eastAsia="宋体" w:cs="Times New Roman"/>
          <w:b/>
          <w:bCs/>
          <w:sz w:val="24"/>
          <w:szCs w:val="22"/>
          <w14:ligatures w14:val="standardContextual"/>
        </w:rPr>
      </w:pPr>
      <w:r>
        <w:rPr>
          <w:rFonts w:hint="eastAsia" w:ascii="Times New Roman" w:hAnsi="Times New Roman" w:eastAsia="宋体" w:cs="Times New Roman"/>
          <w:b/>
          <w:bCs/>
          <w:sz w:val="24"/>
          <w:szCs w:val="22"/>
          <w14:ligatures w14:val="standardContextual"/>
        </w:rPr>
        <w:t>（七）关联关系说明</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公司与拟购买的现金管理产品的发行主体不得存在关联关系。</w:t>
      </w:r>
    </w:p>
    <w:p>
      <w:pPr>
        <w:keepNext/>
        <w:keepLines/>
        <w:widowControl/>
        <w:spacing w:before="156" w:beforeLines="50" w:after="156" w:afterLines="50" w:line="360" w:lineRule="auto"/>
        <w:ind w:firstLine="482" w:firstLineChars="200"/>
        <w:jc w:val="both"/>
        <w:outlineLvl w:val="0"/>
        <w:rPr>
          <w:rFonts w:ascii="Times New Roman" w:hAnsi="Times New Roman" w:eastAsia="宋体" w:cs="Times New Roman"/>
          <w:b/>
          <w:bCs/>
          <w:kern w:val="2"/>
          <w:sz w:val="24"/>
          <w:szCs w:val="28"/>
          <w:lang w:val="en-US" w:eastAsia="zh-CN" w:bidi="ar-SA"/>
          <w14:ligatures w14:val="none"/>
        </w:rPr>
      </w:pPr>
      <w:r>
        <w:rPr>
          <w:rFonts w:hint="eastAsia" w:ascii="Times New Roman" w:hAnsi="Times New Roman" w:eastAsia="宋体" w:cs="Times New Roman"/>
          <w:b/>
          <w:bCs/>
          <w:kern w:val="2"/>
          <w:sz w:val="24"/>
          <w:szCs w:val="28"/>
          <w:lang w:val="en-US" w:eastAsia="zh-CN" w:bidi="ar-SA"/>
          <w14:ligatures w14:val="none"/>
        </w:rPr>
        <w:t>五、对上市公司的影响</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公司本次拟使用暂时闲置募集资金进行现金管理是根据公司经营发展和财务状况，在确保公司募集资金安全的前提下进行的，履行了必要的法定程序，有助于提高募集资金使用效率，不影响公司主营业务的正常发展，不影响募集资金项目的正常进行，不存在变相改变募集资金用途的行为。</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公司使用部分暂时闲置募集资金进行现金管理有利于提高资金使用效率，能够为公司和股东谋取良好的投资回报。</w:t>
      </w:r>
    </w:p>
    <w:p>
      <w:pPr>
        <w:keepNext/>
        <w:keepLines/>
        <w:widowControl/>
        <w:spacing w:before="156" w:beforeLines="50" w:after="156" w:afterLines="50" w:line="360" w:lineRule="auto"/>
        <w:ind w:firstLine="482" w:firstLineChars="200"/>
        <w:jc w:val="both"/>
        <w:outlineLvl w:val="0"/>
        <w:rPr>
          <w:rFonts w:ascii="Times New Roman" w:hAnsi="Times New Roman" w:eastAsia="宋体" w:cs="Times New Roman"/>
          <w:b/>
          <w:bCs/>
          <w:kern w:val="2"/>
          <w:sz w:val="24"/>
          <w:szCs w:val="28"/>
          <w:lang w:val="en-US" w:eastAsia="zh-CN" w:bidi="ar-SA"/>
          <w14:ligatures w14:val="none"/>
        </w:rPr>
      </w:pPr>
      <w:r>
        <w:rPr>
          <w:rFonts w:hint="eastAsia" w:ascii="Times New Roman" w:hAnsi="Times New Roman" w:eastAsia="宋体" w:cs="Times New Roman"/>
          <w:b/>
          <w:bCs/>
          <w:kern w:val="2"/>
          <w:sz w:val="24"/>
          <w:szCs w:val="28"/>
          <w:lang w:val="en-US" w:eastAsia="zh-CN" w:bidi="ar-SA"/>
          <w14:ligatures w14:val="none"/>
        </w:rPr>
        <w:t>六、风险控制措施</w:t>
      </w:r>
    </w:p>
    <w:p>
      <w:pPr>
        <w:keepNext/>
        <w:spacing w:before="156" w:beforeLines="50" w:after="156" w:afterLines="50" w:line="360" w:lineRule="auto"/>
        <w:ind w:firstLine="482" w:firstLineChars="200"/>
        <w:jc w:val="both"/>
        <w:rPr>
          <w:rFonts w:ascii="Times New Roman" w:hAnsi="Times New Roman" w:eastAsia="宋体" w:cs="Times New Roman"/>
          <w:b/>
          <w:bCs/>
          <w:sz w:val="24"/>
          <w:szCs w:val="22"/>
          <w14:ligatures w14:val="standardContextual"/>
        </w:rPr>
      </w:pPr>
      <w:r>
        <w:rPr>
          <w:rFonts w:hint="eastAsia" w:ascii="Times New Roman" w:hAnsi="Times New Roman" w:eastAsia="宋体" w:cs="Times New Roman"/>
          <w:b/>
          <w:bCs/>
          <w:sz w:val="24"/>
          <w:szCs w:val="22"/>
          <w14:ligatures w14:val="standardContextual"/>
        </w:rPr>
        <w:t>（一）投资风险</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尽管公司拟投资安全性高、流动性好的现金管理产品，总体风险可控，但该类产品受货币政策等宏观经济政策的影响较大，公司将根据经济形势以及金融市场的变化适时适量介入，但不排除该项投资收益受到市场波动的影响，存在一定的系统性风险。</w:t>
      </w:r>
    </w:p>
    <w:p>
      <w:pPr>
        <w:keepNext/>
        <w:spacing w:before="156" w:beforeLines="50" w:after="156" w:afterLines="50" w:line="360" w:lineRule="auto"/>
        <w:ind w:firstLine="482" w:firstLineChars="200"/>
        <w:jc w:val="both"/>
        <w:rPr>
          <w:rFonts w:ascii="Times New Roman" w:hAnsi="Times New Roman" w:eastAsia="宋体" w:cs="Times New Roman"/>
          <w:b/>
          <w:bCs/>
          <w:sz w:val="24"/>
          <w:szCs w:val="22"/>
          <w14:ligatures w14:val="standardContextual"/>
        </w:rPr>
      </w:pPr>
      <w:r>
        <w:rPr>
          <w:rFonts w:hint="eastAsia" w:ascii="Times New Roman" w:hAnsi="Times New Roman" w:eastAsia="宋体" w:cs="Times New Roman"/>
          <w:b/>
          <w:bCs/>
          <w:sz w:val="24"/>
          <w:szCs w:val="22"/>
          <w14:ligatures w14:val="standardContextual"/>
        </w:rPr>
        <w:t>（二）风险控制措施</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公司按照决策、执行、监督职能相分离的原则建立健全现金管理的审批和执行程序，确保购买事宜的有效开展和规范运行，确保资金安全。拟采取的具体措施如下：</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1、公司财务部门相关人员将及时分析和跟踪所投资产品的投向、项目进展情况，如评估发现存在可能影响公司资金安全的风险因素，将及时采取相应的措施，控制投资风险。</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2、公司审计部门负责对资金的使用与保管情况进行审计与监督。</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3、独立董事、董事会审计委员会有权对资金使用情况进行监督与检查，必要时可以聘请专业机构进行审计。</w:t>
      </w:r>
    </w:p>
    <w:p>
      <w:pPr>
        <w:spacing w:before="156" w:beforeLines="50" w:after="160" w:line="360" w:lineRule="auto"/>
        <w:ind w:firstLine="480" w:firstLineChars="200"/>
        <w:jc w:val="both"/>
        <w:rPr>
          <w:rFonts w:ascii="Times New Roman" w:hAnsi="Times New Roman" w:eastAsia="宋体" w:cs="Times New Roman"/>
          <w:sz w:val="24"/>
          <w:szCs w:val="22"/>
          <w14:ligatures w14:val="standardContextual"/>
        </w:rPr>
      </w:pPr>
      <w:r>
        <w:rPr>
          <w:rFonts w:hint="eastAsia" w:ascii="Times New Roman" w:hAnsi="Times New Roman" w:eastAsia="宋体" w:cs="Times New Roman"/>
          <w:sz w:val="24"/>
          <w:szCs w:val="22"/>
          <w14:ligatures w14:val="standardContextual"/>
        </w:rPr>
        <w:t>4、公司财务部门必须建立台账对购买的现金管理产品进行管理，建立健全会计账目，做好资金使用的账务核算工作。</w:t>
      </w:r>
    </w:p>
    <w:p>
      <w:pPr>
        <w:pStyle w:val="2"/>
        <w:ind w:firstLine="480" w:firstLineChars="200"/>
        <w:rPr>
          <w:rFonts w:hAnsi="宋体"/>
        </w:rPr>
      </w:pPr>
      <w:r>
        <w:rPr>
          <w:rFonts w:hint="eastAsia" w:ascii="Times New Roman" w:hAnsi="Times New Roman" w:eastAsia="宋体" w:cs="Times New Roman"/>
          <w:sz w:val="24"/>
          <w:szCs w:val="22"/>
          <w14:ligatures w14:val="standardContextual"/>
        </w:rPr>
        <w:t>5、公司将依据上海证券交易所的相关规定，履行信息披露义务。</w:t>
      </w:r>
    </w:p>
    <w:p>
      <w:pPr>
        <w:pStyle w:val="2"/>
        <w:rPr>
          <w:rFonts w:hAnsi="宋体"/>
        </w:rPr>
      </w:pPr>
    </w:p>
    <w:p>
      <w:pPr>
        <w:adjustRightInd w:val="0"/>
        <w:snapToGrid w:val="0"/>
        <w:spacing w:line="360" w:lineRule="auto"/>
        <w:ind w:firstLine="482" w:firstLineChars="200"/>
        <w:outlineLvl w:val="0"/>
        <w:rPr>
          <w:rFonts w:ascii="宋体" w:hAnsi="宋体" w:eastAsia="宋体"/>
          <w:b/>
          <w:sz w:val="24"/>
          <w:szCs w:val="24"/>
        </w:rPr>
      </w:pPr>
      <w:r>
        <w:rPr>
          <w:rFonts w:hint="eastAsia" w:ascii="宋体" w:hAnsi="宋体" w:eastAsia="宋体"/>
          <w:b/>
          <w:sz w:val="24"/>
          <w:szCs w:val="24"/>
        </w:rPr>
        <w:t>七、专项意见说明</w:t>
      </w:r>
    </w:p>
    <w:p>
      <w:pPr>
        <w:adjustRightInd w:val="0"/>
        <w:snapToGrid w:val="0"/>
        <w:spacing w:line="360" w:lineRule="auto"/>
        <w:ind w:firstLine="480" w:firstLineChars="200"/>
        <w:outlineLvl w:val="1"/>
        <w:rPr>
          <w:rFonts w:ascii="宋体" w:hAnsi="宋体" w:eastAsia="宋体"/>
          <w:sz w:val="24"/>
          <w:szCs w:val="24"/>
        </w:rPr>
      </w:pPr>
      <w:r>
        <w:rPr>
          <w:rFonts w:hint="eastAsia" w:ascii="宋体" w:hAnsi="宋体" w:eastAsia="宋体"/>
          <w:sz w:val="24"/>
          <w:szCs w:val="24"/>
        </w:rPr>
        <w:t>（一）</w:t>
      </w:r>
      <w:r>
        <w:rPr>
          <w:rFonts w:hint="eastAsia" w:ascii="宋体" w:hAnsi="宋体" w:eastAsia="宋体"/>
          <w:sz w:val="24"/>
          <w:szCs w:val="24"/>
          <w:lang w:val="en-US" w:eastAsia="zh-CN"/>
        </w:rPr>
        <w:t>董事会审计委员会</w:t>
      </w:r>
      <w:r>
        <w:rPr>
          <w:rFonts w:hint="eastAsia" w:ascii="宋体" w:hAnsi="宋体" w:eastAsia="宋体"/>
          <w:sz w:val="24"/>
          <w:szCs w:val="24"/>
        </w:rPr>
        <w:t>意见</w:t>
      </w:r>
    </w:p>
    <w:p>
      <w:pPr>
        <w:adjustRightInd w:val="0"/>
        <w:snapToGrid w:val="0"/>
        <w:spacing w:line="560" w:lineRule="exact"/>
        <w:ind w:firstLine="480" w:firstLineChars="200"/>
        <w:rPr>
          <w:rFonts w:hint="eastAsia" w:ascii="宋体" w:hAnsi="宋体" w:eastAsia="宋体"/>
          <w:color w:val="000000"/>
          <w:sz w:val="24"/>
          <w:szCs w:val="24"/>
        </w:rPr>
      </w:pPr>
      <w:r>
        <w:rPr>
          <w:rFonts w:hint="eastAsia" w:ascii="宋体" w:hAnsi="宋体" w:eastAsia="宋体"/>
          <w:color w:val="000000"/>
          <w:sz w:val="24"/>
          <w:szCs w:val="24"/>
          <w:lang w:val="en-US" w:eastAsia="zh-CN"/>
        </w:rPr>
        <w:t>董事会审计委员会</w:t>
      </w:r>
      <w:r>
        <w:rPr>
          <w:rFonts w:hint="eastAsia" w:ascii="宋体" w:hAnsi="宋体" w:eastAsia="宋体"/>
          <w:color w:val="000000"/>
          <w:sz w:val="24"/>
          <w:szCs w:val="24"/>
        </w:rPr>
        <w:t>认为：为提高资金使用效率，合理利用闲置募集资金，在不影响募集资金正常运行的情况下，公司拟使用合计最高额不超过</w:t>
      </w:r>
      <w:r>
        <w:rPr>
          <w:rFonts w:ascii="宋体" w:hAnsi="宋体" w:eastAsia="宋体" w:cs="宋体"/>
          <w:sz w:val="24"/>
          <w:szCs w:val="24"/>
        </w:rPr>
        <w:t>22,703.87</w:t>
      </w:r>
      <w:r>
        <w:rPr>
          <w:rFonts w:hint="eastAsia" w:ascii="宋体" w:hAnsi="宋体" w:eastAsia="宋体"/>
          <w:color w:val="000000"/>
          <w:sz w:val="24"/>
          <w:szCs w:val="24"/>
        </w:rPr>
        <w:t>万元的暂时闲置募集资金进行现金管理，使用期限自</w:t>
      </w:r>
      <w:r>
        <w:rPr>
          <w:rFonts w:hint="eastAsia" w:ascii="宋体" w:hAnsi="宋体" w:eastAsia="宋体"/>
          <w:color w:val="000000"/>
          <w:sz w:val="24"/>
          <w:szCs w:val="24"/>
          <w:lang w:val="en-US" w:eastAsia="zh-CN"/>
        </w:rPr>
        <w:t>2026年8月25日</w:t>
      </w:r>
      <w:r>
        <w:rPr>
          <w:rFonts w:hint="eastAsia" w:ascii="宋体" w:hAnsi="宋体" w:eastAsia="宋体"/>
          <w:color w:val="000000"/>
          <w:sz w:val="24"/>
          <w:szCs w:val="24"/>
        </w:rPr>
        <w:t>至202</w:t>
      </w:r>
      <w:r>
        <w:rPr>
          <w:rFonts w:hint="eastAsia" w:ascii="宋体" w:hAnsi="宋体" w:eastAsia="宋体"/>
          <w:color w:val="000000"/>
          <w:sz w:val="24"/>
          <w:szCs w:val="24"/>
          <w:lang w:val="en-US" w:eastAsia="zh-CN"/>
        </w:rPr>
        <w:t>6</w:t>
      </w:r>
      <w:r>
        <w:rPr>
          <w:rFonts w:hint="eastAsia" w:ascii="宋体" w:hAnsi="宋体" w:eastAsia="宋体"/>
          <w:color w:val="000000"/>
          <w:sz w:val="24"/>
          <w:szCs w:val="24"/>
        </w:rPr>
        <w:t>年12月31日止，在上述额度及有效期限内，公司可循环滚动使用。同意《关于使用暂时闲置募集资金进行现金管理的议案》。</w:t>
      </w:r>
    </w:p>
    <w:p>
      <w:pPr>
        <w:adjustRightInd w:val="0"/>
        <w:snapToGrid w:val="0"/>
        <w:spacing w:line="560" w:lineRule="exact"/>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（二）</w:t>
      </w:r>
      <w:r>
        <w:rPr>
          <w:rFonts w:hint="eastAsia" w:ascii="宋体" w:hAnsi="宋体" w:eastAsia="宋体"/>
          <w:color w:val="000000"/>
          <w:sz w:val="24"/>
          <w:szCs w:val="24"/>
          <w:lang w:eastAsia="zh-CN"/>
        </w:rPr>
        <w:t>保荐人</w:t>
      </w:r>
      <w:r>
        <w:rPr>
          <w:rFonts w:hint="eastAsia" w:ascii="宋体" w:hAnsi="宋体" w:eastAsia="宋体"/>
          <w:color w:val="000000"/>
          <w:sz w:val="24"/>
          <w:szCs w:val="24"/>
        </w:rPr>
        <w:t>核查意见</w:t>
      </w:r>
    </w:p>
    <w:p>
      <w:pPr>
        <w:adjustRightInd w:val="0"/>
        <w:snapToGrid w:val="0"/>
        <w:spacing w:line="560" w:lineRule="exact"/>
        <w:ind w:firstLine="480" w:firstLineChars="200"/>
        <w:rPr>
          <w:rFonts w:hint="eastAsia" w:ascii="宋体" w:hAnsi="宋体" w:eastAsia="宋体"/>
          <w:color w:val="000000"/>
          <w:sz w:val="24"/>
          <w:szCs w:val="24"/>
        </w:rPr>
      </w:pPr>
      <w:r>
        <w:rPr>
          <w:rFonts w:hint="eastAsia" w:ascii="宋体" w:hAnsi="宋体" w:eastAsia="宋体"/>
          <w:color w:val="000000"/>
          <w:sz w:val="24"/>
          <w:szCs w:val="24"/>
        </w:rPr>
        <w:t>经核查，保荐人认为：公司使用暂时闲置募集资金进行现金管理的事项已经公司董事会、董事会审计委员会审议通过，履行了必要的法律程序。该事项符合《上市公司募集资金监管规则》以及公司《募集资金管理制度》的相关规定，不存在变相改变募集资金用途的情况；在不影响募集资金使用的前提下，有利于提高资金使用效率，能够为公司和股东谋取良好的投资回报。保荐人对公司本次使用暂时闲置募集资金进行现金管理的事项无异议。</w:t>
      </w:r>
    </w:p>
    <w:p>
      <w:pPr>
        <w:adjustRightInd w:val="0"/>
        <w:snapToGrid w:val="0"/>
        <w:spacing w:line="560" w:lineRule="exact"/>
        <w:ind w:firstLine="480" w:firstLineChars="200"/>
        <w:rPr>
          <w:rFonts w:ascii="宋体" w:hAnsi="宋体" w:eastAsia="宋体"/>
          <w:color w:val="000000"/>
          <w:sz w:val="24"/>
          <w:szCs w:val="24"/>
        </w:rPr>
      </w:pPr>
      <w:r>
        <w:rPr>
          <w:rFonts w:hint="eastAsia" w:ascii="宋体" w:hAnsi="宋体" w:eastAsia="宋体"/>
          <w:color w:val="000000"/>
          <w:sz w:val="24"/>
          <w:szCs w:val="24"/>
        </w:rPr>
        <w:t>特此公告。</w:t>
      </w:r>
    </w:p>
    <w:p>
      <w:pPr>
        <w:adjustRightInd w:val="0"/>
        <w:snapToGrid w:val="0"/>
        <w:spacing w:line="560" w:lineRule="exact"/>
        <w:ind w:firstLine="480" w:firstLineChars="200"/>
        <w:rPr>
          <w:rFonts w:ascii="宋体" w:hAnsi="宋体" w:eastAsia="宋体"/>
          <w:color w:val="000000"/>
          <w:sz w:val="24"/>
          <w:szCs w:val="24"/>
        </w:rPr>
      </w:pPr>
    </w:p>
    <w:p>
      <w:pPr>
        <w:adjustRightInd w:val="0"/>
        <w:snapToGrid w:val="0"/>
        <w:spacing w:line="560" w:lineRule="exact"/>
        <w:ind w:firstLine="480" w:firstLineChars="200"/>
        <w:jc w:val="right"/>
        <w:rPr>
          <w:rFonts w:ascii="宋体" w:hAnsi="宋体" w:eastAsia="宋体"/>
          <w:color w:val="000000"/>
          <w:sz w:val="24"/>
          <w:szCs w:val="24"/>
        </w:rPr>
      </w:pPr>
      <w:r>
        <w:rPr>
          <w:rFonts w:hint="eastAsia" w:ascii="宋体" w:hAnsi="宋体" w:eastAsia="宋体" w:cs="宋体"/>
          <w:color w:val="000000"/>
          <w:kern w:val="0"/>
          <w:sz w:val="24"/>
          <w:szCs w:val="24"/>
        </w:rPr>
        <w:t>重庆望变电气（集团）</w:t>
      </w:r>
      <w:r>
        <w:rPr>
          <w:rFonts w:hint="eastAsia" w:ascii="宋体" w:hAnsi="宋体" w:eastAsia="宋体" w:cs="仿宋_GB2312"/>
          <w:color w:val="000000"/>
          <w:sz w:val="24"/>
          <w:szCs w:val="24"/>
        </w:rPr>
        <w:t>股</w:t>
      </w:r>
      <w:r>
        <w:rPr>
          <w:rFonts w:hint="eastAsia" w:ascii="宋体" w:hAnsi="宋体" w:eastAsia="宋体"/>
          <w:color w:val="000000"/>
          <w:sz w:val="24"/>
          <w:szCs w:val="24"/>
        </w:rPr>
        <w:t>份有限公司董事会</w:t>
      </w:r>
    </w:p>
    <w:p>
      <w:pPr>
        <w:adjustRightInd w:val="0"/>
        <w:snapToGrid w:val="0"/>
        <w:spacing w:line="560" w:lineRule="exact"/>
        <w:ind w:firstLine="480" w:firstLineChars="200"/>
        <w:jc w:val="right"/>
        <w:rPr>
          <w:rFonts w:ascii="宋体" w:hAnsi="宋体" w:eastAsia="宋体"/>
          <w:color w:val="000000"/>
          <w:sz w:val="24"/>
          <w:szCs w:val="24"/>
        </w:rPr>
      </w:pPr>
      <w:r>
        <w:rPr>
          <w:rFonts w:ascii="宋体" w:hAnsi="宋体" w:eastAsia="宋体"/>
          <w:color w:val="000000"/>
          <w:sz w:val="24"/>
          <w:szCs w:val="24"/>
        </w:rPr>
        <w:t>202</w:t>
      </w:r>
      <w:r>
        <w:rPr>
          <w:rFonts w:hint="eastAsia" w:ascii="宋体" w:hAnsi="宋体" w:eastAsia="宋体"/>
          <w:color w:val="000000"/>
          <w:sz w:val="24"/>
          <w:szCs w:val="24"/>
          <w:lang w:val="en-US" w:eastAsia="zh-CN"/>
        </w:rPr>
        <w:t>6</w:t>
      </w:r>
      <w:r>
        <w:rPr>
          <w:rFonts w:hint="eastAsia" w:ascii="宋体" w:hAnsi="宋体" w:eastAsia="宋体"/>
          <w:color w:val="000000"/>
          <w:sz w:val="24"/>
          <w:szCs w:val="24"/>
        </w:rPr>
        <w:t>年</w:t>
      </w:r>
      <w:r>
        <w:rPr>
          <w:rFonts w:hint="eastAsia" w:ascii="宋体" w:hAnsi="宋体" w:eastAsia="宋体"/>
          <w:color w:val="000000"/>
          <w:sz w:val="24"/>
          <w:szCs w:val="24"/>
          <w:lang w:val="en-US" w:eastAsia="zh-CN"/>
        </w:rPr>
        <w:t>8</w:t>
      </w:r>
      <w:r>
        <w:rPr>
          <w:rFonts w:hint="eastAsia" w:ascii="宋体" w:hAnsi="宋体" w:eastAsia="宋体"/>
          <w:color w:val="000000"/>
          <w:sz w:val="24"/>
          <w:szCs w:val="24"/>
        </w:rPr>
        <w:t>月</w:t>
      </w:r>
      <w:r>
        <w:rPr>
          <w:rFonts w:hint="eastAsia" w:ascii="宋体" w:hAnsi="宋体" w:eastAsia="宋体"/>
          <w:color w:val="000000"/>
          <w:sz w:val="24"/>
          <w:szCs w:val="24"/>
          <w:lang w:val="en-US" w:eastAsia="zh-CN"/>
        </w:rPr>
        <w:t>27</w:t>
      </w:r>
      <w:r>
        <w:rPr>
          <w:rFonts w:hint="eastAsia" w:ascii="宋体" w:hAnsi="宋体" w:eastAsia="宋体"/>
          <w:color w:val="000000"/>
          <w:sz w:val="24"/>
          <w:szCs w:val="24"/>
        </w:rPr>
        <w:t>日</w:t>
      </w:r>
    </w:p>
    <w:p>
      <w:pPr>
        <w:adjustRightInd w:val="0"/>
        <w:snapToGrid w:val="0"/>
        <w:spacing w:line="560" w:lineRule="exact"/>
        <w:rPr>
          <w:rFonts w:ascii="宋体" w:hAnsi="宋体" w:eastAsia="宋体" w:cs="宋体"/>
          <w:kern w:val="0"/>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Times New Roman Regular">
    <w:altName w:val="Times New Roman"/>
    <w:panose1 w:val="00000000000000000000"/>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91207842"/>
    </w:sdtPr>
    <w:sdtContent>
      <w:p>
        <w:pPr>
          <w:pStyle w:val="5"/>
          <w:jc w:val="center"/>
        </w:pPr>
        <w:r>
          <w:fldChar w:fldCharType="begin"/>
        </w:r>
        <w:r>
          <w:instrText xml:space="preserve">PAGE   \* MERGEFORMAT</w:instrText>
        </w:r>
        <w:r>
          <w:fldChar w:fldCharType="separate"/>
        </w:r>
        <w:r>
          <w:rPr>
            <w:lang w:val="zh-CN"/>
          </w:rPr>
          <w:t>5</w:t>
        </w:r>
        <w:r>
          <w:fldChar w:fldCharType="end"/>
        </w:r>
      </w:p>
    </w:sdtContent>
  </w:sdt>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cyODMxYTE0ZTc0ZGU3Y2QwODc3MzYzN2Q1YmNiM2EifQ=="/>
  </w:docVars>
  <w:rsids>
    <w:rsidRoot w:val="521827E2"/>
    <w:rsid w:val="000015A1"/>
    <w:rsid w:val="0008555B"/>
    <w:rsid w:val="000857C7"/>
    <w:rsid w:val="000B1A1F"/>
    <w:rsid w:val="000B726B"/>
    <w:rsid w:val="000E46E0"/>
    <w:rsid w:val="00123266"/>
    <w:rsid w:val="00127276"/>
    <w:rsid w:val="00140439"/>
    <w:rsid w:val="0014777F"/>
    <w:rsid w:val="001723E5"/>
    <w:rsid w:val="00192BD0"/>
    <w:rsid w:val="001A727A"/>
    <w:rsid w:val="001A7942"/>
    <w:rsid w:val="001C1AC8"/>
    <w:rsid w:val="001D06CF"/>
    <w:rsid w:val="001D18AD"/>
    <w:rsid w:val="00207B64"/>
    <w:rsid w:val="00225FE6"/>
    <w:rsid w:val="00240088"/>
    <w:rsid w:val="002462D5"/>
    <w:rsid w:val="00252550"/>
    <w:rsid w:val="002D6C0D"/>
    <w:rsid w:val="0032463B"/>
    <w:rsid w:val="00347CA1"/>
    <w:rsid w:val="003571E3"/>
    <w:rsid w:val="00391A1B"/>
    <w:rsid w:val="003D1F6B"/>
    <w:rsid w:val="003E38F1"/>
    <w:rsid w:val="003F1451"/>
    <w:rsid w:val="00425BF0"/>
    <w:rsid w:val="00433901"/>
    <w:rsid w:val="00464AFC"/>
    <w:rsid w:val="00491096"/>
    <w:rsid w:val="004A204F"/>
    <w:rsid w:val="004A790E"/>
    <w:rsid w:val="004B5841"/>
    <w:rsid w:val="004D041E"/>
    <w:rsid w:val="004D0E8E"/>
    <w:rsid w:val="004D4AAB"/>
    <w:rsid w:val="00522BE2"/>
    <w:rsid w:val="005429C2"/>
    <w:rsid w:val="0055216A"/>
    <w:rsid w:val="005704F4"/>
    <w:rsid w:val="005A2954"/>
    <w:rsid w:val="005B7B64"/>
    <w:rsid w:val="005F61E9"/>
    <w:rsid w:val="006150E2"/>
    <w:rsid w:val="00637BC1"/>
    <w:rsid w:val="00646D1E"/>
    <w:rsid w:val="006704CD"/>
    <w:rsid w:val="006E4DD1"/>
    <w:rsid w:val="006F53AF"/>
    <w:rsid w:val="006F5503"/>
    <w:rsid w:val="00701AEA"/>
    <w:rsid w:val="00726F44"/>
    <w:rsid w:val="0077799F"/>
    <w:rsid w:val="00795CF5"/>
    <w:rsid w:val="007A61FA"/>
    <w:rsid w:val="007B073D"/>
    <w:rsid w:val="007B1916"/>
    <w:rsid w:val="007C3FFA"/>
    <w:rsid w:val="00811F4F"/>
    <w:rsid w:val="008320FC"/>
    <w:rsid w:val="00832A0F"/>
    <w:rsid w:val="0084121D"/>
    <w:rsid w:val="008E2655"/>
    <w:rsid w:val="008F3AB1"/>
    <w:rsid w:val="0090186C"/>
    <w:rsid w:val="00906FA1"/>
    <w:rsid w:val="00915D39"/>
    <w:rsid w:val="00923C08"/>
    <w:rsid w:val="00947C32"/>
    <w:rsid w:val="009B47DE"/>
    <w:rsid w:val="009D1A30"/>
    <w:rsid w:val="009E3152"/>
    <w:rsid w:val="009E3407"/>
    <w:rsid w:val="00A059A1"/>
    <w:rsid w:val="00A11663"/>
    <w:rsid w:val="00A11AA1"/>
    <w:rsid w:val="00A15569"/>
    <w:rsid w:val="00A3299E"/>
    <w:rsid w:val="00A41121"/>
    <w:rsid w:val="00A51C23"/>
    <w:rsid w:val="00A823F8"/>
    <w:rsid w:val="00AC22AE"/>
    <w:rsid w:val="00AC3419"/>
    <w:rsid w:val="00AE6C4E"/>
    <w:rsid w:val="00AF36B4"/>
    <w:rsid w:val="00AF6E63"/>
    <w:rsid w:val="00B6730B"/>
    <w:rsid w:val="00B9137C"/>
    <w:rsid w:val="00B950AB"/>
    <w:rsid w:val="00BB61B6"/>
    <w:rsid w:val="00BC233A"/>
    <w:rsid w:val="00BD4D0F"/>
    <w:rsid w:val="00BF7BDB"/>
    <w:rsid w:val="00C13691"/>
    <w:rsid w:val="00C14637"/>
    <w:rsid w:val="00C47186"/>
    <w:rsid w:val="00C76A66"/>
    <w:rsid w:val="00C80E82"/>
    <w:rsid w:val="00CB781A"/>
    <w:rsid w:val="00CD5091"/>
    <w:rsid w:val="00CE1271"/>
    <w:rsid w:val="00D01967"/>
    <w:rsid w:val="00D4059C"/>
    <w:rsid w:val="00D42972"/>
    <w:rsid w:val="00D45861"/>
    <w:rsid w:val="00D46F41"/>
    <w:rsid w:val="00D613FF"/>
    <w:rsid w:val="00D65BA4"/>
    <w:rsid w:val="00D8189C"/>
    <w:rsid w:val="00D96175"/>
    <w:rsid w:val="00DB744D"/>
    <w:rsid w:val="00DD62E6"/>
    <w:rsid w:val="00DF73E8"/>
    <w:rsid w:val="00E301F1"/>
    <w:rsid w:val="00E558AE"/>
    <w:rsid w:val="00E71A70"/>
    <w:rsid w:val="00E95F43"/>
    <w:rsid w:val="00E976BD"/>
    <w:rsid w:val="00EC496E"/>
    <w:rsid w:val="00EE084C"/>
    <w:rsid w:val="00F0268C"/>
    <w:rsid w:val="00F0742F"/>
    <w:rsid w:val="00F229F1"/>
    <w:rsid w:val="00F450F3"/>
    <w:rsid w:val="00F670DD"/>
    <w:rsid w:val="00FA5504"/>
    <w:rsid w:val="00FB78EE"/>
    <w:rsid w:val="00FE6306"/>
    <w:rsid w:val="00FF7741"/>
    <w:rsid w:val="01103098"/>
    <w:rsid w:val="05247BE4"/>
    <w:rsid w:val="070E316E"/>
    <w:rsid w:val="0B9514CB"/>
    <w:rsid w:val="0F4E621F"/>
    <w:rsid w:val="11405265"/>
    <w:rsid w:val="12B405C2"/>
    <w:rsid w:val="12F55FA8"/>
    <w:rsid w:val="12F56C57"/>
    <w:rsid w:val="14A6224D"/>
    <w:rsid w:val="15B50403"/>
    <w:rsid w:val="19660E9D"/>
    <w:rsid w:val="19A44770"/>
    <w:rsid w:val="1E581FEF"/>
    <w:rsid w:val="1FE74C8E"/>
    <w:rsid w:val="20D93172"/>
    <w:rsid w:val="21B374E9"/>
    <w:rsid w:val="22091C70"/>
    <w:rsid w:val="22BD192C"/>
    <w:rsid w:val="22F05680"/>
    <w:rsid w:val="23165EFA"/>
    <w:rsid w:val="23937963"/>
    <w:rsid w:val="258465FA"/>
    <w:rsid w:val="267207F2"/>
    <w:rsid w:val="279A698C"/>
    <w:rsid w:val="2916738A"/>
    <w:rsid w:val="2A1948D4"/>
    <w:rsid w:val="2B8224E1"/>
    <w:rsid w:val="2DB497F8"/>
    <w:rsid w:val="3085722D"/>
    <w:rsid w:val="31CD42F6"/>
    <w:rsid w:val="342F295E"/>
    <w:rsid w:val="35897B61"/>
    <w:rsid w:val="37AC63E6"/>
    <w:rsid w:val="3EF00E78"/>
    <w:rsid w:val="3F7F54F7"/>
    <w:rsid w:val="417A619E"/>
    <w:rsid w:val="4795557D"/>
    <w:rsid w:val="49307E26"/>
    <w:rsid w:val="4C751098"/>
    <w:rsid w:val="4CE124EE"/>
    <w:rsid w:val="5150387B"/>
    <w:rsid w:val="521827E2"/>
    <w:rsid w:val="52932FE4"/>
    <w:rsid w:val="5344568C"/>
    <w:rsid w:val="54CA7B2B"/>
    <w:rsid w:val="55147AE8"/>
    <w:rsid w:val="5F952A26"/>
    <w:rsid w:val="63D972B3"/>
    <w:rsid w:val="65DE0270"/>
    <w:rsid w:val="6BA139E2"/>
    <w:rsid w:val="6CC35F8A"/>
    <w:rsid w:val="6E9414F4"/>
    <w:rsid w:val="6F2305E2"/>
    <w:rsid w:val="6FFF471A"/>
    <w:rsid w:val="738726DB"/>
    <w:rsid w:val="74E044A9"/>
    <w:rsid w:val="75B2209A"/>
    <w:rsid w:val="77D11EA6"/>
    <w:rsid w:val="7CA750A8"/>
    <w:rsid w:val="7D6D9934"/>
    <w:rsid w:val="7E78641A"/>
    <w:rsid w:val="B7FF91EE"/>
    <w:rsid w:val="BAF79ADF"/>
    <w:rsid w:val="D2BDCC50"/>
    <w:rsid w:val="F7BE7F37"/>
    <w:rsid w:val="FC57C8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3">
    <w:name w:val="annotation text"/>
    <w:basedOn w:val="1"/>
    <w:link w:val="17"/>
    <w:qFormat/>
    <w:uiPriority w:val="0"/>
    <w:pPr>
      <w:jc w:val="left"/>
    </w:pPr>
  </w:style>
  <w:style w:type="paragraph" w:styleId="4">
    <w:name w:val="Balloon Text"/>
    <w:basedOn w:val="1"/>
    <w:link w:val="16"/>
    <w:qFormat/>
    <w:uiPriority w:val="0"/>
    <w:rPr>
      <w:sz w:val="18"/>
      <w:szCs w:val="18"/>
    </w:rPr>
  </w:style>
  <w:style w:type="paragraph" w:styleId="5">
    <w:name w:val="footer"/>
    <w:basedOn w:val="1"/>
    <w:link w:val="14"/>
    <w:qFormat/>
    <w:uiPriority w:val="99"/>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qFormat/>
    <w:uiPriority w:val="10"/>
    <w:pPr>
      <w:spacing w:before="240" w:after="60"/>
      <w:jc w:val="center"/>
      <w:outlineLvl w:val="0"/>
    </w:pPr>
    <w:rPr>
      <w:rFonts w:eastAsia="宋体" w:asciiTheme="majorHAnsi" w:hAnsiTheme="majorHAnsi" w:cstheme="majorBidi"/>
      <w:b/>
      <w:bCs/>
      <w:sz w:val="30"/>
      <w:szCs w:val="32"/>
    </w:rPr>
  </w:style>
  <w:style w:type="paragraph" w:styleId="8">
    <w:name w:val="annotation subject"/>
    <w:basedOn w:val="3"/>
    <w:next w:val="3"/>
    <w:link w:val="18"/>
    <w:qFormat/>
    <w:uiPriority w:val="0"/>
    <w:rPr>
      <w:b/>
      <w:bCs/>
    </w:rPr>
  </w:style>
  <w:style w:type="character" w:styleId="11">
    <w:name w:val="Hyperlink"/>
    <w:basedOn w:val="10"/>
    <w:unhideWhenUsed/>
    <w:qFormat/>
    <w:uiPriority w:val="0"/>
    <w:rPr>
      <w:color w:val="0563C1" w:themeColor="hyperlink"/>
      <w:u w:val="single"/>
      <w14:textFill>
        <w14:solidFill>
          <w14:schemeClr w14:val="hlink"/>
        </w14:solidFill>
      </w14:textFill>
    </w:rPr>
  </w:style>
  <w:style w:type="character" w:styleId="12">
    <w:name w:val="annotation reference"/>
    <w:basedOn w:val="10"/>
    <w:qFormat/>
    <w:uiPriority w:val="0"/>
    <w:rPr>
      <w:sz w:val="21"/>
      <w:szCs w:val="21"/>
    </w:rPr>
  </w:style>
  <w:style w:type="character" w:customStyle="1" w:styleId="13">
    <w:name w:val="页眉 字符"/>
    <w:basedOn w:val="10"/>
    <w:link w:val="6"/>
    <w:qFormat/>
    <w:uiPriority w:val="0"/>
    <w:rPr>
      <w:kern w:val="2"/>
      <w:sz w:val="18"/>
      <w:szCs w:val="18"/>
    </w:rPr>
  </w:style>
  <w:style w:type="character" w:customStyle="1" w:styleId="14">
    <w:name w:val="页脚 字符"/>
    <w:basedOn w:val="10"/>
    <w:link w:val="5"/>
    <w:qFormat/>
    <w:uiPriority w:val="99"/>
    <w:rPr>
      <w:kern w:val="2"/>
      <w:sz w:val="18"/>
      <w:szCs w:val="18"/>
    </w:rPr>
  </w:style>
  <w:style w:type="paragraph" w:styleId="15">
    <w:name w:val="List Paragraph"/>
    <w:basedOn w:val="1"/>
    <w:qFormat/>
    <w:uiPriority w:val="34"/>
    <w:pPr>
      <w:ind w:firstLine="420" w:firstLineChars="200"/>
    </w:pPr>
    <w:rPr>
      <w:rFonts w:ascii="Calibri" w:hAnsi="Calibri" w:eastAsia="宋体" w:cs="Times New Roman"/>
    </w:rPr>
  </w:style>
  <w:style w:type="character" w:customStyle="1" w:styleId="16">
    <w:name w:val="批注框文本 字符"/>
    <w:basedOn w:val="10"/>
    <w:link w:val="4"/>
    <w:qFormat/>
    <w:uiPriority w:val="0"/>
    <w:rPr>
      <w:kern w:val="2"/>
      <w:sz w:val="18"/>
      <w:szCs w:val="18"/>
    </w:rPr>
  </w:style>
  <w:style w:type="character" w:customStyle="1" w:styleId="17">
    <w:name w:val="批注文字 字符"/>
    <w:basedOn w:val="10"/>
    <w:link w:val="3"/>
    <w:qFormat/>
    <w:uiPriority w:val="0"/>
    <w:rPr>
      <w:kern w:val="2"/>
      <w:sz w:val="21"/>
      <w:szCs w:val="22"/>
    </w:rPr>
  </w:style>
  <w:style w:type="character" w:customStyle="1" w:styleId="18">
    <w:name w:val="批注主题 字符"/>
    <w:basedOn w:val="17"/>
    <w:link w:val="8"/>
    <w:qFormat/>
    <w:uiPriority w:val="0"/>
    <w:rPr>
      <w:b/>
      <w:bCs/>
      <w:kern w:val="2"/>
      <w:sz w:val="21"/>
      <w:szCs w:val="22"/>
    </w:rPr>
  </w:style>
  <w:style w:type="paragraph" w:customStyle="1" w:styleId="19">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0">
    <w:name w:val="修订2"/>
    <w:hidden/>
    <w:semiHidden/>
    <w:qFormat/>
    <w:uiPriority w:val="99"/>
    <w:rPr>
      <w:rFonts w:asciiTheme="minorHAnsi" w:hAnsiTheme="minorHAnsi" w:eastAsiaTheme="minorEastAsia" w:cstheme="minorBidi"/>
      <w:kern w:val="2"/>
      <w:sz w:val="21"/>
      <w:szCs w:val="22"/>
      <w:lang w:val="en-US" w:eastAsia="zh-CN" w:bidi="ar-SA"/>
    </w:rPr>
  </w:style>
  <w:style w:type="paragraph" w:customStyle="1" w:styleId="21">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2674</Words>
  <Characters>2845</Characters>
  <Lines>24</Lines>
  <Paragraphs>6</Paragraphs>
  <TotalTime>3</TotalTime>
  <ScaleCrop>false</ScaleCrop>
  <LinksUpToDate>false</LinksUpToDate>
  <CharactersWithSpaces>2861</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2024-04-17T11:44:00Z</dcterms:created>
  <dc:creator>BJB-ZB-03</dc:creator>
  <cp:lastModifiedBy>雯亦</cp:lastModifiedBy>
  <dcterms:modified xsi:type="dcterms:W3CDTF">2026-08-27T02:50:29Z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2052-11.1.0.12165</vt:lpwstr>
  </property>
  <property fmtid="{D5CDD505-2E9C-101B-9397-08002B2CF9AE}" pid="3" name="ICV">
    <vt:lpwstr>CAE46A9E7BDC48F18B576A92C53178DA</vt:lpwstr>
  </property>
</Properties>
</file>