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EA37C9">
      <w:pPr>
        <w:tabs>
          <w:tab w:val="left" w:pos="4620"/>
        </w:tabs>
        <w:spacing w:line="360" w:lineRule="auto"/>
        <w:rPr>
          <w:rFonts w:ascii="宋体" w:hAnsi="宋体"/>
          <w:szCs w:val="21"/>
        </w:rPr>
      </w:pPr>
    </w:p>
    <w:p w14:paraId="385B906A">
      <w:pPr>
        <w:tabs>
          <w:tab w:val="left" w:pos="4620"/>
        </w:tabs>
        <w:spacing w:line="360" w:lineRule="auto"/>
        <w:jc w:val="center"/>
        <w:rPr>
          <w:rFonts w:ascii="黑体" w:hAnsi="宋体" w:eastAsia="黑体"/>
          <w:b/>
          <w:sz w:val="28"/>
          <w:szCs w:val="24"/>
        </w:rPr>
      </w:pPr>
      <w:r>
        <w:rPr>
          <w:rFonts w:hint="eastAsia" w:ascii="黑体" w:hAnsi="宋体" w:eastAsia="黑体"/>
          <w:b/>
          <w:sz w:val="28"/>
          <w:szCs w:val="24"/>
          <w:lang w:val="en-US" w:eastAsia="zh-CN"/>
        </w:rPr>
        <w:t>重庆望变电气（集团）</w:t>
      </w:r>
      <w:r>
        <w:rPr>
          <w:rFonts w:hint="eastAsia" w:ascii="黑体" w:hAnsi="宋体" w:eastAsia="黑体"/>
          <w:b/>
          <w:sz w:val="28"/>
          <w:szCs w:val="24"/>
        </w:rPr>
        <w:t>股份有限公司</w:t>
      </w:r>
    </w:p>
    <w:p w14:paraId="1578E1FD">
      <w:pPr>
        <w:tabs>
          <w:tab w:val="left" w:pos="4620"/>
        </w:tabs>
        <w:spacing w:line="360" w:lineRule="auto"/>
        <w:jc w:val="center"/>
        <w:rPr>
          <w:rFonts w:ascii="黑体" w:hAnsi="宋体" w:eastAsia="黑体"/>
          <w:b/>
          <w:sz w:val="28"/>
          <w:szCs w:val="24"/>
        </w:rPr>
      </w:pPr>
      <w:r>
        <w:rPr>
          <w:rFonts w:hint="eastAsia" w:ascii="黑体" w:hAnsi="宋体" w:eastAsia="黑体"/>
          <w:b/>
          <w:sz w:val="28"/>
          <w:szCs w:val="24"/>
          <w:lang w:val="en-US" w:eastAsia="zh-CN"/>
        </w:rPr>
        <w:t>董事会</w:t>
      </w:r>
      <w:bookmarkStart w:id="2" w:name="_GoBack"/>
      <w:bookmarkEnd w:id="2"/>
      <w:r>
        <w:rPr>
          <w:rFonts w:hint="eastAsia" w:ascii="黑体" w:hAnsi="宋体" w:eastAsia="黑体"/>
          <w:b/>
          <w:sz w:val="28"/>
          <w:szCs w:val="24"/>
        </w:rPr>
        <w:t>关于</w:t>
      </w:r>
      <w:r>
        <w:rPr>
          <w:rFonts w:hint="eastAsia" w:ascii="黑体" w:hAnsi="宋体" w:eastAsia="黑体"/>
          <w:b/>
          <w:sz w:val="28"/>
          <w:szCs w:val="24"/>
          <w:lang w:val="en-US" w:eastAsia="zh-CN"/>
        </w:rPr>
        <w:t>2024年度</w:t>
      </w:r>
      <w:r>
        <w:rPr>
          <w:rFonts w:hint="eastAsia" w:ascii="黑体" w:hAnsi="宋体" w:eastAsia="黑体"/>
          <w:b/>
          <w:sz w:val="28"/>
          <w:szCs w:val="24"/>
        </w:rPr>
        <w:t>募集资金年度存放与使用情况的专项报告</w:t>
      </w:r>
    </w:p>
    <w:p w14:paraId="7DD57437">
      <w:pPr>
        <w:tabs>
          <w:tab w:val="left" w:pos="4620"/>
        </w:tabs>
        <w:spacing w:line="360" w:lineRule="auto"/>
        <w:jc w:val="center"/>
        <w:rPr>
          <w:rFonts w:ascii="宋体" w:hAnsi="宋体"/>
          <w:szCs w:val="21"/>
        </w:rPr>
      </w:pPr>
    </w:p>
    <w:p w14:paraId="362CCA54">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i w:val="0"/>
          <w:iCs w:val="0"/>
          <w:szCs w:val="21"/>
        </w:rPr>
      </w:pPr>
      <w:r>
        <w:rPr>
          <w:rFonts w:hint="eastAsia" w:ascii="宋体" w:hAnsi="宋体"/>
          <w:i w:val="0"/>
          <w:iCs w:val="0"/>
          <w:szCs w:val="21"/>
        </w:rPr>
        <w:t>根据中国证券监督管理委员会《上市公司监管指引第2号——上市公司募集资金管理和使用的监管要求（2022年修订）》（证监会公告〔2022〕15号）</w:t>
      </w:r>
      <w:r>
        <w:rPr>
          <w:rFonts w:hint="eastAsia" w:ascii="宋体" w:hAnsi="宋体"/>
          <w:i w:val="0"/>
          <w:iCs w:val="0"/>
          <w:szCs w:val="21"/>
          <w:lang w:val="en-US" w:eastAsia="zh-CN"/>
        </w:rPr>
        <w:t>和</w:t>
      </w:r>
      <w:r>
        <w:rPr>
          <w:rFonts w:hint="eastAsia" w:ascii="宋体" w:hAnsi="宋体"/>
          <w:i w:val="0"/>
          <w:iCs w:val="0"/>
          <w:szCs w:val="21"/>
        </w:rPr>
        <w:t>上海证券交易所印发的</w:t>
      </w:r>
      <w:r>
        <w:rPr>
          <w:rFonts w:hint="eastAsia" w:ascii="宋体" w:hAnsi="宋体" w:cs="宋体"/>
          <w:bCs/>
          <w:i w:val="0"/>
          <w:iCs w:val="0"/>
          <w:sz w:val="21"/>
          <w:szCs w:val="21"/>
        </w:rPr>
        <w:t>《上海证券交易所上市公司自律监管指引第1号——规范运作</w:t>
      </w:r>
      <w:r>
        <w:rPr>
          <w:rFonts w:hint="eastAsia" w:ascii="宋体" w:hAnsi="宋体" w:cs="宋体"/>
          <w:bCs/>
          <w:i w:val="0"/>
          <w:iCs w:val="0"/>
          <w:sz w:val="21"/>
          <w:szCs w:val="21"/>
          <w:lang w:eastAsia="zh-CN"/>
        </w:rPr>
        <w:t>（</w:t>
      </w:r>
      <w:r>
        <w:rPr>
          <w:rFonts w:hint="eastAsia" w:ascii="宋体" w:hAnsi="宋体" w:cs="宋体"/>
          <w:bCs/>
          <w:i w:val="0"/>
          <w:iCs w:val="0"/>
          <w:sz w:val="21"/>
          <w:szCs w:val="21"/>
          <w:lang w:val="en-US" w:eastAsia="zh-CN"/>
        </w:rPr>
        <w:t>2023年12月修订</w:t>
      </w:r>
      <w:r>
        <w:rPr>
          <w:rFonts w:hint="eastAsia" w:ascii="宋体" w:hAnsi="宋体" w:cs="宋体"/>
          <w:bCs/>
          <w:i w:val="0"/>
          <w:iCs w:val="0"/>
          <w:sz w:val="21"/>
          <w:szCs w:val="21"/>
          <w:lang w:eastAsia="zh-CN"/>
        </w:rPr>
        <w:t>）</w:t>
      </w:r>
      <w:r>
        <w:rPr>
          <w:rFonts w:hint="eastAsia" w:ascii="宋体" w:hAnsi="宋体" w:cs="宋体"/>
          <w:bCs/>
          <w:i w:val="0"/>
          <w:iCs w:val="0"/>
          <w:sz w:val="21"/>
          <w:szCs w:val="21"/>
        </w:rPr>
        <w:t>》（上证发〔202</w:t>
      </w:r>
      <w:r>
        <w:rPr>
          <w:rFonts w:hint="eastAsia" w:ascii="宋体" w:hAnsi="宋体" w:cs="宋体"/>
          <w:bCs/>
          <w:i w:val="0"/>
          <w:iCs w:val="0"/>
          <w:sz w:val="21"/>
          <w:szCs w:val="21"/>
          <w:lang w:val="en-US" w:eastAsia="zh-CN"/>
        </w:rPr>
        <w:t>3</w:t>
      </w:r>
      <w:r>
        <w:rPr>
          <w:rFonts w:hint="eastAsia" w:ascii="宋体" w:hAnsi="宋体" w:cs="宋体"/>
          <w:bCs/>
          <w:i w:val="0"/>
          <w:iCs w:val="0"/>
          <w:sz w:val="21"/>
          <w:szCs w:val="21"/>
        </w:rPr>
        <w:t>〕</w:t>
      </w:r>
      <w:r>
        <w:rPr>
          <w:rFonts w:hint="eastAsia" w:ascii="宋体" w:hAnsi="宋体" w:cs="宋体"/>
          <w:bCs/>
          <w:i w:val="0"/>
          <w:iCs w:val="0"/>
          <w:sz w:val="21"/>
          <w:szCs w:val="21"/>
          <w:lang w:val="en-US" w:eastAsia="zh-CN"/>
        </w:rPr>
        <w:t>193</w:t>
      </w:r>
      <w:r>
        <w:rPr>
          <w:rFonts w:hint="eastAsia" w:ascii="宋体" w:hAnsi="宋体" w:cs="宋体"/>
          <w:bCs/>
          <w:i w:val="0"/>
          <w:iCs w:val="0"/>
          <w:sz w:val="21"/>
          <w:szCs w:val="21"/>
        </w:rPr>
        <w:t>号）</w:t>
      </w:r>
      <w:r>
        <w:rPr>
          <w:rFonts w:hint="eastAsia" w:ascii="宋体" w:hAnsi="宋体"/>
          <w:i w:val="0"/>
          <w:iCs w:val="0"/>
          <w:szCs w:val="21"/>
        </w:rPr>
        <w:t>的规定，将本公司</w:t>
      </w:r>
      <w:r>
        <w:rPr>
          <w:rFonts w:hint="eastAsia" w:ascii="宋体" w:hAnsi="宋体"/>
          <w:i w:val="0"/>
          <w:iCs w:val="0"/>
          <w:szCs w:val="21"/>
          <w:lang w:val="en-US" w:eastAsia="zh-CN"/>
        </w:rPr>
        <w:t>2024</w:t>
      </w:r>
      <w:r>
        <w:rPr>
          <w:rFonts w:hint="eastAsia" w:ascii="宋体" w:hAnsi="宋体"/>
          <w:i w:val="0"/>
          <w:iCs w:val="0"/>
          <w:szCs w:val="21"/>
        </w:rPr>
        <w:t>年度募集资金存放与使用情况专项说明如下。</w:t>
      </w:r>
    </w:p>
    <w:p w14:paraId="16F30BF3">
      <w:pPr>
        <w:keepNext w:val="0"/>
        <w:keepLines w:val="0"/>
        <w:pageBreakBefore w:val="0"/>
        <w:tabs>
          <w:tab w:val="left" w:pos="4620"/>
        </w:tabs>
        <w:kinsoku/>
        <w:wordWrap/>
        <w:overflowPunct/>
        <w:topLinePunct w:val="0"/>
        <w:autoSpaceDE/>
        <w:autoSpaceDN/>
        <w:bidi w:val="0"/>
        <w:adjustRightInd/>
        <w:snapToGrid/>
        <w:spacing w:line="336" w:lineRule="auto"/>
        <w:ind w:firstLine="420" w:firstLineChars="200"/>
        <w:textAlignment w:val="auto"/>
        <w:rPr>
          <w:rFonts w:ascii="宋体" w:hAnsi="宋体"/>
          <w:szCs w:val="21"/>
        </w:rPr>
      </w:pPr>
    </w:p>
    <w:p w14:paraId="276C8500">
      <w:pPr>
        <w:keepNext w:val="0"/>
        <w:keepLines w:val="0"/>
        <w:pageBreakBefore w:val="0"/>
        <w:kinsoku/>
        <w:wordWrap/>
        <w:overflowPunct/>
        <w:topLinePunct w:val="0"/>
        <w:autoSpaceDE/>
        <w:autoSpaceDN/>
        <w:bidi w:val="0"/>
        <w:adjustRightInd/>
        <w:snapToGrid/>
        <w:spacing w:line="336" w:lineRule="auto"/>
        <w:ind w:firstLine="422" w:firstLineChars="200"/>
        <w:textAlignment w:val="auto"/>
        <w:outlineLvl w:val="0"/>
        <w:rPr>
          <w:rFonts w:ascii="黑体" w:eastAsia="黑体"/>
          <w:b/>
          <w:szCs w:val="21"/>
        </w:rPr>
      </w:pPr>
      <w:r>
        <w:rPr>
          <w:rFonts w:hint="eastAsia" w:ascii="黑体" w:eastAsia="黑体"/>
          <w:b/>
          <w:szCs w:val="21"/>
        </w:rPr>
        <w:t>一、募集资金基本情况</w:t>
      </w:r>
    </w:p>
    <w:p w14:paraId="761B254D">
      <w:pPr>
        <w:keepNext w:val="0"/>
        <w:keepLines w:val="0"/>
        <w:pageBreakBefore w:val="0"/>
        <w:widowControl/>
        <w:kinsoku/>
        <w:wordWrap/>
        <w:overflowPunct/>
        <w:topLinePunct w:val="0"/>
        <w:autoSpaceDE/>
        <w:autoSpaceDN/>
        <w:bidi w:val="0"/>
        <w:adjustRightInd/>
        <w:snapToGrid/>
        <w:spacing w:line="336" w:lineRule="auto"/>
        <w:ind w:firstLine="420" w:firstLineChars="200"/>
        <w:textAlignment w:val="auto"/>
        <w:outlineLvl w:val="1"/>
        <w:rPr>
          <w:rFonts w:ascii="宋体" w:hAnsi="宋体" w:cs="宋体"/>
          <w:color w:val="2B2B2B"/>
          <w:kern w:val="0"/>
          <w:szCs w:val="21"/>
        </w:rPr>
      </w:pPr>
      <w:r>
        <w:rPr>
          <w:rFonts w:hint="eastAsia" w:ascii="宋体" w:hAnsi="宋体" w:cs="宋体"/>
          <w:color w:val="2B2B2B"/>
          <w:kern w:val="0"/>
          <w:szCs w:val="21"/>
        </w:rPr>
        <w:t>(一) 实际募集资金金额和资金到账时间</w:t>
      </w:r>
    </w:p>
    <w:p w14:paraId="5412E306">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黑体" w:eastAsia="黑体"/>
          <w:b/>
          <w:szCs w:val="21"/>
        </w:rPr>
      </w:pPr>
      <w:r>
        <w:rPr>
          <w:rFonts w:hint="eastAsia" w:ascii="宋体" w:hAnsi="宋体"/>
          <w:color w:val="auto"/>
          <w:szCs w:val="21"/>
        </w:rPr>
        <w:t>根据中国证券监督管理委员会《关于核准重庆望变电气（集团）股份有限公司首次公开发行股票的批复》（证监</w:t>
      </w:r>
      <w:r>
        <w:rPr>
          <w:rFonts w:hint="eastAsia" w:ascii="宋体" w:hAnsi="宋体"/>
          <w:color w:val="auto"/>
          <w:szCs w:val="21"/>
          <w:lang w:val="en-US" w:eastAsia="zh-CN"/>
        </w:rPr>
        <w:t>许可</w:t>
      </w:r>
      <w:r>
        <w:rPr>
          <w:rFonts w:hint="eastAsia" w:ascii="宋体" w:hAnsi="宋体"/>
          <w:color w:val="auto"/>
          <w:szCs w:val="21"/>
        </w:rPr>
        <w:t>〔20</w:t>
      </w:r>
      <w:r>
        <w:rPr>
          <w:rFonts w:hint="eastAsia" w:ascii="宋体" w:hAnsi="宋体"/>
          <w:color w:val="auto"/>
          <w:szCs w:val="21"/>
          <w:lang w:val="en-US" w:eastAsia="zh-CN"/>
        </w:rPr>
        <w:t>22</w:t>
      </w:r>
      <w:r>
        <w:rPr>
          <w:rFonts w:hint="eastAsia" w:ascii="宋体" w:hAnsi="宋体"/>
          <w:color w:val="auto"/>
          <w:szCs w:val="21"/>
        </w:rPr>
        <w:t>〕</w:t>
      </w:r>
      <w:r>
        <w:rPr>
          <w:rFonts w:hint="eastAsia" w:ascii="宋体" w:hAnsi="宋体"/>
          <w:color w:val="auto"/>
          <w:szCs w:val="21"/>
          <w:lang w:val="en-US" w:eastAsia="zh-CN"/>
        </w:rPr>
        <w:t>490</w:t>
      </w:r>
      <w:r>
        <w:rPr>
          <w:rFonts w:hint="eastAsia" w:ascii="宋体" w:hAnsi="宋体"/>
          <w:color w:val="auto"/>
          <w:szCs w:val="21"/>
        </w:rPr>
        <w:t>号）</w:t>
      </w:r>
      <w:r>
        <w:rPr>
          <w:rFonts w:hint="eastAsia" w:ascii="宋体" w:hAnsi="宋体"/>
        </w:rPr>
        <w:t>，本公司由主承销商中信证券股份有限公司采用网下向符合条件的投资者询价配售和网上向持有上海市场非限售A股股份和非限售存托凭证市值的社会公众投资者定价发行相结合的方式，</w:t>
      </w:r>
      <w:r>
        <w:rPr>
          <w:rFonts w:hint="eastAsia" w:ascii="宋体" w:hAnsi="宋体"/>
          <w:i w:val="0"/>
          <w:iCs/>
        </w:rPr>
        <w:t>向</w:t>
      </w:r>
      <w:r>
        <w:rPr>
          <w:rFonts w:hint="default" w:ascii="宋体" w:hAnsi="宋体"/>
          <w:i w:val="0"/>
          <w:iCs/>
          <w:lang w:val="en-US"/>
        </w:rPr>
        <w:t>社会公众公开</w:t>
      </w:r>
      <w:r>
        <w:rPr>
          <w:rFonts w:hint="eastAsia" w:ascii="宋体" w:hAnsi="宋体"/>
          <w:i w:val="0"/>
          <w:iCs/>
        </w:rPr>
        <w:t>发行</w:t>
      </w:r>
      <w:r>
        <w:rPr>
          <w:rFonts w:hint="eastAsia" w:ascii="宋体" w:hAnsi="宋体"/>
          <w:i w:val="0"/>
          <w:iCs/>
          <w:szCs w:val="21"/>
        </w:rPr>
        <w:t>股份</w:t>
      </w:r>
      <w:r>
        <w:rPr>
          <w:rFonts w:hint="eastAsia" w:ascii="宋体" w:hAnsi="宋体"/>
          <w:i w:val="0"/>
          <w:iCs/>
        </w:rPr>
        <w:t>人</w:t>
      </w:r>
      <w:r>
        <w:rPr>
          <w:rFonts w:hint="eastAsia" w:ascii="宋体" w:hAnsi="宋体"/>
        </w:rPr>
        <w:t>民币普通股（</w:t>
      </w:r>
      <w:r>
        <w:rPr>
          <w:rFonts w:hint="eastAsia" w:ascii="宋体" w:hAnsi="宋体"/>
          <w:i w:val="0"/>
          <w:iCs/>
        </w:rPr>
        <w:t>A</w:t>
      </w:r>
      <w:r>
        <w:rPr>
          <w:rFonts w:hint="eastAsia" w:ascii="宋体" w:hAnsi="宋体"/>
        </w:rPr>
        <w:t>股）股票83,291,852股，</w:t>
      </w:r>
      <w:r>
        <w:rPr>
          <w:rFonts w:hint="eastAsia" w:ascii="宋体" w:hAnsi="宋体"/>
          <w:i w:val="0"/>
          <w:iCs/>
        </w:rPr>
        <w:t>发行价为每</w:t>
      </w:r>
      <w:r>
        <w:rPr>
          <w:rFonts w:hint="eastAsia" w:ascii="宋体" w:hAnsi="宋体"/>
        </w:rPr>
        <w:t>股人民币</w:t>
      </w:r>
      <w:r>
        <w:rPr>
          <w:rFonts w:hint="eastAsia" w:ascii="宋体" w:hAnsi="宋体"/>
          <w:lang w:val="en-US" w:eastAsia="zh-CN"/>
        </w:rPr>
        <w:t>11.86</w:t>
      </w:r>
      <w:r>
        <w:rPr>
          <w:rFonts w:hint="eastAsia" w:ascii="宋体" w:hAnsi="宋体"/>
        </w:rPr>
        <w:t>元，共计募集资金987,841,364.72元，坐扣承销和保荐费用1</w:t>
      </w:r>
      <w:r>
        <w:rPr>
          <w:rFonts w:hint="eastAsia" w:ascii="宋体" w:hAnsi="宋体"/>
          <w:lang w:val="en-US" w:eastAsia="zh-CN"/>
        </w:rPr>
        <w:t>0</w:t>
      </w:r>
      <w:r>
        <w:rPr>
          <w:rFonts w:hint="eastAsia" w:ascii="宋体" w:hAnsi="宋体"/>
        </w:rPr>
        <w:t>3,</w:t>
      </w:r>
      <w:r>
        <w:rPr>
          <w:rFonts w:hint="eastAsia" w:ascii="宋体" w:hAnsi="宋体"/>
          <w:lang w:val="en-US" w:eastAsia="zh-CN"/>
        </w:rPr>
        <w:t>415</w:t>
      </w:r>
      <w:r>
        <w:rPr>
          <w:rFonts w:hint="eastAsia" w:ascii="宋体" w:hAnsi="宋体"/>
        </w:rPr>
        <w:t>,</w:t>
      </w:r>
      <w:r>
        <w:rPr>
          <w:rFonts w:hint="eastAsia" w:ascii="宋体" w:hAnsi="宋体"/>
          <w:lang w:val="en-US" w:eastAsia="zh-CN"/>
        </w:rPr>
        <w:t>094</w:t>
      </w:r>
      <w:r>
        <w:rPr>
          <w:rFonts w:hint="eastAsia" w:ascii="宋体" w:hAnsi="宋体"/>
        </w:rPr>
        <w:t>.</w:t>
      </w:r>
      <w:r>
        <w:rPr>
          <w:rFonts w:hint="eastAsia" w:ascii="宋体" w:hAnsi="宋体"/>
          <w:lang w:val="en-US" w:eastAsia="zh-CN"/>
        </w:rPr>
        <w:t>34</w:t>
      </w:r>
      <w:r>
        <w:rPr>
          <w:rFonts w:hint="eastAsia" w:ascii="宋体" w:hAnsi="宋体"/>
        </w:rPr>
        <w:t>元后的募集资金为884,426,270.38元，已由主承销商中信证券股份有限公司于20</w:t>
      </w:r>
      <w:r>
        <w:rPr>
          <w:rFonts w:hint="eastAsia" w:ascii="宋体" w:hAnsi="宋体"/>
          <w:lang w:val="en-US" w:eastAsia="zh-CN"/>
        </w:rPr>
        <w:t>22</w:t>
      </w:r>
      <w:r>
        <w:rPr>
          <w:rFonts w:hint="eastAsia" w:ascii="宋体" w:hAnsi="宋体"/>
        </w:rPr>
        <w:t>年</w:t>
      </w:r>
      <w:r>
        <w:rPr>
          <w:rFonts w:hint="eastAsia" w:ascii="宋体" w:hAnsi="宋体"/>
          <w:lang w:val="en-US" w:eastAsia="zh-CN"/>
        </w:rPr>
        <w:t>4</w:t>
      </w:r>
      <w:r>
        <w:rPr>
          <w:rFonts w:hint="eastAsia" w:ascii="宋体" w:hAnsi="宋体"/>
        </w:rPr>
        <w:t>月</w:t>
      </w:r>
      <w:r>
        <w:rPr>
          <w:rFonts w:hint="eastAsia" w:ascii="宋体" w:hAnsi="宋体"/>
          <w:lang w:val="en-US" w:eastAsia="zh-CN"/>
        </w:rPr>
        <w:t>22</w:t>
      </w:r>
      <w:r>
        <w:rPr>
          <w:rFonts w:hint="eastAsia" w:ascii="宋体" w:hAnsi="宋体"/>
        </w:rPr>
        <w:t>日汇入本公司募集资金监管账户</w:t>
      </w:r>
      <w:r>
        <w:rPr>
          <w:rFonts w:hint="eastAsia" w:ascii="宋体" w:hAnsi="宋体"/>
          <w:highlight w:val="none"/>
        </w:rPr>
        <w:t>。另减除</w:t>
      </w:r>
      <w:r>
        <w:rPr>
          <w:rFonts w:hint="eastAsia"/>
          <w:highlight w:val="none"/>
        </w:rPr>
        <w:t>上网发行费、招股说明书印刷费、申报会计师费、律师费、评估费等与发行权益性证券直接相关的新增外部费用</w:t>
      </w:r>
      <w:r>
        <w:rPr>
          <w:rFonts w:hint="eastAsia" w:ascii="宋体" w:hAnsi="宋体"/>
          <w:highlight w:val="none"/>
        </w:rPr>
        <w:t>29,864,470.38元后，公司本次募集资金净额为854,561,800.00元。上述募集资金到位情况业经</w:t>
      </w:r>
      <w:r>
        <w:rPr>
          <w:rFonts w:hint="eastAsia" w:ascii="宋体" w:hAnsi="宋体"/>
          <w:highlight w:val="none"/>
          <w:lang w:val="en-US" w:eastAsia="zh-CN"/>
        </w:rPr>
        <w:t>大华会计师事务所（特殊普通合伙）</w:t>
      </w:r>
      <w:r>
        <w:rPr>
          <w:rFonts w:hint="eastAsia" w:ascii="宋体" w:hAnsi="宋体"/>
          <w:highlight w:val="none"/>
        </w:rPr>
        <w:t>验证，并由其出具《验资报告》（</w:t>
      </w:r>
      <w:r>
        <w:rPr>
          <w:rFonts w:hint="eastAsia" w:ascii="宋体" w:hAnsi="宋体"/>
          <w:highlight w:val="none"/>
          <w:lang w:val="en-US" w:eastAsia="zh-CN"/>
        </w:rPr>
        <w:t>大华验字</w:t>
      </w:r>
      <w:r>
        <w:rPr>
          <w:rFonts w:hint="eastAsia" w:ascii="宋体" w:hAnsi="宋体"/>
          <w:highlight w:val="none"/>
        </w:rPr>
        <w:t>〔</w:t>
      </w:r>
      <w:r>
        <w:rPr>
          <w:rFonts w:ascii="宋体" w:hAnsi="宋体"/>
          <w:highlight w:val="none"/>
        </w:rPr>
        <w:t>20</w:t>
      </w:r>
      <w:r>
        <w:rPr>
          <w:rFonts w:hint="eastAsia" w:ascii="宋体" w:hAnsi="宋体"/>
          <w:highlight w:val="none"/>
          <w:lang w:val="en-US" w:eastAsia="zh-CN"/>
        </w:rPr>
        <w:t>22</w:t>
      </w:r>
      <w:r>
        <w:rPr>
          <w:rFonts w:hint="eastAsia" w:ascii="宋体" w:hAnsi="宋体"/>
          <w:highlight w:val="none"/>
        </w:rPr>
        <w:t>〕</w:t>
      </w:r>
      <w:r>
        <w:rPr>
          <w:rFonts w:hint="eastAsia" w:ascii="宋体" w:hAnsi="宋体"/>
          <w:highlight w:val="none"/>
          <w:lang w:val="en-US" w:eastAsia="zh-CN"/>
        </w:rPr>
        <w:t>000143</w:t>
      </w:r>
      <w:r>
        <w:rPr>
          <w:rFonts w:hint="eastAsia" w:ascii="宋体" w:hAnsi="宋体"/>
          <w:highlight w:val="none"/>
        </w:rPr>
        <w:t>号）。</w:t>
      </w:r>
    </w:p>
    <w:p w14:paraId="7C477DF4">
      <w:pPr>
        <w:keepNext w:val="0"/>
        <w:keepLines w:val="0"/>
        <w:pageBreakBefore w:val="0"/>
        <w:widowControl/>
        <w:kinsoku/>
        <w:wordWrap/>
        <w:overflowPunct/>
        <w:topLinePunct w:val="0"/>
        <w:autoSpaceDE/>
        <w:autoSpaceDN/>
        <w:bidi w:val="0"/>
        <w:adjustRightInd/>
        <w:snapToGrid/>
        <w:spacing w:line="336" w:lineRule="auto"/>
        <w:ind w:firstLine="420" w:firstLineChars="200"/>
        <w:textAlignment w:val="auto"/>
        <w:outlineLvl w:val="1"/>
        <w:rPr>
          <w:rFonts w:ascii="宋体" w:hAnsi="宋体" w:cs="宋体"/>
          <w:color w:val="2B2B2B"/>
          <w:kern w:val="0"/>
          <w:szCs w:val="21"/>
        </w:rPr>
      </w:pPr>
      <w:r>
        <w:rPr>
          <w:rFonts w:hint="eastAsia" w:ascii="宋体" w:hAnsi="宋体" w:cs="宋体"/>
          <w:color w:val="2B2B2B"/>
          <w:kern w:val="0"/>
          <w:szCs w:val="21"/>
        </w:rPr>
        <w:t>(二) 募集资金使用和结余情况</w:t>
      </w:r>
    </w:p>
    <w:p w14:paraId="2708F9EF">
      <w:pPr>
        <w:keepNext w:val="0"/>
        <w:keepLines w:val="0"/>
        <w:pageBreakBefore w:val="0"/>
        <w:kinsoku/>
        <w:wordWrap/>
        <w:overflowPunct/>
        <w:topLinePunct w:val="0"/>
        <w:autoSpaceDE/>
        <w:autoSpaceDN/>
        <w:bidi w:val="0"/>
        <w:adjustRightInd/>
        <w:snapToGrid/>
        <w:spacing w:line="336" w:lineRule="auto"/>
        <w:jc w:val="right"/>
        <w:textAlignment w:val="auto"/>
        <w:rPr>
          <w:rFonts w:ascii="宋体" w:hAnsi="宋体"/>
        </w:rPr>
      </w:pPr>
      <w:r>
        <w:rPr>
          <w:rFonts w:hint="eastAsia" w:ascii="宋体" w:hAnsi="宋体"/>
        </w:rPr>
        <w:t>金额单位：人民币万元</w:t>
      </w:r>
    </w:p>
    <w:tbl>
      <w:tblPr>
        <w:tblStyle w:val="11"/>
        <w:tblW w:w="4998"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431"/>
        <w:gridCol w:w="2001"/>
        <w:gridCol w:w="1979"/>
        <w:gridCol w:w="2102"/>
      </w:tblGrid>
      <w:tr w14:paraId="060E49D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2603" w:type="pct"/>
            <w:gridSpan w:val="2"/>
            <w:shd w:val="clear" w:color="auto" w:fill="auto"/>
            <w:vAlign w:val="center"/>
          </w:tcPr>
          <w:p w14:paraId="3DC9558F">
            <w:pPr>
              <w:adjustRightInd w:val="0"/>
              <w:ind w:firstLine="210" w:firstLineChars="100"/>
              <w:jc w:val="left"/>
              <w:rPr>
                <w:rFonts w:ascii="宋体" w:hAnsi="宋体" w:cs="宋体"/>
                <w:kern w:val="0"/>
                <w:sz w:val="21"/>
                <w:szCs w:val="21"/>
              </w:rPr>
            </w:pPr>
            <w:r>
              <w:rPr>
                <w:rFonts w:hint="eastAsia" w:ascii="宋体" w:hAnsi="宋体" w:cs="宋体"/>
                <w:kern w:val="0"/>
                <w:sz w:val="21"/>
                <w:szCs w:val="21"/>
              </w:rPr>
              <w:t>项</w:t>
            </w:r>
            <w:r>
              <w:rPr>
                <w:rFonts w:ascii="宋体" w:hAnsi="宋体" w:cs="宋体"/>
                <w:kern w:val="0"/>
                <w:sz w:val="21"/>
                <w:szCs w:val="21"/>
              </w:rPr>
              <w:t xml:space="preserve">  目</w:t>
            </w:r>
          </w:p>
        </w:tc>
        <w:tc>
          <w:tcPr>
            <w:tcW w:w="1162" w:type="pct"/>
            <w:shd w:val="clear" w:color="auto" w:fill="auto"/>
            <w:vAlign w:val="center"/>
          </w:tcPr>
          <w:p w14:paraId="62440A7D">
            <w:pPr>
              <w:adjustRightInd w:val="0"/>
              <w:jc w:val="center"/>
              <w:rPr>
                <w:rFonts w:ascii="宋体" w:hAnsi="宋体" w:cs="宋体"/>
                <w:kern w:val="0"/>
                <w:sz w:val="21"/>
                <w:szCs w:val="21"/>
              </w:rPr>
            </w:pPr>
            <w:r>
              <w:rPr>
                <w:rFonts w:hint="eastAsia" w:ascii="宋体" w:hAnsi="宋体" w:cs="宋体"/>
                <w:kern w:val="0"/>
                <w:sz w:val="21"/>
                <w:szCs w:val="21"/>
              </w:rPr>
              <w:t>序号</w:t>
            </w:r>
          </w:p>
        </w:tc>
        <w:tc>
          <w:tcPr>
            <w:tcW w:w="1234" w:type="pct"/>
            <w:shd w:val="clear" w:color="auto" w:fill="auto"/>
            <w:vAlign w:val="center"/>
          </w:tcPr>
          <w:p w14:paraId="14BE95B5">
            <w:pPr>
              <w:adjustRightInd w:val="0"/>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金  额</w:t>
            </w:r>
          </w:p>
        </w:tc>
      </w:tr>
      <w:tr w14:paraId="1C54B19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03" w:type="pct"/>
            <w:gridSpan w:val="2"/>
            <w:shd w:val="clear" w:color="auto" w:fill="auto"/>
            <w:vAlign w:val="center"/>
          </w:tcPr>
          <w:p w14:paraId="1E1D622B">
            <w:pPr>
              <w:adjustRightInd w:val="0"/>
              <w:jc w:val="left"/>
              <w:rPr>
                <w:rFonts w:ascii="宋体" w:hAnsi="宋体" w:cs="宋体"/>
                <w:kern w:val="0"/>
                <w:sz w:val="21"/>
                <w:szCs w:val="21"/>
              </w:rPr>
            </w:pPr>
            <w:r>
              <w:rPr>
                <w:rFonts w:hint="eastAsia" w:ascii="宋体" w:hAnsi="宋体" w:cs="宋体"/>
                <w:kern w:val="0"/>
                <w:sz w:val="21"/>
                <w:szCs w:val="21"/>
              </w:rPr>
              <w:t>募集资金净额</w:t>
            </w:r>
          </w:p>
        </w:tc>
        <w:tc>
          <w:tcPr>
            <w:tcW w:w="1162" w:type="pct"/>
            <w:shd w:val="clear" w:color="auto" w:fill="auto"/>
            <w:vAlign w:val="center"/>
          </w:tcPr>
          <w:p w14:paraId="0499696B">
            <w:pPr>
              <w:adjustRightInd w:val="0"/>
              <w:jc w:val="center"/>
              <w:rPr>
                <w:rFonts w:ascii="宋体" w:hAnsi="宋体" w:cs="宋体"/>
                <w:kern w:val="0"/>
                <w:sz w:val="21"/>
                <w:szCs w:val="21"/>
              </w:rPr>
            </w:pPr>
            <w:r>
              <w:rPr>
                <w:rFonts w:hint="eastAsia" w:ascii="宋体" w:hAnsi="宋体" w:cs="宋体"/>
                <w:kern w:val="0"/>
                <w:sz w:val="21"/>
                <w:szCs w:val="21"/>
              </w:rPr>
              <w:t>A</w:t>
            </w:r>
          </w:p>
        </w:tc>
        <w:tc>
          <w:tcPr>
            <w:tcW w:w="1234" w:type="pct"/>
            <w:shd w:val="clear" w:color="auto" w:fill="auto"/>
            <w:vAlign w:val="center"/>
          </w:tcPr>
          <w:p w14:paraId="7263B538">
            <w:pPr>
              <w:adjustRightInd w:val="0"/>
              <w:jc w:val="right"/>
              <w:rPr>
                <w:rFonts w:ascii="宋体" w:hAnsi="宋体" w:cs="宋体"/>
                <w:kern w:val="0"/>
                <w:sz w:val="21"/>
                <w:szCs w:val="21"/>
              </w:rPr>
            </w:pPr>
            <w:r>
              <w:rPr>
                <w:rFonts w:hint="eastAsia" w:ascii="宋体" w:hAnsi="宋体" w:cs="宋体"/>
                <w:kern w:val="0"/>
                <w:sz w:val="21"/>
                <w:szCs w:val="21"/>
              </w:rPr>
              <w:t xml:space="preserve"> 85,456.18 </w:t>
            </w:r>
          </w:p>
        </w:tc>
      </w:tr>
      <w:tr w14:paraId="62A7D59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8" w:type="pct"/>
            <w:vMerge w:val="restart"/>
            <w:shd w:val="clear" w:color="auto" w:fill="auto"/>
            <w:vAlign w:val="center"/>
          </w:tcPr>
          <w:p w14:paraId="08D6E638">
            <w:pPr>
              <w:adjustRightInd w:val="0"/>
              <w:jc w:val="both"/>
              <w:rPr>
                <w:rFonts w:ascii="宋体" w:hAnsi="宋体" w:cs="宋体"/>
                <w:kern w:val="0"/>
                <w:sz w:val="21"/>
                <w:szCs w:val="21"/>
              </w:rPr>
            </w:pPr>
            <w:r>
              <w:rPr>
                <w:rFonts w:hint="eastAsia" w:ascii="宋体" w:hAnsi="宋体" w:cs="宋体"/>
                <w:kern w:val="0"/>
                <w:sz w:val="21"/>
                <w:szCs w:val="21"/>
              </w:rPr>
              <w:t>截至</w:t>
            </w:r>
            <w:r>
              <w:rPr>
                <w:rFonts w:hint="eastAsia" w:ascii="宋体" w:hAnsi="宋体" w:cs="宋体"/>
                <w:kern w:val="0"/>
                <w:sz w:val="21"/>
                <w:szCs w:val="21"/>
                <w:lang w:eastAsia="zh"/>
              </w:rPr>
              <w:t>2023年12月31日</w:t>
            </w:r>
            <w:r>
              <w:rPr>
                <w:rFonts w:hint="eastAsia" w:ascii="宋体" w:hAnsi="宋体" w:cs="宋体"/>
                <w:kern w:val="0"/>
                <w:sz w:val="21"/>
                <w:szCs w:val="21"/>
              </w:rPr>
              <w:t>累计发生额</w:t>
            </w:r>
          </w:p>
        </w:tc>
        <w:tc>
          <w:tcPr>
            <w:tcW w:w="1174" w:type="pct"/>
            <w:shd w:val="clear" w:color="auto" w:fill="auto"/>
            <w:vAlign w:val="center"/>
          </w:tcPr>
          <w:p w14:paraId="38C7309D">
            <w:pPr>
              <w:adjustRightInd w:val="0"/>
              <w:jc w:val="left"/>
              <w:rPr>
                <w:rFonts w:ascii="宋体" w:hAnsi="宋体" w:cs="宋体"/>
                <w:kern w:val="0"/>
                <w:sz w:val="21"/>
                <w:szCs w:val="21"/>
              </w:rPr>
            </w:pPr>
            <w:r>
              <w:rPr>
                <w:rFonts w:hint="eastAsia" w:ascii="宋体" w:hAnsi="宋体" w:cs="宋体"/>
                <w:kern w:val="0"/>
                <w:sz w:val="21"/>
                <w:szCs w:val="21"/>
              </w:rPr>
              <w:t>项目投入</w:t>
            </w:r>
          </w:p>
        </w:tc>
        <w:tc>
          <w:tcPr>
            <w:tcW w:w="1162" w:type="pct"/>
            <w:shd w:val="clear" w:color="auto" w:fill="auto"/>
            <w:vAlign w:val="center"/>
          </w:tcPr>
          <w:p w14:paraId="301249E9">
            <w:pPr>
              <w:adjustRightInd w:val="0"/>
              <w:jc w:val="center"/>
              <w:rPr>
                <w:rFonts w:ascii="宋体" w:hAnsi="宋体" w:cs="宋体"/>
                <w:kern w:val="0"/>
                <w:sz w:val="21"/>
                <w:szCs w:val="21"/>
              </w:rPr>
            </w:pPr>
            <w:r>
              <w:rPr>
                <w:rFonts w:hint="eastAsia" w:ascii="宋体" w:hAnsi="宋体" w:cs="宋体"/>
                <w:kern w:val="0"/>
                <w:sz w:val="21"/>
                <w:szCs w:val="21"/>
              </w:rPr>
              <w:t>B1</w:t>
            </w:r>
          </w:p>
        </w:tc>
        <w:tc>
          <w:tcPr>
            <w:tcW w:w="1234" w:type="pct"/>
            <w:shd w:val="clear" w:color="auto" w:fill="auto"/>
            <w:vAlign w:val="center"/>
          </w:tcPr>
          <w:p w14:paraId="0E4D6358">
            <w:pPr>
              <w:adjustRightInd w:val="0"/>
              <w:jc w:val="right"/>
              <w:rPr>
                <w:rFonts w:ascii="宋体" w:hAnsi="宋体" w:cs="宋体"/>
                <w:kern w:val="0"/>
                <w:sz w:val="21"/>
                <w:szCs w:val="21"/>
              </w:rPr>
            </w:pPr>
            <w:r>
              <w:rPr>
                <w:rFonts w:hint="eastAsia" w:ascii="宋体" w:hAnsi="宋体" w:cs="宋体"/>
                <w:kern w:val="0"/>
                <w:sz w:val="21"/>
                <w:szCs w:val="21"/>
              </w:rPr>
              <w:t xml:space="preserve"> 58,105.09    </w:t>
            </w:r>
          </w:p>
        </w:tc>
      </w:tr>
      <w:tr w14:paraId="3EECC3A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8" w:type="pct"/>
            <w:vMerge w:val="continue"/>
            <w:shd w:val="clear" w:color="auto" w:fill="auto"/>
            <w:vAlign w:val="center"/>
          </w:tcPr>
          <w:p w14:paraId="77C1209C">
            <w:pPr>
              <w:adjustRightInd w:val="0"/>
              <w:jc w:val="left"/>
              <w:rPr>
                <w:rFonts w:ascii="宋体" w:hAnsi="宋体" w:cs="宋体"/>
                <w:kern w:val="0"/>
                <w:sz w:val="21"/>
                <w:szCs w:val="21"/>
              </w:rPr>
            </w:pPr>
          </w:p>
        </w:tc>
        <w:tc>
          <w:tcPr>
            <w:tcW w:w="1174" w:type="pct"/>
            <w:shd w:val="clear" w:color="auto" w:fill="auto"/>
            <w:vAlign w:val="center"/>
          </w:tcPr>
          <w:p w14:paraId="2BD2CC52">
            <w:pPr>
              <w:adjustRightInd w:val="0"/>
              <w:jc w:val="left"/>
              <w:rPr>
                <w:rFonts w:ascii="宋体" w:hAnsi="宋体" w:cs="宋体"/>
                <w:kern w:val="0"/>
                <w:sz w:val="21"/>
                <w:szCs w:val="21"/>
              </w:rPr>
            </w:pPr>
            <w:r>
              <w:rPr>
                <w:rFonts w:hint="eastAsia" w:ascii="宋体" w:hAnsi="宋体" w:cs="宋体"/>
                <w:kern w:val="0"/>
                <w:sz w:val="21"/>
                <w:szCs w:val="21"/>
              </w:rPr>
              <w:t>利息收入</w:t>
            </w:r>
            <w:r>
              <w:rPr>
                <w:rFonts w:hint="eastAsia" w:ascii="宋体" w:hAnsi="宋体" w:cs="宋体"/>
                <w:kern w:val="0"/>
                <w:sz w:val="21"/>
                <w:szCs w:val="21"/>
                <w:lang w:val="en-US" w:eastAsia="zh-CN"/>
              </w:rPr>
              <w:t>及现金管理收益</w:t>
            </w:r>
            <w:r>
              <w:rPr>
                <w:rFonts w:hint="eastAsia" w:ascii="宋体" w:hAnsi="宋体" w:cs="宋体"/>
                <w:kern w:val="0"/>
                <w:sz w:val="21"/>
                <w:szCs w:val="21"/>
              </w:rPr>
              <w:t>净额</w:t>
            </w:r>
          </w:p>
        </w:tc>
        <w:tc>
          <w:tcPr>
            <w:tcW w:w="1162" w:type="pct"/>
            <w:shd w:val="clear" w:color="auto" w:fill="auto"/>
            <w:vAlign w:val="center"/>
          </w:tcPr>
          <w:p w14:paraId="1CFF3782">
            <w:pPr>
              <w:adjustRightInd w:val="0"/>
              <w:jc w:val="center"/>
              <w:rPr>
                <w:rFonts w:ascii="宋体" w:hAnsi="宋体" w:cs="宋体"/>
                <w:kern w:val="0"/>
                <w:sz w:val="21"/>
                <w:szCs w:val="21"/>
              </w:rPr>
            </w:pPr>
            <w:r>
              <w:rPr>
                <w:rFonts w:hint="eastAsia" w:ascii="宋体" w:hAnsi="宋体" w:cs="宋体"/>
                <w:kern w:val="0"/>
                <w:sz w:val="21"/>
                <w:szCs w:val="21"/>
              </w:rPr>
              <w:t>B2</w:t>
            </w:r>
          </w:p>
        </w:tc>
        <w:tc>
          <w:tcPr>
            <w:tcW w:w="1234" w:type="pct"/>
            <w:shd w:val="clear" w:color="auto" w:fill="auto"/>
            <w:vAlign w:val="center"/>
          </w:tcPr>
          <w:p w14:paraId="75FD9E8E">
            <w:pPr>
              <w:adjustRightInd w:val="0"/>
              <w:jc w:val="right"/>
              <w:rPr>
                <w:rFonts w:ascii="宋体" w:hAnsi="宋体" w:cs="宋体"/>
                <w:kern w:val="0"/>
                <w:sz w:val="21"/>
                <w:szCs w:val="21"/>
              </w:rPr>
            </w:pPr>
            <w:r>
              <w:rPr>
                <w:rFonts w:hint="eastAsia" w:ascii="宋体" w:hAnsi="宋体" w:cs="宋体"/>
                <w:kern w:val="0"/>
                <w:szCs w:val="21"/>
              </w:rPr>
              <w:t>2,116.90</w:t>
            </w:r>
            <w:r>
              <w:rPr>
                <w:rFonts w:hint="eastAsia" w:ascii="宋体" w:hAnsi="宋体" w:cs="宋体"/>
                <w:kern w:val="0"/>
                <w:sz w:val="21"/>
                <w:szCs w:val="21"/>
              </w:rPr>
              <w:t xml:space="preserve"> </w:t>
            </w:r>
          </w:p>
        </w:tc>
      </w:tr>
      <w:tr w14:paraId="1E4BBF4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8" w:type="pct"/>
            <w:vMerge w:val="restart"/>
            <w:shd w:val="clear" w:color="auto" w:fill="auto"/>
            <w:vAlign w:val="center"/>
          </w:tcPr>
          <w:p w14:paraId="09ED1ACB">
            <w:pPr>
              <w:adjustRightInd w:val="0"/>
              <w:jc w:val="left"/>
              <w:rPr>
                <w:rFonts w:ascii="宋体" w:hAnsi="宋体" w:cs="宋体"/>
                <w:kern w:val="0"/>
                <w:sz w:val="21"/>
                <w:szCs w:val="21"/>
              </w:rPr>
            </w:pPr>
            <w:r>
              <w:rPr>
                <w:rFonts w:hint="eastAsia" w:ascii="宋体" w:hAnsi="宋体" w:cs="宋体"/>
                <w:kern w:val="0"/>
                <w:sz w:val="21"/>
                <w:szCs w:val="21"/>
                <w:lang w:eastAsia="zh"/>
              </w:rPr>
              <w:t>2024年度</w:t>
            </w:r>
            <w:r>
              <w:rPr>
                <w:rFonts w:hint="eastAsia" w:ascii="宋体" w:hAnsi="宋体" w:cs="宋体"/>
                <w:kern w:val="0"/>
                <w:sz w:val="21"/>
                <w:szCs w:val="21"/>
              </w:rPr>
              <w:t>发生额</w:t>
            </w:r>
          </w:p>
        </w:tc>
        <w:tc>
          <w:tcPr>
            <w:tcW w:w="1174" w:type="pct"/>
            <w:shd w:val="clear" w:color="auto" w:fill="auto"/>
            <w:vAlign w:val="center"/>
          </w:tcPr>
          <w:p w14:paraId="753CD96D">
            <w:pPr>
              <w:adjustRightInd w:val="0"/>
              <w:jc w:val="left"/>
              <w:rPr>
                <w:rFonts w:ascii="宋体" w:hAnsi="宋体" w:cs="宋体"/>
                <w:kern w:val="0"/>
                <w:sz w:val="21"/>
                <w:szCs w:val="21"/>
              </w:rPr>
            </w:pPr>
            <w:r>
              <w:rPr>
                <w:rFonts w:hint="eastAsia" w:ascii="宋体" w:hAnsi="宋体" w:cs="宋体"/>
                <w:kern w:val="0"/>
                <w:sz w:val="21"/>
                <w:szCs w:val="21"/>
              </w:rPr>
              <w:t>项目投入</w:t>
            </w:r>
          </w:p>
        </w:tc>
        <w:tc>
          <w:tcPr>
            <w:tcW w:w="1162" w:type="pct"/>
            <w:shd w:val="clear" w:color="auto" w:fill="auto"/>
            <w:vAlign w:val="center"/>
          </w:tcPr>
          <w:p w14:paraId="1E49669D">
            <w:pPr>
              <w:adjustRightInd w:val="0"/>
              <w:jc w:val="center"/>
              <w:rPr>
                <w:rFonts w:ascii="宋体" w:hAnsi="宋体" w:cs="宋体"/>
                <w:kern w:val="0"/>
                <w:sz w:val="21"/>
                <w:szCs w:val="21"/>
              </w:rPr>
            </w:pPr>
            <w:r>
              <w:rPr>
                <w:rFonts w:hint="eastAsia" w:ascii="宋体" w:hAnsi="宋体" w:cs="宋体"/>
                <w:kern w:val="0"/>
                <w:sz w:val="21"/>
                <w:szCs w:val="21"/>
              </w:rPr>
              <w:t>C1</w:t>
            </w:r>
          </w:p>
        </w:tc>
        <w:tc>
          <w:tcPr>
            <w:tcW w:w="1234" w:type="pct"/>
            <w:shd w:val="clear" w:color="auto" w:fill="auto"/>
            <w:vAlign w:val="center"/>
          </w:tcPr>
          <w:p w14:paraId="6792C7BC">
            <w:pPr>
              <w:adjustRightInd w:val="0"/>
              <w:jc w:val="right"/>
              <w:rPr>
                <w:rFonts w:ascii="宋体" w:hAnsi="宋体" w:cs="宋体"/>
                <w:kern w:val="0"/>
                <w:sz w:val="21"/>
                <w:szCs w:val="21"/>
              </w:rPr>
            </w:pPr>
            <w:r>
              <w:rPr>
                <w:rFonts w:hint="eastAsia" w:ascii="宋体" w:hAnsi="宋体" w:cs="宋体"/>
                <w:kern w:val="0"/>
                <w:sz w:val="21"/>
                <w:szCs w:val="21"/>
              </w:rPr>
              <w:t xml:space="preserve"> 22,185.10   </w:t>
            </w:r>
          </w:p>
        </w:tc>
      </w:tr>
      <w:tr w14:paraId="6E848E6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8" w:type="pct"/>
            <w:vMerge w:val="continue"/>
            <w:shd w:val="clear" w:color="auto" w:fill="auto"/>
            <w:vAlign w:val="center"/>
          </w:tcPr>
          <w:p w14:paraId="12479E71">
            <w:pPr>
              <w:adjustRightInd w:val="0"/>
              <w:jc w:val="left"/>
              <w:rPr>
                <w:rFonts w:ascii="宋体" w:hAnsi="宋体" w:cs="宋体"/>
                <w:kern w:val="0"/>
                <w:sz w:val="21"/>
                <w:szCs w:val="21"/>
              </w:rPr>
            </w:pPr>
          </w:p>
        </w:tc>
        <w:tc>
          <w:tcPr>
            <w:tcW w:w="1174" w:type="pct"/>
            <w:shd w:val="clear" w:color="auto" w:fill="auto"/>
            <w:vAlign w:val="center"/>
          </w:tcPr>
          <w:p w14:paraId="5D90656E">
            <w:pPr>
              <w:adjustRightInd w:val="0"/>
              <w:jc w:val="left"/>
              <w:rPr>
                <w:rFonts w:ascii="宋体" w:hAnsi="宋体" w:cs="宋体"/>
                <w:kern w:val="0"/>
                <w:sz w:val="21"/>
                <w:szCs w:val="21"/>
              </w:rPr>
            </w:pPr>
            <w:r>
              <w:rPr>
                <w:rFonts w:hint="eastAsia" w:ascii="宋体" w:hAnsi="宋体" w:cs="宋体"/>
                <w:kern w:val="0"/>
                <w:sz w:val="21"/>
                <w:szCs w:val="21"/>
              </w:rPr>
              <w:t>利息收入</w:t>
            </w:r>
            <w:r>
              <w:rPr>
                <w:rFonts w:hint="eastAsia" w:ascii="宋体" w:hAnsi="宋体" w:cs="宋体"/>
                <w:kern w:val="0"/>
                <w:sz w:val="21"/>
                <w:szCs w:val="21"/>
                <w:lang w:val="en-US" w:eastAsia="zh-CN"/>
              </w:rPr>
              <w:t>及现金管理收益</w:t>
            </w:r>
            <w:r>
              <w:rPr>
                <w:rFonts w:hint="eastAsia" w:ascii="宋体" w:hAnsi="宋体" w:cs="宋体"/>
                <w:kern w:val="0"/>
                <w:sz w:val="21"/>
                <w:szCs w:val="21"/>
              </w:rPr>
              <w:t>净额</w:t>
            </w:r>
          </w:p>
        </w:tc>
        <w:tc>
          <w:tcPr>
            <w:tcW w:w="1162" w:type="pct"/>
            <w:shd w:val="clear" w:color="auto" w:fill="auto"/>
            <w:vAlign w:val="center"/>
          </w:tcPr>
          <w:p w14:paraId="1CDE5578">
            <w:pPr>
              <w:adjustRightInd w:val="0"/>
              <w:jc w:val="center"/>
              <w:rPr>
                <w:rFonts w:ascii="宋体" w:hAnsi="宋体" w:cs="宋体"/>
                <w:kern w:val="0"/>
                <w:sz w:val="21"/>
                <w:szCs w:val="21"/>
              </w:rPr>
            </w:pPr>
            <w:r>
              <w:rPr>
                <w:rFonts w:hint="eastAsia" w:ascii="宋体" w:hAnsi="宋体" w:cs="宋体"/>
                <w:kern w:val="0"/>
                <w:sz w:val="21"/>
                <w:szCs w:val="21"/>
              </w:rPr>
              <w:t>C2</w:t>
            </w:r>
          </w:p>
        </w:tc>
        <w:tc>
          <w:tcPr>
            <w:tcW w:w="1234" w:type="pct"/>
            <w:shd w:val="clear" w:color="auto" w:fill="auto"/>
            <w:vAlign w:val="center"/>
          </w:tcPr>
          <w:p w14:paraId="37EFB094">
            <w:pPr>
              <w:adjustRightInd w:val="0"/>
              <w:jc w:val="right"/>
              <w:rPr>
                <w:rFonts w:ascii="宋体" w:hAnsi="宋体" w:cs="宋体"/>
                <w:kern w:val="0"/>
                <w:sz w:val="21"/>
                <w:szCs w:val="21"/>
              </w:rPr>
            </w:pPr>
            <w:r>
              <w:rPr>
                <w:rFonts w:hint="eastAsia" w:ascii="宋体" w:hAnsi="宋体" w:cs="宋体"/>
                <w:kern w:val="0"/>
                <w:szCs w:val="21"/>
              </w:rPr>
              <w:t>592.39</w:t>
            </w:r>
            <w:r>
              <w:rPr>
                <w:rFonts w:hint="eastAsia" w:ascii="宋体" w:hAnsi="宋体" w:cs="宋体"/>
                <w:kern w:val="0"/>
                <w:sz w:val="21"/>
                <w:szCs w:val="21"/>
              </w:rPr>
              <w:t xml:space="preserve"> </w:t>
            </w:r>
          </w:p>
        </w:tc>
      </w:tr>
      <w:tr w14:paraId="3508306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8" w:type="pct"/>
            <w:vMerge w:val="restart"/>
            <w:shd w:val="clear" w:color="auto" w:fill="auto"/>
            <w:vAlign w:val="center"/>
          </w:tcPr>
          <w:p w14:paraId="33334B04">
            <w:pPr>
              <w:adjustRightInd w:val="0"/>
              <w:jc w:val="left"/>
              <w:rPr>
                <w:rFonts w:ascii="宋体" w:hAnsi="宋体" w:cs="宋体"/>
                <w:kern w:val="0"/>
                <w:sz w:val="21"/>
                <w:szCs w:val="21"/>
              </w:rPr>
            </w:pPr>
            <w:r>
              <w:rPr>
                <w:rFonts w:hint="eastAsia" w:ascii="宋体" w:hAnsi="宋体" w:cs="宋体"/>
                <w:kern w:val="0"/>
                <w:sz w:val="21"/>
                <w:szCs w:val="21"/>
              </w:rPr>
              <w:t>截至</w:t>
            </w:r>
            <w:r>
              <w:rPr>
                <w:rFonts w:hint="eastAsia" w:ascii="宋体" w:hAnsi="宋体" w:cs="宋体"/>
                <w:kern w:val="0"/>
                <w:sz w:val="21"/>
                <w:szCs w:val="21"/>
                <w:lang w:eastAsia="zh"/>
              </w:rPr>
              <w:t>20</w:t>
            </w:r>
            <w:r>
              <w:rPr>
                <w:rFonts w:hint="eastAsia" w:ascii="宋体" w:hAnsi="宋体" w:cs="宋体"/>
                <w:kern w:val="0"/>
                <w:sz w:val="21"/>
                <w:szCs w:val="21"/>
                <w:lang w:val="en-US" w:eastAsia="zh-CN"/>
              </w:rPr>
              <w:t>24</w:t>
            </w:r>
            <w:r>
              <w:rPr>
                <w:rFonts w:hint="eastAsia" w:ascii="宋体" w:hAnsi="宋体" w:cs="宋体"/>
                <w:kern w:val="0"/>
                <w:sz w:val="21"/>
                <w:szCs w:val="21"/>
                <w:lang w:eastAsia="zh"/>
              </w:rPr>
              <w:t>年12月31日</w:t>
            </w:r>
            <w:r>
              <w:rPr>
                <w:rFonts w:hint="eastAsia" w:ascii="宋体" w:hAnsi="宋体" w:cs="宋体"/>
                <w:kern w:val="0"/>
                <w:sz w:val="21"/>
                <w:szCs w:val="21"/>
              </w:rPr>
              <w:t>累计发生额</w:t>
            </w:r>
          </w:p>
        </w:tc>
        <w:tc>
          <w:tcPr>
            <w:tcW w:w="1174" w:type="pct"/>
            <w:shd w:val="clear" w:color="auto" w:fill="auto"/>
            <w:vAlign w:val="center"/>
          </w:tcPr>
          <w:p w14:paraId="67C194A8">
            <w:pPr>
              <w:adjustRightInd w:val="0"/>
              <w:jc w:val="left"/>
              <w:rPr>
                <w:rFonts w:ascii="宋体" w:hAnsi="宋体" w:cs="宋体"/>
                <w:kern w:val="0"/>
                <w:sz w:val="21"/>
                <w:szCs w:val="21"/>
              </w:rPr>
            </w:pPr>
            <w:r>
              <w:rPr>
                <w:rFonts w:hint="eastAsia" w:ascii="宋体" w:hAnsi="宋体" w:cs="宋体"/>
                <w:kern w:val="0"/>
                <w:sz w:val="21"/>
                <w:szCs w:val="21"/>
              </w:rPr>
              <w:t>项目投入</w:t>
            </w:r>
          </w:p>
        </w:tc>
        <w:tc>
          <w:tcPr>
            <w:tcW w:w="1162" w:type="pct"/>
            <w:shd w:val="clear" w:color="auto" w:fill="auto"/>
            <w:vAlign w:val="center"/>
          </w:tcPr>
          <w:p w14:paraId="477296C1">
            <w:pPr>
              <w:adjustRightInd w:val="0"/>
              <w:jc w:val="center"/>
              <w:rPr>
                <w:rFonts w:ascii="宋体" w:hAnsi="宋体" w:cs="宋体"/>
                <w:kern w:val="0"/>
                <w:sz w:val="21"/>
                <w:szCs w:val="21"/>
              </w:rPr>
            </w:pPr>
            <w:r>
              <w:rPr>
                <w:rFonts w:hint="eastAsia" w:ascii="宋体" w:hAnsi="宋体" w:cs="宋体"/>
                <w:kern w:val="0"/>
                <w:sz w:val="21"/>
                <w:szCs w:val="21"/>
              </w:rPr>
              <w:t>D1=B1+C1</w:t>
            </w:r>
          </w:p>
        </w:tc>
        <w:tc>
          <w:tcPr>
            <w:tcW w:w="1234" w:type="pct"/>
            <w:shd w:val="clear" w:color="auto" w:fill="auto"/>
            <w:vAlign w:val="center"/>
          </w:tcPr>
          <w:p w14:paraId="64D32FB9">
            <w:pPr>
              <w:adjustRightInd w:val="0"/>
              <w:jc w:val="right"/>
              <w:rPr>
                <w:rFonts w:ascii="宋体" w:hAnsi="宋体" w:cs="宋体"/>
                <w:kern w:val="0"/>
                <w:sz w:val="21"/>
                <w:szCs w:val="21"/>
              </w:rPr>
            </w:pPr>
            <w:r>
              <w:rPr>
                <w:rFonts w:hint="eastAsia" w:ascii="宋体" w:hAnsi="宋体" w:cs="宋体"/>
                <w:kern w:val="0"/>
                <w:sz w:val="21"/>
                <w:szCs w:val="21"/>
              </w:rPr>
              <w:t xml:space="preserve">  80,290.19  </w:t>
            </w:r>
          </w:p>
        </w:tc>
      </w:tr>
      <w:tr w14:paraId="034B45B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8" w:type="pct"/>
            <w:vMerge w:val="continue"/>
            <w:shd w:val="clear" w:color="auto" w:fill="auto"/>
            <w:vAlign w:val="center"/>
          </w:tcPr>
          <w:p w14:paraId="6FA0319F">
            <w:pPr>
              <w:adjustRightInd w:val="0"/>
              <w:jc w:val="left"/>
              <w:rPr>
                <w:rFonts w:ascii="宋体" w:hAnsi="宋体" w:cs="宋体"/>
                <w:kern w:val="0"/>
                <w:sz w:val="21"/>
                <w:szCs w:val="21"/>
              </w:rPr>
            </w:pPr>
          </w:p>
        </w:tc>
        <w:tc>
          <w:tcPr>
            <w:tcW w:w="1174" w:type="pct"/>
            <w:shd w:val="clear" w:color="auto" w:fill="auto"/>
            <w:vAlign w:val="center"/>
          </w:tcPr>
          <w:p w14:paraId="004F46A5">
            <w:pPr>
              <w:adjustRightInd w:val="0"/>
              <w:jc w:val="left"/>
              <w:rPr>
                <w:rFonts w:ascii="宋体" w:hAnsi="宋体" w:cs="宋体"/>
                <w:kern w:val="0"/>
                <w:sz w:val="21"/>
                <w:szCs w:val="21"/>
              </w:rPr>
            </w:pPr>
            <w:r>
              <w:rPr>
                <w:rFonts w:hint="eastAsia" w:ascii="宋体" w:hAnsi="宋体" w:cs="宋体"/>
                <w:kern w:val="0"/>
                <w:sz w:val="21"/>
                <w:szCs w:val="21"/>
              </w:rPr>
              <w:t>利息收入</w:t>
            </w:r>
            <w:r>
              <w:rPr>
                <w:rFonts w:hint="eastAsia" w:ascii="宋体" w:hAnsi="宋体" w:cs="宋体"/>
                <w:kern w:val="0"/>
                <w:sz w:val="21"/>
                <w:szCs w:val="21"/>
                <w:lang w:val="en-US" w:eastAsia="zh-CN"/>
              </w:rPr>
              <w:t>及现金管理收益</w:t>
            </w:r>
            <w:r>
              <w:rPr>
                <w:rFonts w:hint="eastAsia" w:ascii="宋体" w:hAnsi="宋体" w:cs="宋体"/>
                <w:kern w:val="0"/>
                <w:sz w:val="21"/>
                <w:szCs w:val="21"/>
              </w:rPr>
              <w:t>净额</w:t>
            </w:r>
          </w:p>
        </w:tc>
        <w:tc>
          <w:tcPr>
            <w:tcW w:w="1162" w:type="pct"/>
            <w:shd w:val="clear" w:color="auto" w:fill="auto"/>
            <w:vAlign w:val="center"/>
          </w:tcPr>
          <w:p w14:paraId="6A640F75">
            <w:pPr>
              <w:adjustRightInd w:val="0"/>
              <w:jc w:val="center"/>
              <w:rPr>
                <w:rFonts w:ascii="宋体" w:hAnsi="宋体" w:cs="宋体"/>
                <w:kern w:val="0"/>
                <w:sz w:val="21"/>
                <w:szCs w:val="21"/>
              </w:rPr>
            </w:pPr>
            <w:r>
              <w:rPr>
                <w:rFonts w:hint="eastAsia" w:ascii="宋体" w:hAnsi="宋体" w:cs="宋体"/>
                <w:kern w:val="0"/>
                <w:sz w:val="21"/>
                <w:szCs w:val="21"/>
              </w:rPr>
              <w:t>D2=B2+C2</w:t>
            </w:r>
          </w:p>
        </w:tc>
        <w:tc>
          <w:tcPr>
            <w:tcW w:w="1234" w:type="pct"/>
            <w:shd w:val="clear" w:color="auto" w:fill="auto"/>
            <w:vAlign w:val="center"/>
          </w:tcPr>
          <w:p w14:paraId="0A2B62E6">
            <w:pPr>
              <w:adjustRightInd w:val="0"/>
              <w:jc w:val="right"/>
              <w:rPr>
                <w:rFonts w:ascii="宋体" w:hAnsi="宋体" w:cs="宋体"/>
                <w:kern w:val="0"/>
                <w:sz w:val="21"/>
                <w:szCs w:val="21"/>
              </w:rPr>
            </w:pPr>
            <w:r>
              <w:rPr>
                <w:rFonts w:hint="eastAsia" w:ascii="宋体" w:hAnsi="宋体" w:cs="宋体"/>
                <w:kern w:val="0"/>
                <w:sz w:val="21"/>
                <w:szCs w:val="21"/>
              </w:rPr>
              <w:t xml:space="preserve"> </w:t>
            </w:r>
            <w:r>
              <w:rPr>
                <w:rFonts w:hint="eastAsia" w:ascii="宋体" w:hAnsi="宋体" w:cs="宋体"/>
                <w:kern w:val="0"/>
                <w:szCs w:val="21"/>
              </w:rPr>
              <w:t>2,709.29</w:t>
            </w:r>
            <w:r>
              <w:rPr>
                <w:rFonts w:hint="eastAsia" w:ascii="宋体" w:hAnsi="宋体" w:cs="宋体"/>
                <w:kern w:val="0"/>
                <w:sz w:val="21"/>
                <w:szCs w:val="21"/>
              </w:rPr>
              <w:t xml:space="preserve"> </w:t>
            </w:r>
          </w:p>
        </w:tc>
      </w:tr>
      <w:tr w14:paraId="0B3E08F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03" w:type="pct"/>
            <w:gridSpan w:val="2"/>
            <w:shd w:val="clear" w:color="auto" w:fill="auto"/>
            <w:vAlign w:val="center"/>
          </w:tcPr>
          <w:p w14:paraId="00AAF28A">
            <w:pPr>
              <w:adjustRightInd w:val="0"/>
              <w:jc w:val="left"/>
              <w:rPr>
                <w:rFonts w:ascii="宋体" w:hAnsi="宋体" w:cs="宋体"/>
                <w:kern w:val="0"/>
                <w:sz w:val="21"/>
                <w:szCs w:val="21"/>
              </w:rPr>
            </w:pPr>
            <w:r>
              <w:rPr>
                <w:rFonts w:hint="eastAsia" w:ascii="宋体" w:hAnsi="宋体" w:cs="宋体"/>
                <w:kern w:val="0"/>
                <w:sz w:val="21"/>
                <w:szCs w:val="21"/>
              </w:rPr>
              <w:t>应结余募集资金</w:t>
            </w:r>
          </w:p>
        </w:tc>
        <w:tc>
          <w:tcPr>
            <w:tcW w:w="1162" w:type="pct"/>
            <w:shd w:val="clear" w:color="auto" w:fill="auto"/>
            <w:vAlign w:val="center"/>
          </w:tcPr>
          <w:p w14:paraId="66CB0A51">
            <w:pPr>
              <w:adjustRightInd w:val="0"/>
              <w:jc w:val="center"/>
              <w:rPr>
                <w:rFonts w:hint="default" w:ascii="宋体" w:hAnsi="宋体" w:eastAsia="宋体" w:cs="宋体"/>
                <w:kern w:val="0"/>
                <w:sz w:val="21"/>
                <w:szCs w:val="21"/>
                <w:lang w:val="en-US" w:eastAsia="zh-CN"/>
              </w:rPr>
            </w:pPr>
            <w:r>
              <w:rPr>
                <w:rFonts w:hint="eastAsia" w:ascii="宋体" w:hAnsi="宋体" w:cs="宋体"/>
                <w:kern w:val="0"/>
                <w:sz w:val="21"/>
                <w:szCs w:val="21"/>
              </w:rPr>
              <w:t>E=A-D1+D2</w:t>
            </w:r>
          </w:p>
        </w:tc>
        <w:tc>
          <w:tcPr>
            <w:tcW w:w="1234" w:type="pct"/>
            <w:shd w:val="clear" w:color="auto" w:fill="auto"/>
            <w:vAlign w:val="center"/>
          </w:tcPr>
          <w:p w14:paraId="5CD6A234">
            <w:pPr>
              <w:adjustRightInd w:val="0"/>
              <w:jc w:val="right"/>
              <w:rPr>
                <w:rFonts w:ascii="宋体" w:hAnsi="宋体" w:cs="宋体"/>
                <w:kern w:val="0"/>
                <w:sz w:val="21"/>
                <w:szCs w:val="21"/>
              </w:rPr>
            </w:pPr>
            <w:r>
              <w:rPr>
                <w:rFonts w:hint="eastAsia" w:ascii="宋体" w:hAnsi="宋体" w:cs="宋体"/>
                <w:kern w:val="0"/>
                <w:sz w:val="21"/>
                <w:szCs w:val="21"/>
              </w:rPr>
              <w:t xml:space="preserve"> 7,875.28  </w:t>
            </w:r>
          </w:p>
        </w:tc>
      </w:tr>
      <w:tr w14:paraId="6443175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03" w:type="pct"/>
            <w:gridSpan w:val="2"/>
            <w:shd w:val="clear" w:color="auto" w:fill="auto"/>
            <w:vAlign w:val="center"/>
          </w:tcPr>
          <w:p w14:paraId="6523702F">
            <w:pPr>
              <w:adjustRightInd w:val="0"/>
              <w:jc w:val="left"/>
              <w:rPr>
                <w:rFonts w:hint="eastAsia" w:ascii="宋体" w:hAnsi="宋体" w:cs="宋体"/>
                <w:kern w:val="0"/>
                <w:sz w:val="21"/>
                <w:szCs w:val="21"/>
              </w:rPr>
            </w:pPr>
            <w:r>
              <w:rPr>
                <w:rFonts w:hint="eastAsia" w:ascii="宋体" w:hAnsi="宋体" w:cs="宋体"/>
                <w:kern w:val="0"/>
                <w:szCs w:val="21"/>
              </w:rPr>
              <w:t>减：募集资金</w:t>
            </w:r>
            <w:r>
              <w:rPr>
                <w:rFonts w:hint="eastAsia" w:ascii="宋体" w:hAnsi="宋体" w:cs="宋体"/>
                <w:kern w:val="0"/>
                <w:szCs w:val="21"/>
                <w:lang w:val="en-US" w:eastAsia="zh-CN"/>
              </w:rPr>
              <w:t>现金管理</w:t>
            </w:r>
            <w:r>
              <w:rPr>
                <w:rFonts w:hint="eastAsia" w:ascii="宋体" w:hAnsi="宋体" w:cs="宋体"/>
                <w:kern w:val="0"/>
                <w:szCs w:val="21"/>
              </w:rPr>
              <w:t>余额[注</w:t>
            </w:r>
            <w:r>
              <w:rPr>
                <w:rFonts w:hint="eastAsia" w:ascii="宋体" w:hAnsi="宋体" w:cs="宋体"/>
                <w:kern w:val="0"/>
                <w:szCs w:val="21"/>
                <w:lang w:val="en-US" w:eastAsia="zh-CN"/>
              </w:rPr>
              <w:t>1</w:t>
            </w:r>
            <w:r>
              <w:rPr>
                <w:rFonts w:hint="eastAsia" w:ascii="宋体" w:hAnsi="宋体" w:cs="宋体"/>
                <w:kern w:val="0"/>
                <w:szCs w:val="21"/>
              </w:rPr>
              <w:t>]</w:t>
            </w:r>
          </w:p>
        </w:tc>
        <w:tc>
          <w:tcPr>
            <w:tcW w:w="1162" w:type="pct"/>
            <w:shd w:val="clear" w:color="auto" w:fill="auto"/>
            <w:vAlign w:val="center"/>
          </w:tcPr>
          <w:p w14:paraId="5E5E98E3">
            <w:pPr>
              <w:adjustRightInd w:val="0"/>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F</w:t>
            </w:r>
          </w:p>
        </w:tc>
        <w:tc>
          <w:tcPr>
            <w:tcW w:w="1234" w:type="pct"/>
            <w:shd w:val="clear" w:color="auto" w:fill="auto"/>
            <w:vAlign w:val="center"/>
          </w:tcPr>
          <w:p w14:paraId="14A20BDC">
            <w:pPr>
              <w:adjustRightInd w:val="0"/>
              <w:jc w:val="right"/>
              <w:rPr>
                <w:rFonts w:hint="eastAsia" w:ascii="宋体" w:hAnsi="宋体" w:cs="宋体"/>
                <w:kern w:val="0"/>
                <w:sz w:val="21"/>
                <w:szCs w:val="21"/>
              </w:rPr>
            </w:pPr>
            <w:r>
              <w:rPr>
                <w:rFonts w:hint="eastAsia" w:ascii="宋体" w:hAnsi="宋体" w:cs="宋体"/>
                <w:kern w:val="0"/>
                <w:szCs w:val="21"/>
              </w:rPr>
              <w:t xml:space="preserve"> 7,566.13</w:t>
            </w:r>
          </w:p>
        </w:tc>
      </w:tr>
      <w:tr w14:paraId="49D8280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03" w:type="pct"/>
            <w:gridSpan w:val="2"/>
            <w:shd w:val="clear" w:color="auto" w:fill="auto"/>
            <w:vAlign w:val="center"/>
          </w:tcPr>
          <w:p w14:paraId="13821853">
            <w:pPr>
              <w:adjustRightInd w:val="0"/>
              <w:jc w:val="left"/>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募集资金专户余额</w:t>
            </w:r>
            <w:r>
              <w:rPr>
                <w:rFonts w:hint="eastAsia" w:ascii="宋体" w:hAnsi="宋体" w:cs="宋体"/>
                <w:kern w:val="0"/>
                <w:szCs w:val="21"/>
              </w:rPr>
              <w:t>[注</w:t>
            </w:r>
            <w:r>
              <w:rPr>
                <w:rFonts w:hint="eastAsia" w:ascii="宋体" w:hAnsi="宋体" w:cs="宋体"/>
                <w:kern w:val="0"/>
                <w:szCs w:val="21"/>
                <w:lang w:val="en-US" w:eastAsia="zh-CN"/>
              </w:rPr>
              <w:t>2</w:t>
            </w:r>
            <w:r>
              <w:rPr>
                <w:rFonts w:hint="eastAsia" w:ascii="宋体" w:hAnsi="宋体" w:cs="宋体"/>
                <w:kern w:val="0"/>
                <w:szCs w:val="21"/>
              </w:rPr>
              <w:t>]</w:t>
            </w:r>
          </w:p>
        </w:tc>
        <w:tc>
          <w:tcPr>
            <w:tcW w:w="1162" w:type="pct"/>
            <w:shd w:val="clear" w:color="auto" w:fill="auto"/>
            <w:vAlign w:val="center"/>
          </w:tcPr>
          <w:p w14:paraId="151B8021">
            <w:pPr>
              <w:adjustRightInd w:val="0"/>
              <w:jc w:val="center"/>
              <w:rPr>
                <w:rFonts w:ascii="宋体" w:hAnsi="宋体" w:cs="宋体"/>
                <w:kern w:val="0"/>
                <w:sz w:val="21"/>
                <w:szCs w:val="21"/>
              </w:rPr>
            </w:pPr>
            <w:r>
              <w:rPr>
                <w:rFonts w:hint="eastAsia" w:ascii="宋体" w:hAnsi="宋体" w:cs="宋体"/>
                <w:kern w:val="0"/>
                <w:sz w:val="21"/>
                <w:szCs w:val="21"/>
                <w:lang w:val="en-US" w:eastAsia="zh-CN"/>
              </w:rPr>
              <w:t>G</w:t>
            </w:r>
          </w:p>
        </w:tc>
        <w:tc>
          <w:tcPr>
            <w:tcW w:w="1234" w:type="pct"/>
            <w:shd w:val="clear" w:color="auto" w:fill="auto"/>
            <w:vAlign w:val="center"/>
          </w:tcPr>
          <w:p w14:paraId="7A5C3574">
            <w:pPr>
              <w:adjustRightInd w:val="0"/>
              <w:jc w:val="right"/>
              <w:rPr>
                <w:rFonts w:ascii="宋体" w:hAnsi="宋体" w:cs="宋体"/>
                <w:kern w:val="0"/>
                <w:sz w:val="21"/>
                <w:szCs w:val="21"/>
              </w:rPr>
            </w:pPr>
            <w:r>
              <w:rPr>
                <w:rFonts w:hint="eastAsia" w:ascii="宋体" w:hAnsi="宋体" w:cs="宋体"/>
                <w:kern w:val="0"/>
                <w:szCs w:val="21"/>
              </w:rPr>
              <w:t>309.15</w:t>
            </w:r>
            <w:r>
              <w:rPr>
                <w:rFonts w:hint="eastAsia" w:ascii="宋体" w:hAnsi="宋体" w:cs="宋体"/>
                <w:kern w:val="0"/>
                <w:sz w:val="21"/>
                <w:szCs w:val="21"/>
              </w:rPr>
              <w:t xml:space="preserve"> </w:t>
            </w:r>
          </w:p>
        </w:tc>
      </w:tr>
      <w:tr w14:paraId="400CAE0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03" w:type="pct"/>
            <w:gridSpan w:val="2"/>
            <w:shd w:val="clear" w:color="auto" w:fill="auto"/>
            <w:vAlign w:val="center"/>
          </w:tcPr>
          <w:p w14:paraId="2702202B">
            <w:pPr>
              <w:adjustRightInd w:val="0"/>
              <w:jc w:val="left"/>
              <w:rPr>
                <w:rFonts w:ascii="宋体" w:hAnsi="宋体" w:cs="宋体"/>
                <w:kern w:val="0"/>
                <w:sz w:val="21"/>
                <w:szCs w:val="21"/>
              </w:rPr>
            </w:pPr>
            <w:r>
              <w:rPr>
                <w:rFonts w:hint="eastAsia" w:ascii="宋体" w:hAnsi="宋体" w:cs="宋体"/>
                <w:kern w:val="0"/>
                <w:sz w:val="21"/>
                <w:szCs w:val="21"/>
              </w:rPr>
              <w:t>差异</w:t>
            </w:r>
          </w:p>
        </w:tc>
        <w:tc>
          <w:tcPr>
            <w:tcW w:w="1162" w:type="pct"/>
            <w:shd w:val="clear" w:color="auto" w:fill="auto"/>
            <w:vAlign w:val="center"/>
          </w:tcPr>
          <w:p w14:paraId="34999260">
            <w:pPr>
              <w:adjustRightInd w:val="0"/>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H</w:t>
            </w:r>
            <w:r>
              <w:rPr>
                <w:rFonts w:hint="eastAsia" w:ascii="宋体" w:hAnsi="宋体" w:cs="宋体"/>
                <w:kern w:val="0"/>
                <w:sz w:val="21"/>
                <w:szCs w:val="21"/>
              </w:rPr>
              <w:t>=E-F</w:t>
            </w:r>
            <w:r>
              <w:rPr>
                <w:rFonts w:hint="eastAsia" w:ascii="宋体" w:hAnsi="宋体" w:cs="宋体"/>
                <w:kern w:val="0"/>
                <w:sz w:val="21"/>
                <w:szCs w:val="21"/>
                <w:lang w:val="en-US" w:eastAsia="zh-CN"/>
              </w:rPr>
              <w:t>-G</w:t>
            </w:r>
          </w:p>
        </w:tc>
        <w:tc>
          <w:tcPr>
            <w:tcW w:w="1234" w:type="pct"/>
            <w:shd w:val="clear" w:color="auto" w:fill="auto"/>
            <w:vAlign w:val="center"/>
          </w:tcPr>
          <w:p w14:paraId="0D29E016">
            <w:pPr>
              <w:adjustRightInd w:val="0"/>
              <w:jc w:val="right"/>
              <w:rPr>
                <w:rFonts w:ascii="宋体" w:hAnsi="宋体" w:cs="宋体"/>
                <w:kern w:val="0"/>
                <w:sz w:val="21"/>
                <w:szCs w:val="21"/>
              </w:rPr>
            </w:pPr>
            <w:r>
              <w:rPr>
                <w:rFonts w:hint="eastAsia" w:ascii="宋体" w:hAnsi="宋体" w:cs="宋体"/>
                <w:kern w:val="0"/>
                <w:sz w:val="21"/>
                <w:szCs w:val="21"/>
              </w:rPr>
              <w:t xml:space="preserve">  </w:t>
            </w:r>
          </w:p>
        </w:tc>
      </w:tr>
    </w:tbl>
    <w:p w14:paraId="1BC37525">
      <w:pPr>
        <w:keepNext w:val="0"/>
        <w:keepLines w:val="0"/>
        <w:pageBreakBefore w:val="0"/>
        <w:widowControl/>
        <w:kinsoku/>
        <w:wordWrap/>
        <w:overflowPunct/>
        <w:topLinePunct w:val="0"/>
        <w:bidi w:val="0"/>
        <w:adjustRightInd/>
        <w:snapToGrid/>
        <w:spacing w:line="336" w:lineRule="auto"/>
        <w:ind w:firstLine="420" w:firstLineChars="200"/>
        <w:textAlignment w:val="auto"/>
        <w:outlineLvl w:val="1"/>
        <w:rPr>
          <w:rFonts w:hint="eastAsia" w:ascii="宋体" w:hAnsi="宋体" w:eastAsia="宋体" w:cs="宋体"/>
          <w:color w:val="2B2B2B"/>
          <w:kern w:val="0"/>
          <w:szCs w:val="21"/>
          <w:lang w:val="en-US" w:eastAsia="zh-CN"/>
        </w:rPr>
      </w:pPr>
      <w:r>
        <w:rPr>
          <w:rFonts w:hint="eastAsia" w:ascii="宋体" w:hAnsi="宋体" w:cs="宋体"/>
          <w:color w:val="2B2B2B"/>
          <w:kern w:val="0"/>
          <w:szCs w:val="21"/>
          <w:lang w:val="en-US" w:eastAsia="zh-CN"/>
        </w:rPr>
        <w:t>[注1]截至2024年12月31日，公司使用</w:t>
      </w:r>
      <w:r>
        <w:rPr>
          <w:rFonts w:hint="eastAsia" w:ascii="宋体" w:hAnsi="宋体" w:cs="宋体"/>
          <w:color w:val="2B2B2B"/>
          <w:kern w:val="0"/>
          <w:szCs w:val="21"/>
        </w:rPr>
        <w:t>募集资金</w:t>
      </w:r>
      <w:r>
        <w:rPr>
          <w:rFonts w:hint="eastAsia" w:ascii="宋体" w:hAnsi="宋体" w:cs="宋体"/>
          <w:color w:val="2B2B2B"/>
          <w:kern w:val="0"/>
          <w:szCs w:val="21"/>
          <w:lang w:val="en-US" w:eastAsia="zh-CN"/>
        </w:rPr>
        <w:t>购买结构性存款</w:t>
      </w:r>
      <w:r>
        <w:rPr>
          <w:rFonts w:hint="eastAsia" w:ascii="宋体" w:hAnsi="宋体" w:cs="宋体"/>
          <w:color w:val="2B2B2B"/>
          <w:kern w:val="0"/>
          <w:szCs w:val="21"/>
        </w:rPr>
        <w:t>余额为2,500万元，</w:t>
      </w:r>
      <w:r>
        <w:rPr>
          <w:rFonts w:hint="eastAsia" w:ascii="宋体" w:hAnsi="宋体" w:cs="宋体"/>
          <w:color w:val="2B2B2B"/>
          <w:kern w:val="0"/>
          <w:szCs w:val="21"/>
          <w:lang w:val="en-US" w:eastAsia="zh-CN"/>
        </w:rPr>
        <w:t>协议存款账户</w:t>
      </w:r>
      <w:r>
        <w:rPr>
          <w:rFonts w:hint="eastAsia" w:ascii="宋体" w:hAnsi="宋体" w:cs="宋体"/>
          <w:color w:val="2B2B2B"/>
          <w:kern w:val="0"/>
          <w:szCs w:val="21"/>
        </w:rPr>
        <w:t>余额为</w:t>
      </w:r>
      <w:bookmarkStart w:id="0" w:name="OLE_LINK6"/>
      <w:r>
        <w:rPr>
          <w:rFonts w:hint="eastAsia" w:ascii="宋体" w:hAnsi="宋体" w:cs="宋体"/>
          <w:color w:val="2B2B2B"/>
          <w:kern w:val="0"/>
          <w:szCs w:val="21"/>
        </w:rPr>
        <w:t>5,066.13</w:t>
      </w:r>
      <w:bookmarkEnd w:id="0"/>
      <w:r>
        <w:rPr>
          <w:rFonts w:hint="eastAsia" w:ascii="宋体" w:hAnsi="宋体" w:cs="宋体"/>
          <w:color w:val="2B2B2B"/>
          <w:kern w:val="0"/>
          <w:szCs w:val="21"/>
        </w:rPr>
        <w:t>万元</w:t>
      </w:r>
      <w:r>
        <w:rPr>
          <w:rFonts w:hint="eastAsia" w:ascii="宋体" w:hAnsi="宋体" w:cs="宋体"/>
          <w:color w:val="2B2B2B"/>
          <w:kern w:val="0"/>
          <w:szCs w:val="21"/>
          <w:lang w:eastAsia="zh-CN"/>
        </w:rPr>
        <w:t>，</w:t>
      </w:r>
      <w:r>
        <w:rPr>
          <w:rFonts w:hint="eastAsia" w:ascii="宋体" w:hAnsi="宋体" w:cs="宋体"/>
          <w:color w:val="2B2B2B"/>
          <w:kern w:val="0"/>
          <w:szCs w:val="21"/>
          <w:lang w:val="en-US" w:eastAsia="zh-CN"/>
        </w:rPr>
        <w:t>合计</w:t>
      </w:r>
      <w:r>
        <w:rPr>
          <w:rFonts w:hint="eastAsia" w:ascii="宋体" w:hAnsi="宋体" w:cs="宋体"/>
          <w:color w:val="2B2B2B"/>
          <w:kern w:val="0"/>
          <w:szCs w:val="21"/>
        </w:rPr>
        <w:t xml:space="preserve"> 7,566.13</w:t>
      </w:r>
      <w:r>
        <w:rPr>
          <w:rFonts w:hint="eastAsia" w:ascii="宋体" w:hAnsi="宋体" w:cs="宋体"/>
          <w:color w:val="2B2B2B"/>
          <w:kern w:val="0"/>
          <w:szCs w:val="21"/>
          <w:lang w:val="en-US" w:eastAsia="zh-CN"/>
        </w:rPr>
        <w:t>万元</w:t>
      </w:r>
    </w:p>
    <w:p w14:paraId="21911F55">
      <w:pPr>
        <w:keepNext w:val="0"/>
        <w:keepLines w:val="0"/>
        <w:pageBreakBefore w:val="0"/>
        <w:widowControl/>
        <w:kinsoku/>
        <w:wordWrap/>
        <w:overflowPunct/>
        <w:topLinePunct w:val="0"/>
        <w:bidi w:val="0"/>
        <w:adjustRightInd/>
        <w:snapToGrid/>
        <w:spacing w:line="336" w:lineRule="auto"/>
        <w:ind w:firstLine="420" w:firstLineChars="200"/>
        <w:textAlignment w:val="auto"/>
        <w:outlineLvl w:val="1"/>
        <w:rPr>
          <w:rFonts w:hint="eastAsia" w:ascii="宋体" w:hAnsi="宋体" w:eastAsia="宋体" w:cs="宋体"/>
          <w:color w:val="2B2B2B"/>
          <w:kern w:val="0"/>
          <w:szCs w:val="21"/>
          <w:lang w:val="en-US" w:eastAsia="zh-CN"/>
        </w:rPr>
      </w:pPr>
      <w:r>
        <w:rPr>
          <w:rFonts w:hint="eastAsia" w:ascii="宋体" w:hAnsi="宋体" w:cs="宋体"/>
          <w:color w:val="2B2B2B"/>
          <w:kern w:val="0"/>
          <w:szCs w:val="21"/>
          <w:lang w:val="en-US" w:eastAsia="zh-CN"/>
        </w:rPr>
        <w:t>[注2]截至2024年12月31日，公司募集资金专户中有303.15万元系协议存款，连同上述非募集资金专户中的协议存款，合计</w:t>
      </w:r>
      <w:r>
        <w:rPr>
          <w:rFonts w:hint="eastAsia" w:ascii="宋体" w:hAnsi="宋体" w:cs="宋体"/>
          <w:color w:val="2B2B2B"/>
          <w:kern w:val="0"/>
          <w:szCs w:val="21"/>
        </w:rPr>
        <w:t>5</w:t>
      </w:r>
      <w:r>
        <w:rPr>
          <w:rFonts w:hint="eastAsia" w:ascii="宋体" w:hAnsi="宋体" w:cs="宋体"/>
          <w:color w:val="2B2B2B"/>
          <w:kern w:val="0"/>
          <w:szCs w:val="21"/>
          <w:lang w:val="en-US" w:eastAsia="zh-CN"/>
        </w:rPr>
        <w:t>,</w:t>
      </w:r>
      <w:r>
        <w:rPr>
          <w:rFonts w:hint="eastAsia" w:ascii="宋体" w:hAnsi="宋体" w:cs="宋体"/>
          <w:color w:val="2B2B2B"/>
          <w:kern w:val="0"/>
          <w:szCs w:val="21"/>
        </w:rPr>
        <w:t>369.28</w:t>
      </w:r>
      <w:r>
        <w:rPr>
          <w:rFonts w:hint="eastAsia" w:ascii="宋体" w:hAnsi="宋体" w:cs="宋体"/>
          <w:color w:val="2B2B2B"/>
          <w:kern w:val="0"/>
          <w:szCs w:val="21"/>
          <w:lang w:val="en-US" w:eastAsia="zh-CN"/>
        </w:rPr>
        <w:t>万元</w:t>
      </w:r>
    </w:p>
    <w:p w14:paraId="2E6764A5">
      <w:pPr>
        <w:keepNext w:val="0"/>
        <w:keepLines w:val="0"/>
        <w:pageBreakBefore w:val="0"/>
        <w:tabs>
          <w:tab w:val="left" w:pos="4620"/>
        </w:tabs>
        <w:kinsoku/>
        <w:wordWrap/>
        <w:overflowPunct/>
        <w:topLinePunct w:val="0"/>
        <w:bidi w:val="0"/>
        <w:adjustRightInd/>
        <w:snapToGrid/>
        <w:spacing w:line="336" w:lineRule="auto"/>
        <w:ind w:firstLine="420" w:firstLineChars="200"/>
        <w:textAlignment w:val="auto"/>
        <w:rPr>
          <w:rFonts w:hint="eastAsia" w:ascii="宋体" w:hAnsi="宋体"/>
          <w:szCs w:val="21"/>
          <w:lang w:val="en-US" w:eastAsia="zh-CN"/>
        </w:rPr>
      </w:pPr>
    </w:p>
    <w:p w14:paraId="3B034F66">
      <w:pPr>
        <w:keepNext w:val="0"/>
        <w:keepLines w:val="0"/>
        <w:pageBreakBefore w:val="0"/>
        <w:kinsoku/>
        <w:wordWrap/>
        <w:overflowPunct/>
        <w:topLinePunct w:val="0"/>
        <w:bidi w:val="0"/>
        <w:adjustRightInd/>
        <w:snapToGrid/>
        <w:spacing w:line="336" w:lineRule="auto"/>
        <w:ind w:firstLine="422" w:firstLineChars="200"/>
        <w:textAlignment w:val="auto"/>
        <w:outlineLvl w:val="0"/>
        <w:rPr>
          <w:rFonts w:ascii="黑体" w:eastAsia="黑体"/>
          <w:b/>
          <w:szCs w:val="21"/>
        </w:rPr>
      </w:pPr>
      <w:r>
        <w:rPr>
          <w:rFonts w:hint="eastAsia" w:ascii="黑体" w:eastAsia="黑体"/>
          <w:b/>
          <w:szCs w:val="21"/>
        </w:rPr>
        <w:t>二、募集资金管理情况</w:t>
      </w:r>
    </w:p>
    <w:p w14:paraId="037AD003">
      <w:pPr>
        <w:keepNext w:val="0"/>
        <w:keepLines w:val="0"/>
        <w:pageBreakBefore w:val="0"/>
        <w:widowControl/>
        <w:kinsoku/>
        <w:wordWrap/>
        <w:overflowPunct/>
        <w:topLinePunct w:val="0"/>
        <w:bidi w:val="0"/>
        <w:adjustRightInd/>
        <w:snapToGrid/>
        <w:spacing w:line="336" w:lineRule="auto"/>
        <w:ind w:firstLine="420" w:firstLineChars="200"/>
        <w:textAlignment w:val="auto"/>
        <w:outlineLvl w:val="1"/>
        <w:rPr>
          <w:rFonts w:ascii="宋体" w:hAnsi="宋体" w:cs="宋体"/>
          <w:color w:val="auto"/>
          <w:kern w:val="0"/>
          <w:szCs w:val="21"/>
        </w:rPr>
      </w:pPr>
      <w:r>
        <w:rPr>
          <w:rFonts w:hint="eastAsia" w:ascii="宋体" w:hAnsi="宋体" w:cs="宋体"/>
          <w:color w:val="auto"/>
          <w:kern w:val="0"/>
          <w:szCs w:val="21"/>
        </w:rPr>
        <w:t xml:space="preserve">(一) </w:t>
      </w:r>
      <w:r>
        <w:rPr>
          <w:rFonts w:ascii="宋体" w:hAnsi="宋体" w:cs="宋体"/>
          <w:color w:val="auto"/>
          <w:kern w:val="0"/>
          <w:szCs w:val="21"/>
        </w:rPr>
        <w:t>募集资金</w:t>
      </w:r>
      <w:r>
        <w:rPr>
          <w:rFonts w:hint="eastAsia" w:ascii="宋体" w:hAnsi="宋体" w:cs="宋体"/>
          <w:color w:val="auto"/>
          <w:kern w:val="0"/>
          <w:szCs w:val="21"/>
        </w:rPr>
        <w:t>管理情况</w:t>
      </w:r>
    </w:p>
    <w:p w14:paraId="0FF8BDB8">
      <w:pPr>
        <w:keepNext w:val="0"/>
        <w:keepLines w:val="0"/>
        <w:pageBreakBefore w:val="0"/>
        <w:kinsoku/>
        <w:wordWrap/>
        <w:overflowPunct/>
        <w:topLinePunct w:val="0"/>
        <w:autoSpaceDE w:val="0"/>
        <w:autoSpaceDN w:val="0"/>
        <w:bidi w:val="0"/>
        <w:adjustRightInd/>
        <w:snapToGrid/>
        <w:spacing w:line="336" w:lineRule="auto"/>
        <w:ind w:firstLine="420" w:firstLineChars="200"/>
        <w:textAlignment w:val="auto"/>
        <w:rPr>
          <w:rFonts w:ascii="宋体" w:hAnsi="宋体" w:cs="宋体"/>
          <w:color w:val="2B2B2B"/>
          <w:kern w:val="0"/>
          <w:szCs w:val="21"/>
          <w:highlight w:val="none"/>
        </w:rPr>
      </w:pPr>
      <w:r>
        <w:rPr>
          <w:rFonts w:hint="eastAsia" w:ascii="宋体" w:hAnsi="宋体"/>
          <w:i w:val="0"/>
          <w:iCs w:val="0"/>
          <w:szCs w:val="21"/>
        </w:rPr>
        <w:t>为了规范募集资金的管理和使用，提高资金使用效率和效益，保护投资者权益，本公司按照《中华人民共和国公司法》《中华人民共和国证券法》《上市公司监管指引第2号——上市公司募集资金管理和使用的监管要求（2022年修订）》（证监会公告〔2022〕15号）</w:t>
      </w:r>
      <w:r>
        <w:rPr>
          <w:rFonts w:hint="eastAsia" w:ascii="宋体" w:hAnsi="宋体"/>
          <w:i w:val="0"/>
          <w:iCs w:val="0"/>
          <w:szCs w:val="21"/>
          <w:lang w:val="en-US" w:eastAsia="zh-CN"/>
        </w:rPr>
        <w:t>和</w:t>
      </w:r>
      <w:r>
        <w:rPr>
          <w:rFonts w:hint="eastAsia" w:ascii="宋体" w:hAnsi="宋体" w:cs="宋体"/>
          <w:bCs/>
          <w:i w:val="0"/>
          <w:iCs w:val="0"/>
          <w:sz w:val="21"/>
          <w:szCs w:val="21"/>
        </w:rPr>
        <w:t>《上海证券交易所上市公司自律监管指引第1号——规范运作</w:t>
      </w:r>
      <w:r>
        <w:rPr>
          <w:rFonts w:hint="eastAsia" w:ascii="宋体" w:hAnsi="宋体" w:cs="宋体"/>
          <w:bCs/>
          <w:i w:val="0"/>
          <w:iCs w:val="0"/>
          <w:sz w:val="21"/>
          <w:szCs w:val="21"/>
          <w:lang w:eastAsia="zh-CN"/>
        </w:rPr>
        <w:t>（</w:t>
      </w:r>
      <w:r>
        <w:rPr>
          <w:rFonts w:hint="eastAsia" w:ascii="宋体" w:hAnsi="宋体" w:cs="宋体"/>
          <w:bCs/>
          <w:i w:val="0"/>
          <w:iCs w:val="0"/>
          <w:sz w:val="21"/>
          <w:szCs w:val="21"/>
          <w:lang w:val="en-US" w:eastAsia="zh-CN"/>
        </w:rPr>
        <w:t>2023年12月修订</w:t>
      </w:r>
      <w:r>
        <w:rPr>
          <w:rFonts w:hint="eastAsia" w:ascii="宋体" w:hAnsi="宋体" w:cs="宋体"/>
          <w:bCs/>
          <w:i w:val="0"/>
          <w:iCs w:val="0"/>
          <w:sz w:val="21"/>
          <w:szCs w:val="21"/>
          <w:lang w:eastAsia="zh-CN"/>
        </w:rPr>
        <w:t>）</w:t>
      </w:r>
      <w:r>
        <w:rPr>
          <w:rFonts w:hint="eastAsia" w:ascii="宋体" w:hAnsi="宋体" w:cs="宋体"/>
          <w:bCs/>
          <w:i w:val="0"/>
          <w:iCs w:val="0"/>
          <w:sz w:val="21"/>
          <w:szCs w:val="21"/>
        </w:rPr>
        <w:t>》（上证发〔202</w:t>
      </w:r>
      <w:r>
        <w:rPr>
          <w:rFonts w:hint="eastAsia" w:ascii="宋体" w:hAnsi="宋体" w:cs="宋体"/>
          <w:bCs/>
          <w:i w:val="0"/>
          <w:iCs w:val="0"/>
          <w:sz w:val="21"/>
          <w:szCs w:val="21"/>
          <w:lang w:val="en-US" w:eastAsia="zh-CN"/>
        </w:rPr>
        <w:t>3</w:t>
      </w:r>
      <w:r>
        <w:rPr>
          <w:rFonts w:hint="eastAsia" w:ascii="宋体" w:hAnsi="宋体" w:cs="宋体"/>
          <w:bCs/>
          <w:i w:val="0"/>
          <w:iCs w:val="0"/>
          <w:sz w:val="21"/>
          <w:szCs w:val="21"/>
        </w:rPr>
        <w:t>〕</w:t>
      </w:r>
      <w:r>
        <w:rPr>
          <w:rFonts w:hint="eastAsia" w:ascii="宋体" w:hAnsi="宋体" w:cs="宋体"/>
          <w:bCs/>
          <w:i w:val="0"/>
          <w:iCs w:val="0"/>
          <w:sz w:val="21"/>
          <w:szCs w:val="21"/>
          <w:lang w:val="en-US" w:eastAsia="zh-CN"/>
        </w:rPr>
        <w:t>193</w:t>
      </w:r>
      <w:r>
        <w:rPr>
          <w:rFonts w:hint="eastAsia" w:ascii="宋体" w:hAnsi="宋体" w:cs="宋体"/>
          <w:bCs/>
          <w:i w:val="0"/>
          <w:iCs w:val="0"/>
          <w:sz w:val="21"/>
          <w:szCs w:val="21"/>
        </w:rPr>
        <w:t>号）</w:t>
      </w:r>
      <w:r>
        <w:rPr>
          <w:rFonts w:hint="eastAsia" w:ascii="宋体" w:hAnsi="宋体"/>
          <w:i w:val="0"/>
          <w:iCs w:val="0"/>
          <w:szCs w:val="21"/>
        </w:rPr>
        <w:t>等有关法律、</w:t>
      </w:r>
      <w:r>
        <w:rPr>
          <w:rFonts w:hint="eastAsia" w:ascii="宋体" w:hAnsi="宋体"/>
          <w:szCs w:val="21"/>
        </w:rPr>
        <w:t>法规和规范性文件的规定，结合公司实际情况，制定了《</w:t>
      </w:r>
      <w:r>
        <w:rPr>
          <w:rFonts w:hint="eastAsia" w:ascii="宋体" w:hAnsi="宋体"/>
          <w:lang w:val="en-US" w:eastAsia="zh-CN"/>
        </w:rPr>
        <w:t>重庆望变电气（集团）</w:t>
      </w:r>
      <w:r>
        <w:rPr>
          <w:rFonts w:hint="eastAsia" w:ascii="宋体" w:hAnsi="宋体"/>
          <w:szCs w:val="21"/>
        </w:rPr>
        <w:t>股份有限公司募集资金管理</w:t>
      </w:r>
      <w:r>
        <w:rPr>
          <w:rFonts w:hint="eastAsia" w:ascii="宋体" w:hAnsi="宋体"/>
          <w:szCs w:val="21"/>
          <w:lang w:val="en-US" w:eastAsia="zh-CN"/>
        </w:rPr>
        <w:t>制度</w:t>
      </w:r>
      <w:r>
        <w:rPr>
          <w:rFonts w:hint="eastAsia" w:ascii="宋体" w:hAnsi="宋体"/>
          <w:szCs w:val="21"/>
        </w:rPr>
        <w:t>》（以下简称《管理</w:t>
      </w:r>
      <w:r>
        <w:rPr>
          <w:rFonts w:hint="eastAsia" w:ascii="宋体" w:hAnsi="宋体"/>
          <w:szCs w:val="21"/>
          <w:lang w:val="en-US" w:eastAsia="zh-CN"/>
        </w:rPr>
        <w:t>制度</w:t>
      </w:r>
      <w:r>
        <w:rPr>
          <w:rFonts w:hint="eastAsia" w:ascii="宋体" w:hAnsi="宋体"/>
          <w:szCs w:val="21"/>
        </w:rPr>
        <w:t>》）。根据《管理</w:t>
      </w:r>
      <w:r>
        <w:rPr>
          <w:rFonts w:hint="eastAsia" w:ascii="宋体" w:hAnsi="宋体"/>
          <w:szCs w:val="21"/>
          <w:lang w:val="en-US" w:eastAsia="zh-CN"/>
        </w:rPr>
        <w:t>制度</w:t>
      </w:r>
      <w:r>
        <w:rPr>
          <w:rFonts w:hint="eastAsia" w:ascii="宋体" w:hAnsi="宋体"/>
          <w:szCs w:val="21"/>
        </w:rPr>
        <w:t>》，</w:t>
      </w:r>
      <w:r>
        <w:rPr>
          <w:rFonts w:hint="eastAsia" w:ascii="宋体" w:hAnsi="宋体"/>
          <w:szCs w:val="21"/>
          <w:highlight w:val="none"/>
        </w:rPr>
        <w:t>本公司对募集资金实行专户存储，在银行设立募集资金专户，并连同保荐机构</w:t>
      </w:r>
      <w:r>
        <w:rPr>
          <w:rFonts w:hint="eastAsia" w:ascii="宋体" w:hAnsi="宋体"/>
          <w:highlight w:val="none"/>
        </w:rPr>
        <w:t>中信证券股份有限公司</w:t>
      </w:r>
      <w:r>
        <w:rPr>
          <w:rFonts w:hint="eastAsia" w:ascii="宋体" w:hAnsi="宋体"/>
          <w:szCs w:val="21"/>
          <w:highlight w:val="none"/>
        </w:rPr>
        <w:t>签订了《募集资金三方监管协议》，明确了各方的权利和义务。三方监管协议与上海证券交易所三方监管协议范本不存在重大差异，</w:t>
      </w:r>
      <w:r>
        <w:rPr>
          <w:rFonts w:ascii="宋体" w:hAnsi="宋体" w:cs="宋体"/>
          <w:color w:val="2B2B2B"/>
          <w:kern w:val="0"/>
          <w:szCs w:val="21"/>
          <w:highlight w:val="none"/>
        </w:rPr>
        <w:t>本公司在使用募集资金时已经严格遵照履行。</w:t>
      </w:r>
    </w:p>
    <w:p w14:paraId="5CF7DF0E">
      <w:pPr>
        <w:keepNext w:val="0"/>
        <w:keepLines w:val="0"/>
        <w:pageBreakBefore w:val="0"/>
        <w:kinsoku/>
        <w:wordWrap/>
        <w:overflowPunct/>
        <w:topLinePunct w:val="0"/>
        <w:autoSpaceDE w:val="0"/>
        <w:autoSpaceDN w:val="0"/>
        <w:bidi w:val="0"/>
        <w:adjustRightInd/>
        <w:snapToGrid/>
        <w:spacing w:line="336" w:lineRule="auto"/>
        <w:ind w:firstLine="420" w:firstLineChars="200"/>
        <w:textAlignment w:val="auto"/>
        <w:rPr>
          <w:rFonts w:hint="eastAsia" w:ascii="宋体" w:hAnsi="宋体" w:cs="宋体"/>
          <w:color w:val="2B2B2B"/>
          <w:kern w:val="0"/>
          <w:szCs w:val="21"/>
          <w:highlight w:val="none"/>
          <w:lang w:val="en-US" w:eastAsia="zh-CN"/>
        </w:rPr>
      </w:pPr>
      <w:r>
        <w:rPr>
          <w:rFonts w:hint="eastAsia" w:ascii="宋体" w:hAnsi="宋体" w:cs="宋体"/>
          <w:color w:val="2B2B2B"/>
          <w:kern w:val="0"/>
          <w:szCs w:val="21"/>
          <w:highlight w:val="none"/>
          <w:lang w:val="en-US" w:eastAsia="zh-CN"/>
        </w:rPr>
        <w:t>募集资金账户及三方监管协议的签署情况如下：</w:t>
      </w:r>
    </w:p>
    <w:tbl>
      <w:tblPr>
        <w:tblStyle w:val="11"/>
        <w:tblW w:w="4998"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3492"/>
        <w:gridCol w:w="1891"/>
        <w:gridCol w:w="1502"/>
        <w:gridCol w:w="1502"/>
      </w:tblGrid>
      <w:tr w14:paraId="400E3FC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454" w:hRule="atLeast"/>
          <w:tblHeader/>
        </w:trPr>
        <w:tc>
          <w:tcPr>
            <w:tcW w:w="2081" w:type="pct"/>
            <w:tcBorders>
              <w:top w:val="single" w:color="auto" w:sz="4" w:space="0"/>
              <w:left w:val="nil"/>
              <w:bottom w:val="single" w:color="auto" w:sz="4" w:space="0"/>
              <w:right w:val="single" w:color="auto" w:sz="4" w:space="0"/>
            </w:tcBorders>
            <w:shd w:val="clear" w:color="auto" w:fill="auto"/>
            <w:vAlign w:val="center"/>
          </w:tcPr>
          <w:p w14:paraId="440D4FBE">
            <w:pPr>
              <w:widowControl/>
              <w:adjustRightInd w:val="0"/>
              <w:snapToGrid w:val="0"/>
              <w:spacing w:line="240" w:lineRule="exact"/>
              <w:jc w:val="center"/>
              <w:rPr>
                <w:rFonts w:hint="eastAsia" w:ascii="宋体" w:hAnsi="宋体" w:eastAsia="宋体" w:cs="宋体"/>
                <w:snapToGrid w:val="0"/>
                <w:kern w:val="0"/>
                <w:sz w:val="18"/>
                <w:szCs w:val="18"/>
                <w:highlight w:val="none"/>
              </w:rPr>
            </w:pPr>
            <w:r>
              <w:rPr>
                <w:rFonts w:hint="eastAsia" w:ascii="宋体" w:hAnsi="宋体" w:eastAsia="宋体" w:cs="宋体"/>
                <w:snapToGrid w:val="0"/>
                <w:kern w:val="0"/>
                <w:sz w:val="18"/>
                <w:szCs w:val="18"/>
                <w:highlight w:val="none"/>
              </w:rPr>
              <w:t>银行名称</w:t>
            </w:r>
          </w:p>
        </w:tc>
        <w:tc>
          <w:tcPr>
            <w:tcW w:w="1127" w:type="pct"/>
            <w:tcBorders>
              <w:top w:val="single" w:color="auto" w:sz="4" w:space="0"/>
              <w:left w:val="single" w:color="auto" w:sz="4" w:space="0"/>
              <w:bottom w:val="single" w:color="auto" w:sz="4" w:space="0"/>
              <w:right w:val="single" w:color="auto" w:sz="4" w:space="0"/>
            </w:tcBorders>
            <w:shd w:val="clear" w:color="auto" w:fill="auto"/>
            <w:vAlign w:val="center"/>
          </w:tcPr>
          <w:p w14:paraId="01938E78">
            <w:pPr>
              <w:widowControl/>
              <w:adjustRightInd w:val="0"/>
              <w:snapToGrid w:val="0"/>
              <w:spacing w:line="240" w:lineRule="exact"/>
              <w:jc w:val="center"/>
              <w:rPr>
                <w:rFonts w:hint="eastAsia" w:ascii="宋体" w:hAnsi="宋体" w:eastAsia="宋体" w:cs="宋体"/>
                <w:snapToGrid w:val="0"/>
                <w:kern w:val="0"/>
                <w:sz w:val="18"/>
                <w:szCs w:val="18"/>
                <w:highlight w:val="none"/>
              </w:rPr>
            </w:pPr>
            <w:r>
              <w:rPr>
                <w:rFonts w:hint="eastAsia" w:ascii="宋体" w:hAnsi="宋体" w:eastAsia="宋体" w:cs="宋体"/>
                <w:snapToGrid w:val="0"/>
                <w:kern w:val="0"/>
                <w:sz w:val="18"/>
                <w:szCs w:val="18"/>
                <w:highlight w:val="none"/>
              </w:rPr>
              <w:t>账号</w:t>
            </w:r>
          </w:p>
        </w:tc>
        <w:tc>
          <w:tcPr>
            <w:tcW w:w="895" w:type="pct"/>
            <w:tcBorders>
              <w:top w:val="single" w:color="auto" w:sz="4" w:space="0"/>
              <w:left w:val="single" w:color="auto" w:sz="4" w:space="0"/>
              <w:bottom w:val="single" w:color="auto" w:sz="4" w:space="0"/>
              <w:right w:val="nil"/>
            </w:tcBorders>
            <w:shd w:val="clear" w:color="auto" w:fill="auto"/>
            <w:vAlign w:val="center"/>
          </w:tcPr>
          <w:p w14:paraId="08CBFEEE">
            <w:pPr>
              <w:widowControl/>
              <w:adjustRightInd w:val="0"/>
              <w:snapToGrid w:val="0"/>
              <w:spacing w:line="240" w:lineRule="exact"/>
              <w:jc w:val="center"/>
              <w:rPr>
                <w:rFonts w:hint="eastAsia" w:ascii="宋体" w:hAnsi="宋体" w:eastAsia="宋体" w:cs="宋体"/>
                <w:snapToGrid w:val="0"/>
                <w:kern w:val="0"/>
                <w:sz w:val="18"/>
                <w:szCs w:val="18"/>
                <w:highlight w:val="none"/>
              </w:rPr>
            </w:pPr>
            <w:r>
              <w:rPr>
                <w:rFonts w:hint="eastAsia" w:ascii="宋体" w:hAnsi="宋体" w:eastAsia="宋体" w:cs="宋体"/>
                <w:snapToGrid w:val="0"/>
                <w:kern w:val="0"/>
                <w:sz w:val="18"/>
                <w:szCs w:val="18"/>
                <w:highlight w:val="none"/>
                <w:lang w:val="en-US" w:eastAsia="zh-CN"/>
              </w:rPr>
              <w:t>三方监管</w:t>
            </w:r>
            <w:r>
              <w:rPr>
                <w:rFonts w:hint="eastAsia" w:ascii="宋体" w:hAnsi="宋体" w:eastAsia="宋体" w:cs="宋体"/>
                <w:snapToGrid w:val="0"/>
                <w:kern w:val="0"/>
                <w:sz w:val="18"/>
                <w:szCs w:val="18"/>
                <w:highlight w:val="none"/>
              </w:rPr>
              <w:t>协议签署日期</w:t>
            </w:r>
          </w:p>
        </w:tc>
        <w:tc>
          <w:tcPr>
            <w:tcW w:w="895" w:type="pct"/>
            <w:tcBorders>
              <w:top w:val="single" w:color="auto" w:sz="4" w:space="0"/>
              <w:left w:val="single" w:color="auto" w:sz="4" w:space="0"/>
              <w:bottom w:val="single" w:color="auto" w:sz="4" w:space="0"/>
              <w:right w:val="nil"/>
            </w:tcBorders>
            <w:shd w:val="clear" w:color="auto" w:fill="auto"/>
            <w:vAlign w:val="center"/>
          </w:tcPr>
          <w:p w14:paraId="601AFCA1">
            <w:pPr>
              <w:widowControl/>
              <w:adjustRightInd w:val="0"/>
              <w:snapToGrid w:val="0"/>
              <w:spacing w:line="240" w:lineRule="exact"/>
              <w:jc w:val="center"/>
              <w:rPr>
                <w:rFonts w:hint="default" w:ascii="宋体" w:hAnsi="宋体" w:eastAsia="宋体" w:cs="宋体"/>
                <w:snapToGrid w:val="0"/>
                <w:kern w:val="0"/>
                <w:sz w:val="18"/>
                <w:szCs w:val="18"/>
                <w:highlight w:val="none"/>
                <w:lang w:val="en-US" w:eastAsia="zh-CN"/>
              </w:rPr>
            </w:pPr>
            <w:r>
              <w:rPr>
                <w:rFonts w:hint="eastAsia" w:ascii="宋体" w:hAnsi="宋体" w:cs="宋体"/>
                <w:kern w:val="0"/>
                <w:sz w:val="18"/>
                <w:szCs w:val="18"/>
              </w:rPr>
              <w:t>备  注</w:t>
            </w:r>
          </w:p>
        </w:tc>
      </w:tr>
      <w:tr w14:paraId="4BEFAC7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454" w:hRule="atLeast"/>
          <w:tblHeader/>
        </w:trPr>
        <w:tc>
          <w:tcPr>
            <w:tcW w:w="2081" w:type="pct"/>
            <w:tcBorders>
              <w:top w:val="single" w:color="auto" w:sz="4" w:space="0"/>
              <w:left w:val="nil"/>
              <w:bottom w:val="single" w:color="auto" w:sz="4" w:space="0"/>
              <w:right w:val="single" w:color="auto" w:sz="4" w:space="0"/>
            </w:tcBorders>
            <w:shd w:val="clear" w:color="auto" w:fill="auto"/>
            <w:vAlign w:val="center"/>
          </w:tcPr>
          <w:p w14:paraId="048D582C">
            <w:pPr>
              <w:keepNext w:val="0"/>
              <w:keepLines w:val="0"/>
              <w:pageBreakBefore w:val="0"/>
              <w:widowControl/>
              <w:kinsoku/>
              <w:wordWrap/>
              <w:overflowPunct/>
              <w:topLinePunct w:val="0"/>
              <w:autoSpaceDE/>
              <w:autoSpaceDN/>
              <w:bidi w:val="0"/>
              <w:adjustRightInd w:val="0"/>
              <w:snapToGrid w:val="0"/>
              <w:spacing w:line="240" w:lineRule="exact"/>
              <w:ind w:right="0"/>
              <w:jc w:val="left"/>
              <w:textAlignment w:val="auto"/>
              <w:rPr>
                <w:rFonts w:hint="eastAsia" w:ascii="宋体" w:hAnsi="宋体" w:eastAsia="宋体" w:cs="宋体"/>
                <w:snapToGrid w:val="0"/>
                <w:kern w:val="0"/>
                <w:sz w:val="18"/>
                <w:szCs w:val="18"/>
                <w:highlight w:val="none"/>
              </w:rPr>
            </w:pPr>
            <w:r>
              <w:rPr>
                <w:rFonts w:hint="eastAsia" w:ascii="宋体" w:hAnsi="宋体" w:eastAsia="宋体" w:cs="宋体"/>
                <w:snapToGrid w:val="0"/>
                <w:kern w:val="0"/>
                <w:sz w:val="18"/>
                <w:szCs w:val="18"/>
                <w:highlight w:val="none"/>
              </w:rPr>
              <w:t>招商银行重庆分行长寿支行</w:t>
            </w:r>
          </w:p>
        </w:tc>
        <w:tc>
          <w:tcPr>
            <w:tcW w:w="1127" w:type="pct"/>
            <w:tcBorders>
              <w:top w:val="single" w:color="auto" w:sz="4" w:space="0"/>
              <w:left w:val="single" w:color="auto" w:sz="4" w:space="0"/>
              <w:bottom w:val="single" w:color="auto" w:sz="4" w:space="0"/>
              <w:right w:val="single" w:color="auto" w:sz="4" w:space="0"/>
            </w:tcBorders>
            <w:shd w:val="clear" w:color="auto" w:fill="auto"/>
            <w:vAlign w:val="center"/>
          </w:tcPr>
          <w:p w14:paraId="3E3EA1E1">
            <w:pPr>
              <w:keepNext w:val="0"/>
              <w:keepLines w:val="0"/>
              <w:pageBreakBefore w:val="0"/>
              <w:widowControl/>
              <w:kinsoku/>
              <w:wordWrap/>
              <w:overflowPunct/>
              <w:topLinePunct w:val="0"/>
              <w:autoSpaceDE/>
              <w:autoSpaceDN/>
              <w:bidi w:val="0"/>
              <w:adjustRightInd w:val="0"/>
              <w:snapToGrid w:val="0"/>
              <w:spacing w:line="240" w:lineRule="exact"/>
              <w:ind w:right="-105" w:rightChars="-50"/>
              <w:jc w:val="left"/>
              <w:textAlignment w:val="auto"/>
              <w:rPr>
                <w:rFonts w:hint="eastAsia" w:ascii="宋体" w:hAnsi="宋体" w:eastAsia="宋体" w:cs="宋体"/>
                <w:snapToGrid w:val="0"/>
                <w:kern w:val="0"/>
                <w:sz w:val="18"/>
                <w:szCs w:val="18"/>
                <w:highlight w:val="none"/>
              </w:rPr>
            </w:pPr>
            <w:r>
              <w:rPr>
                <w:rFonts w:hint="eastAsia" w:ascii="宋体" w:hAnsi="宋体" w:eastAsia="宋体" w:cs="宋体"/>
                <w:snapToGrid w:val="0"/>
                <w:kern w:val="0"/>
                <w:sz w:val="18"/>
                <w:szCs w:val="18"/>
                <w:highlight w:val="none"/>
              </w:rPr>
              <w:t>123905910610303</w:t>
            </w:r>
          </w:p>
        </w:tc>
        <w:tc>
          <w:tcPr>
            <w:tcW w:w="895" w:type="pct"/>
            <w:tcBorders>
              <w:top w:val="single" w:color="auto" w:sz="4" w:space="0"/>
              <w:left w:val="single" w:color="auto" w:sz="4" w:space="0"/>
              <w:bottom w:val="single" w:color="auto" w:sz="4" w:space="0"/>
              <w:right w:val="nil"/>
            </w:tcBorders>
            <w:shd w:val="clear" w:color="auto" w:fill="auto"/>
            <w:vAlign w:val="center"/>
          </w:tcPr>
          <w:p w14:paraId="582E64E9">
            <w:pPr>
              <w:keepNext w:val="0"/>
              <w:keepLines w:val="0"/>
              <w:pageBreakBefore w:val="0"/>
              <w:widowControl/>
              <w:kinsoku/>
              <w:wordWrap/>
              <w:overflowPunct/>
              <w:topLinePunct w:val="0"/>
              <w:autoSpaceDE/>
              <w:autoSpaceDN/>
              <w:bidi w:val="0"/>
              <w:adjustRightInd w:val="0"/>
              <w:snapToGrid w:val="0"/>
              <w:spacing w:line="240" w:lineRule="exact"/>
              <w:ind w:right="0" w:rightChars="0"/>
              <w:jc w:val="center"/>
              <w:textAlignment w:val="auto"/>
              <w:rPr>
                <w:rFonts w:hint="eastAsia" w:ascii="宋体" w:hAnsi="宋体" w:eastAsia="宋体" w:cs="宋体"/>
                <w:snapToGrid w:val="0"/>
                <w:kern w:val="0"/>
                <w:sz w:val="18"/>
                <w:szCs w:val="18"/>
                <w:highlight w:val="none"/>
              </w:rPr>
            </w:pPr>
            <w:r>
              <w:rPr>
                <w:rFonts w:hint="eastAsia" w:ascii="宋体" w:hAnsi="宋体" w:eastAsia="宋体" w:cs="宋体"/>
                <w:snapToGrid w:val="0"/>
                <w:kern w:val="0"/>
                <w:sz w:val="18"/>
                <w:szCs w:val="18"/>
                <w:highlight w:val="none"/>
              </w:rPr>
              <w:t>2022</w:t>
            </w:r>
            <w:r>
              <w:rPr>
                <w:rFonts w:hint="eastAsia" w:ascii="宋体" w:hAnsi="宋体" w:eastAsia="宋体" w:cs="宋体"/>
                <w:snapToGrid w:val="0"/>
                <w:kern w:val="0"/>
                <w:sz w:val="18"/>
                <w:szCs w:val="18"/>
                <w:highlight w:val="none"/>
                <w:lang w:val="en-US" w:eastAsia="zh-CN"/>
              </w:rPr>
              <w:t>/</w:t>
            </w:r>
            <w:r>
              <w:rPr>
                <w:rFonts w:hint="eastAsia" w:ascii="宋体" w:hAnsi="宋体" w:eastAsia="宋体" w:cs="宋体"/>
                <w:snapToGrid w:val="0"/>
                <w:kern w:val="0"/>
                <w:sz w:val="18"/>
                <w:szCs w:val="18"/>
                <w:highlight w:val="none"/>
              </w:rPr>
              <w:t>4</w:t>
            </w:r>
            <w:r>
              <w:rPr>
                <w:rFonts w:hint="eastAsia" w:ascii="宋体" w:hAnsi="宋体" w:eastAsia="宋体" w:cs="宋体"/>
                <w:snapToGrid w:val="0"/>
                <w:kern w:val="0"/>
                <w:sz w:val="18"/>
                <w:szCs w:val="18"/>
                <w:highlight w:val="none"/>
                <w:lang w:val="en-US" w:eastAsia="zh-CN"/>
              </w:rPr>
              <w:t>/</w:t>
            </w:r>
            <w:r>
              <w:rPr>
                <w:rFonts w:hint="eastAsia" w:ascii="宋体" w:hAnsi="宋体" w:eastAsia="宋体" w:cs="宋体"/>
                <w:snapToGrid w:val="0"/>
                <w:kern w:val="0"/>
                <w:sz w:val="18"/>
                <w:szCs w:val="18"/>
                <w:highlight w:val="none"/>
              </w:rPr>
              <w:t>18</w:t>
            </w:r>
          </w:p>
        </w:tc>
        <w:tc>
          <w:tcPr>
            <w:tcW w:w="895" w:type="pct"/>
            <w:tcBorders>
              <w:top w:val="single" w:color="auto" w:sz="4" w:space="0"/>
              <w:left w:val="single" w:color="auto" w:sz="4" w:space="0"/>
              <w:bottom w:val="single" w:color="auto" w:sz="4" w:space="0"/>
              <w:right w:val="nil"/>
            </w:tcBorders>
            <w:shd w:val="clear" w:color="auto" w:fill="auto"/>
            <w:vAlign w:val="center"/>
          </w:tcPr>
          <w:p w14:paraId="21A0B5FF">
            <w:pPr>
              <w:keepNext w:val="0"/>
              <w:keepLines w:val="0"/>
              <w:pageBreakBefore w:val="0"/>
              <w:widowControl/>
              <w:kinsoku/>
              <w:wordWrap/>
              <w:overflowPunct/>
              <w:topLinePunct w:val="0"/>
              <w:autoSpaceDE/>
              <w:autoSpaceDN/>
              <w:bidi w:val="0"/>
              <w:adjustRightInd w:val="0"/>
              <w:snapToGrid w:val="0"/>
              <w:spacing w:line="240" w:lineRule="exact"/>
              <w:ind w:right="0" w:rightChars="0"/>
              <w:jc w:val="center"/>
              <w:textAlignment w:val="auto"/>
              <w:rPr>
                <w:rFonts w:hint="eastAsia" w:ascii="宋体" w:hAnsi="宋体" w:eastAsia="宋体" w:cs="宋体"/>
                <w:snapToGrid w:val="0"/>
                <w:kern w:val="0"/>
                <w:sz w:val="18"/>
                <w:szCs w:val="18"/>
                <w:highlight w:val="none"/>
              </w:rPr>
            </w:pPr>
            <w:r>
              <w:rPr>
                <w:rFonts w:hint="eastAsia" w:ascii="宋体" w:hAnsi="宋体" w:cs="宋体"/>
                <w:snapToGrid w:val="0"/>
                <w:kern w:val="0"/>
                <w:sz w:val="18"/>
                <w:szCs w:val="18"/>
                <w:highlight w:val="none"/>
                <w:lang w:val="en-US" w:eastAsia="zh-CN"/>
              </w:rPr>
              <w:t>已注销</w:t>
            </w:r>
          </w:p>
        </w:tc>
      </w:tr>
      <w:tr w14:paraId="03B932F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454" w:hRule="atLeast"/>
          <w:tblHeader/>
        </w:trPr>
        <w:tc>
          <w:tcPr>
            <w:tcW w:w="2081" w:type="pct"/>
            <w:tcBorders>
              <w:top w:val="single" w:color="auto" w:sz="4" w:space="0"/>
              <w:left w:val="nil"/>
              <w:bottom w:val="single" w:color="auto" w:sz="4" w:space="0"/>
              <w:right w:val="single" w:color="auto" w:sz="4" w:space="0"/>
            </w:tcBorders>
            <w:shd w:val="clear" w:color="auto" w:fill="auto"/>
            <w:vAlign w:val="center"/>
          </w:tcPr>
          <w:p w14:paraId="1AE62FFA">
            <w:pPr>
              <w:keepNext w:val="0"/>
              <w:keepLines w:val="0"/>
              <w:pageBreakBefore w:val="0"/>
              <w:widowControl/>
              <w:kinsoku/>
              <w:wordWrap/>
              <w:overflowPunct/>
              <w:topLinePunct w:val="0"/>
              <w:autoSpaceDE/>
              <w:autoSpaceDN/>
              <w:bidi w:val="0"/>
              <w:adjustRightInd w:val="0"/>
              <w:snapToGrid w:val="0"/>
              <w:spacing w:line="240" w:lineRule="exact"/>
              <w:ind w:right="0"/>
              <w:jc w:val="left"/>
              <w:textAlignment w:val="auto"/>
              <w:rPr>
                <w:rFonts w:hint="eastAsia" w:ascii="宋体" w:hAnsi="宋体" w:eastAsia="宋体" w:cs="宋体"/>
                <w:snapToGrid w:val="0"/>
                <w:kern w:val="0"/>
                <w:sz w:val="18"/>
                <w:szCs w:val="18"/>
                <w:highlight w:val="none"/>
              </w:rPr>
            </w:pPr>
            <w:r>
              <w:rPr>
                <w:rFonts w:hint="eastAsia" w:ascii="宋体" w:hAnsi="宋体" w:eastAsia="宋体" w:cs="宋体"/>
                <w:snapToGrid w:val="0"/>
                <w:kern w:val="0"/>
                <w:sz w:val="18"/>
                <w:szCs w:val="18"/>
                <w:highlight w:val="none"/>
              </w:rPr>
              <w:t>中信银行重庆分行营业部</w:t>
            </w:r>
          </w:p>
        </w:tc>
        <w:tc>
          <w:tcPr>
            <w:tcW w:w="1127" w:type="pct"/>
            <w:tcBorders>
              <w:top w:val="single" w:color="auto" w:sz="4" w:space="0"/>
              <w:left w:val="single" w:color="auto" w:sz="4" w:space="0"/>
              <w:bottom w:val="single" w:color="auto" w:sz="4" w:space="0"/>
              <w:right w:val="single" w:color="auto" w:sz="4" w:space="0"/>
            </w:tcBorders>
            <w:shd w:val="clear" w:color="auto" w:fill="auto"/>
            <w:vAlign w:val="center"/>
          </w:tcPr>
          <w:p w14:paraId="3C151895">
            <w:pPr>
              <w:keepNext w:val="0"/>
              <w:keepLines w:val="0"/>
              <w:pageBreakBefore w:val="0"/>
              <w:widowControl/>
              <w:kinsoku/>
              <w:wordWrap/>
              <w:overflowPunct/>
              <w:topLinePunct w:val="0"/>
              <w:autoSpaceDE/>
              <w:autoSpaceDN/>
              <w:bidi w:val="0"/>
              <w:adjustRightInd w:val="0"/>
              <w:snapToGrid w:val="0"/>
              <w:spacing w:line="240" w:lineRule="exact"/>
              <w:ind w:right="-105" w:rightChars="-50"/>
              <w:jc w:val="left"/>
              <w:textAlignment w:val="auto"/>
              <w:rPr>
                <w:rFonts w:hint="eastAsia" w:ascii="宋体" w:hAnsi="宋体" w:eastAsia="宋体" w:cs="宋体"/>
                <w:snapToGrid w:val="0"/>
                <w:kern w:val="0"/>
                <w:sz w:val="18"/>
                <w:szCs w:val="18"/>
                <w:highlight w:val="none"/>
              </w:rPr>
            </w:pPr>
            <w:r>
              <w:rPr>
                <w:rFonts w:hint="eastAsia" w:ascii="宋体" w:hAnsi="宋体" w:eastAsia="宋体" w:cs="宋体"/>
                <w:snapToGrid w:val="0"/>
                <w:kern w:val="0"/>
                <w:sz w:val="18"/>
                <w:szCs w:val="18"/>
                <w:highlight w:val="none"/>
              </w:rPr>
              <w:t>8111201012200530541</w:t>
            </w:r>
          </w:p>
        </w:tc>
        <w:tc>
          <w:tcPr>
            <w:tcW w:w="895" w:type="pct"/>
            <w:tcBorders>
              <w:top w:val="single" w:color="auto" w:sz="4" w:space="0"/>
              <w:left w:val="single" w:color="auto" w:sz="4" w:space="0"/>
              <w:bottom w:val="single" w:color="auto" w:sz="4" w:space="0"/>
              <w:right w:val="nil"/>
            </w:tcBorders>
            <w:shd w:val="clear" w:color="auto" w:fill="auto"/>
            <w:vAlign w:val="center"/>
          </w:tcPr>
          <w:p w14:paraId="40C13355">
            <w:pPr>
              <w:keepNext w:val="0"/>
              <w:keepLines w:val="0"/>
              <w:pageBreakBefore w:val="0"/>
              <w:widowControl/>
              <w:kinsoku/>
              <w:wordWrap/>
              <w:overflowPunct/>
              <w:topLinePunct w:val="0"/>
              <w:autoSpaceDE/>
              <w:autoSpaceDN/>
              <w:bidi w:val="0"/>
              <w:adjustRightInd w:val="0"/>
              <w:snapToGrid w:val="0"/>
              <w:spacing w:line="240" w:lineRule="exact"/>
              <w:ind w:right="0" w:rightChars="0"/>
              <w:jc w:val="center"/>
              <w:textAlignment w:val="auto"/>
              <w:rPr>
                <w:rFonts w:hint="eastAsia" w:ascii="宋体" w:hAnsi="宋体" w:eastAsia="宋体" w:cs="宋体"/>
                <w:snapToGrid w:val="0"/>
                <w:kern w:val="0"/>
                <w:sz w:val="18"/>
                <w:szCs w:val="18"/>
                <w:highlight w:val="none"/>
              </w:rPr>
            </w:pPr>
            <w:r>
              <w:rPr>
                <w:rFonts w:hint="eastAsia" w:ascii="宋体" w:hAnsi="宋体" w:eastAsia="宋体" w:cs="宋体"/>
                <w:snapToGrid w:val="0"/>
                <w:kern w:val="0"/>
                <w:sz w:val="18"/>
                <w:szCs w:val="18"/>
                <w:highlight w:val="none"/>
              </w:rPr>
              <w:t>2022</w:t>
            </w:r>
            <w:r>
              <w:rPr>
                <w:rFonts w:hint="eastAsia" w:ascii="宋体" w:hAnsi="宋体" w:eastAsia="宋体" w:cs="宋体"/>
                <w:snapToGrid w:val="0"/>
                <w:kern w:val="0"/>
                <w:sz w:val="18"/>
                <w:szCs w:val="18"/>
                <w:highlight w:val="none"/>
                <w:lang w:val="en-US" w:eastAsia="zh-CN"/>
              </w:rPr>
              <w:t>/</w:t>
            </w:r>
            <w:r>
              <w:rPr>
                <w:rFonts w:hint="eastAsia" w:ascii="宋体" w:hAnsi="宋体" w:eastAsia="宋体" w:cs="宋体"/>
                <w:snapToGrid w:val="0"/>
                <w:kern w:val="0"/>
                <w:sz w:val="18"/>
                <w:szCs w:val="18"/>
                <w:highlight w:val="none"/>
              </w:rPr>
              <w:t>4</w:t>
            </w:r>
            <w:r>
              <w:rPr>
                <w:rFonts w:hint="eastAsia" w:ascii="宋体" w:hAnsi="宋体" w:eastAsia="宋体" w:cs="宋体"/>
                <w:snapToGrid w:val="0"/>
                <w:kern w:val="0"/>
                <w:sz w:val="18"/>
                <w:szCs w:val="18"/>
                <w:highlight w:val="none"/>
                <w:lang w:val="en-US" w:eastAsia="zh-CN"/>
              </w:rPr>
              <w:t>/</w:t>
            </w:r>
            <w:r>
              <w:rPr>
                <w:rFonts w:hint="eastAsia" w:ascii="宋体" w:hAnsi="宋体" w:eastAsia="宋体" w:cs="宋体"/>
                <w:snapToGrid w:val="0"/>
                <w:kern w:val="0"/>
                <w:sz w:val="18"/>
                <w:szCs w:val="18"/>
                <w:highlight w:val="none"/>
              </w:rPr>
              <w:t>18</w:t>
            </w:r>
          </w:p>
        </w:tc>
        <w:tc>
          <w:tcPr>
            <w:tcW w:w="895" w:type="pct"/>
            <w:tcBorders>
              <w:top w:val="single" w:color="auto" w:sz="4" w:space="0"/>
              <w:left w:val="single" w:color="auto" w:sz="4" w:space="0"/>
              <w:bottom w:val="single" w:color="auto" w:sz="4" w:space="0"/>
              <w:right w:val="nil"/>
            </w:tcBorders>
            <w:shd w:val="clear" w:color="auto" w:fill="auto"/>
            <w:vAlign w:val="center"/>
          </w:tcPr>
          <w:p w14:paraId="4719E299">
            <w:pPr>
              <w:keepNext w:val="0"/>
              <w:keepLines w:val="0"/>
              <w:pageBreakBefore w:val="0"/>
              <w:widowControl/>
              <w:kinsoku/>
              <w:wordWrap/>
              <w:overflowPunct/>
              <w:topLinePunct w:val="0"/>
              <w:autoSpaceDE/>
              <w:autoSpaceDN/>
              <w:bidi w:val="0"/>
              <w:adjustRightInd w:val="0"/>
              <w:snapToGrid w:val="0"/>
              <w:spacing w:line="240" w:lineRule="exact"/>
              <w:ind w:right="0" w:rightChars="0"/>
              <w:jc w:val="center"/>
              <w:textAlignment w:val="auto"/>
              <w:rPr>
                <w:rFonts w:hint="eastAsia" w:ascii="宋体" w:hAnsi="宋体" w:eastAsia="宋体" w:cs="宋体"/>
                <w:snapToGrid w:val="0"/>
                <w:kern w:val="0"/>
                <w:sz w:val="18"/>
                <w:szCs w:val="18"/>
                <w:highlight w:val="none"/>
              </w:rPr>
            </w:pPr>
            <w:r>
              <w:rPr>
                <w:rFonts w:hint="eastAsia" w:ascii="宋体" w:hAnsi="宋体" w:cs="宋体"/>
                <w:snapToGrid w:val="0"/>
                <w:kern w:val="0"/>
                <w:sz w:val="18"/>
                <w:szCs w:val="18"/>
                <w:highlight w:val="none"/>
                <w:lang w:val="en-US" w:eastAsia="zh-CN"/>
              </w:rPr>
              <w:t>已注销</w:t>
            </w:r>
          </w:p>
        </w:tc>
      </w:tr>
      <w:tr w14:paraId="1DADAA0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454" w:hRule="atLeast"/>
          <w:tblHeader/>
        </w:trPr>
        <w:tc>
          <w:tcPr>
            <w:tcW w:w="2081" w:type="pct"/>
            <w:tcBorders>
              <w:top w:val="single" w:color="auto" w:sz="4" w:space="0"/>
              <w:left w:val="nil"/>
              <w:bottom w:val="single" w:color="auto" w:sz="4" w:space="0"/>
              <w:right w:val="single" w:color="auto" w:sz="4" w:space="0"/>
            </w:tcBorders>
            <w:shd w:val="clear" w:color="auto" w:fill="auto"/>
            <w:vAlign w:val="center"/>
          </w:tcPr>
          <w:p w14:paraId="077C0162">
            <w:pPr>
              <w:keepNext w:val="0"/>
              <w:keepLines w:val="0"/>
              <w:pageBreakBefore w:val="0"/>
              <w:widowControl/>
              <w:kinsoku/>
              <w:wordWrap/>
              <w:overflowPunct/>
              <w:topLinePunct w:val="0"/>
              <w:autoSpaceDE/>
              <w:autoSpaceDN/>
              <w:bidi w:val="0"/>
              <w:adjustRightInd w:val="0"/>
              <w:snapToGrid w:val="0"/>
              <w:spacing w:line="240" w:lineRule="exact"/>
              <w:ind w:right="0"/>
              <w:jc w:val="left"/>
              <w:textAlignment w:val="auto"/>
              <w:rPr>
                <w:rFonts w:hint="eastAsia" w:ascii="宋体" w:hAnsi="宋体" w:eastAsia="宋体" w:cs="宋体"/>
                <w:snapToGrid w:val="0"/>
                <w:kern w:val="0"/>
                <w:sz w:val="18"/>
                <w:szCs w:val="18"/>
                <w:highlight w:val="none"/>
              </w:rPr>
            </w:pPr>
            <w:r>
              <w:rPr>
                <w:rFonts w:hint="eastAsia" w:ascii="宋体" w:hAnsi="宋体" w:eastAsia="宋体" w:cs="宋体"/>
                <w:snapToGrid w:val="0"/>
                <w:kern w:val="0"/>
                <w:sz w:val="18"/>
                <w:szCs w:val="18"/>
                <w:highlight w:val="none"/>
              </w:rPr>
              <w:t>重庆三峡银行股份有限公司长寿支行</w:t>
            </w:r>
          </w:p>
        </w:tc>
        <w:tc>
          <w:tcPr>
            <w:tcW w:w="1127" w:type="pct"/>
            <w:tcBorders>
              <w:top w:val="single" w:color="auto" w:sz="4" w:space="0"/>
              <w:left w:val="single" w:color="auto" w:sz="4" w:space="0"/>
              <w:bottom w:val="single" w:color="auto" w:sz="4" w:space="0"/>
              <w:right w:val="single" w:color="auto" w:sz="4" w:space="0"/>
            </w:tcBorders>
            <w:shd w:val="clear" w:color="auto" w:fill="auto"/>
            <w:vAlign w:val="center"/>
          </w:tcPr>
          <w:p w14:paraId="06FCD8FF">
            <w:pPr>
              <w:keepNext w:val="0"/>
              <w:keepLines w:val="0"/>
              <w:pageBreakBefore w:val="0"/>
              <w:widowControl/>
              <w:kinsoku/>
              <w:wordWrap/>
              <w:overflowPunct/>
              <w:topLinePunct w:val="0"/>
              <w:autoSpaceDE/>
              <w:autoSpaceDN/>
              <w:bidi w:val="0"/>
              <w:adjustRightInd w:val="0"/>
              <w:snapToGrid w:val="0"/>
              <w:spacing w:line="240" w:lineRule="exact"/>
              <w:ind w:right="-105" w:rightChars="-50"/>
              <w:jc w:val="left"/>
              <w:textAlignment w:val="auto"/>
              <w:rPr>
                <w:rFonts w:hint="eastAsia" w:ascii="宋体" w:hAnsi="宋体" w:eastAsia="宋体" w:cs="宋体"/>
                <w:snapToGrid w:val="0"/>
                <w:kern w:val="0"/>
                <w:sz w:val="18"/>
                <w:szCs w:val="18"/>
                <w:highlight w:val="none"/>
              </w:rPr>
            </w:pPr>
            <w:r>
              <w:rPr>
                <w:rFonts w:hint="eastAsia" w:ascii="宋体" w:hAnsi="宋体" w:eastAsia="宋体" w:cs="宋体"/>
                <w:snapToGrid w:val="0"/>
                <w:kern w:val="0"/>
                <w:sz w:val="18"/>
                <w:szCs w:val="18"/>
                <w:highlight w:val="none"/>
              </w:rPr>
              <w:t>0153016820000020</w:t>
            </w:r>
          </w:p>
        </w:tc>
        <w:tc>
          <w:tcPr>
            <w:tcW w:w="895" w:type="pct"/>
            <w:tcBorders>
              <w:top w:val="single" w:color="auto" w:sz="4" w:space="0"/>
              <w:left w:val="single" w:color="auto" w:sz="4" w:space="0"/>
              <w:bottom w:val="single" w:color="auto" w:sz="4" w:space="0"/>
              <w:right w:val="nil"/>
            </w:tcBorders>
            <w:shd w:val="clear" w:color="auto" w:fill="auto"/>
            <w:vAlign w:val="center"/>
          </w:tcPr>
          <w:p w14:paraId="2E1DD688">
            <w:pPr>
              <w:keepNext w:val="0"/>
              <w:keepLines w:val="0"/>
              <w:pageBreakBefore w:val="0"/>
              <w:widowControl/>
              <w:kinsoku/>
              <w:wordWrap/>
              <w:overflowPunct/>
              <w:topLinePunct w:val="0"/>
              <w:autoSpaceDE/>
              <w:autoSpaceDN/>
              <w:bidi w:val="0"/>
              <w:adjustRightInd w:val="0"/>
              <w:snapToGrid w:val="0"/>
              <w:spacing w:line="240" w:lineRule="exact"/>
              <w:ind w:right="0" w:rightChars="0"/>
              <w:jc w:val="center"/>
              <w:textAlignment w:val="auto"/>
              <w:rPr>
                <w:rFonts w:hint="eastAsia" w:ascii="宋体" w:hAnsi="宋体" w:eastAsia="宋体" w:cs="宋体"/>
                <w:snapToGrid w:val="0"/>
                <w:kern w:val="0"/>
                <w:sz w:val="18"/>
                <w:szCs w:val="18"/>
                <w:highlight w:val="none"/>
              </w:rPr>
            </w:pPr>
            <w:r>
              <w:rPr>
                <w:rFonts w:hint="eastAsia" w:ascii="宋体" w:hAnsi="宋体" w:eastAsia="宋体" w:cs="宋体"/>
                <w:snapToGrid w:val="0"/>
                <w:kern w:val="0"/>
                <w:sz w:val="18"/>
                <w:szCs w:val="18"/>
                <w:highlight w:val="none"/>
              </w:rPr>
              <w:t>2022</w:t>
            </w:r>
            <w:r>
              <w:rPr>
                <w:rFonts w:hint="eastAsia" w:ascii="宋体" w:hAnsi="宋体" w:eastAsia="宋体" w:cs="宋体"/>
                <w:snapToGrid w:val="0"/>
                <w:kern w:val="0"/>
                <w:sz w:val="18"/>
                <w:szCs w:val="18"/>
                <w:highlight w:val="none"/>
                <w:lang w:val="en-US" w:eastAsia="zh-CN"/>
              </w:rPr>
              <w:t>/</w:t>
            </w:r>
            <w:r>
              <w:rPr>
                <w:rFonts w:hint="eastAsia" w:ascii="宋体" w:hAnsi="宋体" w:eastAsia="宋体" w:cs="宋体"/>
                <w:snapToGrid w:val="0"/>
                <w:kern w:val="0"/>
                <w:sz w:val="18"/>
                <w:szCs w:val="18"/>
                <w:highlight w:val="none"/>
              </w:rPr>
              <w:t>4</w:t>
            </w:r>
            <w:r>
              <w:rPr>
                <w:rFonts w:hint="eastAsia" w:ascii="宋体" w:hAnsi="宋体" w:eastAsia="宋体" w:cs="宋体"/>
                <w:snapToGrid w:val="0"/>
                <w:kern w:val="0"/>
                <w:sz w:val="18"/>
                <w:szCs w:val="18"/>
                <w:highlight w:val="none"/>
                <w:lang w:val="en-US" w:eastAsia="zh-CN"/>
              </w:rPr>
              <w:t>/</w:t>
            </w:r>
            <w:r>
              <w:rPr>
                <w:rFonts w:hint="eastAsia" w:ascii="宋体" w:hAnsi="宋体" w:eastAsia="宋体" w:cs="宋体"/>
                <w:snapToGrid w:val="0"/>
                <w:kern w:val="0"/>
                <w:sz w:val="18"/>
                <w:szCs w:val="18"/>
                <w:highlight w:val="none"/>
              </w:rPr>
              <w:t>18</w:t>
            </w:r>
          </w:p>
        </w:tc>
        <w:tc>
          <w:tcPr>
            <w:tcW w:w="895" w:type="pct"/>
            <w:tcBorders>
              <w:top w:val="single" w:color="auto" w:sz="4" w:space="0"/>
              <w:left w:val="single" w:color="auto" w:sz="4" w:space="0"/>
              <w:bottom w:val="single" w:color="auto" w:sz="4" w:space="0"/>
              <w:right w:val="nil"/>
            </w:tcBorders>
            <w:shd w:val="clear" w:color="auto" w:fill="auto"/>
            <w:vAlign w:val="center"/>
          </w:tcPr>
          <w:p w14:paraId="4D70AECD">
            <w:pPr>
              <w:keepNext w:val="0"/>
              <w:keepLines w:val="0"/>
              <w:pageBreakBefore w:val="0"/>
              <w:widowControl/>
              <w:kinsoku/>
              <w:wordWrap/>
              <w:overflowPunct/>
              <w:topLinePunct w:val="0"/>
              <w:autoSpaceDE/>
              <w:autoSpaceDN/>
              <w:bidi w:val="0"/>
              <w:adjustRightInd w:val="0"/>
              <w:snapToGrid w:val="0"/>
              <w:spacing w:line="240" w:lineRule="exact"/>
              <w:ind w:right="0" w:rightChars="0"/>
              <w:jc w:val="center"/>
              <w:textAlignment w:val="auto"/>
              <w:rPr>
                <w:rFonts w:hint="default" w:ascii="宋体" w:hAnsi="宋体" w:eastAsia="宋体" w:cs="宋体"/>
                <w:snapToGrid w:val="0"/>
                <w:kern w:val="0"/>
                <w:sz w:val="18"/>
                <w:szCs w:val="18"/>
                <w:highlight w:val="none"/>
                <w:lang w:val="en-US" w:eastAsia="zh-CN"/>
              </w:rPr>
            </w:pPr>
            <w:r>
              <w:rPr>
                <w:rFonts w:hint="eastAsia" w:ascii="宋体" w:hAnsi="宋体" w:cs="宋体"/>
                <w:snapToGrid w:val="0"/>
                <w:kern w:val="0"/>
                <w:sz w:val="18"/>
                <w:szCs w:val="18"/>
                <w:highlight w:val="none"/>
                <w:lang w:val="en-US" w:eastAsia="zh-CN"/>
              </w:rPr>
              <w:t>已注销</w:t>
            </w:r>
          </w:p>
        </w:tc>
      </w:tr>
      <w:tr w14:paraId="053769E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454" w:hRule="atLeast"/>
          <w:tblHeader/>
        </w:trPr>
        <w:tc>
          <w:tcPr>
            <w:tcW w:w="2081" w:type="pct"/>
            <w:tcBorders>
              <w:top w:val="single" w:color="auto" w:sz="4" w:space="0"/>
              <w:left w:val="nil"/>
              <w:bottom w:val="single" w:color="auto" w:sz="4" w:space="0"/>
              <w:right w:val="single" w:color="auto" w:sz="4" w:space="0"/>
            </w:tcBorders>
            <w:shd w:val="clear" w:color="auto" w:fill="auto"/>
            <w:vAlign w:val="center"/>
          </w:tcPr>
          <w:p w14:paraId="3F310C65">
            <w:pPr>
              <w:keepNext w:val="0"/>
              <w:keepLines w:val="0"/>
              <w:pageBreakBefore w:val="0"/>
              <w:widowControl/>
              <w:kinsoku/>
              <w:wordWrap/>
              <w:overflowPunct/>
              <w:topLinePunct w:val="0"/>
              <w:autoSpaceDE/>
              <w:autoSpaceDN/>
              <w:bidi w:val="0"/>
              <w:adjustRightInd w:val="0"/>
              <w:snapToGrid w:val="0"/>
              <w:spacing w:line="240" w:lineRule="exact"/>
              <w:ind w:right="0"/>
              <w:jc w:val="left"/>
              <w:textAlignment w:val="auto"/>
              <w:rPr>
                <w:rFonts w:hint="eastAsia" w:ascii="宋体" w:hAnsi="宋体" w:eastAsia="宋体" w:cs="宋体"/>
                <w:snapToGrid w:val="0"/>
                <w:kern w:val="0"/>
                <w:sz w:val="18"/>
                <w:szCs w:val="18"/>
                <w:highlight w:val="none"/>
              </w:rPr>
            </w:pPr>
            <w:r>
              <w:rPr>
                <w:rFonts w:hint="eastAsia" w:ascii="宋体" w:hAnsi="宋体" w:eastAsia="宋体" w:cs="宋体"/>
                <w:snapToGrid w:val="0"/>
                <w:kern w:val="0"/>
                <w:sz w:val="18"/>
                <w:szCs w:val="18"/>
                <w:highlight w:val="none"/>
              </w:rPr>
              <w:t>浦发银行重庆长寿支行</w:t>
            </w:r>
          </w:p>
        </w:tc>
        <w:tc>
          <w:tcPr>
            <w:tcW w:w="1127" w:type="pct"/>
            <w:tcBorders>
              <w:top w:val="single" w:color="auto" w:sz="4" w:space="0"/>
              <w:left w:val="single" w:color="auto" w:sz="4" w:space="0"/>
              <w:bottom w:val="single" w:color="auto" w:sz="4" w:space="0"/>
              <w:right w:val="single" w:color="auto" w:sz="4" w:space="0"/>
            </w:tcBorders>
            <w:shd w:val="clear" w:color="auto" w:fill="auto"/>
            <w:vAlign w:val="center"/>
          </w:tcPr>
          <w:p w14:paraId="530C1BE4">
            <w:pPr>
              <w:keepNext w:val="0"/>
              <w:keepLines w:val="0"/>
              <w:pageBreakBefore w:val="0"/>
              <w:widowControl/>
              <w:kinsoku/>
              <w:wordWrap/>
              <w:overflowPunct/>
              <w:topLinePunct w:val="0"/>
              <w:autoSpaceDE/>
              <w:autoSpaceDN/>
              <w:bidi w:val="0"/>
              <w:adjustRightInd w:val="0"/>
              <w:snapToGrid w:val="0"/>
              <w:spacing w:line="240" w:lineRule="exact"/>
              <w:ind w:right="-105" w:rightChars="-50"/>
              <w:jc w:val="left"/>
              <w:textAlignment w:val="auto"/>
              <w:rPr>
                <w:rFonts w:hint="eastAsia" w:ascii="宋体" w:hAnsi="宋体" w:eastAsia="宋体" w:cs="宋体"/>
                <w:snapToGrid w:val="0"/>
                <w:kern w:val="0"/>
                <w:sz w:val="18"/>
                <w:szCs w:val="18"/>
                <w:highlight w:val="none"/>
              </w:rPr>
            </w:pPr>
            <w:r>
              <w:rPr>
                <w:rFonts w:hint="eastAsia" w:ascii="宋体" w:hAnsi="宋体" w:eastAsia="宋体" w:cs="宋体"/>
                <w:snapToGrid w:val="0"/>
                <w:kern w:val="0"/>
                <w:sz w:val="18"/>
                <w:szCs w:val="18"/>
                <w:highlight w:val="none"/>
              </w:rPr>
              <w:t>83260078801700000608</w:t>
            </w:r>
          </w:p>
        </w:tc>
        <w:tc>
          <w:tcPr>
            <w:tcW w:w="895" w:type="pct"/>
            <w:tcBorders>
              <w:top w:val="single" w:color="auto" w:sz="4" w:space="0"/>
              <w:left w:val="single" w:color="auto" w:sz="4" w:space="0"/>
              <w:bottom w:val="single" w:color="auto" w:sz="4" w:space="0"/>
              <w:right w:val="nil"/>
            </w:tcBorders>
            <w:shd w:val="clear" w:color="auto" w:fill="auto"/>
            <w:vAlign w:val="center"/>
          </w:tcPr>
          <w:p w14:paraId="57A23D61">
            <w:pPr>
              <w:keepNext w:val="0"/>
              <w:keepLines w:val="0"/>
              <w:pageBreakBefore w:val="0"/>
              <w:widowControl/>
              <w:kinsoku/>
              <w:wordWrap/>
              <w:overflowPunct/>
              <w:topLinePunct w:val="0"/>
              <w:autoSpaceDE/>
              <w:autoSpaceDN/>
              <w:bidi w:val="0"/>
              <w:adjustRightInd w:val="0"/>
              <w:snapToGrid w:val="0"/>
              <w:spacing w:line="240" w:lineRule="exact"/>
              <w:ind w:right="0" w:rightChars="0"/>
              <w:jc w:val="center"/>
              <w:textAlignment w:val="auto"/>
              <w:rPr>
                <w:rFonts w:hint="eastAsia" w:ascii="宋体" w:hAnsi="宋体" w:eastAsia="宋体" w:cs="宋体"/>
                <w:snapToGrid w:val="0"/>
                <w:kern w:val="0"/>
                <w:sz w:val="18"/>
                <w:szCs w:val="18"/>
                <w:highlight w:val="none"/>
              </w:rPr>
            </w:pPr>
            <w:r>
              <w:rPr>
                <w:rFonts w:hint="eastAsia" w:ascii="宋体" w:hAnsi="宋体" w:eastAsia="宋体" w:cs="宋体"/>
                <w:snapToGrid w:val="0"/>
                <w:kern w:val="0"/>
                <w:sz w:val="18"/>
                <w:szCs w:val="18"/>
                <w:highlight w:val="none"/>
              </w:rPr>
              <w:t>2022</w:t>
            </w:r>
            <w:r>
              <w:rPr>
                <w:rFonts w:hint="eastAsia" w:ascii="宋体" w:hAnsi="宋体" w:eastAsia="宋体" w:cs="宋体"/>
                <w:snapToGrid w:val="0"/>
                <w:kern w:val="0"/>
                <w:sz w:val="18"/>
                <w:szCs w:val="18"/>
                <w:highlight w:val="none"/>
                <w:lang w:val="en-US" w:eastAsia="zh-CN"/>
              </w:rPr>
              <w:t>/</w:t>
            </w:r>
            <w:r>
              <w:rPr>
                <w:rFonts w:hint="eastAsia" w:ascii="宋体" w:hAnsi="宋体" w:eastAsia="宋体" w:cs="宋体"/>
                <w:snapToGrid w:val="0"/>
                <w:kern w:val="0"/>
                <w:sz w:val="18"/>
                <w:szCs w:val="18"/>
                <w:highlight w:val="none"/>
              </w:rPr>
              <w:t>4</w:t>
            </w:r>
            <w:r>
              <w:rPr>
                <w:rFonts w:hint="eastAsia" w:ascii="宋体" w:hAnsi="宋体" w:eastAsia="宋体" w:cs="宋体"/>
                <w:snapToGrid w:val="0"/>
                <w:kern w:val="0"/>
                <w:sz w:val="18"/>
                <w:szCs w:val="18"/>
                <w:highlight w:val="none"/>
                <w:lang w:val="en-US" w:eastAsia="zh-CN"/>
              </w:rPr>
              <w:t>/</w:t>
            </w:r>
            <w:r>
              <w:rPr>
                <w:rFonts w:hint="eastAsia" w:ascii="宋体" w:hAnsi="宋体" w:eastAsia="宋体" w:cs="宋体"/>
                <w:snapToGrid w:val="0"/>
                <w:kern w:val="0"/>
                <w:sz w:val="18"/>
                <w:szCs w:val="18"/>
                <w:highlight w:val="none"/>
              </w:rPr>
              <w:t>18</w:t>
            </w:r>
          </w:p>
        </w:tc>
        <w:tc>
          <w:tcPr>
            <w:tcW w:w="895" w:type="pct"/>
            <w:tcBorders>
              <w:top w:val="single" w:color="auto" w:sz="4" w:space="0"/>
              <w:left w:val="single" w:color="auto" w:sz="4" w:space="0"/>
              <w:bottom w:val="single" w:color="auto" w:sz="4" w:space="0"/>
              <w:right w:val="nil"/>
            </w:tcBorders>
            <w:shd w:val="clear" w:color="auto" w:fill="auto"/>
            <w:vAlign w:val="center"/>
          </w:tcPr>
          <w:p w14:paraId="457FE866">
            <w:pPr>
              <w:keepNext w:val="0"/>
              <w:keepLines w:val="0"/>
              <w:pageBreakBefore w:val="0"/>
              <w:widowControl/>
              <w:kinsoku/>
              <w:wordWrap/>
              <w:overflowPunct/>
              <w:topLinePunct w:val="0"/>
              <w:autoSpaceDE/>
              <w:autoSpaceDN/>
              <w:bidi w:val="0"/>
              <w:adjustRightInd w:val="0"/>
              <w:snapToGrid w:val="0"/>
              <w:spacing w:line="240" w:lineRule="exact"/>
              <w:ind w:right="0" w:rightChars="0"/>
              <w:jc w:val="center"/>
              <w:textAlignment w:val="auto"/>
              <w:rPr>
                <w:rFonts w:hint="eastAsia" w:ascii="宋体" w:hAnsi="宋体" w:eastAsia="宋体" w:cs="宋体"/>
                <w:snapToGrid w:val="0"/>
                <w:kern w:val="0"/>
                <w:sz w:val="18"/>
                <w:szCs w:val="18"/>
                <w:highlight w:val="none"/>
              </w:rPr>
            </w:pPr>
            <w:r>
              <w:rPr>
                <w:rFonts w:hint="eastAsia" w:ascii="宋体" w:hAnsi="宋体" w:cs="宋体"/>
                <w:snapToGrid w:val="0"/>
                <w:kern w:val="0"/>
                <w:sz w:val="18"/>
                <w:szCs w:val="18"/>
              </w:rPr>
              <w:t>[注]</w:t>
            </w:r>
          </w:p>
        </w:tc>
      </w:tr>
      <w:tr w14:paraId="6D8ED74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454" w:hRule="atLeast"/>
          <w:tblHeader/>
        </w:trPr>
        <w:tc>
          <w:tcPr>
            <w:tcW w:w="2081" w:type="pct"/>
            <w:tcBorders>
              <w:top w:val="single" w:color="auto" w:sz="4" w:space="0"/>
              <w:left w:val="nil"/>
              <w:bottom w:val="single" w:color="auto" w:sz="4" w:space="0"/>
              <w:right w:val="single" w:color="auto" w:sz="4" w:space="0"/>
            </w:tcBorders>
            <w:shd w:val="clear" w:color="auto" w:fill="auto"/>
            <w:vAlign w:val="center"/>
          </w:tcPr>
          <w:p w14:paraId="6DBB24FE">
            <w:pPr>
              <w:keepNext w:val="0"/>
              <w:keepLines w:val="0"/>
              <w:pageBreakBefore w:val="0"/>
              <w:widowControl/>
              <w:kinsoku/>
              <w:wordWrap/>
              <w:overflowPunct/>
              <w:topLinePunct w:val="0"/>
              <w:autoSpaceDE/>
              <w:autoSpaceDN/>
              <w:bidi w:val="0"/>
              <w:adjustRightInd w:val="0"/>
              <w:snapToGrid w:val="0"/>
              <w:spacing w:line="240" w:lineRule="exact"/>
              <w:ind w:right="0"/>
              <w:jc w:val="left"/>
              <w:textAlignment w:val="auto"/>
              <w:rPr>
                <w:rFonts w:hint="eastAsia" w:ascii="宋体" w:hAnsi="宋体" w:eastAsia="宋体" w:cs="宋体"/>
                <w:snapToGrid w:val="0"/>
                <w:kern w:val="0"/>
                <w:sz w:val="18"/>
                <w:szCs w:val="18"/>
                <w:highlight w:val="none"/>
              </w:rPr>
            </w:pPr>
            <w:r>
              <w:rPr>
                <w:rFonts w:hint="eastAsia" w:ascii="宋体" w:hAnsi="宋体" w:eastAsia="宋体" w:cs="宋体"/>
                <w:snapToGrid w:val="0"/>
                <w:kern w:val="0"/>
                <w:sz w:val="18"/>
                <w:szCs w:val="18"/>
                <w:highlight w:val="none"/>
              </w:rPr>
              <w:t>中国农业银行股份有限公司重庆长寿支行</w:t>
            </w:r>
          </w:p>
        </w:tc>
        <w:tc>
          <w:tcPr>
            <w:tcW w:w="1127" w:type="pct"/>
            <w:tcBorders>
              <w:top w:val="single" w:color="auto" w:sz="4" w:space="0"/>
              <w:left w:val="single" w:color="auto" w:sz="4" w:space="0"/>
              <w:bottom w:val="single" w:color="auto" w:sz="4" w:space="0"/>
              <w:right w:val="single" w:color="auto" w:sz="4" w:space="0"/>
            </w:tcBorders>
            <w:shd w:val="clear" w:color="auto" w:fill="auto"/>
            <w:vAlign w:val="center"/>
          </w:tcPr>
          <w:p w14:paraId="35CD3EE1">
            <w:pPr>
              <w:keepNext w:val="0"/>
              <w:keepLines w:val="0"/>
              <w:pageBreakBefore w:val="0"/>
              <w:widowControl/>
              <w:kinsoku/>
              <w:wordWrap/>
              <w:overflowPunct/>
              <w:topLinePunct w:val="0"/>
              <w:autoSpaceDE/>
              <w:autoSpaceDN/>
              <w:bidi w:val="0"/>
              <w:adjustRightInd w:val="0"/>
              <w:snapToGrid w:val="0"/>
              <w:spacing w:line="240" w:lineRule="exact"/>
              <w:ind w:right="-105" w:rightChars="-50"/>
              <w:jc w:val="left"/>
              <w:textAlignment w:val="auto"/>
              <w:rPr>
                <w:rFonts w:hint="eastAsia" w:ascii="宋体" w:hAnsi="宋体" w:eastAsia="宋体" w:cs="宋体"/>
                <w:snapToGrid w:val="0"/>
                <w:kern w:val="0"/>
                <w:sz w:val="18"/>
                <w:szCs w:val="18"/>
                <w:highlight w:val="none"/>
              </w:rPr>
            </w:pPr>
            <w:r>
              <w:rPr>
                <w:rFonts w:hint="eastAsia" w:ascii="宋体" w:hAnsi="宋体" w:eastAsia="宋体" w:cs="宋体"/>
                <w:snapToGrid w:val="0"/>
                <w:kern w:val="0"/>
                <w:sz w:val="18"/>
                <w:szCs w:val="18"/>
                <w:highlight w:val="none"/>
              </w:rPr>
              <w:t>31130101040017435</w:t>
            </w:r>
          </w:p>
        </w:tc>
        <w:tc>
          <w:tcPr>
            <w:tcW w:w="895" w:type="pct"/>
            <w:tcBorders>
              <w:top w:val="single" w:color="auto" w:sz="4" w:space="0"/>
              <w:left w:val="single" w:color="auto" w:sz="4" w:space="0"/>
              <w:bottom w:val="single" w:color="auto" w:sz="4" w:space="0"/>
              <w:right w:val="nil"/>
            </w:tcBorders>
            <w:shd w:val="clear" w:color="auto" w:fill="auto"/>
            <w:vAlign w:val="center"/>
          </w:tcPr>
          <w:p w14:paraId="11CB1D71">
            <w:pPr>
              <w:keepNext w:val="0"/>
              <w:keepLines w:val="0"/>
              <w:pageBreakBefore w:val="0"/>
              <w:widowControl/>
              <w:kinsoku/>
              <w:wordWrap/>
              <w:overflowPunct/>
              <w:topLinePunct w:val="0"/>
              <w:autoSpaceDE/>
              <w:autoSpaceDN/>
              <w:bidi w:val="0"/>
              <w:adjustRightInd w:val="0"/>
              <w:snapToGrid w:val="0"/>
              <w:spacing w:line="240" w:lineRule="exact"/>
              <w:ind w:right="0" w:rightChars="0"/>
              <w:jc w:val="center"/>
              <w:textAlignment w:val="auto"/>
              <w:rPr>
                <w:rFonts w:hint="eastAsia" w:ascii="宋体" w:hAnsi="宋体" w:eastAsia="宋体" w:cs="宋体"/>
                <w:snapToGrid w:val="0"/>
                <w:kern w:val="0"/>
                <w:sz w:val="18"/>
                <w:szCs w:val="18"/>
                <w:highlight w:val="none"/>
              </w:rPr>
            </w:pPr>
            <w:r>
              <w:rPr>
                <w:rFonts w:hint="eastAsia" w:ascii="宋体" w:hAnsi="宋体" w:eastAsia="宋体" w:cs="宋体"/>
                <w:snapToGrid w:val="0"/>
                <w:kern w:val="0"/>
                <w:sz w:val="18"/>
                <w:szCs w:val="18"/>
                <w:highlight w:val="none"/>
              </w:rPr>
              <w:t>2022</w:t>
            </w:r>
            <w:r>
              <w:rPr>
                <w:rFonts w:hint="eastAsia" w:ascii="宋体" w:hAnsi="宋体" w:eastAsia="宋体" w:cs="宋体"/>
                <w:snapToGrid w:val="0"/>
                <w:kern w:val="0"/>
                <w:sz w:val="18"/>
                <w:szCs w:val="18"/>
                <w:highlight w:val="none"/>
                <w:lang w:val="en-US" w:eastAsia="zh-CN"/>
              </w:rPr>
              <w:t>/</w:t>
            </w:r>
            <w:r>
              <w:rPr>
                <w:rFonts w:hint="eastAsia" w:ascii="宋体" w:hAnsi="宋体" w:eastAsia="宋体" w:cs="宋体"/>
                <w:snapToGrid w:val="0"/>
                <w:kern w:val="0"/>
                <w:sz w:val="18"/>
                <w:szCs w:val="18"/>
                <w:highlight w:val="none"/>
              </w:rPr>
              <w:t>4</w:t>
            </w:r>
            <w:r>
              <w:rPr>
                <w:rFonts w:hint="eastAsia" w:ascii="宋体" w:hAnsi="宋体" w:eastAsia="宋体" w:cs="宋体"/>
                <w:snapToGrid w:val="0"/>
                <w:kern w:val="0"/>
                <w:sz w:val="18"/>
                <w:szCs w:val="18"/>
                <w:highlight w:val="none"/>
                <w:lang w:val="en-US" w:eastAsia="zh-CN"/>
              </w:rPr>
              <w:t>/</w:t>
            </w:r>
            <w:r>
              <w:rPr>
                <w:rFonts w:hint="eastAsia" w:ascii="宋体" w:hAnsi="宋体" w:eastAsia="宋体" w:cs="宋体"/>
                <w:snapToGrid w:val="0"/>
                <w:kern w:val="0"/>
                <w:sz w:val="18"/>
                <w:szCs w:val="18"/>
                <w:highlight w:val="none"/>
              </w:rPr>
              <w:t>18</w:t>
            </w:r>
          </w:p>
        </w:tc>
        <w:tc>
          <w:tcPr>
            <w:tcW w:w="895" w:type="pct"/>
            <w:tcBorders>
              <w:top w:val="single" w:color="auto" w:sz="4" w:space="0"/>
              <w:left w:val="single" w:color="auto" w:sz="4" w:space="0"/>
              <w:bottom w:val="single" w:color="auto" w:sz="4" w:space="0"/>
              <w:right w:val="nil"/>
            </w:tcBorders>
            <w:shd w:val="clear" w:color="auto" w:fill="auto"/>
            <w:vAlign w:val="center"/>
          </w:tcPr>
          <w:p w14:paraId="047B8581">
            <w:pPr>
              <w:keepNext w:val="0"/>
              <w:keepLines w:val="0"/>
              <w:pageBreakBefore w:val="0"/>
              <w:widowControl/>
              <w:kinsoku/>
              <w:wordWrap/>
              <w:overflowPunct/>
              <w:topLinePunct w:val="0"/>
              <w:autoSpaceDE/>
              <w:autoSpaceDN/>
              <w:bidi w:val="0"/>
              <w:adjustRightInd w:val="0"/>
              <w:snapToGrid w:val="0"/>
              <w:spacing w:line="240" w:lineRule="exact"/>
              <w:ind w:right="0" w:rightChars="0"/>
              <w:jc w:val="center"/>
              <w:textAlignment w:val="auto"/>
              <w:rPr>
                <w:rFonts w:hint="eastAsia" w:ascii="宋体" w:hAnsi="宋体" w:eastAsia="宋体" w:cs="宋体"/>
                <w:snapToGrid w:val="0"/>
                <w:kern w:val="0"/>
                <w:sz w:val="18"/>
                <w:szCs w:val="18"/>
                <w:highlight w:val="none"/>
              </w:rPr>
            </w:pPr>
            <w:r>
              <w:rPr>
                <w:rFonts w:hint="eastAsia" w:ascii="宋体" w:hAnsi="宋体" w:cs="宋体"/>
                <w:snapToGrid w:val="0"/>
                <w:kern w:val="0"/>
                <w:sz w:val="18"/>
                <w:szCs w:val="18"/>
                <w:highlight w:val="none"/>
                <w:lang w:val="en-US" w:eastAsia="zh-CN"/>
              </w:rPr>
              <w:t>已注销</w:t>
            </w:r>
          </w:p>
        </w:tc>
      </w:tr>
      <w:tr w14:paraId="6DDEF34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454" w:hRule="atLeast"/>
          <w:tblHeader/>
        </w:trPr>
        <w:tc>
          <w:tcPr>
            <w:tcW w:w="2081" w:type="pct"/>
            <w:tcBorders>
              <w:top w:val="single" w:color="auto" w:sz="4" w:space="0"/>
              <w:left w:val="nil"/>
              <w:bottom w:val="single" w:color="auto" w:sz="4" w:space="0"/>
              <w:right w:val="single" w:color="auto" w:sz="4" w:space="0"/>
            </w:tcBorders>
            <w:shd w:val="clear" w:color="auto" w:fill="auto"/>
            <w:vAlign w:val="center"/>
          </w:tcPr>
          <w:p w14:paraId="1D52D1EA">
            <w:pPr>
              <w:keepNext w:val="0"/>
              <w:keepLines w:val="0"/>
              <w:pageBreakBefore w:val="0"/>
              <w:widowControl/>
              <w:kinsoku/>
              <w:wordWrap/>
              <w:overflowPunct/>
              <w:topLinePunct w:val="0"/>
              <w:autoSpaceDE/>
              <w:autoSpaceDN/>
              <w:bidi w:val="0"/>
              <w:adjustRightInd w:val="0"/>
              <w:snapToGrid w:val="0"/>
              <w:spacing w:line="240" w:lineRule="exact"/>
              <w:ind w:right="0"/>
              <w:jc w:val="left"/>
              <w:textAlignment w:val="auto"/>
              <w:rPr>
                <w:rFonts w:hint="eastAsia" w:ascii="宋体" w:hAnsi="宋体" w:eastAsia="宋体" w:cs="宋体"/>
                <w:snapToGrid w:val="0"/>
                <w:kern w:val="0"/>
                <w:sz w:val="18"/>
                <w:szCs w:val="18"/>
                <w:highlight w:val="none"/>
                <w:lang w:val="en-US" w:eastAsia="zh-CN"/>
              </w:rPr>
            </w:pPr>
            <w:r>
              <w:rPr>
                <w:rFonts w:hint="eastAsia" w:ascii="宋体" w:hAnsi="宋体" w:eastAsia="宋体" w:cs="宋体"/>
                <w:snapToGrid w:val="0"/>
                <w:kern w:val="0"/>
                <w:sz w:val="18"/>
                <w:szCs w:val="18"/>
                <w:highlight w:val="none"/>
              </w:rPr>
              <w:t>哈尔滨银行股份有限公司重庆分行</w:t>
            </w:r>
          </w:p>
        </w:tc>
        <w:tc>
          <w:tcPr>
            <w:tcW w:w="1127" w:type="pct"/>
            <w:tcBorders>
              <w:top w:val="single" w:color="auto" w:sz="4" w:space="0"/>
              <w:left w:val="single" w:color="auto" w:sz="4" w:space="0"/>
              <w:bottom w:val="single" w:color="auto" w:sz="4" w:space="0"/>
              <w:right w:val="single" w:color="auto" w:sz="4" w:space="0"/>
            </w:tcBorders>
            <w:shd w:val="clear" w:color="auto" w:fill="auto"/>
            <w:vAlign w:val="center"/>
          </w:tcPr>
          <w:p w14:paraId="600A148A">
            <w:pPr>
              <w:keepNext w:val="0"/>
              <w:keepLines w:val="0"/>
              <w:pageBreakBefore w:val="0"/>
              <w:widowControl/>
              <w:kinsoku/>
              <w:wordWrap/>
              <w:overflowPunct/>
              <w:topLinePunct w:val="0"/>
              <w:autoSpaceDE/>
              <w:autoSpaceDN/>
              <w:bidi w:val="0"/>
              <w:adjustRightInd w:val="0"/>
              <w:snapToGrid w:val="0"/>
              <w:spacing w:line="240" w:lineRule="exact"/>
              <w:ind w:right="-105" w:rightChars="-50"/>
              <w:jc w:val="left"/>
              <w:textAlignment w:val="auto"/>
              <w:rPr>
                <w:rFonts w:hint="eastAsia" w:ascii="宋体" w:hAnsi="宋体" w:eastAsia="宋体" w:cs="宋体"/>
                <w:snapToGrid w:val="0"/>
                <w:kern w:val="0"/>
                <w:sz w:val="18"/>
                <w:szCs w:val="18"/>
                <w:highlight w:val="none"/>
              </w:rPr>
            </w:pPr>
            <w:r>
              <w:rPr>
                <w:rFonts w:hint="eastAsia" w:ascii="宋体" w:hAnsi="宋体" w:eastAsia="宋体" w:cs="宋体"/>
                <w:snapToGrid w:val="0"/>
                <w:kern w:val="0"/>
                <w:sz w:val="18"/>
                <w:szCs w:val="18"/>
                <w:highlight w:val="none"/>
              </w:rPr>
              <w:t>18010000001689409</w:t>
            </w:r>
          </w:p>
        </w:tc>
        <w:tc>
          <w:tcPr>
            <w:tcW w:w="895" w:type="pct"/>
            <w:tcBorders>
              <w:top w:val="single" w:color="auto" w:sz="4" w:space="0"/>
              <w:left w:val="single" w:color="auto" w:sz="4" w:space="0"/>
              <w:bottom w:val="single" w:color="auto" w:sz="4" w:space="0"/>
              <w:right w:val="nil"/>
            </w:tcBorders>
            <w:shd w:val="clear" w:color="auto" w:fill="auto"/>
            <w:vAlign w:val="center"/>
          </w:tcPr>
          <w:p w14:paraId="7DF24D0D">
            <w:pPr>
              <w:keepNext w:val="0"/>
              <w:keepLines w:val="0"/>
              <w:pageBreakBefore w:val="0"/>
              <w:widowControl/>
              <w:kinsoku/>
              <w:wordWrap/>
              <w:overflowPunct/>
              <w:topLinePunct w:val="0"/>
              <w:autoSpaceDE/>
              <w:autoSpaceDN/>
              <w:bidi w:val="0"/>
              <w:adjustRightInd w:val="0"/>
              <w:snapToGrid w:val="0"/>
              <w:spacing w:line="240" w:lineRule="exact"/>
              <w:ind w:right="0" w:rightChars="0"/>
              <w:jc w:val="center"/>
              <w:textAlignment w:val="auto"/>
              <w:rPr>
                <w:rFonts w:hint="eastAsia" w:ascii="宋体" w:hAnsi="宋体" w:eastAsia="宋体" w:cs="宋体"/>
                <w:snapToGrid w:val="0"/>
                <w:kern w:val="0"/>
                <w:sz w:val="18"/>
                <w:szCs w:val="18"/>
                <w:highlight w:val="none"/>
              </w:rPr>
            </w:pPr>
            <w:r>
              <w:rPr>
                <w:rFonts w:hint="eastAsia" w:ascii="宋体" w:hAnsi="宋体" w:eastAsia="宋体" w:cs="宋体"/>
                <w:snapToGrid w:val="0"/>
                <w:kern w:val="0"/>
                <w:sz w:val="18"/>
                <w:szCs w:val="18"/>
                <w:highlight w:val="none"/>
              </w:rPr>
              <w:t>2022</w:t>
            </w:r>
            <w:r>
              <w:rPr>
                <w:rFonts w:hint="eastAsia" w:ascii="宋体" w:hAnsi="宋体" w:eastAsia="宋体" w:cs="宋体"/>
                <w:snapToGrid w:val="0"/>
                <w:kern w:val="0"/>
                <w:sz w:val="18"/>
                <w:szCs w:val="18"/>
                <w:highlight w:val="none"/>
                <w:lang w:val="en-US" w:eastAsia="zh-CN"/>
              </w:rPr>
              <w:t>/</w:t>
            </w:r>
            <w:r>
              <w:rPr>
                <w:rFonts w:hint="eastAsia" w:ascii="宋体" w:hAnsi="宋体" w:eastAsia="宋体" w:cs="宋体"/>
                <w:snapToGrid w:val="0"/>
                <w:kern w:val="0"/>
                <w:sz w:val="18"/>
                <w:szCs w:val="18"/>
                <w:highlight w:val="none"/>
              </w:rPr>
              <w:t>7</w:t>
            </w:r>
            <w:r>
              <w:rPr>
                <w:rFonts w:hint="eastAsia" w:ascii="宋体" w:hAnsi="宋体" w:eastAsia="宋体" w:cs="宋体"/>
                <w:snapToGrid w:val="0"/>
                <w:kern w:val="0"/>
                <w:sz w:val="18"/>
                <w:szCs w:val="18"/>
                <w:highlight w:val="none"/>
                <w:lang w:val="en-US" w:eastAsia="zh-CN"/>
              </w:rPr>
              <w:t>/</w:t>
            </w:r>
            <w:r>
              <w:rPr>
                <w:rFonts w:hint="eastAsia" w:ascii="宋体" w:hAnsi="宋体" w:eastAsia="宋体" w:cs="宋体"/>
                <w:snapToGrid w:val="0"/>
                <w:kern w:val="0"/>
                <w:sz w:val="18"/>
                <w:szCs w:val="18"/>
                <w:highlight w:val="none"/>
              </w:rPr>
              <w:t>3</w:t>
            </w:r>
          </w:p>
        </w:tc>
        <w:tc>
          <w:tcPr>
            <w:tcW w:w="895" w:type="pct"/>
            <w:tcBorders>
              <w:top w:val="single" w:color="auto" w:sz="4" w:space="0"/>
              <w:left w:val="single" w:color="auto" w:sz="4" w:space="0"/>
              <w:bottom w:val="single" w:color="auto" w:sz="4" w:space="0"/>
              <w:right w:val="nil"/>
            </w:tcBorders>
            <w:shd w:val="clear" w:color="auto" w:fill="auto"/>
            <w:vAlign w:val="center"/>
          </w:tcPr>
          <w:p w14:paraId="4C8C2CFC">
            <w:pPr>
              <w:keepNext w:val="0"/>
              <w:keepLines w:val="0"/>
              <w:pageBreakBefore w:val="0"/>
              <w:widowControl/>
              <w:kinsoku/>
              <w:wordWrap/>
              <w:overflowPunct/>
              <w:topLinePunct w:val="0"/>
              <w:autoSpaceDE/>
              <w:autoSpaceDN/>
              <w:bidi w:val="0"/>
              <w:adjustRightInd w:val="0"/>
              <w:snapToGrid w:val="0"/>
              <w:spacing w:line="240" w:lineRule="exact"/>
              <w:ind w:right="0" w:rightChars="0"/>
              <w:jc w:val="center"/>
              <w:textAlignment w:val="auto"/>
              <w:rPr>
                <w:rFonts w:hint="eastAsia" w:ascii="宋体" w:hAnsi="宋体" w:eastAsia="宋体" w:cs="宋体"/>
                <w:snapToGrid w:val="0"/>
                <w:kern w:val="0"/>
                <w:sz w:val="18"/>
                <w:szCs w:val="18"/>
                <w:highlight w:val="none"/>
              </w:rPr>
            </w:pPr>
          </w:p>
        </w:tc>
      </w:tr>
    </w:tbl>
    <w:p w14:paraId="448E0756">
      <w:pPr>
        <w:keepNext w:val="0"/>
        <w:keepLines w:val="0"/>
        <w:pageBreakBefore w:val="0"/>
        <w:kinsoku/>
        <w:wordWrap/>
        <w:overflowPunct/>
        <w:topLinePunct w:val="0"/>
        <w:autoSpaceDE w:val="0"/>
        <w:autoSpaceDN w:val="0"/>
        <w:bidi w:val="0"/>
        <w:adjustRightInd/>
        <w:snapToGrid/>
        <w:spacing w:line="336" w:lineRule="auto"/>
        <w:ind w:firstLine="420" w:firstLineChars="200"/>
        <w:textAlignment w:val="auto"/>
        <w:rPr>
          <w:rFonts w:hint="eastAsia" w:ascii="宋体" w:hAnsi="宋体" w:cs="宋体"/>
          <w:color w:val="2B2B2B"/>
          <w:kern w:val="0"/>
          <w:szCs w:val="21"/>
          <w:highlight w:val="none"/>
          <w:lang w:val="en-US" w:eastAsia="zh-CN"/>
        </w:rPr>
      </w:pPr>
      <w:r>
        <w:rPr>
          <w:rFonts w:hint="eastAsia" w:ascii="宋体" w:hAnsi="宋体" w:cs="宋体"/>
          <w:color w:val="2B2B2B"/>
          <w:kern w:val="0"/>
          <w:szCs w:val="21"/>
        </w:rPr>
        <w:t>[注]该账户于2025年1月23日注销</w:t>
      </w:r>
    </w:p>
    <w:p w14:paraId="47CC14E0">
      <w:pPr>
        <w:keepNext w:val="0"/>
        <w:keepLines w:val="0"/>
        <w:pageBreakBefore w:val="0"/>
        <w:kinsoku/>
        <w:wordWrap/>
        <w:overflowPunct/>
        <w:topLinePunct w:val="0"/>
        <w:autoSpaceDE w:val="0"/>
        <w:autoSpaceDN w:val="0"/>
        <w:bidi w:val="0"/>
        <w:adjustRightInd/>
        <w:snapToGrid/>
        <w:spacing w:line="336" w:lineRule="auto"/>
        <w:ind w:firstLine="420" w:firstLineChars="200"/>
        <w:textAlignment w:val="auto"/>
        <w:rPr>
          <w:rFonts w:hint="eastAsia" w:ascii="宋体" w:hAnsi="宋体" w:cs="宋体"/>
          <w:color w:val="2B2B2B"/>
          <w:kern w:val="0"/>
          <w:szCs w:val="21"/>
          <w:highlight w:val="none"/>
          <w:lang w:val="en-US" w:eastAsia="zh-CN"/>
        </w:rPr>
      </w:pPr>
      <w:r>
        <w:rPr>
          <w:rFonts w:hint="eastAsia" w:ascii="宋体" w:hAnsi="宋体" w:cs="宋体"/>
          <w:color w:val="2B2B2B"/>
          <w:kern w:val="0"/>
          <w:szCs w:val="21"/>
          <w:highlight w:val="none"/>
          <w:lang w:val="en-US" w:eastAsia="zh-CN"/>
        </w:rPr>
        <w:t>为进一步提高募集资金使用效率，本公司于2022年6月22日对招商银行股份有限公司重庆长寿支行开立的募集资金专用账户予以注销，并在哈尔滨银行股份有限公司重庆分行开设了新的募集资金专用账户，该事项业经公司第三届董事会第十二次会议审议通过。</w:t>
      </w:r>
    </w:p>
    <w:p w14:paraId="378149E9">
      <w:pPr>
        <w:keepNext w:val="0"/>
        <w:keepLines w:val="0"/>
        <w:pageBreakBefore w:val="0"/>
        <w:widowControl/>
        <w:kinsoku/>
        <w:wordWrap/>
        <w:overflowPunct/>
        <w:topLinePunct w:val="0"/>
        <w:bidi w:val="0"/>
        <w:adjustRightInd/>
        <w:snapToGrid/>
        <w:spacing w:line="336" w:lineRule="auto"/>
        <w:ind w:firstLine="420" w:firstLineChars="200"/>
        <w:textAlignment w:val="auto"/>
        <w:outlineLvl w:val="1"/>
        <w:rPr>
          <w:rFonts w:ascii="宋体" w:hAnsi="宋体" w:cs="宋体"/>
          <w:color w:val="2B2B2B"/>
          <w:kern w:val="0"/>
          <w:szCs w:val="21"/>
        </w:rPr>
      </w:pPr>
      <w:r>
        <w:rPr>
          <w:rFonts w:hint="eastAsia" w:ascii="宋体" w:hAnsi="宋体" w:cs="宋体"/>
          <w:color w:val="2B2B2B"/>
          <w:kern w:val="0"/>
          <w:szCs w:val="21"/>
        </w:rPr>
        <w:t>(二) 募集资金专户存储情况</w:t>
      </w:r>
    </w:p>
    <w:p w14:paraId="5C25ED0F">
      <w:pPr>
        <w:keepNext w:val="0"/>
        <w:keepLines w:val="0"/>
        <w:pageBreakBefore w:val="0"/>
        <w:kinsoku/>
        <w:wordWrap/>
        <w:overflowPunct/>
        <w:topLinePunct w:val="0"/>
        <w:bidi w:val="0"/>
        <w:adjustRightInd/>
        <w:snapToGrid/>
        <w:spacing w:line="336" w:lineRule="auto"/>
        <w:ind w:firstLine="420" w:firstLineChars="200"/>
        <w:textAlignment w:val="auto"/>
        <w:rPr>
          <w:rFonts w:ascii="宋体" w:hAnsi="宋体"/>
        </w:rPr>
      </w:pPr>
      <w:r>
        <w:rPr>
          <w:rFonts w:hint="eastAsia" w:ascii="宋体" w:cs="宋体"/>
          <w:kern w:val="0"/>
          <w:szCs w:val="21"/>
        </w:rPr>
        <w:t>截至20</w:t>
      </w:r>
      <w:r>
        <w:rPr>
          <w:rFonts w:hint="eastAsia" w:ascii="宋体" w:hAnsi="宋体"/>
          <w:lang w:val="en-US" w:eastAsia="zh-CN"/>
        </w:rPr>
        <w:t>24</w:t>
      </w:r>
      <w:r>
        <w:rPr>
          <w:rFonts w:hint="eastAsia" w:ascii="宋体" w:cs="宋体"/>
          <w:kern w:val="0"/>
          <w:szCs w:val="21"/>
        </w:rPr>
        <w:t>年12月31日，</w:t>
      </w:r>
      <w:r>
        <w:rPr>
          <w:rFonts w:ascii="宋体" w:hAnsi="宋体" w:cs="宋体"/>
          <w:color w:val="2B2B2B"/>
          <w:kern w:val="0"/>
          <w:szCs w:val="21"/>
        </w:rPr>
        <w:t>本公司有</w:t>
      </w:r>
      <w:r>
        <w:rPr>
          <w:rFonts w:hint="eastAsia" w:ascii="宋体" w:hAnsi="宋体"/>
          <w:lang w:val="en-US" w:eastAsia="zh-CN"/>
        </w:rPr>
        <w:t>2</w:t>
      </w:r>
      <w:r>
        <w:rPr>
          <w:rFonts w:ascii="宋体" w:hAnsi="宋体" w:cs="宋体"/>
          <w:color w:val="2B2B2B"/>
          <w:kern w:val="0"/>
          <w:szCs w:val="21"/>
        </w:rPr>
        <w:t>个募集资金专户</w:t>
      </w:r>
      <w:r>
        <w:rPr>
          <w:rFonts w:hint="eastAsia" w:ascii="宋体" w:hAnsi="宋体"/>
        </w:rPr>
        <w:t>，募集资金存放情况如下：</w:t>
      </w:r>
    </w:p>
    <w:p w14:paraId="1C04B785">
      <w:pPr>
        <w:keepNext w:val="0"/>
        <w:keepLines w:val="0"/>
        <w:pageBreakBefore w:val="0"/>
        <w:kinsoku/>
        <w:wordWrap/>
        <w:overflowPunct/>
        <w:topLinePunct w:val="0"/>
        <w:bidi w:val="0"/>
        <w:adjustRightInd/>
        <w:snapToGrid/>
        <w:spacing w:line="336" w:lineRule="auto"/>
        <w:jc w:val="right"/>
        <w:textAlignment w:val="auto"/>
        <w:rPr>
          <w:rFonts w:ascii="宋体" w:hAnsi="宋体"/>
          <w:color w:val="000000"/>
        </w:rPr>
      </w:pPr>
      <w:r>
        <w:rPr>
          <w:rFonts w:hint="eastAsia" w:ascii="宋体" w:hAnsi="宋体"/>
          <w:color w:val="000000"/>
        </w:rPr>
        <w:t>金额单位：人民币元</w:t>
      </w:r>
    </w:p>
    <w:tbl>
      <w:tblPr>
        <w:tblStyle w:val="10"/>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068"/>
        <w:gridCol w:w="2020"/>
        <w:gridCol w:w="1620"/>
        <w:gridCol w:w="1808"/>
      </w:tblGrid>
      <w:tr w14:paraId="1511B72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1" w:type="pct"/>
            <w:shd w:val="clear" w:color="auto" w:fill="auto"/>
            <w:vAlign w:val="center"/>
          </w:tcPr>
          <w:p w14:paraId="2DEC325A">
            <w:pPr>
              <w:adjustRightInd w:val="0"/>
              <w:ind w:firstLine="180" w:firstLineChars="100"/>
              <w:jc w:val="left"/>
              <w:rPr>
                <w:rFonts w:ascii="宋体" w:hAnsi="宋体" w:cs="宋体"/>
                <w:kern w:val="0"/>
                <w:sz w:val="18"/>
                <w:szCs w:val="18"/>
              </w:rPr>
            </w:pPr>
            <w:r>
              <w:rPr>
                <w:rFonts w:ascii="宋体" w:hAnsi="宋体" w:cs="宋体"/>
                <w:kern w:val="0"/>
                <w:sz w:val="18"/>
                <w:szCs w:val="18"/>
              </w:rPr>
              <w:t>开户银行</w:t>
            </w:r>
          </w:p>
        </w:tc>
        <w:tc>
          <w:tcPr>
            <w:tcW w:w="1186" w:type="pct"/>
            <w:shd w:val="clear" w:color="auto" w:fill="auto"/>
            <w:vAlign w:val="center"/>
          </w:tcPr>
          <w:p w14:paraId="0532180D">
            <w:pPr>
              <w:adjustRightInd w:val="0"/>
              <w:jc w:val="center"/>
              <w:rPr>
                <w:rFonts w:ascii="宋体" w:hAnsi="宋体" w:cs="宋体"/>
                <w:kern w:val="0"/>
                <w:sz w:val="18"/>
                <w:szCs w:val="18"/>
              </w:rPr>
            </w:pPr>
            <w:r>
              <w:rPr>
                <w:rFonts w:ascii="宋体" w:hAnsi="宋体" w:cs="宋体"/>
                <w:kern w:val="0"/>
                <w:sz w:val="18"/>
                <w:szCs w:val="18"/>
              </w:rPr>
              <w:t>银行账号</w:t>
            </w:r>
          </w:p>
        </w:tc>
        <w:tc>
          <w:tcPr>
            <w:tcW w:w="951" w:type="pct"/>
            <w:shd w:val="clear" w:color="auto" w:fill="auto"/>
            <w:vAlign w:val="center"/>
          </w:tcPr>
          <w:p w14:paraId="21BFCA85">
            <w:pPr>
              <w:adjustRightInd w:val="0"/>
              <w:jc w:val="center"/>
              <w:rPr>
                <w:rFonts w:ascii="宋体" w:hAnsi="宋体" w:cs="宋体"/>
                <w:kern w:val="0"/>
                <w:sz w:val="18"/>
                <w:szCs w:val="18"/>
              </w:rPr>
            </w:pPr>
            <w:r>
              <w:rPr>
                <w:rFonts w:ascii="宋体" w:hAnsi="宋体" w:cs="宋体"/>
                <w:kern w:val="0"/>
                <w:sz w:val="18"/>
                <w:szCs w:val="18"/>
              </w:rPr>
              <w:t>募集资金余额</w:t>
            </w:r>
          </w:p>
        </w:tc>
        <w:tc>
          <w:tcPr>
            <w:tcW w:w="1061" w:type="pct"/>
            <w:shd w:val="clear" w:color="auto" w:fill="auto"/>
            <w:vAlign w:val="center"/>
          </w:tcPr>
          <w:p w14:paraId="053BDD7A">
            <w:pPr>
              <w:adjustRightInd w:val="0"/>
              <w:jc w:val="center"/>
              <w:rPr>
                <w:rFonts w:ascii="宋体" w:hAnsi="宋体" w:cs="宋体"/>
                <w:kern w:val="0"/>
                <w:sz w:val="18"/>
                <w:szCs w:val="18"/>
              </w:rPr>
            </w:pPr>
            <w:r>
              <w:rPr>
                <w:rFonts w:hint="eastAsia" w:ascii="宋体" w:hAnsi="宋体" w:cs="宋体"/>
                <w:kern w:val="0"/>
                <w:sz w:val="18"/>
                <w:szCs w:val="18"/>
              </w:rPr>
              <w:t>备  注</w:t>
            </w:r>
          </w:p>
        </w:tc>
      </w:tr>
      <w:tr w14:paraId="7AB745E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1" w:type="pct"/>
            <w:shd w:val="clear" w:color="auto" w:fill="auto"/>
            <w:vAlign w:val="center"/>
          </w:tcPr>
          <w:p w14:paraId="62A20C77">
            <w:pPr>
              <w:adjustRightInd w:val="0"/>
              <w:jc w:val="left"/>
              <w:rPr>
                <w:rFonts w:ascii="宋体" w:hAnsi="宋体" w:cs="宋体"/>
                <w:kern w:val="0"/>
                <w:sz w:val="18"/>
                <w:szCs w:val="18"/>
              </w:rPr>
            </w:pPr>
            <w:r>
              <w:rPr>
                <w:rFonts w:hint="eastAsia" w:ascii="宋体" w:hAnsi="宋体" w:cs="宋体"/>
                <w:kern w:val="0"/>
                <w:sz w:val="18"/>
                <w:szCs w:val="18"/>
              </w:rPr>
              <w:t>浦发银行重庆长寿支行</w:t>
            </w:r>
          </w:p>
        </w:tc>
        <w:tc>
          <w:tcPr>
            <w:tcW w:w="1186" w:type="pct"/>
            <w:shd w:val="clear" w:color="auto" w:fill="auto"/>
            <w:vAlign w:val="center"/>
          </w:tcPr>
          <w:p w14:paraId="720046FF">
            <w:pPr>
              <w:adjustRightInd w:val="0"/>
              <w:jc w:val="left"/>
              <w:rPr>
                <w:rFonts w:ascii="宋体" w:hAnsi="宋体" w:cs="宋体"/>
                <w:kern w:val="0"/>
                <w:sz w:val="18"/>
                <w:szCs w:val="18"/>
              </w:rPr>
            </w:pPr>
            <w:r>
              <w:rPr>
                <w:rFonts w:hint="eastAsia" w:ascii="宋体" w:hAnsi="宋体" w:cs="宋体"/>
                <w:kern w:val="0"/>
                <w:sz w:val="18"/>
                <w:szCs w:val="18"/>
              </w:rPr>
              <w:t>83260078801700000608</w:t>
            </w:r>
          </w:p>
        </w:tc>
        <w:tc>
          <w:tcPr>
            <w:tcW w:w="951" w:type="pct"/>
            <w:shd w:val="clear" w:color="auto" w:fill="auto"/>
            <w:vAlign w:val="center"/>
          </w:tcPr>
          <w:p w14:paraId="557D47A4">
            <w:pPr>
              <w:adjustRightInd w:val="0"/>
              <w:jc w:val="right"/>
              <w:rPr>
                <w:rFonts w:ascii="宋体" w:hAnsi="宋体" w:cs="宋体"/>
                <w:kern w:val="0"/>
                <w:sz w:val="18"/>
                <w:szCs w:val="18"/>
              </w:rPr>
            </w:pPr>
            <w:r>
              <w:rPr>
                <w:rFonts w:hint="eastAsia" w:ascii="宋体" w:hAnsi="宋体" w:cs="宋体"/>
                <w:kern w:val="0"/>
                <w:sz w:val="18"/>
                <w:szCs w:val="18"/>
              </w:rPr>
              <w:t xml:space="preserve"> 3,081,490.85</w:t>
            </w:r>
          </w:p>
        </w:tc>
        <w:tc>
          <w:tcPr>
            <w:tcW w:w="1061" w:type="pct"/>
            <w:shd w:val="clear" w:color="auto" w:fill="auto"/>
            <w:vAlign w:val="center"/>
          </w:tcPr>
          <w:p w14:paraId="7F5F8E65">
            <w:pPr>
              <w:adjustRightInd w:val="0"/>
              <w:jc w:val="center"/>
              <w:rPr>
                <w:rFonts w:hint="eastAsia" w:ascii="宋体" w:hAnsi="宋体" w:eastAsia="宋体" w:cs="宋体"/>
                <w:kern w:val="0"/>
                <w:sz w:val="18"/>
                <w:szCs w:val="18"/>
                <w:lang w:eastAsia="zh"/>
              </w:rPr>
            </w:pPr>
            <w:r>
              <w:rPr>
                <w:rFonts w:hint="eastAsia" w:ascii="宋体" w:hAnsi="宋体" w:cs="宋体"/>
                <w:kern w:val="0"/>
                <w:sz w:val="18"/>
                <w:szCs w:val="18"/>
                <w:lang w:eastAsia="zh"/>
              </w:rPr>
              <w:t>募集资金专户</w:t>
            </w:r>
          </w:p>
        </w:tc>
      </w:tr>
      <w:tr w14:paraId="4506FD4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1" w:type="pct"/>
            <w:shd w:val="clear" w:color="auto" w:fill="auto"/>
            <w:vAlign w:val="center"/>
          </w:tcPr>
          <w:p w14:paraId="7747761F">
            <w:pPr>
              <w:adjustRightInd w:val="0"/>
              <w:jc w:val="left"/>
              <w:rPr>
                <w:rFonts w:ascii="宋体" w:hAnsi="宋体" w:cs="宋体"/>
                <w:kern w:val="0"/>
                <w:sz w:val="18"/>
                <w:szCs w:val="18"/>
              </w:rPr>
            </w:pPr>
            <w:r>
              <w:rPr>
                <w:rFonts w:hint="eastAsia" w:ascii="宋体" w:hAnsi="宋体" w:cs="宋体"/>
                <w:kern w:val="0"/>
                <w:sz w:val="18"/>
                <w:szCs w:val="18"/>
              </w:rPr>
              <w:t>哈尔滨银行股份有限公司重庆分行</w:t>
            </w:r>
          </w:p>
        </w:tc>
        <w:tc>
          <w:tcPr>
            <w:tcW w:w="1186" w:type="pct"/>
            <w:shd w:val="clear" w:color="auto" w:fill="auto"/>
            <w:vAlign w:val="center"/>
          </w:tcPr>
          <w:p w14:paraId="0BA0274D">
            <w:pPr>
              <w:adjustRightInd w:val="0"/>
              <w:jc w:val="left"/>
              <w:rPr>
                <w:rFonts w:ascii="宋体" w:hAnsi="宋体" w:cs="宋体"/>
                <w:kern w:val="0"/>
                <w:sz w:val="18"/>
                <w:szCs w:val="18"/>
              </w:rPr>
            </w:pPr>
            <w:r>
              <w:rPr>
                <w:rFonts w:hint="eastAsia" w:ascii="宋体" w:hAnsi="宋体" w:cs="宋体"/>
                <w:kern w:val="0"/>
                <w:sz w:val="18"/>
                <w:szCs w:val="18"/>
              </w:rPr>
              <w:t>18010000001689409</w:t>
            </w:r>
          </w:p>
        </w:tc>
        <w:tc>
          <w:tcPr>
            <w:tcW w:w="1620" w:type="dxa"/>
            <w:shd w:val="clear" w:color="auto" w:fill="auto"/>
            <w:vAlign w:val="center"/>
          </w:tcPr>
          <w:p w14:paraId="64C9BD6B">
            <w:pPr>
              <w:adjustRightInd w:val="0"/>
              <w:jc w:val="right"/>
              <w:rPr>
                <w:rFonts w:ascii="宋体" w:hAnsi="宋体" w:cs="宋体"/>
                <w:kern w:val="0"/>
                <w:sz w:val="18"/>
                <w:szCs w:val="18"/>
              </w:rPr>
            </w:pPr>
            <w:r>
              <w:rPr>
                <w:rFonts w:hint="eastAsia" w:ascii="宋体" w:hAnsi="宋体" w:cs="宋体"/>
                <w:kern w:val="0"/>
                <w:sz w:val="18"/>
                <w:szCs w:val="18"/>
              </w:rPr>
              <w:t xml:space="preserve"> 10,004.77 </w:t>
            </w:r>
          </w:p>
        </w:tc>
        <w:tc>
          <w:tcPr>
            <w:tcW w:w="1061" w:type="pct"/>
            <w:shd w:val="clear" w:color="auto" w:fill="auto"/>
            <w:vAlign w:val="center"/>
          </w:tcPr>
          <w:p w14:paraId="0AAB108D">
            <w:pPr>
              <w:adjustRightInd w:val="0"/>
              <w:jc w:val="center"/>
              <w:rPr>
                <w:rFonts w:ascii="宋体" w:hAnsi="宋体" w:cs="宋体"/>
                <w:kern w:val="0"/>
                <w:sz w:val="18"/>
                <w:szCs w:val="18"/>
              </w:rPr>
            </w:pPr>
            <w:r>
              <w:rPr>
                <w:rFonts w:hint="eastAsia" w:ascii="宋体" w:hAnsi="宋体" w:cs="宋体"/>
                <w:kern w:val="0"/>
                <w:sz w:val="18"/>
                <w:szCs w:val="18"/>
                <w:lang w:eastAsia="zh"/>
              </w:rPr>
              <w:t>募集资金专户</w:t>
            </w:r>
          </w:p>
        </w:tc>
      </w:tr>
      <w:tr w14:paraId="018D8FF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1" w:type="pct"/>
            <w:shd w:val="clear" w:color="auto" w:fill="auto"/>
            <w:vAlign w:val="center"/>
          </w:tcPr>
          <w:p w14:paraId="62A7433F">
            <w:pPr>
              <w:adjustRightInd w:val="0"/>
              <w:ind w:firstLine="180" w:firstLineChars="100"/>
              <w:jc w:val="left"/>
              <w:rPr>
                <w:rFonts w:ascii="宋体" w:hAnsi="宋体" w:cs="宋体"/>
                <w:kern w:val="0"/>
                <w:sz w:val="18"/>
                <w:szCs w:val="18"/>
              </w:rPr>
            </w:pPr>
            <w:r>
              <w:rPr>
                <w:rFonts w:hint="eastAsia" w:ascii="宋体" w:hAnsi="宋体" w:cs="宋体"/>
                <w:kern w:val="0"/>
                <w:sz w:val="18"/>
                <w:szCs w:val="18"/>
              </w:rPr>
              <w:t>合</w:t>
            </w:r>
            <w:r>
              <w:rPr>
                <w:rFonts w:ascii="宋体" w:hAnsi="宋体" w:cs="宋体"/>
                <w:kern w:val="0"/>
                <w:sz w:val="18"/>
                <w:szCs w:val="18"/>
              </w:rPr>
              <w:t xml:space="preserve">  计</w:t>
            </w:r>
          </w:p>
        </w:tc>
        <w:tc>
          <w:tcPr>
            <w:tcW w:w="1186" w:type="pct"/>
            <w:shd w:val="clear" w:color="auto" w:fill="auto"/>
            <w:vAlign w:val="center"/>
          </w:tcPr>
          <w:p w14:paraId="054B472A">
            <w:pPr>
              <w:adjustRightInd w:val="0"/>
              <w:jc w:val="left"/>
              <w:rPr>
                <w:rFonts w:ascii="宋体" w:hAnsi="宋体" w:cs="宋体"/>
                <w:kern w:val="0"/>
                <w:sz w:val="18"/>
                <w:szCs w:val="18"/>
              </w:rPr>
            </w:pPr>
          </w:p>
        </w:tc>
        <w:tc>
          <w:tcPr>
            <w:tcW w:w="1620" w:type="dxa"/>
            <w:shd w:val="clear" w:color="auto" w:fill="auto"/>
            <w:vAlign w:val="center"/>
          </w:tcPr>
          <w:p w14:paraId="679879D5">
            <w:pPr>
              <w:adjustRightInd w:val="0"/>
              <w:jc w:val="right"/>
              <w:rPr>
                <w:rFonts w:ascii="宋体" w:hAnsi="宋体" w:cs="宋体"/>
                <w:kern w:val="0"/>
                <w:sz w:val="18"/>
                <w:szCs w:val="18"/>
              </w:rPr>
            </w:pPr>
            <w:r>
              <w:rPr>
                <w:rFonts w:hint="eastAsia" w:ascii="宋体" w:hAnsi="宋体" w:cs="宋体"/>
                <w:kern w:val="0"/>
                <w:sz w:val="18"/>
                <w:szCs w:val="18"/>
              </w:rPr>
              <w:t xml:space="preserve"> 3,091,495.62 </w:t>
            </w:r>
          </w:p>
        </w:tc>
        <w:tc>
          <w:tcPr>
            <w:tcW w:w="1061" w:type="pct"/>
            <w:shd w:val="clear" w:color="auto" w:fill="auto"/>
            <w:vAlign w:val="center"/>
          </w:tcPr>
          <w:p w14:paraId="53EE9E53">
            <w:pPr>
              <w:adjustRightInd w:val="0"/>
              <w:jc w:val="left"/>
              <w:rPr>
                <w:rFonts w:ascii="宋体" w:hAnsi="宋体" w:cs="宋体"/>
                <w:kern w:val="0"/>
                <w:sz w:val="18"/>
                <w:szCs w:val="18"/>
              </w:rPr>
            </w:pPr>
          </w:p>
        </w:tc>
      </w:tr>
    </w:tbl>
    <w:p w14:paraId="089A26D0">
      <w:pPr>
        <w:keepNext w:val="0"/>
        <w:keepLines w:val="0"/>
        <w:pageBreakBefore w:val="0"/>
        <w:widowControl w:val="0"/>
        <w:numPr>
          <w:ilvl w:val="-1"/>
          <w:numId w:val="0"/>
        </w:numPr>
        <w:tabs>
          <w:tab w:val="left" w:pos="4620"/>
        </w:tabs>
        <w:kinsoku/>
        <w:wordWrap/>
        <w:overflowPunct/>
        <w:topLinePunct w:val="0"/>
        <w:autoSpaceDE/>
        <w:autoSpaceDN/>
        <w:bidi w:val="0"/>
        <w:adjustRightInd/>
        <w:snapToGrid/>
        <w:spacing w:line="336" w:lineRule="auto"/>
        <w:ind w:firstLine="420" w:firstLineChars="200"/>
        <w:textAlignment w:val="auto"/>
        <w:rPr>
          <w:rFonts w:hint="default" w:ascii="宋体" w:hAnsi="宋体" w:eastAsia="宋体"/>
          <w:szCs w:val="21"/>
          <w:lang w:val="en-US" w:eastAsia="zh-CN"/>
        </w:rPr>
      </w:pPr>
      <w:r>
        <w:rPr>
          <w:rFonts w:hint="eastAsia" w:ascii="宋体" w:hAnsi="宋体"/>
          <w:szCs w:val="21"/>
          <w:lang w:val="en-US" w:eastAsia="zh-CN"/>
        </w:rPr>
        <w:t>注：</w:t>
      </w:r>
      <w:r>
        <w:rPr>
          <w:rFonts w:hint="eastAsia" w:ascii="宋体" w:hAnsi="宋体"/>
          <w:szCs w:val="21"/>
        </w:rPr>
        <w:t>浦发银行重庆长寿支行</w:t>
      </w:r>
      <w:r>
        <w:rPr>
          <w:rFonts w:hint="eastAsia" w:ascii="宋体" w:hAnsi="宋体"/>
          <w:szCs w:val="21"/>
          <w:lang w:val="en-US" w:eastAsia="zh-CN"/>
        </w:rPr>
        <w:t>的募集资金账户中有303.15万元以协议存款方式计息。</w:t>
      </w:r>
    </w:p>
    <w:p w14:paraId="69A7D834">
      <w:pPr>
        <w:keepNext w:val="0"/>
        <w:keepLines w:val="0"/>
        <w:pageBreakBefore w:val="0"/>
        <w:widowControl w:val="0"/>
        <w:numPr>
          <w:ilvl w:val="0"/>
          <w:numId w:val="1"/>
        </w:numPr>
        <w:tabs>
          <w:tab w:val="left" w:pos="4620"/>
        </w:tabs>
        <w:kinsoku/>
        <w:wordWrap/>
        <w:overflowPunct/>
        <w:topLinePunct w:val="0"/>
        <w:autoSpaceDE/>
        <w:autoSpaceDN/>
        <w:bidi w:val="0"/>
        <w:adjustRightInd/>
        <w:snapToGrid/>
        <w:spacing w:line="336" w:lineRule="auto"/>
        <w:ind w:firstLine="420" w:firstLineChars="200"/>
        <w:textAlignment w:val="auto"/>
        <w:rPr>
          <w:rFonts w:hint="default" w:ascii="宋体" w:hAnsi="宋体" w:eastAsia="宋体"/>
          <w:szCs w:val="21"/>
          <w:lang w:val="en-US" w:eastAsia="zh-CN"/>
        </w:rPr>
      </w:pPr>
      <w:r>
        <w:rPr>
          <w:rFonts w:hint="eastAsia" w:ascii="宋体" w:hAnsi="宋体"/>
          <w:szCs w:val="21"/>
          <w:lang w:val="en-US" w:eastAsia="zh-CN"/>
        </w:rPr>
        <w:t>募集资金现金管理情况</w:t>
      </w:r>
    </w:p>
    <w:p w14:paraId="41FCD478">
      <w:pPr>
        <w:keepNext w:val="0"/>
        <w:keepLines w:val="0"/>
        <w:pageBreakBefore w:val="0"/>
        <w:widowControl w:val="0"/>
        <w:tabs>
          <w:tab w:val="left" w:pos="4620"/>
        </w:tabs>
        <w:kinsoku/>
        <w:wordWrap/>
        <w:overflowPunct/>
        <w:topLinePunct w:val="0"/>
        <w:autoSpaceDE/>
        <w:autoSpaceDN/>
        <w:bidi w:val="0"/>
        <w:adjustRightInd/>
        <w:snapToGrid/>
        <w:spacing w:line="336" w:lineRule="auto"/>
        <w:ind w:firstLine="420" w:firstLineChars="200"/>
        <w:textAlignment w:val="auto"/>
        <w:rPr>
          <w:rFonts w:hint="eastAsia" w:ascii="宋体" w:hAnsi="宋体"/>
          <w:szCs w:val="21"/>
        </w:rPr>
      </w:pPr>
      <w:r>
        <w:rPr>
          <w:rFonts w:hint="eastAsia" w:ascii="宋体" w:hAnsi="宋体"/>
          <w:szCs w:val="21"/>
          <w:lang w:val="en-US" w:eastAsia="zh-CN"/>
        </w:rPr>
        <w:t>公司2024年4月26日第四届董事会第五次会议审议通过《关于使用部分闲置募集资金进行现金管理的议案》，自董事会审议通过之日起至2024年12月31日止，公司可使用闲置募集资金进行现金管理，最高额不超过29,000万元，在上述额度及有效期限内，公司可循环滚动使用。</w:t>
      </w:r>
      <w:r>
        <w:rPr>
          <w:rFonts w:hint="eastAsia" w:ascii="宋体" w:hAnsi="宋体"/>
          <w:szCs w:val="21"/>
        </w:rPr>
        <w:t>公司于2024年11月26日召开了第四届董事会第九次会议和第四届监事会第八次会议，审议通过了《关于使用暂时闲置募集资金进行现金管理的议案》，同意公司2025年度使用不超过10,000万元的暂时闲置募集资金进行现金管理，该额度的有效期自2025年1月1日至2025年12月31日止，在上述额度及有效期限内，公司可循环滚动使用。</w:t>
      </w:r>
    </w:p>
    <w:p w14:paraId="06DDFF51">
      <w:pPr>
        <w:keepNext w:val="0"/>
        <w:keepLines w:val="0"/>
        <w:pageBreakBefore w:val="0"/>
        <w:widowControl w:val="0"/>
        <w:tabs>
          <w:tab w:val="left" w:pos="4620"/>
        </w:tabs>
        <w:kinsoku/>
        <w:wordWrap/>
        <w:overflowPunct/>
        <w:topLinePunct w:val="0"/>
        <w:autoSpaceDE/>
        <w:autoSpaceDN/>
        <w:bidi w:val="0"/>
        <w:adjustRightInd/>
        <w:snapToGrid/>
        <w:spacing w:line="336" w:lineRule="auto"/>
        <w:ind w:firstLine="420" w:firstLineChars="200"/>
        <w:textAlignment w:val="auto"/>
        <w:rPr>
          <w:rFonts w:hint="eastAsia" w:ascii="宋体" w:hAnsi="宋体"/>
          <w:szCs w:val="21"/>
          <w:lang w:val="en-US" w:eastAsia="zh-CN"/>
        </w:rPr>
      </w:pPr>
      <w:r>
        <w:rPr>
          <w:rFonts w:hint="eastAsia" w:ascii="宋体" w:hAnsi="宋体"/>
          <w:szCs w:val="21"/>
          <w:lang w:val="en-US" w:eastAsia="zh-CN"/>
        </w:rPr>
        <w:t>2024年度，公司使用闲置募集资金购买结构性存款情况如下：</w:t>
      </w:r>
    </w:p>
    <w:tbl>
      <w:tblPr>
        <w:tblStyle w:val="10"/>
        <w:tblW w:w="4997" w:type="pct"/>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990"/>
        <w:gridCol w:w="627"/>
        <w:gridCol w:w="973"/>
        <w:gridCol w:w="922"/>
        <w:gridCol w:w="893"/>
        <w:gridCol w:w="1066"/>
        <w:gridCol w:w="1112"/>
        <w:gridCol w:w="727"/>
        <w:gridCol w:w="593"/>
        <w:gridCol w:w="608"/>
      </w:tblGrid>
      <w:tr w14:paraId="4F17973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34" w:hRule="atLeast"/>
          <w:jc w:val="center"/>
        </w:trPr>
        <w:tc>
          <w:tcPr>
            <w:tcW w:w="581" w:type="pct"/>
            <w:tcBorders>
              <w:top w:val="single" w:color="auto" w:sz="4" w:space="0"/>
              <w:bottom w:val="single" w:color="auto" w:sz="4" w:space="0"/>
              <w:right w:val="single" w:color="auto" w:sz="4" w:space="0"/>
            </w:tcBorders>
            <w:vAlign w:val="center"/>
          </w:tcPr>
          <w:p w14:paraId="2A673BCD">
            <w:pPr>
              <w:snapToGrid w:val="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受托机构</w:t>
            </w:r>
          </w:p>
        </w:tc>
        <w:tc>
          <w:tcPr>
            <w:tcW w:w="368" w:type="pct"/>
            <w:tcBorders>
              <w:top w:val="single" w:color="auto" w:sz="4" w:space="0"/>
              <w:left w:val="single" w:color="auto" w:sz="4" w:space="0"/>
              <w:bottom w:val="single" w:color="auto" w:sz="4" w:space="0"/>
              <w:right w:val="single" w:color="auto" w:sz="4" w:space="0"/>
            </w:tcBorders>
            <w:vAlign w:val="center"/>
          </w:tcPr>
          <w:p w14:paraId="30ED98C1">
            <w:pPr>
              <w:snapToGrid w:val="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产品类型</w:t>
            </w:r>
          </w:p>
        </w:tc>
        <w:tc>
          <w:tcPr>
            <w:tcW w:w="571" w:type="pct"/>
            <w:tcBorders>
              <w:top w:val="single" w:color="auto" w:sz="4" w:space="0"/>
              <w:left w:val="single" w:color="auto" w:sz="4" w:space="0"/>
              <w:bottom w:val="single" w:color="auto" w:sz="4" w:space="0"/>
              <w:right w:val="single" w:color="auto" w:sz="4" w:space="0"/>
            </w:tcBorders>
            <w:vAlign w:val="center"/>
          </w:tcPr>
          <w:p w14:paraId="73BF3726">
            <w:pPr>
              <w:snapToGrid w:val="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产品名称</w:t>
            </w:r>
          </w:p>
        </w:tc>
        <w:tc>
          <w:tcPr>
            <w:tcW w:w="541" w:type="pct"/>
            <w:tcBorders>
              <w:top w:val="single" w:color="auto" w:sz="4" w:space="0"/>
              <w:left w:val="single" w:color="auto" w:sz="4" w:space="0"/>
              <w:bottom w:val="single" w:color="auto" w:sz="4" w:space="0"/>
              <w:right w:val="single" w:color="auto" w:sz="4" w:space="0"/>
            </w:tcBorders>
            <w:vAlign w:val="center"/>
          </w:tcPr>
          <w:p w14:paraId="1D6AED42">
            <w:pPr>
              <w:snapToGrid w:val="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期数</w:t>
            </w:r>
          </w:p>
        </w:tc>
        <w:tc>
          <w:tcPr>
            <w:tcW w:w="524" w:type="pct"/>
            <w:tcBorders>
              <w:top w:val="single" w:color="auto" w:sz="4" w:space="0"/>
              <w:left w:val="single" w:color="auto" w:sz="4" w:space="0"/>
              <w:bottom w:val="single" w:color="auto" w:sz="4" w:space="0"/>
              <w:right w:val="single" w:color="auto" w:sz="4" w:space="0"/>
            </w:tcBorders>
            <w:vAlign w:val="center"/>
          </w:tcPr>
          <w:p w14:paraId="23ADCF04">
            <w:pPr>
              <w:snapToGrid w:val="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金额</w:t>
            </w:r>
          </w:p>
          <w:p w14:paraId="626E2779">
            <w:pPr>
              <w:snapToGrid w:val="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626" w:type="pct"/>
            <w:tcBorders>
              <w:top w:val="single" w:color="auto" w:sz="4" w:space="0"/>
              <w:left w:val="single" w:color="auto" w:sz="4" w:space="0"/>
              <w:bottom w:val="single" w:color="auto" w:sz="4" w:space="0"/>
              <w:right w:val="single" w:color="auto" w:sz="4" w:space="0"/>
            </w:tcBorders>
            <w:vAlign w:val="center"/>
          </w:tcPr>
          <w:p w14:paraId="4AF2C081">
            <w:pPr>
              <w:snapToGrid w:val="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产品编码</w:t>
            </w:r>
          </w:p>
        </w:tc>
        <w:tc>
          <w:tcPr>
            <w:tcW w:w="653" w:type="pct"/>
            <w:tcBorders>
              <w:top w:val="single" w:color="auto" w:sz="4" w:space="0"/>
              <w:left w:val="single" w:color="auto" w:sz="4" w:space="0"/>
              <w:bottom w:val="single" w:color="auto" w:sz="4" w:space="0"/>
              <w:right w:val="single" w:color="auto" w:sz="4" w:space="0"/>
            </w:tcBorders>
            <w:vAlign w:val="center"/>
          </w:tcPr>
          <w:p w14:paraId="402C39E8">
            <w:pPr>
              <w:snapToGrid w:val="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预计年化收益率（%）</w:t>
            </w:r>
          </w:p>
        </w:tc>
        <w:tc>
          <w:tcPr>
            <w:tcW w:w="427" w:type="pct"/>
            <w:tcBorders>
              <w:top w:val="single" w:color="auto" w:sz="4" w:space="0"/>
              <w:left w:val="single" w:color="auto" w:sz="4" w:space="0"/>
              <w:bottom w:val="single" w:color="auto" w:sz="4" w:space="0"/>
              <w:right w:val="single" w:color="auto" w:sz="4" w:space="0"/>
            </w:tcBorders>
            <w:vAlign w:val="center"/>
          </w:tcPr>
          <w:p w14:paraId="26314B86">
            <w:pPr>
              <w:snapToGrid w:val="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产品期限</w:t>
            </w:r>
          </w:p>
        </w:tc>
        <w:tc>
          <w:tcPr>
            <w:tcW w:w="348" w:type="pct"/>
            <w:tcBorders>
              <w:top w:val="single" w:color="auto" w:sz="4" w:space="0"/>
              <w:left w:val="single" w:color="auto" w:sz="4" w:space="0"/>
              <w:bottom w:val="single" w:color="auto" w:sz="4" w:space="0"/>
              <w:right w:val="single" w:color="auto" w:sz="4" w:space="0"/>
            </w:tcBorders>
            <w:vAlign w:val="center"/>
          </w:tcPr>
          <w:p w14:paraId="4276135F">
            <w:pPr>
              <w:snapToGrid w:val="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收益类型</w:t>
            </w:r>
          </w:p>
        </w:tc>
        <w:tc>
          <w:tcPr>
            <w:tcW w:w="357" w:type="pct"/>
            <w:tcBorders>
              <w:top w:val="single" w:color="auto" w:sz="4" w:space="0"/>
              <w:left w:val="single" w:color="auto" w:sz="4" w:space="0"/>
              <w:bottom w:val="single" w:color="auto" w:sz="4" w:space="0"/>
            </w:tcBorders>
            <w:vAlign w:val="center"/>
          </w:tcPr>
          <w:p w14:paraId="33632E23">
            <w:pPr>
              <w:snapToGrid w:val="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状态</w:t>
            </w:r>
          </w:p>
        </w:tc>
      </w:tr>
      <w:tr w14:paraId="5FB35D5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581" w:type="pct"/>
            <w:vMerge w:val="restart"/>
            <w:tcBorders>
              <w:top w:val="single" w:color="auto" w:sz="4" w:space="0"/>
              <w:bottom w:val="single" w:color="auto" w:sz="4" w:space="0"/>
              <w:right w:val="single" w:color="auto" w:sz="4" w:space="0"/>
            </w:tcBorders>
            <w:vAlign w:val="center"/>
          </w:tcPr>
          <w:p w14:paraId="2FF81E8D">
            <w:pPr>
              <w:snapToGrid w:val="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上海浦东发展银行股份有限公司重庆分行</w:t>
            </w:r>
          </w:p>
        </w:tc>
        <w:tc>
          <w:tcPr>
            <w:tcW w:w="368" w:type="pct"/>
            <w:vMerge w:val="restart"/>
            <w:tcBorders>
              <w:top w:val="single" w:color="auto" w:sz="4" w:space="0"/>
              <w:left w:val="single" w:color="auto" w:sz="4" w:space="0"/>
              <w:bottom w:val="single" w:color="auto" w:sz="4" w:space="0"/>
              <w:right w:val="single" w:color="auto" w:sz="4" w:space="0"/>
            </w:tcBorders>
            <w:vAlign w:val="center"/>
          </w:tcPr>
          <w:p w14:paraId="3FE122E1">
            <w:pPr>
              <w:snapToGrid w:val="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结构性存款</w:t>
            </w:r>
          </w:p>
        </w:tc>
        <w:tc>
          <w:tcPr>
            <w:tcW w:w="571" w:type="pct"/>
            <w:vMerge w:val="restart"/>
            <w:tcBorders>
              <w:top w:val="single" w:color="auto" w:sz="4" w:space="0"/>
              <w:left w:val="single" w:color="auto" w:sz="4" w:space="0"/>
              <w:bottom w:val="single" w:color="auto" w:sz="4" w:space="0"/>
              <w:right w:val="single" w:color="auto" w:sz="4" w:space="0"/>
            </w:tcBorders>
            <w:vAlign w:val="center"/>
          </w:tcPr>
          <w:p w14:paraId="3E23E7C0">
            <w:pPr>
              <w:keepNext w:val="0"/>
              <w:keepLines w:val="0"/>
              <w:pageBreakBefore w:val="0"/>
              <w:widowControl w:val="0"/>
              <w:kinsoku/>
              <w:wordWrap/>
              <w:overflowPunct/>
              <w:topLinePunct w:val="0"/>
              <w:autoSpaceDE/>
              <w:autoSpaceDN/>
              <w:bidi w:val="0"/>
              <w:adjustRightInd/>
              <w:snapToGrid w:val="0"/>
              <w:ind w:right="0" w:rightChars="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利多多公司稳利人民币对公结构性存款</w:t>
            </w:r>
          </w:p>
        </w:tc>
        <w:tc>
          <w:tcPr>
            <w:tcW w:w="541" w:type="pct"/>
            <w:tcBorders>
              <w:top w:val="single" w:color="auto" w:sz="4" w:space="0"/>
              <w:left w:val="single" w:color="auto" w:sz="4" w:space="0"/>
              <w:bottom w:val="single" w:color="auto" w:sz="4" w:space="0"/>
              <w:right w:val="single" w:color="auto" w:sz="4" w:space="0"/>
            </w:tcBorders>
            <w:vAlign w:val="center"/>
          </w:tcPr>
          <w:p w14:paraId="483B0C90">
            <w:pPr>
              <w:keepNext w:val="0"/>
              <w:keepLines w:val="0"/>
              <w:pageBreakBefore w:val="0"/>
              <w:widowControl w:val="0"/>
              <w:kinsoku/>
              <w:wordWrap/>
              <w:overflowPunct/>
              <w:topLinePunct w:val="0"/>
              <w:autoSpaceDE/>
              <w:autoSpaceDN/>
              <w:bidi w:val="0"/>
              <w:adjustRightInd/>
              <w:snapToGrid w:val="0"/>
              <w:ind w:left="-63" w:leftChars="-30" w:right="-63" w:rightChars="-3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24JG3338</w:t>
            </w:r>
          </w:p>
        </w:tc>
        <w:tc>
          <w:tcPr>
            <w:tcW w:w="524" w:type="pct"/>
            <w:tcBorders>
              <w:top w:val="single" w:color="auto" w:sz="4" w:space="0"/>
              <w:left w:val="single" w:color="auto" w:sz="4" w:space="0"/>
              <w:bottom w:val="single" w:color="auto" w:sz="4" w:space="0"/>
              <w:right w:val="single" w:color="auto" w:sz="4" w:space="0"/>
            </w:tcBorders>
            <w:vAlign w:val="center"/>
          </w:tcPr>
          <w:p w14:paraId="2F24FD9B">
            <w:pPr>
              <w:keepNext w:val="0"/>
              <w:keepLines w:val="0"/>
              <w:pageBreakBefore w:val="0"/>
              <w:widowControl w:val="0"/>
              <w:kinsoku/>
              <w:wordWrap/>
              <w:overflowPunct/>
              <w:topLinePunct w:val="0"/>
              <w:autoSpaceDE/>
              <w:autoSpaceDN/>
              <w:bidi w:val="0"/>
              <w:adjustRightInd/>
              <w:snapToGrid w:val="0"/>
              <w:ind w:left="-63" w:leftChars="-30" w:right="-63" w:rightChars="-3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2,5</w:t>
            </w:r>
            <w:r>
              <w:rPr>
                <w:rFonts w:hint="eastAsia" w:ascii="宋体" w:hAnsi="宋体" w:eastAsia="宋体" w:cs="宋体"/>
                <w:color w:val="auto"/>
                <w:kern w:val="0"/>
                <w:sz w:val="18"/>
                <w:szCs w:val="18"/>
                <w:highlight w:val="none"/>
              </w:rPr>
              <w:t>00.00</w:t>
            </w:r>
          </w:p>
        </w:tc>
        <w:tc>
          <w:tcPr>
            <w:tcW w:w="626" w:type="pct"/>
            <w:tcBorders>
              <w:top w:val="single" w:color="auto" w:sz="4" w:space="0"/>
              <w:left w:val="single" w:color="auto" w:sz="4" w:space="0"/>
              <w:bottom w:val="single" w:color="auto" w:sz="4" w:space="0"/>
              <w:right w:val="single" w:color="auto" w:sz="4" w:space="0"/>
            </w:tcBorders>
            <w:vAlign w:val="center"/>
          </w:tcPr>
          <w:p w14:paraId="63E72342">
            <w:pPr>
              <w:keepNext w:val="0"/>
              <w:keepLines w:val="0"/>
              <w:pageBreakBefore w:val="0"/>
              <w:widowControl w:val="0"/>
              <w:kinsoku/>
              <w:wordWrap/>
              <w:overflowPunct/>
              <w:topLinePunct w:val="0"/>
              <w:autoSpaceDE/>
              <w:autoSpaceDN/>
              <w:bidi w:val="0"/>
              <w:adjustRightInd/>
              <w:snapToGrid w:val="0"/>
              <w:ind w:left="-105" w:leftChars="-50" w:right="-105" w:rightChars="-5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1201243338</w:t>
            </w:r>
          </w:p>
        </w:tc>
        <w:tc>
          <w:tcPr>
            <w:tcW w:w="653" w:type="pct"/>
            <w:tcBorders>
              <w:top w:val="single" w:color="auto" w:sz="4" w:space="0"/>
              <w:left w:val="single" w:color="auto" w:sz="4" w:space="0"/>
              <w:bottom w:val="single" w:color="auto" w:sz="4" w:space="0"/>
              <w:right w:val="single" w:color="auto" w:sz="4" w:space="0"/>
            </w:tcBorders>
            <w:vAlign w:val="center"/>
          </w:tcPr>
          <w:p w14:paraId="79401369">
            <w:pPr>
              <w:keepNext w:val="0"/>
              <w:keepLines w:val="0"/>
              <w:pageBreakBefore w:val="0"/>
              <w:widowControl w:val="0"/>
              <w:kinsoku/>
              <w:wordWrap/>
              <w:overflowPunct/>
              <w:topLinePunct w:val="0"/>
              <w:autoSpaceDE/>
              <w:autoSpaceDN/>
              <w:bidi w:val="0"/>
              <w:adjustRightInd/>
              <w:snapToGrid w:val="0"/>
              <w:ind w:left="-105" w:leftChars="-50" w:right="-105" w:rightChars="-50"/>
              <w:jc w:val="center"/>
              <w:textAlignment w:val="auto"/>
              <w:rPr>
                <w:rFonts w:hint="eastAsia" w:ascii="宋体" w:hAnsi="宋体" w:eastAsia="宋体" w:cs="宋体"/>
                <w:color w:val="auto"/>
                <w:spacing w:val="-11"/>
                <w:kern w:val="0"/>
                <w:sz w:val="18"/>
                <w:szCs w:val="18"/>
                <w:highlight w:val="none"/>
                <w:lang w:val="en-US" w:eastAsia="zh-CN"/>
              </w:rPr>
            </w:pPr>
            <w:r>
              <w:rPr>
                <w:rFonts w:hint="eastAsia" w:ascii="宋体" w:hAnsi="宋体" w:eastAsia="宋体" w:cs="宋体"/>
                <w:color w:val="auto"/>
                <w:spacing w:val="-11"/>
                <w:kern w:val="0"/>
                <w:sz w:val="18"/>
                <w:szCs w:val="18"/>
                <w:highlight w:val="none"/>
              </w:rPr>
              <w:t>1.</w:t>
            </w:r>
            <w:r>
              <w:rPr>
                <w:rFonts w:hint="eastAsia" w:ascii="宋体" w:hAnsi="宋体" w:eastAsia="宋体" w:cs="宋体"/>
                <w:color w:val="auto"/>
                <w:spacing w:val="-11"/>
                <w:kern w:val="0"/>
                <w:sz w:val="18"/>
                <w:szCs w:val="18"/>
                <w:highlight w:val="none"/>
                <w:lang w:val="en-US" w:eastAsia="zh-CN"/>
              </w:rPr>
              <w:t>2</w:t>
            </w:r>
            <w:r>
              <w:rPr>
                <w:rFonts w:hint="eastAsia" w:ascii="宋体" w:hAnsi="宋体" w:eastAsia="宋体" w:cs="宋体"/>
                <w:color w:val="auto"/>
                <w:spacing w:val="-11"/>
                <w:kern w:val="0"/>
                <w:sz w:val="18"/>
                <w:szCs w:val="18"/>
                <w:highlight w:val="none"/>
              </w:rPr>
              <w:t>/</w:t>
            </w:r>
            <w:r>
              <w:rPr>
                <w:rFonts w:hint="eastAsia" w:ascii="宋体" w:hAnsi="宋体" w:eastAsia="宋体" w:cs="宋体"/>
                <w:color w:val="auto"/>
                <w:spacing w:val="-11"/>
                <w:kern w:val="0"/>
                <w:sz w:val="18"/>
                <w:szCs w:val="18"/>
                <w:highlight w:val="none"/>
                <w:lang w:val="en-US" w:eastAsia="zh-CN"/>
              </w:rPr>
              <w:t>2.55</w:t>
            </w:r>
            <w:r>
              <w:rPr>
                <w:rFonts w:hint="eastAsia" w:ascii="宋体" w:hAnsi="宋体" w:eastAsia="宋体" w:cs="宋体"/>
                <w:color w:val="auto"/>
                <w:spacing w:val="-11"/>
                <w:kern w:val="0"/>
                <w:sz w:val="18"/>
                <w:szCs w:val="18"/>
                <w:highlight w:val="none"/>
              </w:rPr>
              <w:t>/</w:t>
            </w:r>
            <w:r>
              <w:rPr>
                <w:rFonts w:hint="eastAsia" w:ascii="宋体" w:hAnsi="宋体" w:eastAsia="宋体" w:cs="宋体"/>
                <w:color w:val="auto"/>
                <w:spacing w:val="-11"/>
                <w:kern w:val="0"/>
                <w:sz w:val="18"/>
                <w:szCs w:val="18"/>
                <w:highlight w:val="none"/>
                <w:lang w:val="en-US" w:eastAsia="zh-CN"/>
              </w:rPr>
              <w:t>2.75</w:t>
            </w:r>
          </w:p>
        </w:tc>
        <w:tc>
          <w:tcPr>
            <w:tcW w:w="427" w:type="pct"/>
            <w:tcBorders>
              <w:top w:val="single" w:color="auto" w:sz="4" w:space="0"/>
              <w:left w:val="single" w:color="auto" w:sz="4" w:space="0"/>
              <w:bottom w:val="single" w:color="auto" w:sz="4" w:space="0"/>
              <w:right w:val="single" w:color="auto" w:sz="4" w:space="0"/>
            </w:tcBorders>
            <w:vAlign w:val="center"/>
          </w:tcPr>
          <w:p w14:paraId="4391738A">
            <w:pPr>
              <w:snapToGrid w:val="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w:t>
            </w:r>
            <w:r>
              <w:rPr>
                <w:rFonts w:hint="eastAsia" w:ascii="宋体" w:hAnsi="宋体" w:eastAsia="宋体" w:cs="宋体"/>
                <w:color w:val="auto"/>
                <w:kern w:val="0"/>
                <w:sz w:val="18"/>
                <w:szCs w:val="18"/>
                <w:highlight w:val="none"/>
                <w:lang w:val="en-US" w:eastAsia="zh-CN"/>
              </w:rPr>
              <w:t>0</w:t>
            </w:r>
            <w:r>
              <w:rPr>
                <w:rFonts w:hint="eastAsia" w:ascii="宋体" w:hAnsi="宋体" w:eastAsia="宋体" w:cs="宋体"/>
                <w:color w:val="auto"/>
                <w:kern w:val="0"/>
                <w:sz w:val="18"/>
                <w:szCs w:val="18"/>
                <w:highlight w:val="none"/>
              </w:rPr>
              <w:t>天</w:t>
            </w:r>
          </w:p>
        </w:tc>
        <w:tc>
          <w:tcPr>
            <w:tcW w:w="348" w:type="pct"/>
            <w:vMerge w:val="restart"/>
            <w:tcBorders>
              <w:top w:val="single" w:color="auto" w:sz="4" w:space="0"/>
              <w:left w:val="single" w:color="auto" w:sz="4" w:space="0"/>
              <w:bottom w:val="single" w:color="auto" w:sz="4" w:space="0"/>
              <w:right w:val="single" w:color="auto" w:sz="4" w:space="0"/>
            </w:tcBorders>
            <w:vAlign w:val="center"/>
          </w:tcPr>
          <w:p w14:paraId="3507801D">
            <w:pPr>
              <w:snapToGrid w:val="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保本浮动收益</w:t>
            </w:r>
          </w:p>
        </w:tc>
        <w:tc>
          <w:tcPr>
            <w:tcW w:w="357" w:type="pct"/>
            <w:tcBorders>
              <w:top w:val="single" w:color="auto" w:sz="4" w:space="0"/>
              <w:left w:val="single" w:color="auto" w:sz="4" w:space="0"/>
              <w:bottom w:val="single" w:color="auto" w:sz="4" w:space="0"/>
            </w:tcBorders>
            <w:vAlign w:val="center"/>
          </w:tcPr>
          <w:p w14:paraId="0E8FF347">
            <w:pPr>
              <w:snapToGrid w:val="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赎回</w:t>
            </w:r>
          </w:p>
        </w:tc>
      </w:tr>
      <w:tr w14:paraId="2429AE2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581" w:type="pct"/>
            <w:vMerge w:val="continue"/>
            <w:tcBorders>
              <w:top w:val="single" w:color="auto" w:sz="4" w:space="0"/>
              <w:bottom w:val="single" w:color="auto" w:sz="4" w:space="0"/>
              <w:right w:val="single" w:color="auto" w:sz="4" w:space="0"/>
            </w:tcBorders>
            <w:vAlign w:val="center"/>
          </w:tcPr>
          <w:p w14:paraId="551BB0B1">
            <w:pPr>
              <w:snapToGrid w:val="0"/>
              <w:jc w:val="center"/>
              <w:rPr>
                <w:rFonts w:hint="eastAsia" w:ascii="宋体" w:hAnsi="宋体" w:eastAsia="宋体" w:cs="宋体"/>
                <w:color w:val="auto"/>
                <w:kern w:val="0"/>
                <w:sz w:val="18"/>
                <w:szCs w:val="18"/>
                <w:highlight w:val="none"/>
              </w:rPr>
            </w:pPr>
          </w:p>
        </w:tc>
        <w:tc>
          <w:tcPr>
            <w:tcW w:w="368" w:type="pct"/>
            <w:vMerge w:val="continue"/>
            <w:tcBorders>
              <w:top w:val="single" w:color="auto" w:sz="4" w:space="0"/>
              <w:left w:val="single" w:color="auto" w:sz="4" w:space="0"/>
              <w:bottom w:val="single" w:color="auto" w:sz="4" w:space="0"/>
              <w:right w:val="single" w:color="auto" w:sz="4" w:space="0"/>
            </w:tcBorders>
            <w:vAlign w:val="center"/>
          </w:tcPr>
          <w:p w14:paraId="4A5C23FA">
            <w:pPr>
              <w:snapToGrid w:val="0"/>
              <w:jc w:val="center"/>
              <w:rPr>
                <w:rFonts w:hint="eastAsia" w:ascii="宋体" w:hAnsi="宋体" w:eastAsia="宋体" w:cs="宋体"/>
                <w:color w:val="auto"/>
                <w:kern w:val="0"/>
                <w:sz w:val="18"/>
                <w:szCs w:val="18"/>
                <w:highlight w:val="none"/>
              </w:rPr>
            </w:pPr>
          </w:p>
        </w:tc>
        <w:tc>
          <w:tcPr>
            <w:tcW w:w="571" w:type="pct"/>
            <w:vMerge w:val="continue"/>
            <w:tcBorders>
              <w:top w:val="single" w:color="auto" w:sz="4" w:space="0"/>
              <w:left w:val="single" w:color="auto" w:sz="4" w:space="0"/>
              <w:bottom w:val="single" w:color="auto" w:sz="4" w:space="0"/>
              <w:right w:val="single" w:color="auto" w:sz="4" w:space="0"/>
            </w:tcBorders>
            <w:vAlign w:val="center"/>
          </w:tcPr>
          <w:p w14:paraId="323C74E7">
            <w:pPr>
              <w:snapToGrid w:val="0"/>
              <w:ind w:right="105" w:rightChars="50"/>
              <w:jc w:val="center"/>
              <w:rPr>
                <w:rFonts w:hint="eastAsia" w:ascii="宋体" w:hAnsi="宋体" w:eastAsia="宋体" w:cs="宋体"/>
                <w:color w:val="auto"/>
                <w:kern w:val="0"/>
                <w:sz w:val="18"/>
                <w:szCs w:val="18"/>
                <w:highlight w:val="none"/>
              </w:rPr>
            </w:pPr>
          </w:p>
        </w:tc>
        <w:tc>
          <w:tcPr>
            <w:tcW w:w="541" w:type="pct"/>
            <w:tcBorders>
              <w:top w:val="single" w:color="auto" w:sz="4" w:space="0"/>
              <w:left w:val="single" w:color="auto" w:sz="4" w:space="0"/>
              <w:bottom w:val="single" w:color="auto" w:sz="4" w:space="0"/>
              <w:right w:val="single" w:color="auto" w:sz="4" w:space="0"/>
            </w:tcBorders>
            <w:vAlign w:val="center"/>
          </w:tcPr>
          <w:p w14:paraId="6FFD7BDA">
            <w:pPr>
              <w:keepNext w:val="0"/>
              <w:keepLines w:val="0"/>
              <w:pageBreakBefore w:val="0"/>
              <w:widowControl w:val="0"/>
              <w:kinsoku/>
              <w:wordWrap/>
              <w:overflowPunct/>
              <w:topLinePunct w:val="0"/>
              <w:autoSpaceDE/>
              <w:autoSpaceDN/>
              <w:bidi w:val="0"/>
              <w:adjustRightInd/>
              <w:snapToGrid w:val="0"/>
              <w:ind w:left="-63" w:leftChars="-30" w:right="-63" w:rightChars="-30"/>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24JG3401</w:t>
            </w:r>
          </w:p>
        </w:tc>
        <w:tc>
          <w:tcPr>
            <w:tcW w:w="524" w:type="pct"/>
            <w:tcBorders>
              <w:top w:val="single" w:color="auto" w:sz="4" w:space="0"/>
              <w:left w:val="single" w:color="auto" w:sz="4" w:space="0"/>
              <w:bottom w:val="single" w:color="auto" w:sz="4" w:space="0"/>
              <w:right w:val="single" w:color="auto" w:sz="4" w:space="0"/>
            </w:tcBorders>
            <w:vAlign w:val="center"/>
          </w:tcPr>
          <w:p w14:paraId="3C4CD4FE">
            <w:pPr>
              <w:keepNext w:val="0"/>
              <w:keepLines w:val="0"/>
              <w:pageBreakBefore w:val="0"/>
              <w:widowControl w:val="0"/>
              <w:kinsoku/>
              <w:wordWrap/>
              <w:overflowPunct/>
              <w:topLinePunct w:val="0"/>
              <w:autoSpaceDE/>
              <w:autoSpaceDN/>
              <w:bidi w:val="0"/>
              <w:adjustRightInd/>
              <w:snapToGrid w:val="0"/>
              <w:ind w:left="-63" w:leftChars="-30" w:right="-63" w:rightChars="-3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2,5</w:t>
            </w:r>
            <w:r>
              <w:rPr>
                <w:rFonts w:hint="eastAsia" w:ascii="宋体" w:hAnsi="宋体" w:eastAsia="宋体" w:cs="宋体"/>
                <w:color w:val="auto"/>
                <w:kern w:val="0"/>
                <w:sz w:val="18"/>
                <w:szCs w:val="18"/>
                <w:highlight w:val="none"/>
              </w:rPr>
              <w:t>00.00</w:t>
            </w:r>
          </w:p>
        </w:tc>
        <w:tc>
          <w:tcPr>
            <w:tcW w:w="626" w:type="pct"/>
            <w:tcBorders>
              <w:top w:val="single" w:color="auto" w:sz="4" w:space="0"/>
              <w:left w:val="single" w:color="auto" w:sz="4" w:space="0"/>
              <w:bottom w:val="single" w:color="auto" w:sz="4" w:space="0"/>
              <w:right w:val="single" w:color="auto" w:sz="4" w:space="0"/>
            </w:tcBorders>
            <w:vAlign w:val="center"/>
          </w:tcPr>
          <w:p w14:paraId="40AF1122">
            <w:pPr>
              <w:keepNext w:val="0"/>
              <w:keepLines w:val="0"/>
              <w:pageBreakBefore w:val="0"/>
              <w:widowControl w:val="0"/>
              <w:kinsoku/>
              <w:wordWrap/>
              <w:overflowPunct/>
              <w:topLinePunct w:val="0"/>
              <w:autoSpaceDE/>
              <w:autoSpaceDN/>
              <w:bidi w:val="0"/>
              <w:adjustRightInd/>
              <w:snapToGrid w:val="0"/>
              <w:ind w:left="-105" w:leftChars="-50" w:right="-105" w:rightChars="-5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1201243401</w:t>
            </w:r>
          </w:p>
        </w:tc>
        <w:tc>
          <w:tcPr>
            <w:tcW w:w="653" w:type="pct"/>
            <w:tcBorders>
              <w:top w:val="single" w:color="auto" w:sz="4" w:space="0"/>
              <w:left w:val="single" w:color="auto" w:sz="4" w:space="0"/>
              <w:bottom w:val="single" w:color="auto" w:sz="4" w:space="0"/>
              <w:right w:val="single" w:color="auto" w:sz="4" w:space="0"/>
            </w:tcBorders>
            <w:vAlign w:val="center"/>
          </w:tcPr>
          <w:p w14:paraId="505BF1C9">
            <w:pPr>
              <w:keepNext w:val="0"/>
              <w:keepLines w:val="0"/>
              <w:pageBreakBefore w:val="0"/>
              <w:widowControl w:val="0"/>
              <w:kinsoku/>
              <w:wordWrap/>
              <w:overflowPunct/>
              <w:topLinePunct w:val="0"/>
              <w:autoSpaceDE/>
              <w:autoSpaceDN/>
              <w:bidi w:val="0"/>
              <w:adjustRightInd/>
              <w:snapToGrid w:val="0"/>
              <w:ind w:left="-105" w:leftChars="-50" w:right="-105" w:rightChars="-50"/>
              <w:jc w:val="center"/>
              <w:textAlignment w:val="auto"/>
              <w:rPr>
                <w:rFonts w:hint="eastAsia" w:ascii="宋体" w:hAnsi="宋体" w:eastAsia="宋体" w:cs="宋体"/>
                <w:color w:val="auto"/>
                <w:spacing w:val="-11"/>
                <w:kern w:val="0"/>
                <w:sz w:val="18"/>
                <w:szCs w:val="18"/>
                <w:highlight w:val="none"/>
                <w:lang w:val="en-US" w:eastAsia="zh-CN"/>
              </w:rPr>
            </w:pPr>
            <w:r>
              <w:rPr>
                <w:rFonts w:hint="eastAsia" w:ascii="宋体" w:hAnsi="宋体" w:eastAsia="宋体" w:cs="宋体"/>
                <w:color w:val="auto"/>
                <w:spacing w:val="-11"/>
                <w:kern w:val="0"/>
                <w:sz w:val="18"/>
                <w:szCs w:val="18"/>
                <w:highlight w:val="none"/>
              </w:rPr>
              <w:t>1.</w:t>
            </w:r>
            <w:r>
              <w:rPr>
                <w:rFonts w:hint="eastAsia" w:ascii="宋体" w:hAnsi="宋体" w:eastAsia="宋体" w:cs="宋体"/>
                <w:color w:val="auto"/>
                <w:spacing w:val="-11"/>
                <w:kern w:val="0"/>
                <w:sz w:val="18"/>
                <w:szCs w:val="18"/>
                <w:highlight w:val="none"/>
                <w:lang w:val="en-US" w:eastAsia="zh-CN"/>
              </w:rPr>
              <w:t>2</w:t>
            </w:r>
            <w:r>
              <w:rPr>
                <w:rFonts w:hint="eastAsia" w:ascii="宋体" w:hAnsi="宋体" w:eastAsia="宋体" w:cs="宋体"/>
                <w:color w:val="auto"/>
                <w:spacing w:val="-11"/>
                <w:kern w:val="0"/>
                <w:sz w:val="18"/>
                <w:szCs w:val="18"/>
                <w:highlight w:val="none"/>
              </w:rPr>
              <w:t>/2.</w:t>
            </w:r>
            <w:r>
              <w:rPr>
                <w:rFonts w:hint="eastAsia" w:ascii="宋体" w:hAnsi="宋体" w:eastAsia="宋体" w:cs="宋体"/>
                <w:color w:val="auto"/>
                <w:spacing w:val="-11"/>
                <w:kern w:val="0"/>
                <w:sz w:val="18"/>
                <w:szCs w:val="18"/>
                <w:highlight w:val="none"/>
                <w:lang w:val="en-US" w:eastAsia="zh-CN"/>
              </w:rPr>
              <w:t>35</w:t>
            </w:r>
            <w:r>
              <w:rPr>
                <w:rFonts w:hint="eastAsia" w:ascii="宋体" w:hAnsi="宋体" w:eastAsia="宋体" w:cs="宋体"/>
                <w:color w:val="auto"/>
                <w:spacing w:val="-11"/>
                <w:kern w:val="0"/>
                <w:sz w:val="18"/>
                <w:szCs w:val="18"/>
                <w:highlight w:val="none"/>
              </w:rPr>
              <w:t>/</w:t>
            </w:r>
            <w:r>
              <w:rPr>
                <w:rFonts w:hint="eastAsia" w:ascii="宋体" w:hAnsi="宋体" w:eastAsia="宋体" w:cs="宋体"/>
                <w:color w:val="auto"/>
                <w:spacing w:val="-11"/>
                <w:kern w:val="0"/>
                <w:sz w:val="18"/>
                <w:szCs w:val="18"/>
                <w:highlight w:val="none"/>
                <w:lang w:val="en-US" w:eastAsia="zh-CN"/>
              </w:rPr>
              <w:t>2.55</w:t>
            </w:r>
          </w:p>
        </w:tc>
        <w:tc>
          <w:tcPr>
            <w:tcW w:w="427" w:type="pct"/>
            <w:tcBorders>
              <w:top w:val="single" w:color="auto" w:sz="4" w:space="0"/>
              <w:left w:val="single" w:color="auto" w:sz="4" w:space="0"/>
              <w:bottom w:val="single" w:color="auto" w:sz="4" w:space="0"/>
              <w:right w:val="single" w:color="auto" w:sz="4" w:space="0"/>
            </w:tcBorders>
            <w:vAlign w:val="center"/>
          </w:tcPr>
          <w:p w14:paraId="190B59BF">
            <w:pPr>
              <w:snapToGrid w:val="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28</w:t>
            </w:r>
            <w:r>
              <w:rPr>
                <w:rFonts w:hint="eastAsia" w:ascii="宋体" w:hAnsi="宋体" w:eastAsia="宋体" w:cs="宋体"/>
                <w:color w:val="auto"/>
                <w:kern w:val="0"/>
                <w:sz w:val="18"/>
                <w:szCs w:val="18"/>
                <w:highlight w:val="none"/>
              </w:rPr>
              <w:t>天</w:t>
            </w:r>
          </w:p>
        </w:tc>
        <w:tc>
          <w:tcPr>
            <w:tcW w:w="348" w:type="pct"/>
            <w:vMerge w:val="continue"/>
            <w:tcBorders>
              <w:top w:val="single" w:color="auto" w:sz="4" w:space="0"/>
              <w:left w:val="single" w:color="auto" w:sz="4" w:space="0"/>
              <w:bottom w:val="single" w:color="auto" w:sz="4" w:space="0"/>
              <w:right w:val="single" w:color="auto" w:sz="4" w:space="0"/>
            </w:tcBorders>
            <w:vAlign w:val="center"/>
          </w:tcPr>
          <w:p w14:paraId="73A7ADE3">
            <w:pPr>
              <w:snapToGrid w:val="0"/>
              <w:jc w:val="center"/>
              <w:rPr>
                <w:rFonts w:hint="eastAsia" w:ascii="宋体" w:hAnsi="宋体" w:eastAsia="宋体" w:cs="宋体"/>
                <w:color w:val="auto"/>
                <w:kern w:val="0"/>
                <w:sz w:val="18"/>
                <w:szCs w:val="18"/>
                <w:highlight w:val="none"/>
              </w:rPr>
            </w:pPr>
          </w:p>
        </w:tc>
        <w:tc>
          <w:tcPr>
            <w:tcW w:w="357" w:type="pct"/>
            <w:tcBorders>
              <w:top w:val="single" w:color="auto" w:sz="4" w:space="0"/>
              <w:left w:val="single" w:color="auto" w:sz="4" w:space="0"/>
              <w:bottom w:val="single" w:color="auto" w:sz="4" w:space="0"/>
            </w:tcBorders>
            <w:vAlign w:val="center"/>
          </w:tcPr>
          <w:p w14:paraId="58D7DE9F">
            <w:pPr>
              <w:snapToGrid w:val="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赎回</w:t>
            </w:r>
          </w:p>
        </w:tc>
      </w:tr>
      <w:tr w14:paraId="575E922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581" w:type="pct"/>
            <w:vMerge w:val="continue"/>
            <w:tcBorders>
              <w:top w:val="single" w:color="auto" w:sz="4" w:space="0"/>
              <w:bottom w:val="single" w:color="auto" w:sz="4" w:space="0"/>
              <w:right w:val="single" w:color="auto" w:sz="4" w:space="0"/>
            </w:tcBorders>
            <w:vAlign w:val="center"/>
          </w:tcPr>
          <w:p w14:paraId="13321BE0">
            <w:pPr>
              <w:snapToGrid w:val="0"/>
              <w:jc w:val="center"/>
              <w:rPr>
                <w:rFonts w:hint="eastAsia" w:ascii="宋体" w:hAnsi="宋体" w:eastAsia="宋体" w:cs="宋体"/>
                <w:color w:val="auto"/>
                <w:kern w:val="0"/>
                <w:sz w:val="18"/>
                <w:szCs w:val="18"/>
                <w:highlight w:val="none"/>
              </w:rPr>
            </w:pPr>
          </w:p>
        </w:tc>
        <w:tc>
          <w:tcPr>
            <w:tcW w:w="368" w:type="pct"/>
            <w:vMerge w:val="continue"/>
            <w:tcBorders>
              <w:top w:val="single" w:color="auto" w:sz="4" w:space="0"/>
              <w:left w:val="single" w:color="auto" w:sz="4" w:space="0"/>
              <w:bottom w:val="single" w:color="auto" w:sz="4" w:space="0"/>
              <w:right w:val="single" w:color="auto" w:sz="4" w:space="0"/>
            </w:tcBorders>
            <w:vAlign w:val="center"/>
          </w:tcPr>
          <w:p w14:paraId="0D5A1679">
            <w:pPr>
              <w:snapToGrid w:val="0"/>
              <w:jc w:val="center"/>
              <w:rPr>
                <w:rFonts w:hint="eastAsia" w:ascii="宋体" w:hAnsi="宋体" w:eastAsia="宋体" w:cs="宋体"/>
                <w:color w:val="auto"/>
                <w:kern w:val="0"/>
                <w:sz w:val="18"/>
                <w:szCs w:val="18"/>
                <w:highlight w:val="none"/>
              </w:rPr>
            </w:pPr>
          </w:p>
        </w:tc>
        <w:tc>
          <w:tcPr>
            <w:tcW w:w="571" w:type="pct"/>
            <w:vMerge w:val="continue"/>
            <w:tcBorders>
              <w:top w:val="single" w:color="auto" w:sz="4" w:space="0"/>
              <w:left w:val="single" w:color="auto" w:sz="4" w:space="0"/>
              <w:bottom w:val="single" w:color="auto" w:sz="4" w:space="0"/>
              <w:right w:val="single" w:color="auto" w:sz="4" w:space="0"/>
            </w:tcBorders>
            <w:vAlign w:val="center"/>
          </w:tcPr>
          <w:p w14:paraId="7B859F8D">
            <w:pPr>
              <w:snapToGrid w:val="0"/>
              <w:ind w:right="105" w:rightChars="50"/>
              <w:jc w:val="center"/>
              <w:rPr>
                <w:rFonts w:hint="eastAsia" w:ascii="宋体" w:hAnsi="宋体" w:eastAsia="宋体" w:cs="宋体"/>
                <w:color w:val="auto"/>
                <w:kern w:val="0"/>
                <w:sz w:val="18"/>
                <w:szCs w:val="18"/>
                <w:highlight w:val="none"/>
              </w:rPr>
            </w:pPr>
          </w:p>
        </w:tc>
        <w:tc>
          <w:tcPr>
            <w:tcW w:w="541" w:type="pct"/>
            <w:tcBorders>
              <w:top w:val="single" w:color="auto" w:sz="4" w:space="0"/>
              <w:left w:val="single" w:color="auto" w:sz="4" w:space="0"/>
              <w:bottom w:val="single" w:color="auto" w:sz="4" w:space="0"/>
              <w:right w:val="single" w:color="auto" w:sz="4" w:space="0"/>
            </w:tcBorders>
            <w:vAlign w:val="center"/>
          </w:tcPr>
          <w:p w14:paraId="0E62AAE5">
            <w:pPr>
              <w:keepNext w:val="0"/>
              <w:keepLines w:val="0"/>
              <w:pageBreakBefore w:val="0"/>
              <w:widowControl w:val="0"/>
              <w:kinsoku/>
              <w:wordWrap/>
              <w:overflowPunct/>
              <w:topLinePunct w:val="0"/>
              <w:autoSpaceDE/>
              <w:autoSpaceDN/>
              <w:bidi w:val="0"/>
              <w:adjustRightInd/>
              <w:snapToGrid w:val="0"/>
              <w:ind w:left="-63" w:leftChars="-30" w:right="-63" w:rightChars="-3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24JG3455</w:t>
            </w:r>
          </w:p>
        </w:tc>
        <w:tc>
          <w:tcPr>
            <w:tcW w:w="524" w:type="pct"/>
            <w:tcBorders>
              <w:top w:val="single" w:color="auto" w:sz="4" w:space="0"/>
              <w:left w:val="single" w:color="auto" w:sz="4" w:space="0"/>
              <w:bottom w:val="single" w:color="auto" w:sz="4" w:space="0"/>
              <w:right w:val="single" w:color="auto" w:sz="4" w:space="0"/>
            </w:tcBorders>
            <w:vAlign w:val="center"/>
          </w:tcPr>
          <w:p w14:paraId="5436624E">
            <w:pPr>
              <w:keepNext w:val="0"/>
              <w:keepLines w:val="0"/>
              <w:pageBreakBefore w:val="0"/>
              <w:widowControl w:val="0"/>
              <w:kinsoku/>
              <w:wordWrap/>
              <w:overflowPunct/>
              <w:topLinePunct w:val="0"/>
              <w:autoSpaceDE/>
              <w:autoSpaceDN/>
              <w:bidi w:val="0"/>
              <w:adjustRightInd/>
              <w:snapToGrid w:val="0"/>
              <w:ind w:left="-63" w:leftChars="-30" w:right="-63" w:rightChars="-30"/>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2,5</w:t>
            </w:r>
            <w:r>
              <w:rPr>
                <w:rFonts w:hint="eastAsia" w:ascii="宋体" w:hAnsi="宋体" w:eastAsia="宋体" w:cs="宋体"/>
                <w:color w:val="auto"/>
                <w:kern w:val="0"/>
                <w:sz w:val="18"/>
                <w:szCs w:val="18"/>
                <w:highlight w:val="none"/>
              </w:rPr>
              <w:t>00.00</w:t>
            </w:r>
          </w:p>
        </w:tc>
        <w:tc>
          <w:tcPr>
            <w:tcW w:w="626" w:type="pct"/>
            <w:tcBorders>
              <w:top w:val="single" w:color="auto" w:sz="4" w:space="0"/>
              <w:left w:val="single" w:color="auto" w:sz="4" w:space="0"/>
              <w:bottom w:val="single" w:color="auto" w:sz="4" w:space="0"/>
              <w:right w:val="single" w:color="auto" w:sz="4" w:space="0"/>
            </w:tcBorders>
            <w:vAlign w:val="center"/>
          </w:tcPr>
          <w:p w14:paraId="394DE69D">
            <w:pPr>
              <w:keepNext w:val="0"/>
              <w:keepLines w:val="0"/>
              <w:pageBreakBefore w:val="0"/>
              <w:widowControl w:val="0"/>
              <w:kinsoku/>
              <w:wordWrap/>
              <w:overflowPunct/>
              <w:topLinePunct w:val="0"/>
              <w:autoSpaceDE/>
              <w:autoSpaceDN/>
              <w:bidi w:val="0"/>
              <w:adjustRightInd/>
              <w:snapToGrid w:val="0"/>
              <w:ind w:left="-105" w:leftChars="-50" w:right="-105" w:rightChars="-5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1201243455</w:t>
            </w:r>
          </w:p>
        </w:tc>
        <w:tc>
          <w:tcPr>
            <w:tcW w:w="653" w:type="pct"/>
            <w:tcBorders>
              <w:top w:val="single" w:color="auto" w:sz="4" w:space="0"/>
              <w:left w:val="single" w:color="auto" w:sz="4" w:space="0"/>
              <w:bottom w:val="single" w:color="auto" w:sz="4" w:space="0"/>
              <w:right w:val="single" w:color="auto" w:sz="4" w:space="0"/>
            </w:tcBorders>
            <w:vAlign w:val="center"/>
          </w:tcPr>
          <w:p w14:paraId="7F4DF44A">
            <w:pPr>
              <w:keepNext w:val="0"/>
              <w:keepLines w:val="0"/>
              <w:pageBreakBefore w:val="0"/>
              <w:widowControl w:val="0"/>
              <w:kinsoku/>
              <w:wordWrap/>
              <w:overflowPunct/>
              <w:topLinePunct w:val="0"/>
              <w:autoSpaceDE/>
              <w:autoSpaceDN/>
              <w:bidi w:val="0"/>
              <w:adjustRightInd/>
              <w:snapToGrid w:val="0"/>
              <w:ind w:left="-105" w:leftChars="-50" w:right="-105" w:rightChars="-50"/>
              <w:jc w:val="center"/>
              <w:textAlignment w:val="auto"/>
              <w:rPr>
                <w:rFonts w:hint="eastAsia" w:ascii="宋体" w:hAnsi="宋体" w:eastAsia="宋体" w:cs="宋体"/>
                <w:color w:val="auto"/>
                <w:spacing w:val="-11"/>
                <w:kern w:val="0"/>
                <w:sz w:val="18"/>
                <w:szCs w:val="18"/>
                <w:highlight w:val="none"/>
                <w:lang w:val="en-US" w:eastAsia="zh-CN"/>
              </w:rPr>
            </w:pPr>
            <w:r>
              <w:rPr>
                <w:rFonts w:hint="eastAsia" w:ascii="宋体" w:hAnsi="宋体" w:eastAsia="宋体" w:cs="宋体"/>
                <w:color w:val="auto"/>
                <w:spacing w:val="-11"/>
                <w:kern w:val="0"/>
                <w:sz w:val="18"/>
                <w:szCs w:val="18"/>
                <w:highlight w:val="none"/>
                <w:lang w:val="en-US" w:eastAsia="zh-CN"/>
              </w:rPr>
              <w:t>1.1/2.15/2.35</w:t>
            </w:r>
          </w:p>
        </w:tc>
        <w:tc>
          <w:tcPr>
            <w:tcW w:w="427" w:type="pct"/>
            <w:tcBorders>
              <w:top w:val="single" w:color="auto" w:sz="4" w:space="0"/>
              <w:left w:val="single" w:color="auto" w:sz="4" w:space="0"/>
              <w:bottom w:val="single" w:color="auto" w:sz="4" w:space="0"/>
              <w:right w:val="single" w:color="auto" w:sz="4" w:space="0"/>
            </w:tcBorders>
            <w:vAlign w:val="center"/>
          </w:tcPr>
          <w:p w14:paraId="2ACEC3E8">
            <w:pPr>
              <w:snapToGrid w:val="0"/>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32</w:t>
            </w:r>
            <w:r>
              <w:rPr>
                <w:rFonts w:hint="eastAsia" w:ascii="宋体" w:hAnsi="宋体" w:eastAsia="宋体" w:cs="宋体"/>
                <w:color w:val="auto"/>
                <w:kern w:val="0"/>
                <w:sz w:val="18"/>
                <w:szCs w:val="18"/>
                <w:highlight w:val="none"/>
              </w:rPr>
              <w:t>天</w:t>
            </w:r>
          </w:p>
        </w:tc>
        <w:tc>
          <w:tcPr>
            <w:tcW w:w="348" w:type="pct"/>
            <w:vMerge w:val="continue"/>
            <w:tcBorders>
              <w:top w:val="single" w:color="auto" w:sz="4" w:space="0"/>
              <w:left w:val="single" w:color="auto" w:sz="4" w:space="0"/>
              <w:bottom w:val="single" w:color="auto" w:sz="4" w:space="0"/>
              <w:right w:val="single" w:color="auto" w:sz="4" w:space="0"/>
            </w:tcBorders>
            <w:vAlign w:val="center"/>
          </w:tcPr>
          <w:p w14:paraId="71091C91">
            <w:pPr>
              <w:snapToGrid w:val="0"/>
              <w:jc w:val="center"/>
              <w:rPr>
                <w:rFonts w:hint="eastAsia" w:ascii="宋体" w:hAnsi="宋体" w:eastAsia="宋体" w:cs="宋体"/>
                <w:color w:val="auto"/>
                <w:kern w:val="0"/>
                <w:sz w:val="18"/>
                <w:szCs w:val="18"/>
                <w:highlight w:val="none"/>
              </w:rPr>
            </w:pPr>
          </w:p>
        </w:tc>
        <w:tc>
          <w:tcPr>
            <w:tcW w:w="357" w:type="pct"/>
            <w:tcBorders>
              <w:top w:val="single" w:color="auto" w:sz="4" w:space="0"/>
              <w:left w:val="single" w:color="auto" w:sz="4" w:space="0"/>
              <w:bottom w:val="single" w:color="auto" w:sz="4" w:space="0"/>
            </w:tcBorders>
            <w:shd w:val="clear" w:color="auto" w:fill="auto"/>
            <w:vAlign w:val="center"/>
          </w:tcPr>
          <w:p w14:paraId="296DF06B">
            <w:pPr>
              <w:snapToGrid w:val="0"/>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赎回</w:t>
            </w:r>
          </w:p>
        </w:tc>
      </w:tr>
      <w:tr w14:paraId="6800065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54" w:hRule="atLeast"/>
          <w:jc w:val="center"/>
        </w:trPr>
        <w:tc>
          <w:tcPr>
            <w:tcW w:w="581" w:type="pct"/>
            <w:vMerge w:val="continue"/>
            <w:tcBorders>
              <w:top w:val="single" w:color="auto" w:sz="4" w:space="0"/>
              <w:bottom w:val="single" w:color="auto" w:sz="4" w:space="0"/>
              <w:right w:val="single" w:color="auto" w:sz="4" w:space="0"/>
            </w:tcBorders>
            <w:vAlign w:val="center"/>
          </w:tcPr>
          <w:p w14:paraId="79F671C4">
            <w:pPr>
              <w:snapToGrid w:val="0"/>
              <w:jc w:val="center"/>
              <w:rPr>
                <w:rFonts w:hint="eastAsia" w:ascii="宋体" w:hAnsi="宋体" w:eastAsia="宋体" w:cs="宋体"/>
                <w:color w:val="auto"/>
                <w:kern w:val="0"/>
                <w:sz w:val="18"/>
                <w:szCs w:val="18"/>
                <w:highlight w:val="none"/>
              </w:rPr>
            </w:pPr>
          </w:p>
        </w:tc>
        <w:tc>
          <w:tcPr>
            <w:tcW w:w="368" w:type="pct"/>
            <w:vMerge w:val="continue"/>
            <w:tcBorders>
              <w:top w:val="single" w:color="auto" w:sz="4" w:space="0"/>
              <w:left w:val="single" w:color="auto" w:sz="4" w:space="0"/>
              <w:bottom w:val="single" w:color="auto" w:sz="4" w:space="0"/>
              <w:right w:val="single" w:color="auto" w:sz="4" w:space="0"/>
            </w:tcBorders>
            <w:vAlign w:val="center"/>
          </w:tcPr>
          <w:p w14:paraId="29EB206D">
            <w:pPr>
              <w:snapToGrid w:val="0"/>
              <w:jc w:val="center"/>
              <w:rPr>
                <w:rFonts w:hint="eastAsia" w:ascii="宋体" w:hAnsi="宋体" w:eastAsia="宋体" w:cs="宋体"/>
                <w:color w:val="auto"/>
                <w:kern w:val="0"/>
                <w:sz w:val="18"/>
                <w:szCs w:val="18"/>
                <w:highlight w:val="none"/>
              </w:rPr>
            </w:pPr>
          </w:p>
        </w:tc>
        <w:tc>
          <w:tcPr>
            <w:tcW w:w="571" w:type="pct"/>
            <w:vMerge w:val="continue"/>
            <w:tcBorders>
              <w:top w:val="single" w:color="auto" w:sz="4" w:space="0"/>
              <w:left w:val="single" w:color="auto" w:sz="4" w:space="0"/>
              <w:bottom w:val="single" w:color="auto" w:sz="4" w:space="0"/>
              <w:right w:val="single" w:color="auto" w:sz="4" w:space="0"/>
            </w:tcBorders>
            <w:vAlign w:val="center"/>
          </w:tcPr>
          <w:p w14:paraId="222FC28C">
            <w:pPr>
              <w:snapToGrid w:val="0"/>
              <w:ind w:right="105" w:rightChars="50"/>
              <w:jc w:val="center"/>
              <w:rPr>
                <w:rFonts w:hint="eastAsia" w:ascii="宋体" w:hAnsi="宋体" w:eastAsia="宋体" w:cs="宋体"/>
                <w:color w:val="auto"/>
                <w:kern w:val="0"/>
                <w:sz w:val="18"/>
                <w:szCs w:val="18"/>
                <w:highlight w:val="none"/>
              </w:rPr>
            </w:pPr>
          </w:p>
        </w:tc>
        <w:tc>
          <w:tcPr>
            <w:tcW w:w="541" w:type="pct"/>
            <w:tcBorders>
              <w:top w:val="single" w:color="auto" w:sz="4" w:space="0"/>
              <w:left w:val="single" w:color="auto" w:sz="4" w:space="0"/>
              <w:bottom w:val="single" w:color="auto" w:sz="4" w:space="0"/>
              <w:right w:val="single" w:color="auto" w:sz="4" w:space="0"/>
            </w:tcBorders>
            <w:vAlign w:val="center"/>
          </w:tcPr>
          <w:p w14:paraId="23BB23D8">
            <w:pPr>
              <w:keepNext w:val="0"/>
              <w:keepLines w:val="0"/>
              <w:pageBreakBefore w:val="0"/>
              <w:widowControl w:val="0"/>
              <w:kinsoku/>
              <w:wordWrap/>
              <w:overflowPunct/>
              <w:topLinePunct w:val="0"/>
              <w:autoSpaceDE/>
              <w:autoSpaceDN/>
              <w:bidi w:val="0"/>
              <w:adjustRightInd/>
              <w:snapToGrid w:val="0"/>
              <w:ind w:left="-63" w:leftChars="-30" w:right="-63" w:rightChars="-3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24JG3505</w:t>
            </w:r>
          </w:p>
        </w:tc>
        <w:tc>
          <w:tcPr>
            <w:tcW w:w="524" w:type="pct"/>
            <w:tcBorders>
              <w:top w:val="single" w:color="auto" w:sz="4" w:space="0"/>
              <w:left w:val="single" w:color="auto" w:sz="4" w:space="0"/>
              <w:bottom w:val="single" w:color="auto" w:sz="4" w:space="0"/>
              <w:right w:val="single" w:color="auto" w:sz="4" w:space="0"/>
            </w:tcBorders>
            <w:vAlign w:val="center"/>
          </w:tcPr>
          <w:p w14:paraId="18031BD6">
            <w:pPr>
              <w:keepNext w:val="0"/>
              <w:keepLines w:val="0"/>
              <w:pageBreakBefore w:val="0"/>
              <w:widowControl w:val="0"/>
              <w:kinsoku/>
              <w:wordWrap/>
              <w:overflowPunct/>
              <w:topLinePunct w:val="0"/>
              <w:autoSpaceDE/>
              <w:autoSpaceDN/>
              <w:bidi w:val="0"/>
              <w:adjustRightInd/>
              <w:snapToGrid w:val="0"/>
              <w:ind w:left="-63" w:leftChars="-30" w:right="-63" w:rightChars="-30"/>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2,5</w:t>
            </w:r>
            <w:r>
              <w:rPr>
                <w:rFonts w:hint="eastAsia" w:ascii="宋体" w:hAnsi="宋体" w:eastAsia="宋体" w:cs="宋体"/>
                <w:color w:val="auto"/>
                <w:kern w:val="0"/>
                <w:sz w:val="18"/>
                <w:szCs w:val="18"/>
                <w:highlight w:val="none"/>
              </w:rPr>
              <w:t>00.00</w:t>
            </w:r>
          </w:p>
        </w:tc>
        <w:tc>
          <w:tcPr>
            <w:tcW w:w="626" w:type="pct"/>
            <w:tcBorders>
              <w:top w:val="single" w:color="auto" w:sz="4" w:space="0"/>
              <w:left w:val="single" w:color="auto" w:sz="4" w:space="0"/>
              <w:bottom w:val="single" w:color="auto" w:sz="4" w:space="0"/>
              <w:right w:val="single" w:color="auto" w:sz="4" w:space="0"/>
            </w:tcBorders>
            <w:vAlign w:val="center"/>
          </w:tcPr>
          <w:p w14:paraId="1A3FF6DE">
            <w:pPr>
              <w:keepNext w:val="0"/>
              <w:keepLines w:val="0"/>
              <w:pageBreakBefore w:val="0"/>
              <w:widowControl w:val="0"/>
              <w:kinsoku/>
              <w:wordWrap/>
              <w:overflowPunct/>
              <w:topLinePunct w:val="0"/>
              <w:autoSpaceDE/>
              <w:autoSpaceDN/>
              <w:bidi w:val="0"/>
              <w:adjustRightInd/>
              <w:snapToGrid w:val="0"/>
              <w:ind w:left="-105" w:leftChars="-50" w:right="-105" w:rightChars="-50"/>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1201243505</w:t>
            </w:r>
          </w:p>
        </w:tc>
        <w:tc>
          <w:tcPr>
            <w:tcW w:w="653" w:type="pct"/>
            <w:tcBorders>
              <w:top w:val="single" w:color="auto" w:sz="4" w:space="0"/>
              <w:left w:val="single" w:color="auto" w:sz="4" w:space="0"/>
              <w:bottom w:val="single" w:color="auto" w:sz="4" w:space="0"/>
              <w:right w:val="single" w:color="auto" w:sz="4" w:space="0"/>
            </w:tcBorders>
            <w:vAlign w:val="center"/>
          </w:tcPr>
          <w:p w14:paraId="18204C6F">
            <w:pPr>
              <w:keepNext w:val="0"/>
              <w:keepLines w:val="0"/>
              <w:pageBreakBefore w:val="0"/>
              <w:widowControl w:val="0"/>
              <w:kinsoku/>
              <w:wordWrap/>
              <w:overflowPunct/>
              <w:topLinePunct w:val="0"/>
              <w:autoSpaceDE/>
              <w:autoSpaceDN/>
              <w:bidi w:val="0"/>
              <w:adjustRightInd/>
              <w:snapToGrid w:val="0"/>
              <w:ind w:left="-105" w:leftChars="-50" w:right="-105" w:rightChars="-50"/>
              <w:jc w:val="center"/>
              <w:textAlignment w:val="auto"/>
              <w:rPr>
                <w:rFonts w:hint="eastAsia" w:ascii="宋体" w:hAnsi="宋体" w:eastAsia="宋体" w:cs="宋体"/>
                <w:color w:val="auto"/>
                <w:spacing w:val="-11"/>
                <w:kern w:val="0"/>
                <w:sz w:val="18"/>
                <w:szCs w:val="18"/>
                <w:highlight w:val="none"/>
                <w:lang w:val="en-US" w:eastAsia="zh-CN"/>
              </w:rPr>
            </w:pPr>
            <w:r>
              <w:rPr>
                <w:rFonts w:hint="eastAsia" w:ascii="宋体" w:hAnsi="宋体" w:eastAsia="宋体" w:cs="宋体"/>
                <w:color w:val="auto"/>
                <w:spacing w:val="-11"/>
                <w:kern w:val="0"/>
                <w:sz w:val="18"/>
                <w:szCs w:val="18"/>
                <w:highlight w:val="none"/>
                <w:lang w:val="en-US" w:eastAsia="zh-CN"/>
              </w:rPr>
              <w:t>1.1/2.2/2.4</w:t>
            </w:r>
          </w:p>
        </w:tc>
        <w:tc>
          <w:tcPr>
            <w:tcW w:w="427" w:type="pct"/>
            <w:tcBorders>
              <w:top w:val="single" w:color="auto" w:sz="4" w:space="0"/>
              <w:left w:val="single" w:color="auto" w:sz="4" w:space="0"/>
              <w:bottom w:val="single" w:color="auto" w:sz="4" w:space="0"/>
              <w:right w:val="single" w:color="auto" w:sz="4" w:space="0"/>
            </w:tcBorders>
            <w:vAlign w:val="center"/>
          </w:tcPr>
          <w:p w14:paraId="1F36FB38">
            <w:pPr>
              <w:snapToGrid w:val="0"/>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90</w:t>
            </w:r>
            <w:r>
              <w:rPr>
                <w:rFonts w:hint="eastAsia" w:ascii="宋体" w:hAnsi="宋体" w:eastAsia="宋体" w:cs="宋体"/>
                <w:color w:val="auto"/>
                <w:kern w:val="0"/>
                <w:sz w:val="18"/>
                <w:szCs w:val="18"/>
                <w:highlight w:val="none"/>
              </w:rPr>
              <w:t>天</w:t>
            </w:r>
          </w:p>
        </w:tc>
        <w:tc>
          <w:tcPr>
            <w:tcW w:w="348" w:type="pct"/>
            <w:vMerge w:val="continue"/>
            <w:tcBorders>
              <w:top w:val="single" w:color="auto" w:sz="4" w:space="0"/>
              <w:left w:val="single" w:color="auto" w:sz="4" w:space="0"/>
              <w:bottom w:val="single" w:color="auto" w:sz="4" w:space="0"/>
              <w:right w:val="single" w:color="auto" w:sz="4" w:space="0"/>
            </w:tcBorders>
            <w:vAlign w:val="center"/>
          </w:tcPr>
          <w:p w14:paraId="6ED46063">
            <w:pPr>
              <w:snapToGrid w:val="0"/>
              <w:jc w:val="center"/>
              <w:rPr>
                <w:rFonts w:hint="eastAsia" w:ascii="宋体" w:hAnsi="宋体" w:eastAsia="宋体" w:cs="宋体"/>
                <w:color w:val="auto"/>
                <w:kern w:val="0"/>
                <w:sz w:val="18"/>
                <w:szCs w:val="18"/>
                <w:highlight w:val="none"/>
              </w:rPr>
            </w:pPr>
          </w:p>
        </w:tc>
        <w:tc>
          <w:tcPr>
            <w:tcW w:w="357" w:type="pct"/>
            <w:tcBorders>
              <w:top w:val="single" w:color="auto" w:sz="4" w:space="0"/>
              <w:left w:val="single" w:color="auto" w:sz="4" w:space="0"/>
              <w:bottom w:val="single" w:color="auto" w:sz="4" w:space="0"/>
            </w:tcBorders>
            <w:shd w:val="clear" w:color="auto" w:fill="auto"/>
            <w:vAlign w:val="center"/>
          </w:tcPr>
          <w:p w14:paraId="53DFD373">
            <w:pPr>
              <w:snapToGrid w:val="0"/>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存续</w:t>
            </w:r>
          </w:p>
        </w:tc>
      </w:tr>
    </w:tbl>
    <w:p w14:paraId="7F8E2346">
      <w:pPr>
        <w:keepNext w:val="0"/>
        <w:keepLines w:val="0"/>
        <w:pageBreakBefore w:val="0"/>
        <w:widowControl w:val="0"/>
        <w:tabs>
          <w:tab w:val="left" w:pos="4620"/>
        </w:tabs>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szCs w:val="21"/>
          <w:lang w:val="en-US" w:eastAsia="zh-CN"/>
        </w:rPr>
      </w:pPr>
      <w:r>
        <w:rPr>
          <w:rFonts w:hint="eastAsia" w:ascii="宋体" w:hAnsi="宋体"/>
          <w:szCs w:val="21"/>
          <w:lang w:val="en-US" w:eastAsia="zh-CN"/>
        </w:rPr>
        <w:t>除上述结构性存款外，公司与银行签订协定存款协议对募集资金账户进行现金管理。截至2024年12月31日，公司使用闲置募集资金购买结构性存款的余额为2,500万元，协议存款余额为</w:t>
      </w:r>
      <w:r>
        <w:rPr>
          <w:rFonts w:hint="eastAsia" w:ascii="宋体" w:hAnsi="宋体"/>
          <w:szCs w:val="21"/>
        </w:rPr>
        <w:t>5,369.28</w:t>
      </w:r>
      <w:r>
        <w:rPr>
          <w:rFonts w:hint="eastAsia" w:ascii="宋体" w:hAnsi="宋体"/>
          <w:szCs w:val="21"/>
          <w:lang w:val="en-US" w:eastAsia="zh-CN"/>
        </w:rPr>
        <w:t>万元，合计</w:t>
      </w:r>
      <w:r>
        <w:rPr>
          <w:rFonts w:hint="eastAsia" w:ascii="宋体" w:hAnsi="宋体"/>
          <w:szCs w:val="21"/>
          <w:lang w:eastAsia="zh-CN"/>
        </w:rPr>
        <w:t>7</w:t>
      </w:r>
      <w:r>
        <w:rPr>
          <w:rFonts w:hint="eastAsia" w:ascii="宋体" w:hAnsi="宋体"/>
          <w:szCs w:val="21"/>
        </w:rPr>
        <w:t>,</w:t>
      </w:r>
      <w:r>
        <w:rPr>
          <w:rFonts w:hint="eastAsia" w:ascii="宋体" w:hAnsi="宋体"/>
          <w:szCs w:val="21"/>
          <w:lang w:eastAsia="zh-CN"/>
        </w:rPr>
        <w:t>8</w:t>
      </w:r>
      <w:r>
        <w:rPr>
          <w:rFonts w:hint="eastAsia" w:ascii="宋体" w:hAnsi="宋体"/>
          <w:szCs w:val="21"/>
        </w:rPr>
        <w:t>69.28</w:t>
      </w:r>
      <w:r>
        <w:rPr>
          <w:rFonts w:hint="eastAsia" w:ascii="宋体" w:hAnsi="宋体"/>
          <w:szCs w:val="21"/>
          <w:lang w:val="en-US" w:eastAsia="zh-CN"/>
        </w:rPr>
        <w:t>万元。</w:t>
      </w:r>
    </w:p>
    <w:p w14:paraId="7AFFD4EF">
      <w:pPr>
        <w:tabs>
          <w:tab w:val="left" w:pos="4620"/>
        </w:tabs>
        <w:spacing w:line="360" w:lineRule="auto"/>
        <w:ind w:firstLine="420" w:firstLineChars="200"/>
        <w:rPr>
          <w:rFonts w:hint="default" w:ascii="宋体" w:hAnsi="宋体"/>
          <w:szCs w:val="21"/>
          <w:lang w:val="en-US" w:eastAsia="zh-CN"/>
        </w:rPr>
      </w:pPr>
    </w:p>
    <w:p w14:paraId="4FCBD1A5">
      <w:pPr>
        <w:spacing w:line="360" w:lineRule="auto"/>
        <w:ind w:firstLine="422" w:firstLineChars="200"/>
        <w:outlineLvl w:val="0"/>
        <w:rPr>
          <w:rFonts w:ascii="黑体" w:eastAsia="黑体"/>
          <w:b/>
          <w:szCs w:val="21"/>
        </w:rPr>
      </w:pPr>
      <w:r>
        <w:rPr>
          <w:rFonts w:hint="eastAsia" w:ascii="黑体" w:eastAsia="黑体"/>
          <w:b/>
          <w:szCs w:val="21"/>
        </w:rPr>
        <w:t>三、</w:t>
      </w:r>
      <w:r>
        <w:rPr>
          <w:rFonts w:ascii="黑体" w:eastAsia="黑体"/>
          <w:b/>
          <w:szCs w:val="21"/>
        </w:rPr>
        <w:t>本年度募集资金的实际使用情况</w:t>
      </w:r>
    </w:p>
    <w:p w14:paraId="34F57836">
      <w:pPr>
        <w:keepNext w:val="0"/>
        <w:keepLines w:val="0"/>
        <w:pageBreakBefore w:val="0"/>
        <w:widowControl/>
        <w:kinsoku/>
        <w:wordWrap/>
        <w:overflowPunct/>
        <w:topLinePunct w:val="0"/>
        <w:autoSpaceDE/>
        <w:autoSpaceDN/>
        <w:bidi w:val="0"/>
        <w:adjustRightInd/>
        <w:snapToGrid/>
        <w:spacing w:line="336" w:lineRule="auto"/>
        <w:ind w:firstLine="420" w:firstLineChars="200"/>
        <w:textAlignment w:val="auto"/>
        <w:outlineLvl w:val="1"/>
        <w:rPr>
          <w:rFonts w:ascii="宋体" w:hAnsi="宋体" w:cs="宋体"/>
          <w:color w:val="2B2B2B"/>
          <w:kern w:val="0"/>
          <w:szCs w:val="21"/>
        </w:rPr>
      </w:pPr>
      <w:r>
        <w:rPr>
          <w:rFonts w:hint="eastAsia" w:ascii="宋体" w:hAnsi="宋体" w:cs="宋体"/>
          <w:color w:val="2B2B2B"/>
          <w:kern w:val="0"/>
          <w:szCs w:val="21"/>
        </w:rPr>
        <w:t xml:space="preserve">(一) </w:t>
      </w:r>
      <w:r>
        <w:rPr>
          <w:rFonts w:ascii="宋体" w:hAnsi="宋体" w:cs="宋体"/>
          <w:color w:val="2B2B2B"/>
          <w:kern w:val="0"/>
          <w:szCs w:val="21"/>
        </w:rPr>
        <w:t>募集资金使用情况对照表</w:t>
      </w:r>
    </w:p>
    <w:p w14:paraId="2134F003">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rPr>
      </w:pPr>
      <w:r>
        <w:rPr>
          <w:rFonts w:ascii="宋体" w:hAnsi="宋体"/>
          <w:szCs w:val="21"/>
        </w:rPr>
        <w:t>募集资金使用情况对照表</w:t>
      </w:r>
      <w:r>
        <w:rPr>
          <w:rFonts w:hint="eastAsia" w:ascii="宋体" w:hAnsi="宋体"/>
        </w:rPr>
        <w:t>详见本报告附件1。</w:t>
      </w:r>
    </w:p>
    <w:p w14:paraId="30DB9470">
      <w:pPr>
        <w:keepNext w:val="0"/>
        <w:keepLines w:val="0"/>
        <w:pageBreakBefore w:val="0"/>
        <w:widowControl/>
        <w:kinsoku/>
        <w:wordWrap/>
        <w:overflowPunct/>
        <w:topLinePunct w:val="0"/>
        <w:autoSpaceDE/>
        <w:autoSpaceDN/>
        <w:bidi w:val="0"/>
        <w:adjustRightInd/>
        <w:snapToGrid/>
        <w:spacing w:line="336" w:lineRule="auto"/>
        <w:ind w:firstLine="420" w:firstLineChars="200"/>
        <w:textAlignment w:val="auto"/>
        <w:outlineLvl w:val="1"/>
        <w:rPr>
          <w:rFonts w:ascii="宋体" w:hAnsi="宋体" w:cs="宋体"/>
          <w:color w:val="2B2B2B"/>
          <w:kern w:val="0"/>
          <w:szCs w:val="21"/>
        </w:rPr>
      </w:pPr>
      <w:r>
        <w:rPr>
          <w:rFonts w:hint="eastAsia" w:ascii="宋体" w:hAnsi="宋体" w:cs="宋体"/>
          <w:color w:val="2B2B2B"/>
          <w:kern w:val="0"/>
          <w:szCs w:val="21"/>
        </w:rPr>
        <w:t>(二) 募集资金投资项目出现异常情况的说明</w:t>
      </w:r>
    </w:p>
    <w:p w14:paraId="36DC715A">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i w:val="0"/>
          <w:iCs/>
        </w:rPr>
      </w:pPr>
      <w:r>
        <w:rPr>
          <w:rFonts w:hint="eastAsia" w:ascii="宋体" w:hAnsi="宋体"/>
          <w:i w:val="0"/>
          <w:iCs/>
        </w:rPr>
        <w:t>本公司募集资金投资项目未出现异常情况。</w:t>
      </w:r>
    </w:p>
    <w:p w14:paraId="189FCDE4">
      <w:pPr>
        <w:keepNext w:val="0"/>
        <w:keepLines w:val="0"/>
        <w:pageBreakBefore w:val="0"/>
        <w:widowControl/>
        <w:kinsoku/>
        <w:wordWrap/>
        <w:overflowPunct/>
        <w:topLinePunct w:val="0"/>
        <w:autoSpaceDE/>
        <w:autoSpaceDN/>
        <w:bidi w:val="0"/>
        <w:adjustRightInd/>
        <w:snapToGrid/>
        <w:spacing w:line="336" w:lineRule="auto"/>
        <w:ind w:firstLine="420" w:firstLineChars="200"/>
        <w:textAlignment w:val="auto"/>
        <w:outlineLvl w:val="1"/>
        <w:rPr>
          <w:rFonts w:ascii="宋体" w:hAnsi="宋体" w:cs="宋体"/>
          <w:color w:val="2B2B2B"/>
          <w:kern w:val="0"/>
          <w:szCs w:val="21"/>
        </w:rPr>
      </w:pPr>
      <w:r>
        <w:rPr>
          <w:rFonts w:hint="eastAsia" w:ascii="宋体" w:hAnsi="宋体" w:cs="宋体"/>
          <w:color w:val="2B2B2B"/>
          <w:kern w:val="0"/>
          <w:szCs w:val="21"/>
        </w:rPr>
        <w:t>(三) 募集资金投资项目无法单独核算效益的情况说明</w:t>
      </w:r>
    </w:p>
    <w:p w14:paraId="493E1BAE">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hint="eastAsia" w:ascii="宋体" w:hAnsi="宋体" w:cs="Times New Roman"/>
          <w:i w:val="0"/>
          <w:iCs/>
        </w:rPr>
      </w:pPr>
      <w:r>
        <w:rPr>
          <w:rFonts w:hint="eastAsia" w:ascii="宋体" w:hAnsi="宋体" w:cs="Times New Roman"/>
          <w:i w:val="0"/>
          <w:iCs/>
        </w:rPr>
        <w:t>研发中心及信息化建设项目</w:t>
      </w:r>
      <w:r>
        <w:rPr>
          <w:rFonts w:hint="eastAsia" w:ascii="宋体" w:hAnsi="宋体" w:cs="Times New Roman"/>
          <w:i w:val="0"/>
          <w:iCs/>
          <w:lang w:val="en-US" w:eastAsia="zh-CN"/>
        </w:rPr>
        <w:t>致力于优化研发能力，不直接产生效益；</w:t>
      </w:r>
      <w:r>
        <w:rPr>
          <w:rFonts w:hint="eastAsia" w:ascii="宋体" w:hAnsi="宋体" w:cs="Times New Roman"/>
          <w:i w:val="0"/>
          <w:iCs/>
          <w:lang w:eastAsia="zh-CN"/>
        </w:rPr>
        <w:t>补充流动资金</w:t>
      </w:r>
      <w:r>
        <w:rPr>
          <w:rFonts w:hint="eastAsia" w:ascii="宋体" w:hAnsi="宋体" w:cs="Times New Roman"/>
          <w:i w:val="0"/>
          <w:iCs/>
          <w:lang w:val="en-US" w:eastAsia="zh-CN"/>
        </w:rPr>
        <w:t>项目有助于优化财务结构，保持公司经营稳定，系费用化投入，无法单独核算效益。</w:t>
      </w:r>
    </w:p>
    <w:p w14:paraId="555ECA60">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szCs w:val="21"/>
        </w:rPr>
      </w:pPr>
    </w:p>
    <w:p w14:paraId="2ED8FFFF">
      <w:pPr>
        <w:keepNext w:val="0"/>
        <w:keepLines w:val="0"/>
        <w:pageBreakBefore w:val="0"/>
        <w:kinsoku/>
        <w:wordWrap/>
        <w:overflowPunct/>
        <w:topLinePunct w:val="0"/>
        <w:autoSpaceDE/>
        <w:autoSpaceDN/>
        <w:bidi w:val="0"/>
        <w:adjustRightInd/>
        <w:snapToGrid/>
        <w:spacing w:line="336" w:lineRule="auto"/>
        <w:ind w:firstLine="422" w:firstLineChars="200"/>
        <w:textAlignment w:val="auto"/>
        <w:outlineLvl w:val="0"/>
        <w:rPr>
          <w:rFonts w:ascii="黑体" w:eastAsia="黑体"/>
          <w:b/>
          <w:szCs w:val="21"/>
        </w:rPr>
      </w:pPr>
      <w:r>
        <w:rPr>
          <w:rFonts w:hint="eastAsia" w:ascii="黑体" w:eastAsia="黑体"/>
          <w:b/>
          <w:szCs w:val="21"/>
        </w:rPr>
        <w:t>四、</w:t>
      </w:r>
      <w:r>
        <w:rPr>
          <w:rFonts w:ascii="黑体" w:eastAsia="黑体"/>
          <w:b/>
          <w:szCs w:val="21"/>
        </w:rPr>
        <w:t>变更募集资金投资项目的资金使用情况</w:t>
      </w:r>
    </w:p>
    <w:p w14:paraId="07D5BF74">
      <w:pPr>
        <w:keepNext w:val="0"/>
        <w:keepLines w:val="0"/>
        <w:pageBreakBefore w:val="0"/>
        <w:widowControl/>
        <w:kinsoku/>
        <w:wordWrap/>
        <w:overflowPunct/>
        <w:topLinePunct w:val="0"/>
        <w:autoSpaceDE/>
        <w:autoSpaceDN/>
        <w:bidi w:val="0"/>
        <w:adjustRightInd/>
        <w:snapToGrid/>
        <w:spacing w:line="336" w:lineRule="auto"/>
        <w:ind w:firstLine="420" w:firstLineChars="200"/>
        <w:textAlignment w:val="auto"/>
        <w:outlineLvl w:val="1"/>
        <w:rPr>
          <w:rFonts w:ascii="宋体" w:hAnsi="宋体" w:cs="宋体"/>
          <w:color w:val="2B2B2B"/>
          <w:kern w:val="0"/>
          <w:szCs w:val="21"/>
        </w:rPr>
      </w:pPr>
      <w:r>
        <w:rPr>
          <w:rFonts w:hint="eastAsia" w:ascii="宋体" w:hAnsi="宋体" w:cs="宋体"/>
          <w:color w:val="2B2B2B"/>
          <w:kern w:val="0"/>
          <w:szCs w:val="21"/>
        </w:rPr>
        <w:t>(一) 变更募集资金投资项目情况表</w:t>
      </w:r>
    </w:p>
    <w:p w14:paraId="26F25F68">
      <w:pPr>
        <w:keepNext w:val="0"/>
        <w:keepLines w:val="0"/>
        <w:pageBreakBefore w:val="0"/>
        <w:tabs>
          <w:tab w:val="left" w:pos="4620"/>
        </w:tabs>
        <w:kinsoku/>
        <w:wordWrap/>
        <w:overflowPunct/>
        <w:topLinePunct w:val="0"/>
        <w:autoSpaceDE/>
        <w:autoSpaceDN/>
        <w:bidi w:val="0"/>
        <w:adjustRightInd/>
        <w:snapToGrid/>
        <w:spacing w:line="336" w:lineRule="auto"/>
        <w:ind w:firstLine="420" w:firstLineChars="200"/>
        <w:textAlignment w:val="auto"/>
        <w:rPr>
          <w:rFonts w:ascii="宋体" w:hAnsi="宋体"/>
          <w:szCs w:val="21"/>
        </w:rPr>
      </w:pPr>
      <w:r>
        <w:rPr>
          <w:rFonts w:hint="eastAsia" w:ascii="宋体" w:hAnsi="宋体"/>
          <w:szCs w:val="21"/>
        </w:rPr>
        <w:t>变更募集资金投资项目情况表详见本报告附件2</w:t>
      </w:r>
      <w:r>
        <w:rPr>
          <w:rFonts w:ascii="宋体" w:hAnsi="宋体"/>
          <w:szCs w:val="21"/>
        </w:rPr>
        <w:t>。</w:t>
      </w:r>
    </w:p>
    <w:p w14:paraId="5D204023">
      <w:pPr>
        <w:keepNext w:val="0"/>
        <w:keepLines w:val="0"/>
        <w:pageBreakBefore w:val="0"/>
        <w:tabs>
          <w:tab w:val="left" w:pos="4620"/>
        </w:tabs>
        <w:kinsoku/>
        <w:wordWrap/>
        <w:overflowPunct/>
        <w:topLinePunct w:val="0"/>
        <w:autoSpaceDE/>
        <w:autoSpaceDN/>
        <w:bidi w:val="0"/>
        <w:adjustRightInd/>
        <w:snapToGrid/>
        <w:spacing w:line="336" w:lineRule="auto"/>
        <w:ind w:firstLine="420" w:firstLineChars="200"/>
        <w:textAlignment w:val="auto"/>
        <w:rPr>
          <w:rFonts w:hint="eastAsia" w:ascii="宋体" w:hAnsi="宋体"/>
          <w:szCs w:val="21"/>
          <w:lang w:eastAsia="zh-CN"/>
        </w:rPr>
      </w:pPr>
      <w:r>
        <w:rPr>
          <w:rFonts w:hint="eastAsia" w:ascii="宋体" w:hAnsi="宋体"/>
          <w:szCs w:val="21"/>
          <w:lang w:val="en-US" w:eastAsia="zh-CN"/>
        </w:rPr>
        <w:t>公司2023年10月25日</w:t>
      </w:r>
      <w:r>
        <w:rPr>
          <w:rFonts w:hint="eastAsia" w:ascii="宋体" w:hAnsi="宋体"/>
          <w:szCs w:val="21"/>
        </w:rPr>
        <w:t>第三届董事会第十八次会议</w:t>
      </w:r>
      <w:r>
        <w:rPr>
          <w:rFonts w:hint="eastAsia" w:ascii="宋体" w:hAnsi="宋体"/>
          <w:szCs w:val="21"/>
          <w:lang w:val="en-US" w:eastAsia="zh-CN"/>
        </w:rPr>
        <w:t>及2023年第二次临时股东大会</w:t>
      </w:r>
      <w:r>
        <w:rPr>
          <w:rFonts w:hint="eastAsia" w:ascii="宋体" w:hAnsi="宋体"/>
          <w:szCs w:val="21"/>
        </w:rPr>
        <w:t>审议通过《关于变更部分募集资金用途并实施新募投项目的的议案》</w:t>
      </w:r>
      <w:r>
        <w:rPr>
          <w:rFonts w:hint="eastAsia" w:ascii="宋体" w:hAnsi="宋体"/>
          <w:szCs w:val="21"/>
          <w:lang w:eastAsia="zh-CN"/>
        </w:rPr>
        <w:t>，公司将智能成套电气设备产业基地建设项目的投资总额由39,042.91万元调减至24,268.47万元，调减的募集资金14,774.44万元投入智控设备及金属制品智能工厂建设项目（一期）。</w:t>
      </w:r>
    </w:p>
    <w:p w14:paraId="0B5D16D4">
      <w:pPr>
        <w:widowControl/>
        <w:tabs>
          <w:tab w:val="left" w:pos="4620"/>
        </w:tabs>
        <w:spacing w:line="336" w:lineRule="auto"/>
        <w:ind w:firstLine="420" w:firstLineChars="200"/>
        <w:outlineLvl w:val="9"/>
        <w:rPr>
          <w:rFonts w:ascii="宋体" w:hAnsi="宋体" w:cs="宋体"/>
          <w:color w:val="2B2B2B"/>
          <w:kern w:val="0"/>
          <w:szCs w:val="21"/>
        </w:rPr>
      </w:pPr>
      <w:r>
        <w:rPr>
          <w:rFonts w:hint="eastAsia" w:ascii="宋体" w:hAnsi="宋体" w:cs="宋体"/>
          <w:color w:val="2B2B2B"/>
          <w:kern w:val="0"/>
          <w:szCs w:val="21"/>
        </w:rPr>
        <w:t>(二) 募集资金投资项目无法单独核算效益的情况说明</w:t>
      </w:r>
    </w:p>
    <w:p w14:paraId="3363BC29">
      <w:pPr>
        <w:keepNext w:val="0"/>
        <w:keepLines w:val="0"/>
        <w:pageBreakBefore w:val="0"/>
        <w:tabs>
          <w:tab w:val="left" w:pos="4620"/>
        </w:tabs>
        <w:kinsoku/>
        <w:wordWrap/>
        <w:overflowPunct/>
        <w:topLinePunct w:val="0"/>
        <w:autoSpaceDE/>
        <w:autoSpaceDN/>
        <w:bidi w:val="0"/>
        <w:adjustRightInd/>
        <w:snapToGrid/>
        <w:spacing w:line="336" w:lineRule="auto"/>
        <w:ind w:firstLine="420" w:firstLineChars="200"/>
        <w:textAlignment w:val="auto"/>
        <w:rPr>
          <w:rFonts w:hint="default" w:ascii="宋体" w:hAnsi="宋体" w:eastAsia="宋体"/>
          <w:szCs w:val="21"/>
          <w:lang w:val="en-US" w:eastAsia="zh-CN"/>
        </w:rPr>
      </w:pPr>
      <w:r>
        <w:rPr>
          <w:rFonts w:hint="eastAsia" w:ascii="宋体" w:hAnsi="宋体"/>
          <w:szCs w:val="21"/>
          <w:lang w:val="en-US" w:eastAsia="zh-CN"/>
        </w:rPr>
        <w:t>本公司变更后的募集资金投资项目不存在无法单独核算效益的情况。</w:t>
      </w:r>
    </w:p>
    <w:p w14:paraId="3054639D">
      <w:pPr>
        <w:keepNext w:val="0"/>
        <w:keepLines w:val="0"/>
        <w:pageBreakBefore w:val="0"/>
        <w:widowControl/>
        <w:kinsoku/>
        <w:wordWrap/>
        <w:overflowPunct/>
        <w:topLinePunct w:val="0"/>
        <w:autoSpaceDE/>
        <w:autoSpaceDN/>
        <w:bidi w:val="0"/>
        <w:adjustRightInd/>
        <w:snapToGrid/>
        <w:spacing w:line="336" w:lineRule="auto"/>
        <w:ind w:firstLine="420" w:firstLineChars="200"/>
        <w:textAlignment w:val="auto"/>
        <w:outlineLvl w:val="1"/>
        <w:rPr>
          <w:rFonts w:ascii="宋体" w:hAnsi="宋体" w:cs="宋体"/>
          <w:color w:val="2B2B2B"/>
          <w:kern w:val="0"/>
          <w:szCs w:val="21"/>
        </w:rPr>
      </w:pPr>
      <w:r>
        <w:rPr>
          <w:rFonts w:hint="eastAsia" w:ascii="宋体" w:hAnsi="宋体" w:cs="宋体"/>
          <w:color w:val="2B2B2B"/>
          <w:kern w:val="0"/>
          <w:szCs w:val="21"/>
        </w:rPr>
        <w:t>(三) 募集资金投资项目对外转让或置换情况说明</w:t>
      </w:r>
    </w:p>
    <w:p w14:paraId="4A6A06D7">
      <w:pPr>
        <w:keepNext w:val="0"/>
        <w:keepLines w:val="0"/>
        <w:pageBreakBefore w:val="0"/>
        <w:tabs>
          <w:tab w:val="left" w:pos="4620"/>
        </w:tabs>
        <w:kinsoku/>
        <w:wordWrap/>
        <w:overflowPunct/>
        <w:topLinePunct w:val="0"/>
        <w:autoSpaceDE/>
        <w:autoSpaceDN/>
        <w:bidi w:val="0"/>
        <w:adjustRightInd/>
        <w:snapToGrid/>
        <w:spacing w:line="336" w:lineRule="auto"/>
        <w:ind w:firstLine="420" w:firstLineChars="200"/>
        <w:textAlignment w:val="auto"/>
        <w:rPr>
          <w:rFonts w:ascii="宋体" w:hAnsi="宋体"/>
          <w:szCs w:val="21"/>
        </w:rPr>
      </w:pPr>
      <w:r>
        <w:rPr>
          <w:rFonts w:hint="eastAsia" w:ascii="宋体" w:hAnsi="宋体"/>
          <w:szCs w:val="21"/>
        </w:rPr>
        <w:t>本公司</w:t>
      </w:r>
      <w:r>
        <w:rPr>
          <w:rFonts w:hint="eastAsia" w:ascii="宋体" w:hAnsi="宋体"/>
          <w:szCs w:val="21"/>
          <w:lang w:val="en-US" w:eastAsia="zh-CN"/>
        </w:rPr>
        <w:t>变更后的募集资金投资项目</w:t>
      </w:r>
      <w:r>
        <w:rPr>
          <w:rFonts w:hint="eastAsia" w:ascii="宋体" w:hAnsi="宋体"/>
          <w:szCs w:val="21"/>
        </w:rPr>
        <w:t>不存在对外转让或置换的情况。</w:t>
      </w:r>
    </w:p>
    <w:p w14:paraId="691E3985">
      <w:pPr>
        <w:keepNext w:val="0"/>
        <w:keepLines w:val="0"/>
        <w:pageBreakBefore w:val="0"/>
        <w:tabs>
          <w:tab w:val="left" w:pos="4620"/>
        </w:tabs>
        <w:kinsoku/>
        <w:wordWrap/>
        <w:overflowPunct/>
        <w:topLinePunct w:val="0"/>
        <w:autoSpaceDE/>
        <w:autoSpaceDN/>
        <w:bidi w:val="0"/>
        <w:adjustRightInd/>
        <w:snapToGrid/>
        <w:spacing w:line="336" w:lineRule="auto"/>
        <w:ind w:firstLine="420" w:firstLineChars="200"/>
        <w:textAlignment w:val="auto"/>
        <w:outlineLvl w:val="9"/>
        <w:rPr>
          <w:rFonts w:hint="default" w:ascii="宋体" w:hAnsi="宋体" w:eastAsia="宋体"/>
          <w:b w:val="0"/>
          <w:szCs w:val="21"/>
        </w:rPr>
      </w:pPr>
    </w:p>
    <w:p w14:paraId="3233C11C">
      <w:pPr>
        <w:keepNext w:val="0"/>
        <w:keepLines w:val="0"/>
        <w:pageBreakBefore w:val="0"/>
        <w:kinsoku/>
        <w:wordWrap/>
        <w:overflowPunct/>
        <w:topLinePunct w:val="0"/>
        <w:autoSpaceDE/>
        <w:autoSpaceDN/>
        <w:bidi w:val="0"/>
        <w:adjustRightInd/>
        <w:snapToGrid/>
        <w:spacing w:line="336" w:lineRule="auto"/>
        <w:ind w:firstLine="422" w:firstLineChars="200"/>
        <w:textAlignment w:val="auto"/>
        <w:outlineLvl w:val="0"/>
        <w:rPr>
          <w:rFonts w:ascii="黑体" w:eastAsia="黑体"/>
          <w:b/>
          <w:szCs w:val="21"/>
        </w:rPr>
      </w:pPr>
      <w:r>
        <w:rPr>
          <w:rFonts w:hint="eastAsia" w:ascii="黑体" w:eastAsia="黑体"/>
          <w:b/>
          <w:szCs w:val="21"/>
        </w:rPr>
        <w:t>五、募集资金使用及披露中存在的问题</w:t>
      </w:r>
    </w:p>
    <w:p w14:paraId="1D6D8D88">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i w:val="0"/>
          <w:iCs/>
          <w:szCs w:val="21"/>
        </w:rPr>
      </w:pPr>
      <w:r>
        <w:rPr>
          <w:rFonts w:hint="eastAsia" w:ascii="宋体" w:hAnsi="宋体"/>
          <w:iCs/>
          <w:szCs w:val="21"/>
        </w:rPr>
        <w:t>本年度，公司智能成套电气设备产业基地建设项目建设的办公楼未按计划用于</w:t>
      </w:r>
      <w:r>
        <w:rPr>
          <w:rFonts w:hint="eastAsia" w:ascii="宋体" w:hAnsi="宋体"/>
          <w:iCs/>
          <w:szCs w:val="21"/>
          <w:lang w:val="en-US" w:eastAsia="zh-CN"/>
        </w:rPr>
        <w:t>募投</w:t>
      </w:r>
      <w:r>
        <w:rPr>
          <w:rFonts w:hint="eastAsia" w:ascii="宋体" w:hAnsi="宋体"/>
          <w:iCs/>
          <w:szCs w:val="21"/>
        </w:rPr>
        <w:t>项目，而是供公司管理总部办公使用，与招股书披露不一致，也未履行相应的变更程序，</w:t>
      </w:r>
      <w:r>
        <w:rPr>
          <w:rFonts w:hint="eastAsia" w:ascii="宋体" w:hAnsi="宋体"/>
          <w:iCs/>
          <w:szCs w:val="21"/>
          <w:lang w:val="en-US" w:eastAsia="zh-CN"/>
        </w:rPr>
        <w:t>公司</w:t>
      </w:r>
      <w:r>
        <w:rPr>
          <w:rFonts w:hint="eastAsia" w:ascii="宋体" w:hAnsi="宋体"/>
          <w:iCs/>
          <w:szCs w:val="21"/>
        </w:rPr>
        <w:t>收到了</w:t>
      </w:r>
      <w:r>
        <w:rPr>
          <w:rFonts w:hint="eastAsia" w:ascii="宋体" w:hAnsi="宋体"/>
          <w:iCs/>
          <w:szCs w:val="21"/>
          <w:lang w:val="en-US" w:eastAsia="zh-CN"/>
        </w:rPr>
        <w:t>中国证券监督管理委员会</w:t>
      </w:r>
      <w:r>
        <w:rPr>
          <w:rFonts w:hint="eastAsia" w:ascii="宋体" w:hAnsi="宋体"/>
          <w:iCs/>
          <w:szCs w:val="21"/>
        </w:rPr>
        <w:t>重庆证监局</w:t>
      </w:r>
      <w:r>
        <w:rPr>
          <w:rFonts w:hint="eastAsia" w:ascii="宋体" w:hAnsi="宋体"/>
          <w:iCs/>
          <w:szCs w:val="21"/>
          <w:lang w:val="en-US" w:eastAsia="zh-CN"/>
        </w:rPr>
        <w:t>下发的《</w:t>
      </w:r>
      <w:r>
        <w:rPr>
          <w:rFonts w:hint="eastAsia" w:ascii="宋体" w:hAnsi="宋体"/>
          <w:iCs/>
          <w:szCs w:val="21"/>
        </w:rPr>
        <w:t>行政监管措施决定书</w:t>
      </w:r>
      <w:r>
        <w:rPr>
          <w:rFonts w:hint="eastAsia" w:ascii="宋体" w:hAnsi="宋体"/>
          <w:iCs/>
          <w:szCs w:val="21"/>
          <w:lang w:val="en-US" w:eastAsia="zh-CN"/>
        </w:rPr>
        <w:t>》</w:t>
      </w:r>
      <w:r>
        <w:rPr>
          <w:rFonts w:hint="eastAsia" w:ascii="宋体" w:hAnsi="宋体"/>
          <w:iCs/>
          <w:szCs w:val="21"/>
        </w:rPr>
        <w:t>和上海证券交易所</w:t>
      </w:r>
      <w:r>
        <w:rPr>
          <w:rFonts w:hint="eastAsia" w:ascii="宋体" w:hAnsi="宋体"/>
          <w:iCs/>
          <w:szCs w:val="21"/>
          <w:lang w:val="en-US" w:eastAsia="zh-CN"/>
        </w:rPr>
        <w:t>下发的《</w:t>
      </w:r>
      <w:r>
        <w:rPr>
          <w:rFonts w:hint="eastAsia" w:ascii="宋体" w:hAnsi="宋体"/>
          <w:iCs/>
          <w:szCs w:val="21"/>
        </w:rPr>
        <w:t>监管工作函</w:t>
      </w:r>
      <w:r>
        <w:rPr>
          <w:rFonts w:hint="eastAsia" w:ascii="宋体" w:hAnsi="宋体"/>
          <w:iCs/>
          <w:szCs w:val="21"/>
          <w:lang w:val="en-US" w:eastAsia="zh-CN"/>
        </w:rPr>
        <w:t>》</w:t>
      </w:r>
      <w:r>
        <w:rPr>
          <w:rFonts w:hint="eastAsia" w:ascii="宋体" w:hAnsi="宋体"/>
          <w:iCs/>
          <w:szCs w:val="21"/>
        </w:rPr>
        <w:t>。就上述问题，公司己召开董事会、监事会及股东会，审议通过了</w:t>
      </w:r>
      <w:r>
        <w:rPr>
          <w:rFonts w:hint="eastAsia" w:ascii="宋体" w:hAnsi="宋体"/>
          <w:iCs/>
          <w:szCs w:val="21"/>
          <w:lang w:val="en-US" w:eastAsia="zh-CN"/>
        </w:rPr>
        <w:t>将</w:t>
      </w:r>
      <w:r>
        <w:rPr>
          <w:rFonts w:hint="eastAsia" w:ascii="宋体" w:hAnsi="宋体"/>
          <w:iCs/>
          <w:szCs w:val="21"/>
        </w:rPr>
        <w:t>前述办公楼用途变更的相关议案</w:t>
      </w:r>
      <w:r>
        <w:rPr>
          <w:rFonts w:hint="eastAsia" w:ascii="宋体" w:hAnsi="宋体"/>
          <w:iCs/>
          <w:szCs w:val="21"/>
          <w:lang w:eastAsia="zh-CN"/>
        </w:rPr>
        <w:t>。</w:t>
      </w:r>
      <w:r>
        <w:rPr>
          <w:rFonts w:hint="eastAsia" w:ascii="宋体" w:hAnsi="宋体"/>
          <w:iCs/>
          <w:szCs w:val="21"/>
        </w:rPr>
        <w:t>除上述情况外，本公司募集资金使用及披露不存在重大问题。</w:t>
      </w:r>
    </w:p>
    <w:p w14:paraId="55922EBE">
      <w:pPr>
        <w:keepNext w:val="0"/>
        <w:keepLines w:val="0"/>
        <w:pageBreakBefore w:val="0"/>
        <w:tabs>
          <w:tab w:val="left" w:pos="4620"/>
        </w:tabs>
        <w:kinsoku/>
        <w:wordWrap/>
        <w:overflowPunct/>
        <w:topLinePunct w:val="0"/>
        <w:autoSpaceDE/>
        <w:autoSpaceDN/>
        <w:bidi w:val="0"/>
        <w:adjustRightInd/>
        <w:snapToGrid/>
        <w:spacing w:line="336" w:lineRule="auto"/>
        <w:ind w:firstLine="420" w:firstLineChars="200"/>
        <w:textAlignment w:val="auto"/>
        <w:rPr>
          <w:rFonts w:ascii="宋体" w:hAnsi="宋体"/>
          <w:szCs w:val="21"/>
        </w:rPr>
      </w:pPr>
    </w:p>
    <w:p w14:paraId="7118400D">
      <w:pPr>
        <w:keepNext w:val="0"/>
        <w:keepLines w:val="0"/>
        <w:pageBreakBefore w:val="0"/>
        <w:kinsoku/>
        <w:wordWrap/>
        <w:overflowPunct/>
        <w:topLinePunct w:val="0"/>
        <w:autoSpaceDE/>
        <w:autoSpaceDN/>
        <w:bidi w:val="0"/>
        <w:adjustRightInd/>
        <w:snapToGrid/>
        <w:spacing w:line="336" w:lineRule="auto"/>
        <w:ind w:firstLine="422" w:firstLineChars="200"/>
        <w:textAlignment w:val="auto"/>
        <w:outlineLvl w:val="0"/>
        <w:rPr>
          <w:rFonts w:hint="eastAsia" w:ascii="黑体" w:eastAsia="黑体"/>
          <w:b/>
          <w:szCs w:val="21"/>
          <w:lang w:val="en-US" w:eastAsia="zh-CN"/>
        </w:rPr>
      </w:pPr>
      <w:r>
        <w:rPr>
          <w:rFonts w:hint="eastAsia" w:ascii="黑体" w:eastAsia="黑体"/>
          <w:b/>
          <w:szCs w:val="21"/>
          <w:lang w:val="en-US" w:eastAsia="zh-CN"/>
        </w:rPr>
        <w:t>六、其他</w:t>
      </w:r>
    </w:p>
    <w:p w14:paraId="1C8161B6">
      <w:pPr>
        <w:keepNext w:val="0"/>
        <w:keepLines w:val="0"/>
        <w:pageBreakBefore w:val="0"/>
        <w:widowControl w:val="0"/>
        <w:tabs>
          <w:tab w:val="left" w:pos="4620"/>
        </w:tabs>
        <w:kinsoku/>
        <w:wordWrap/>
        <w:overflowPunct/>
        <w:topLinePunct w:val="0"/>
        <w:autoSpaceDE/>
        <w:autoSpaceDN/>
        <w:bidi w:val="0"/>
        <w:adjustRightInd/>
        <w:snapToGrid/>
        <w:spacing w:line="336" w:lineRule="auto"/>
        <w:ind w:firstLine="420" w:firstLineChars="200"/>
        <w:textAlignment w:val="auto"/>
        <w:rPr>
          <w:rFonts w:hint="default" w:ascii="宋体" w:hAnsi="宋体" w:eastAsia="宋体"/>
          <w:szCs w:val="21"/>
          <w:highlight w:val="none"/>
          <w:lang w:val="en-US" w:eastAsia="zh-CN"/>
        </w:rPr>
      </w:pPr>
      <w:r>
        <w:rPr>
          <w:rFonts w:hint="eastAsia" w:ascii="宋体" w:hAnsi="宋体" w:cs="宋体"/>
          <w:color w:val="2B2B2B"/>
          <w:kern w:val="0"/>
          <w:szCs w:val="21"/>
        </w:rPr>
        <w:t xml:space="preserve">(一) </w:t>
      </w:r>
      <w:r>
        <w:rPr>
          <w:rFonts w:hint="eastAsia" w:ascii="宋体" w:hAnsi="宋体"/>
          <w:szCs w:val="21"/>
          <w:highlight w:val="none"/>
          <w:lang w:val="en-US" w:eastAsia="zh-CN"/>
        </w:rPr>
        <w:t>变更募投项目实施地点</w:t>
      </w:r>
    </w:p>
    <w:p w14:paraId="61DAD724">
      <w:pPr>
        <w:keepNext w:val="0"/>
        <w:keepLines w:val="0"/>
        <w:pageBreakBefore w:val="0"/>
        <w:widowControl w:val="0"/>
        <w:tabs>
          <w:tab w:val="left" w:pos="4620"/>
        </w:tabs>
        <w:kinsoku/>
        <w:wordWrap/>
        <w:overflowPunct/>
        <w:topLinePunct w:val="0"/>
        <w:autoSpaceDE/>
        <w:autoSpaceDN/>
        <w:bidi w:val="0"/>
        <w:adjustRightInd/>
        <w:snapToGrid/>
        <w:spacing w:line="336" w:lineRule="auto"/>
        <w:ind w:firstLine="420" w:firstLineChars="200"/>
        <w:textAlignment w:val="auto"/>
        <w:rPr>
          <w:rFonts w:hint="eastAsia" w:ascii="宋体" w:hAnsi="宋体"/>
          <w:kern w:val="0"/>
          <w:szCs w:val="21"/>
          <w:highlight w:val="none"/>
        </w:rPr>
      </w:pPr>
      <w:r>
        <w:rPr>
          <w:rFonts w:hint="eastAsia" w:ascii="宋体" w:hAnsi="宋体"/>
          <w:szCs w:val="21"/>
          <w:highlight w:val="none"/>
        </w:rPr>
        <w:t>公司2022年6月15日第三届董事会第十二次会议审议通过了《关于变更部分募投项目实施地点的议案》，同意公司将研发中心及信息化建设项目的实施地点进行变更。</w:t>
      </w:r>
      <w:r>
        <w:rPr>
          <w:rFonts w:hint="eastAsia" w:ascii="宋体" w:hAnsi="宋体"/>
          <w:kern w:val="0"/>
          <w:szCs w:val="21"/>
          <w:highlight w:val="none"/>
          <w:lang w:val="en-US" w:eastAsia="zh-CN"/>
        </w:rPr>
        <w:t>情况如下</w:t>
      </w:r>
      <w:r>
        <w:rPr>
          <w:rFonts w:hint="eastAsia" w:ascii="宋体" w:hAnsi="宋体"/>
          <w:kern w:val="0"/>
          <w:szCs w:val="21"/>
          <w:highlight w:val="none"/>
        </w:rPr>
        <w:t>：</w:t>
      </w:r>
    </w:p>
    <w:tbl>
      <w:tblPr>
        <w:tblStyle w:val="11"/>
        <w:tblW w:w="4999"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1382"/>
        <w:gridCol w:w="3376"/>
        <w:gridCol w:w="3630"/>
      </w:tblGrid>
      <w:tr w14:paraId="2B31826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454" w:hRule="atLeast"/>
          <w:tblHeader/>
        </w:trPr>
        <w:tc>
          <w:tcPr>
            <w:tcW w:w="824" w:type="pct"/>
            <w:tcBorders>
              <w:top w:val="single" w:color="auto" w:sz="4" w:space="0"/>
              <w:left w:val="nil"/>
              <w:bottom w:val="single" w:color="auto" w:sz="4" w:space="0"/>
              <w:right w:val="single" w:color="auto" w:sz="4" w:space="0"/>
            </w:tcBorders>
            <w:shd w:val="clear" w:color="auto" w:fill="auto"/>
            <w:vAlign w:val="center"/>
          </w:tcPr>
          <w:p w14:paraId="2E8590BB">
            <w:pPr>
              <w:widowControl/>
              <w:adjustRightInd w:val="0"/>
              <w:snapToGrid w:val="0"/>
              <w:spacing w:line="240" w:lineRule="exact"/>
              <w:jc w:val="center"/>
              <w:rPr>
                <w:rFonts w:hint="eastAsia" w:ascii="宋体" w:hAnsi="宋体" w:eastAsia="宋体" w:cs="宋体"/>
                <w:snapToGrid w:val="0"/>
                <w:kern w:val="0"/>
                <w:sz w:val="18"/>
                <w:szCs w:val="18"/>
                <w:highlight w:val="none"/>
              </w:rPr>
            </w:pPr>
            <w:r>
              <w:rPr>
                <w:rFonts w:hint="eastAsia" w:ascii="宋体" w:hAnsi="宋体" w:eastAsia="宋体" w:cs="宋体"/>
                <w:snapToGrid w:val="0"/>
                <w:kern w:val="0"/>
                <w:sz w:val="18"/>
                <w:szCs w:val="18"/>
                <w:highlight w:val="none"/>
              </w:rPr>
              <w:t>项目名称</w:t>
            </w:r>
          </w:p>
        </w:tc>
        <w:tc>
          <w:tcPr>
            <w:tcW w:w="2012" w:type="pct"/>
            <w:tcBorders>
              <w:top w:val="single" w:color="auto" w:sz="4" w:space="0"/>
              <w:left w:val="single" w:color="auto" w:sz="4" w:space="0"/>
              <w:bottom w:val="single" w:color="auto" w:sz="4" w:space="0"/>
              <w:right w:val="single" w:color="auto" w:sz="4" w:space="0"/>
            </w:tcBorders>
            <w:shd w:val="clear" w:color="auto" w:fill="auto"/>
            <w:vAlign w:val="center"/>
          </w:tcPr>
          <w:p w14:paraId="6D41568F">
            <w:pPr>
              <w:widowControl/>
              <w:adjustRightInd w:val="0"/>
              <w:snapToGrid w:val="0"/>
              <w:spacing w:line="240" w:lineRule="exact"/>
              <w:jc w:val="center"/>
              <w:rPr>
                <w:rFonts w:hint="eastAsia" w:ascii="宋体" w:hAnsi="宋体" w:eastAsia="宋体" w:cs="宋体"/>
                <w:snapToGrid w:val="0"/>
                <w:kern w:val="0"/>
                <w:sz w:val="18"/>
                <w:szCs w:val="18"/>
                <w:highlight w:val="none"/>
              </w:rPr>
            </w:pPr>
            <w:r>
              <w:rPr>
                <w:rFonts w:hint="eastAsia" w:ascii="宋体" w:hAnsi="宋体" w:eastAsia="宋体" w:cs="宋体"/>
                <w:snapToGrid w:val="0"/>
                <w:kern w:val="0"/>
                <w:sz w:val="18"/>
                <w:szCs w:val="18"/>
                <w:highlight w:val="none"/>
              </w:rPr>
              <w:t>变更前实施地点</w:t>
            </w:r>
          </w:p>
        </w:tc>
        <w:tc>
          <w:tcPr>
            <w:tcW w:w="2163" w:type="pct"/>
            <w:tcBorders>
              <w:top w:val="single" w:color="auto" w:sz="4" w:space="0"/>
              <w:left w:val="single" w:color="auto" w:sz="4" w:space="0"/>
              <w:bottom w:val="single" w:color="auto" w:sz="4" w:space="0"/>
            </w:tcBorders>
            <w:shd w:val="clear" w:color="auto" w:fill="auto"/>
            <w:vAlign w:val="center"/>
          </w:tcPr>
          <w:p w14:paraId="0DA9BA35">
            <w:pPr>
              <w:widowControl/>
              <w:adjustRightInd w:val="0"/>
              <w:snapToGrid w:val="0"/>
              <w:spacing w:line="240" w:lineRule="exact"/>
              <w:jc w:val="center"/>
              <w:rPr>
                <w:rFonts w:hint="eastAsia" w:ascii="宋体" w:hAnsi="宋体" w:eastAsia="宋体" w:cs="宋体"/>
                <w:snapToGrid w:val="0"/>
                <w:kern w:val="0"/>
                <w:sz w:val="18"/>
                <w:szCs w:val="18"/>
                <w:highlight w:val="none"/>
              </w:rPr>
            </w:pPr>
            <w:r>
              <w:rPr>
                <w:rFonts w:hint="eastAsia" w:ascii="宋体" w:hAnsi="宋体" w:eastAsia="宋体" w:cs="宋体"/>
                <w:snapToGrid w:val="0"/>
                <w:kern w:val="0"/>
                <w:sz w:val="18"/>
                <w:szCs w:val="18"/>
                <w:highlight w:val="none"/>
              </w:rPr>
              <w:t>变更后实施地点</w:t>
            </w:r>
          </w:p>
        </w:tc>
      </w:tr>
      <w:tr w14:paraId="52DD134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1110" w:hRule="atLeast"/>
        </w:trPr>
        <w:tc>
          <w:tcPr>
            <w:tcW w:w="824" w:type="pct"/>
            <w:tcBorders>
              <w:top w:val="single" w:color="auto" w:sz="4" w:space="0"/>
              <w:left w:val="nil"/>
              <w:bottom w:val="single" w:color="auto" w:sz="4" w:space="0"/>
              <w:right w:val="single" w:color="auto" w:sz="4" w:space="0"/>
            </w:tcBorders>
            <w:shd w:val="clear" w:color="auto" w:fill="auto"/>
            <w:vAlign w:val="center"/>
          </w:tcPr>
          <w:p w14:paraId="474D1449">
            <w:pPr>
              <w:widowControl/>
              <w:adjustRightInd w:val="0"/>
              <w:snapToGrid w:val="0"/>
              <w:spacing w:line="240" w:lineRule="exact"/>
              <w:jc w:val="left"/>
              <w:rPr>
                <w:rFonts w:hint="eastAsia" w:ascii="宋体" w:hAnsi="宋体" w:eastAsia="宋体" w:cs="宋体"/>
                <w:snapToGrid w:val="0"/>
                <w:kern w:val="0"/>
                <w:sz w:val="18"/>
                <w:szCs w:val="18"/>
                <w:highlight w:val="none"/>
              </w:rPr>
            </w:pPr>
            <w:r>
              <w:rPr>
                <w:rFonts w:hint="eastAsia" w:ascii="宋体" w:hAnsi="宋体" w:eastAsia="宋体" w:cs="宋体"/>
                <w:snapToGrid w:val="0"/>
                <w:kern w:val="0"/>
                <w:sz w:val="18"/>
                <w:szCs w:val="18"/>
                <w:highlight w:val="none"/>
              </w:rPr>
              <w:t>研发中心及信息化建设项目</w:t>
            </w:r>
          </w:p>
        </w:tc>
        <w:tc>
          <w:tcPr>
            <w:tcW w:w="2012" w:type="pct"/>
            <w:tcBorders>
              <w:top w:val="single" w:color="auto" w:sz="4" w:space="0"/>
              <w:left w:val="single" w:color="auto" w:sz="4" w:space="0"/>
              <w:bottom w:val="single" w:color="auto" w:sz="4" w:space="0"/>
              <w:right w:val="single" w:color="auto" w:sz="4" w:space="0"/>
            </w:tcBorders>
            <w:shd w:val="clear" w:color="auto" w:fill="auto"/>
            <w:vAlign w:val="center"/>
          </w:tcPr>
          <w:p w14:paraId="6F288EBD">
            <w:pPr>
              <w:widowControl/>
              <w:adjustRightInd w:val="0"/>
              <w:snapToGrid w:val="0"/>
              <w:spacing w:line="240" w:lineRule="exact"/>
              <w:ind w:right="105"/>
              <w:jc w:val="left"/>
              <w:rPr>
                <w:rFonts w:hint="eastAsia" w:ascii="宋体" w:hAnsi="宋体" w:eastAsia="宋体" w:cs="宋体"/>
                <w:snapToGrid w:val="0"/>
                <w:kern w:val="0"/>
                <w:sz w:val="18"/>
                <w:szCs w:val="18"/>
                <w:highlight w:val="none"/>
              </w:rPr>
            </w:pPr>
            <w:r>
              <w:rPr>
                <w:rFonts w:hint="eastAsia" w:ascii="宋体" w:hAnsi="宋体" w:eastAsia="宋体" w:cs="宋体"/>
                <w:snapToGrid w:val="0"/>
                <w:kern w:val="0"/>
                <w:sz w:val="18"/>
                <w:szCs w:val="18"/>
                <w:highlight w:val="none"/>
              </w:rPr>
              <w:t>重庆市长寿区化北路18号（对应土地证号：渝（2022）长寿区不动产权第000112594号、渝（2019）长寿区不动产权第000759653号）</w:t>
            </w:r>
          </w:p>
        </w:tc>
        <w:tc>
          <w:tcPr>
            <w:tcW w:w="2163" w:type="pct"/>
            <w:tcBorders>
              <w:top w:val="single" w:color="auto" w:sz="4" w:space="0"/>
              <w:left w:val="single" w:color="auto" w:sz="4" w:space="0"/>
              <w:bottom w:val="single" w:color="auto" w:sz="4" w:space="0"/>
            </w:tcBorders>
            <w:shd w:val="clear" w:color="auto" w:fill="auto"/>
            <w:vAlign w:val="center"/>
          </w:tcPr>
          <w:p w14:paraId="53D16EEA">
            <w:pPr>
              <w:widowControl/>
              <w:adjustRightInd w:val="0"/>
              <w:snapToGrid w:val="0"/>
              <w:spacing w:line="240" w:lineRule="exact"/>
              <w:ind w:right="105"/>
              <w:jc w:val="left"/>
              <w:rPr>
                <w:rFonts w:hint="eastAsia" w:ascii="宋体" w:hAnsi="宋体" w:eastAsia="宋体" w:cs="宋体"/>
                <w:snapToGrid w:val="0"/>
                <w:kern w:val="0"/>
                <w:sz w:val="18"/>
                <w:szCs w:val="18"/>
                <w:highlight w:val="none"/>
              </w:rPr>
            </w:pPr>
            <w:r>
              <w:rPr>
                <w:rFonts w:hint="eastAsia" w:ascii="宋体" w:hAnsi="宋体" w:eastAsia="宋体" w:cs="宋体"/>
                <w:snapToGrid w:val="0"/>
                <w:kern w:val="0"/>
                <w:sz w:val="18"/>
                <w:szCs w:val="18"/>
                <w:highlight w:val="none"/>
              </w:rPr>
              <w:t>重庆市长寿区化北路18号、重庆市长寿区化北路9号、重庆市长寿区齐心东路5号、重庆市长寿区齐心东路10号</w:t>
            </w:r>
          </w:p>
        </w:tc>
      </w:tr>
    </w:tbl>
    <w:p w14:paraId="34345094">
      <w:pPr>
        <w:keepNext w:val="0"/>
        <w:keepLines w:val="0"/>
        <w:pageBreakBefore w:val="0"/>
        <w:widowControl w:val="0"/>
        <w:tabs>
          <w:tab w:val="left" w:pos="4620"/>
        </w:tabs>
        <w:kinsoku/>
        <w:wordWrap/>
        <w:overflowPunct/>
        <w:topLinePunct w:val="0"/>
        <w:autoSpaceDE/>
        <w:autoSpaceDN/>
        <w:bidi w:val="0"/>
        <w:adjustRightInd/>
        <w:snapToGrid/>
        <w:spacing w:line="336" w:lineRule="auto"/>
        <w:ind w:firstLine="420" w:firstLineChars="200"/>
        <w:textAlignment w:val="auto"/>
        <w:rPr>
          <w:rFonts w:hint="default" w:ascii="宋体" w:hAnsi="宋体"/>
          <w:szCs w:val="21"/>
          <w:highlight w:val="none"/>
          <w:lang w:val="en-US" w:eastAsia="zh-CN"/>
        </w:rPr>
      </w:pPr>
      <w:r>
        <w:rPr>
          <w:rFonts w:hint="eastAsia" w:ascii="宋体" w:hAnsi="宋体" w:cs="宋体"/>
          <w:color w:val="2B2B2B"/>
          <w:kern w:val="0"/>
          <w:szCs w:val="21"/>
        </w:rPr>
        <w:t xml:space="preserve">(二) </w:t>
      </w:r>
      <w:r>
        <w:rPr>
          <w:rFonts w:hint="eastAsia" w:ascii="宋体" w:hAnsi="宋体"/>
          <w:szCs w:val="21"/>
          <w:highlight w:val="none"/>
          <w:lang w:val="en-US" w:eastAsia="zh-CN"/>
        </w:rPr>
        <w:t>变更募投项目用途</w:t>
      </w:r>
    </w:p>
    <w:p w14:paraId="7E91E9FF">
      <w:pPr>
        <w:keepNext w:val="0"/>
        <w:keepLines w:val="0"/>
        <w:pageBreakBefore w:val="0"/>
        <w:widowControl w:val="0"/>
        <w:tabs>
          <w:tab w:val="left" w:pos="4620"/>
        </w:tabs>
        <w:kinsoku/>
        <w:wordWrap/>
        <w:overflowPunct/>
        <w:topLinePunct w:val="0"/>
        <w:autoSpaceDE/>
        <w:autoSpaceDN/>
        <w:bidi w:val="0"/>
        <w:adjustRightInd/>
        <w:snapToGrid/>
        <w:spacing w:line="336" w:lineRule="auto"/>
        <w:ind w:firstLine="420" w:firstLineChars="200"/>
        <w:textAlignment w:val="auto"/>
        <w:rPr>
          <w:rFonts w:hint="eastAsia" w:ascii="宋体" w:hAnsi="宋体"/>
          <w:szCs w:val="21"/>
          <w:lang w:val="en-US" w:eastAsia="zh-CN"/>
        </w:rPr>
      </w:pPr>
      <w:r>
        <w:rPr>
          <w:rFonts w:hint="default" w:ascii="宋体" w:hAnsi="宋体"/>
          <w:szCs w:val="21"/>
          <w:lang w:val="en-US" w:eastAsia="zh-CN"/>
        </w:rPr>
        <w:t>智能成套电气设备产业基地建设项目于2024年4月达到预定可使用状态，预计于建设完毕后第5年达产。</w:t>
      </w:r>
      <w:r>
        <w:rPr>
          <w:rFonts w:hint="eastAsia" w:ascii="宋体" w:hAnsi="宋体"/>
          <w:szCs w:val="21"/>
          <w:lang w:val="en-US" w:eastAsia="zh-CN"/>
        </w:rPr>
        <w:t>在前期试生产和调试阶段，</w:t>
      </w:r>
      <w:r>
        <w:rPr>
          <w:rFonts w:hint="default" w:ascii="宋体" w:hAnsi="宋体"/>
          <w:szCs w:val="21"/>
          <w:lang w:val="en-US" w:eastAsia="zh-CN"/>
        </w:rPr>
        <w:t>为便于开展现场生产、技术管理工作，</w:t>
      </w:r>
      <w:r>
        <w:rPr>
          <w:rFonts w:hint="default" w:ascii="宋体" w:hAnsi="宋体"/>
          <w:szCs w:val="21"/>
        </w:rPr>
        <w:t>智能成套电气设备产业基地建设项目</w:t>
      </w:r>
      <w:r>
        <w:rPr>
          <w:rFonts w:hint="default" w:ascii="宋体" w:hAnsi="宋体"/>
          <w:szCs w:val="21"/>
          <w:lang w:val="en-US" w:eastAsia="zh-CN"/>
        </w:rPr>
        <w:t>主要管理及技术人员的办公场所暂设置于车间现场，项目所投建办公楼未用于</w:t>
      </w:r>
      <w:r>
        <w:rPr>
          <w:rFonts w:hint="eastAsia" w:ascii="宋体" w:hAnsi="宋体"/>
          <w:szCs w:val="21"/>
          <w:lang w:val="en-US" w:eastAsia="zh-CN"/>
        </w:rPr>
        <w:t>该募投项目相关的业务活动。</w:t>
      </w:r>
      <w:r>
        <w:rPr>
          <w:rFonts w:hint="default" w:ascii="宋体" w:hAnsi="宋体"/>
          <w:szCs w:val="21"/>
          <w:lang w:val="en-US" w:eastAsia="zh-CN"/>
        </w:rPr>
        <w:t>随着</w:t>
      </w:r>
      <w:r>
        <w:rPr>
          <w:rFonts w:hint="eastAsia" w:ascii="宋体" w:hAnsi="宋体"/>
          <w:szCs w:val="21"/>
          <w:lang w:val="en-US" w:eastAsia="zh-CN"/>
        </w:rPr>
        <w:t>公司</w:t>
      </w:r>
      <w:r>
        <w:rPr>
          <w:rFonts w:hint="default" w:ascii="宋体" w:hAnsi="宋体"/>
          <w:szCs w:val="21"/>
          <w:lang w:val="en-US" w:eastAsia="zh-CN"/>
        </w:rPr>
        <w:t>业务规模</w:t>
      </w:r>
      <w:r>
        <w:rPr>
          <w:rFonts w:hint="eastAsia" w:ascii="宋体" w:hAnsi="宋体"/>
          <w:szCs w:val="21"/>
          <w:lang w:val="en-US" w:eastAsia="zh-CN"/>
        </w:rPr>
        <w:t>持续</w:t>
      </w:r>
      <w:r>
        <w:rPr>
          <w:rFonts w:hint="default" w:ascii="宋体" w:hAnsi="宋体"/>
          <w:szCs w:val="21"/>
          <w:lang w:val="en-US" w:eastAsia="zh-CN"/>
        </w:rPr>
        <w:t>增长，</w:t>
      </w:r>
      <w:r>
        <w:rPr>
          <w:rFonts w:hint="eastAsia" w:ascii="宋体" w:hAnsi="宋体"/>
          <w:szCs w:val="21"/>
          <w:lang w:val="en-US" w:eastAsia="zh-CN"/>
        </w:rPr>
        <w:t>变压器事业部管理人员的原办公场地已不能使用。</w:t>
      </w:r>
      <w:r>
        <w:rPr>
          <w:rFonts w:hint="default" w:ascii="宋体" w:hAnsi="宋体"/>
          <w:szCs w:val="21"/>
          <w:lang w:val="en-US" w:eastAsia="zh-CN"/>
        </w:rPr>
        <w:t>为提高公司资产使用效率</w:t>
      </w:r>
      <w:r>
        <w:rPr>
          <w:rFonts w:hint="eastAsia" w:ascii="宋体" w:hAnsi="宋体"/>
          <w:szCs w:val="21"/>
          <w:lang w:val="en-US" w:eastAsia="zh-CN"/>
        </w:rPr>
        <w:t>，公司将原集团</w:t>
      </w:r>
      <w:r>
        <w:rPr>
          <w:rFonts w:hint="default" w:ascii="宋体" w:hAnsi="宋体"/>
          <w:szCs w:val="21"/>
          <w:lang w:val="en-US" w:eastAsia="zh-CN"/>
        </w:rPr>
        <w:t>管理总部办公场地（A区）调整给变压器事业部使用，</w:t>
      </w:r>
      <w:r>
        <w:rPr>
          <w:rFonts w:hint="eastAsia" w:ascii="宋体" w:hAnsi="宋体"/>
          <w:szCs w:val="21"/>
          <w:lang w:val="en-US" w:eastAsia="zh-CN"/>
        </w:rPr>
        <w:t>将</w:t>
      </w:r>
      <w:r>
        <w:rPr>
          <w:rFonts w:hint="default" w:ascii="宋体" w:hAnsi="宋体"/>
          <w:szCs w:val="21"/>
          <w:lang w:val="en-US" w:eastAsia="zh-CN"/>
        </w:rPr>
        <w:t>智能成套电气设备产业基地建设项目</w:t>
      </w:r>
      <w:r>
        <w:rPr>
          <w:rFonts w:hint="eastAsia" w:ascii="宋体" w:hAnsi="宋体"/>
          <w:szCs w:val="21"/>
          <w:lang w:val="en-US" w:eastAsia="zh-CN"/>
        </w:rPr>
        <w:t>的办公楼临时</w:t>
      </w:r>
      <w:r>
        <w:rPr>
          <w:rFonts w:hint="default" w:ascii="宋体" w:hAnsi="宋体"/>
          <w:szCs w:val="21"/>
          <w:lang w:val="en-US" w:eastAsia="zh-CN"/>
        </w:rPr>
        <w:t>调整给</w:t>
      </w:r>
      <w:r>
        <w:rPr>
          <w:rFonts w:hint="eastAsia" w:ascii="宋体" w:hAnsi="宋体"/>
          <w:szCs w:val="21"/>
          <w:lang w:val="en-US" w:eastAsia="zh-CN"/>
        </w:rPr>
        <w:t>集团管理总部使用</w:t>
      </w:r>
      <w:r>
        <w:rPr>
          <w:rFonts w:hint="default" w:ascii="宋体" w:hAnsi="宋体"/>
          <w:szCs w:val="21"/>
          <w:lang w:val="en-US" w:eastAsia="zh-CN"/>
        </w:rPr>
        <w:t>，随着集团管理总部机构及人员逐步增多，结合公司生产场地布局，公司将智能成套项目所投建办公楼永久调整为公司集团管理总部职能人员使用。</w:t>
      </w:r>
      <w:r>
        <w:rPr>
          <w:rFonts w:hint="default" w:ascii="宋体" w:hAnsi="宋体"/>
          <w:szCs w:val="21"/>
          <w:highlight w:val="none"/>
          <w:lang w:val="en-US" w:eastAsia="zh-CN"/>
        </w:rPr>
        <w:t>上述</w:t>
      </w:r>
      <w:r>
        <w:rPr>
          <w:rFonts w:hint="eastAsia" w:ascii="宋体" w:hAnsi="宋体"/>
          <w:szCs w:val="21"/>
          <w:highlight w:val="none"/>
          <w:lang w:val="en-US" w:eastAsia="zh-CN"/>
        </w:rPr>
        <w:t>变更</w:t>
      </w:r>
      <w:r>
        <w:rPr>
          <w:rFonts w:hint="default" w:ascii="宋体" w:hAnsi="宋体"/>
          <w:szCs w:val="21"/>
          <w:highlight w:val="none"/>
          <w:lang w:val="en-US" w:eastAsia="zh-CN"/>
        </w:rPr>
        <w:t>募投项目</w:t>
      </w:r>
      <w:r>
        <w:rPr>
          <w:rFonts w:hint="eastAsia" w:ascii="宋体" w:hAnsi="宋体"/>
          <w:szCs w:val="21"/>
          <w:highlight w:val="none"/>
          <w:lang w:val="en-US" w:eastAsia="zh"/>
        </w:rPr>
        <w:t>用途</w:t>
      </w:r>
      <w:r>
        <w:rPr>
          <w:rFonts w:hint="default" w:ascii="宋体" w:hAnsi="宋体"/>
          <w:szCs w:val="21"/>
          <w:highlight w:val="none"/>
          <w:lang w:val="en-US" w:eastAsia="zh-CN"/>
        </w:rPr>
        <w:t>已经</w:t>
      </w:r>
      <w:r>
        <w:rPr>
          <w:rFonts w:hint="default" w:ascii="宋体" w:hAnsi="宋体"/>
          <w:szCs w:val="21"/>
          <w:lang w:val="en-US" w:eastAsia="zh-CN"/>
        </w:rPr>
        <w:t>公司2024年11月26日第四届董事会第九次会议审议通过，并经公司2024年第三次临时股东大会审议通过。公司已于2024年11月</w:t>
      </w:r>
      <w:r>
        <w:rPr>
          <w:rFonts w:hint="eastAsia" w:ascii="宋体" w:hAnsi="宋体"/>
          <w:szCs w:val="21"/>
          <w:lang w:val="en-US" w:eastAsia="zh-CN"/>
        </w:rPr>
        <w:t>28日对上述募投项目的用途变更情况进行公告。</w:t>
      </w:r>
    </w:p>
    <w:p w14:paraId="7C02C20F">
      <w:pPr>
        <w:keepNext w:val="0"/>
        <w:keepLines w:val="0"/>
        <w:pageBreakBefore w:val="0"/>
        <w:widowControl w:val="0"/>
        <w:tabs>
          <w:tab w:val="left" w:pos="4620"/>
        </w:tabs>
        <w:kinsoku/>
        <w:wordWrap/>
        <w:overflowPunct/>
        <w:topLinePunct w:val="0"/>
        <w:autoSpaceDE/>
        <w:autoSpaceDN/>
        <w:bidi w:val="0"/>
        <w:adjustRightInd/>
        <w:snapToGrid/>
        <w:spacing w:line="336" w:lineRule="auto"/>
        <w:ind w:firstLine="420" w:firstLineChars="200"/>
        <w:textAlignment w:val="auto"/>
        <w:rPr>
          <w:rFonts w:hint="default" w:ascii="宋体" w:hAnsi="宋体"/>
          <w:szCs w:val="21"/>
          <w:lang w:val="en-US" w:eastAsia="zh-CN"/>
        </w:rPr>
      </w:pPr>
      <w:r>
        <w:rPr>
          <w:rFonts w:hint="eastAsia" w:ascii="宋体" w:hAnsi="宋体"/>
          <w:szCs w:val="21"/>
          <w:lang w:val="en-US" w:eastAsia="zh-CN"/>
        </w:rPr>
        <w:t>(三) 节余资金用途</w:t>
      </w:r>
    </w:p>
    <w:p w14:paraId="5A92714C">
      <w:pPr>
        <w:tabs>
          <w:tab w:val="left" w:pos="4620"/>
        </w:tabs>
        <w:spacing w:line="336" w:lineRule="auto"/>
        <w:ind w:left="0" w:leftChars="0" w:firstLine="420" w:firstLineChars="200"/>
        <w:rPr>
          <w:rFonts w:hint="eastAsia" w:ascii="宋体" w:hAnsi="宋体"/>
          <w:szCs w:val="21"/>
        </w:rPr>
      </w:pPr>
      <w:r>
        <w:rPr>
          <w:rFonts w:hint="eastAsia" w:ascii="宋体" w:hAnsi="宋体"/>
          <w:szCs w:val="21"/>
        </w:rPr>
        <w:t>公司2024年11月26日第四届董事会第九次会议审议通过《关于部分募投项目结项并将节余募集资金用于其他募投项目的议案》，公司将智能成套电气设备产业基地建设项目、110kV及以下节能型变压器智能化工厂技改项目和研发中心及信息化建设项目的节余募集资金全部转入智控设备及金属制品智能工厂建设项目（一期），最终调整金额以实际转入金额为准，公司实际最终转入节余募集资金9,281.94万元。</w:t>
      </w:r>
    </w:p>
    <w:p w14:paraId="1240114C">
      <w:pPr>
        <w:tabs>
          <w:tab w:val="left" w:pos="4620"/>
        </w:tabs>
        <w:spacing w:line="336" w:lineRule="auto"/>
        <w:ind w:left="0" w:leftChars="0" w:firstLine="420" w:firstLineChars="200"/>
        <w:rPr>
          <w:rFonts w:hint="eastAsia" w:ascii="宋体" w:hAnsi="宋体"/>
          <w:szCs w:val="21"/>
        </w:rPr>
      </w:pPr>
    </w:p>
    <w:p w14:paraId="7B56E7B6">
      <w:pPr>
        <w:keepNext w:val="0"/>
        <w:keepLines w:val="0"/>
        <w:pageBreakBefore w:val="0"/>
        <w:widowControl w:val="0"/>
        <w:tabs>
          <w:tab w:val="left" w:pos="4620"/>
        </w:tabs>
        <w:kinsoku/>
        <w:wordWrap/>
        <w:overflowPunct/>
        <w:topLinePunct w:val="0"/>
        <w:autoSpaceDE/>
        <w:autoSpaceDN/>
        <w:bidi w:val="0"/>
        <w:adjustRightInd/>
        <w:snapToGrid/>
        <w:spacing w:line="336" w:lineRule="auto"/>
        <w:ind w:left="420" w:leftChars="200"/>
        <w:textAlignment w:val="auto"/>
        <w:rPr>
          <w:rFonts w:ascii="宋体" w:hAnsi="宋体"/>
          <w:szCs w:val="21"/>
        </w:rPr>
      </w:pPr>
      <w:r>
        <w:rPr>
          <w:rFonts w:hint="eastAsia" w:ascii="宋体" w:hAnsi="宋体"/>
          <w:szCs w:val="21"/>
        </w:rPr>
        <w:t>附件：1. 募集资金使用情况对照表</w:t>
      </w:r>
    </w:p>
    <w:p w14:paraId="6D73597D">
      <w:pPr>
        <w:keepNext w:val="0"/>
        <w:keepLines w:val="0"/>
        <w:pageBreakBefore w:val="0"/>
        <w:widowControl w:val="0"/>
        <w:numPr>
          <w:ilvl w:val="0"/>
          <w:numId w:val="2"/>
        </w:numPr>
        <w:tabs>
          <w:tab w:val="left" w:pos="4620"/>
        </w:tabs>
        <w:kinsoku/>
        <w:wordWrap/>
        <w:overflowPunct/>
        <w:topLinePunct w:val="0"/>
        <w:autoSpaceDE/>
        <w:autoSpaceDN/>
        <w:bidi w:val="0"/>
        <w:adjustRightInd/>
        <w:snapToGrid/>
        <w:spacing w:line="336" w:lineRule="auto"/>
        <w:ind w:left="420" w:leftChars="200" w:firstLine="630" w:firstLineChars="300"/>
        <w:textAlignment w:val="auto"/>
        <w:rPr>
          <w:rFonts w:hint="eastAsia" w:ascii="宋体" w:hAnsi="宋体"/>
          <w:szCs w:val="21"/>
        </w:rPr>
      </w:pPr>
      <w:r>
        <w:rPr>
          <w:rFonts w:hint="eastAsia" w:ascii="宋体" w:hAnsi="宋体"/>
          <w:szCs w:val="21"/>
        </w:rPr>
        <w:t>变更募集资金投资项目情况表</w:t>
      </w:r>
    </w:p>
    <w:p w14:paraId="0F4354B6">
      <w:pPr>
        <w:keepNext w:val="0"/>
        <w:keepLines w:val="0"/>
        <w:pageBreakBefore w:val="0"/>
        <w:widowControl w:val="0"/>
        <w:numPr>
          <w:ilvl w:val="0"/>
          <w:numId w:val="0"/>
        </w:numPr>
        <w:tabs>
          <w:tab w:val="left" w:pos="4620"/>
        </w:tabs>
        <w:kinsoku/>
        <w:wordWrap/>
        <w:overflowPunct/>
        <w:topLinePunct w:val="0"/>
        <w:autoSpaceDE/>
        <w:autoSpaceDN/>
        <w:bidi w:val="0"/>
        <w:adjustRightInd/>
        <w:snapToGrid/>
        <w:spacing w:line="336" w:lineRule="auto"/>
        <w:jc w:val="both"/>
        <w:textAlignment w:val="auto"/>
        <w:rPr>
          <w:rFonts w:hint="eastAsia" w:ascii="宋体" w:hAnsi="宋体"/>
          <w:szCs w:val="21"/>
        </w:rPr>
      </w:pPr>
    </w:p>
    <w:p w14:paraId="6A7AEA4B">
      <w:pPr>
        <w:keepNext w:val="0"/>
        <w:keepLines w:val="0"/>
        <w:pageBreakBefore w:val="0"/>
        <w:widowControl w:val="0"/>
        <w:numPr>
          <w:ilvl w:val="0"/>
          <w:numId w:val="0"/>
        </w:numPr>
        <w:tabs>
          <w:tab w:val="left" w:pos="4620"/>
        </w:tabs>
        <w:kinsoku/>
        <w:wordWrap/>
        <w:overflowPunct/>
        <w:topLinePunct w:val="0"/>
        <w:autoSpaceDE/>
        <w:autoSpaceDN/>
        <w:bidi w:val="0"/>
        <w:adjustRightInd/>
        <w:snapToGrid/>
        <w:spacing w:line="336" w:lineRule="auto"/>
        <w:ind w:left="420" w:leftChars="200" w:firstLine="630" w:firstLineChars="300"/>
        <w:textAlignment w:val="auto"/>
        <w:rPr>
          <w:rFonts w:hint="eastAsia" w:ascii="宋体" w:hAnsi="宋体"/>
          <w:szCs w:val="21"/>
        </w:rPr>
      </w:pPr>
    </w:p>
    <w:p w14:paraId="02A66A4E">
      <w:pPr>
        <w:keepNext w:val="0"/>
        <w:keepLines w:val="0"/>
        <w:pageBreakBefore w:val="0"/>
        <w:widowControl w:val="0"/>
        <w:tabs>
          <w:tab w:val="left" w:pos="4620"/>
        </w:tabs>
        <w:kinsoku/>
        <w:wordWrap/>
        <w:overflowPunct/>
        <w:topLinePunct w:val="0"/>
        <w:autoSpaceDE/>
        <w:autoSpaceDN/>
        <w:bidi w:val="0"/>
        <w:adjustRightInd/>
        <w:snapToGrid/>
        <w:spacing w:line="336" w:lineRule="auto"/>
        <w:jc w:val="right"/>
        <w:textAlignment w:val="auto"/>
        <w:rPr>
          <w:rFonts w:hint="eastAsia" w:ascii="宋体" w:hAnsi="宋体" w:eastAsia="宋体"/>
          <w:szCs w:val="21"/>
          <w:lang w:val="en-US" w:eastAsia="zh-CN"/>
        </w:rPr>
      </w:pPr>
      <w:r>
        <w:rPr>
          <w:rFonts w:hint="eastAsia" w:ascii="宋体" w:hAnsi="宋体"/>
          <w:szCs w:val="21"/>
          <w:lang w:val="en-US" w:eastAsia="zh-CN"/>
        </w:rPr>
        <w:t>重庆望变电气（集团）</w:t>
      </w:r>
      <w:r>
        <w:rPr>
          <w:rFonts w:hint="eastAsia" w:ascii="宋体" w:hAnsi="宋体"/>
          <w:szCs w:val="21"/>
        </w:rPr>
        <w:t>股份有限公司</w:t>
      </w:r>
      <w:r>
        <w:rPr>
          <w:rFonts w:hint="eastAsia" w:ascii="宋体" w:hAnsi="宋体"/>
          <w:szCs w:val="21"/>
          <w:lang w:val="en-US" w:eastAsia="zh-CN"/>
        </w:rPr>
        <w:t>董事会</w:t>
      </w:r>
    </w:p>
    <w:p w14:paraId="48E12691">
      <w:pPr>
        <w:keepNext w:val="0"/>
        <w:keepLines w:val="0"/>
        <w:pageBreakBefore w:val="0"/>
        <w:widowControl w:val="0"/>
        <w:tabs>
          <w:tab w:val="left" w:pos="4620"/>
        </w:tabs>
        <w:kinsoku/>
        <w:wordWrap/>
        <w:overflowPunct/>
        <w:topLinePunct w:val="0"/>
        <w:autoSpaceDE/>
        <w:autoSpaceDN/>
        <w:bidi w:val="0"/>
        <w:adjustRightInd/>
        <w:snapToGrid/>
        <w:spacing w:line="336" w:lineRule="auto"/>
        <w:jc w:val="right"/>
        <w:textAlignment w:val="auto"/>
        <w:rPr>
          <w:rFonts w:ascii="宋体" w:hAnsi="宋体"/>
          <w:szCs w:val="21"/>
        </w:rPr>
      </w:pPr>
      <w:r>
        <w:rPr>
          <w:rFonts w:hint="eastAsia" w:ascii="宋体" w:hAnsi="宋体"/>
          <w:szCs w:val="21"/>
        </w:rPr>
        <w:t>二〇</w:t>
      </w:r>
      <w:r>
        <w:rPr>
          <w:rFonts w:hint="eastAsia" w:ascii="宋体" w:hAnsi="宋体"/>
          <w:lang w:val="en-US" w:eastAsia="zh-CN"/>
        </w:rPr>
        <w:t>二五</w:t>
      </w:r>
      <w:r>
        <w:rPr>
          <w:rFonts w:hint="eastAsia" w:ascii="宋体" w:hAnsi="宋体"/>
        </w:rPr>
        <w:t>年</w:t>
      </w:r>
      <w:r>
        <w:rPr>
          <w:rFonts w:hint="eastAsia" w:ascii="宋体" w:hAnsi="宋体"/>
          <w:lang w:val="en-US" w:eastAsia="zh-CN"/>
        </w:rPr>
        <w:t>四</w:t>
      </w:r>
      <w:r>
        <w:rPr>
          <w:rFonts w:hint="eastAsia" w:ascii="宋体" w:hAnsi="宋体"/>
        </w:rPr>
        <w:t>月</w:t>
      </w:r>
      <w:r>
        <w:rPr>
          <w:rFonts w:hint="eastAsia" w:ascii="宋体" w:hAnsi="宋体"/>
          <w:lang w:val="en-US" w:eastAsia="zh-CN"/>
        </w:rPr>
        <w:t>二十四</w:t>
      </w:r>
      <w:r>
        <w:rPr>
          <w:rFonts w:hint="eastAsia" w:ascii="宋体" w:hAnsi="宋体"/>
        </w:rPr>
        <w:t>日</w:t>
      </w:r>
    </w:p>
    <w:p w14:paraId="3B5966D0">
      <w:pPr>
        <w:keepNext w:val="0"/>
        <w:keepLines w:val="0"/>
        <w:pageBreakBefore w:val="0"/>
        <w:widowControl w:val="0"/>
        <w:tabs>
          <w:tab w:val="left" w:pos="4620"/>
        </w:tabs>
        <w:kinsoku/>
        <w:wordWrap/>
        <w:overflowPunct/>
        <w:topLinePunct w:val="0"/>
        <w:autoSpaceDE/>
        <w:autoSpaceDN/>
        <w:bidi w:val="0"/>
        <w:adjustRightInd/>
        <w:snapToGrid/>
        <w:spacing w:line="336" w:lineRule="auto"/>
        <w:ind w:firstLine="420" w:firstLineChars="200"/>
        <w:textAlignment w:val="auto"/>
        <w:rPr>
          <w:rFonts w:ascii="宋体" w:hAnsi="宋体"/>
          <w:szCs w:val="21"/>
        </w:rPr>
        <w:sectPr>
          <w:footerReference r:id="rId3" w:type="default"/>
          <w:pgSz w:w="11906" w:h="16838"/>
          <w:pgMar w:top="1440" w:right="1803" w:bottom="1440" w:left="1803" w:header="851" w:footer="992" w:gutter="0"/>
          <w:pgBorders>
            <w:top w:val="none" w:sz="0" w:space="0"/>
            <w:left w:val="none" w:sz="0" w:space="0"/>
            <w:bottom w:val="none" w:sz="0" w:space="0"/>
            <w:right w:val="none" w:sz="0" w:space="0"/>
          </w:pgBorders>
          <w:pgNumType w:start="3"/>
          <w:cols w:space="425" w:num="1"/>
          <w:docGrid w:type="lines" w:linePitch="312" w:charSpace="0"/>
        </w:sectPr>
      </w:pPr>
    </w:p>
    <w:p w14:paraId="24ACE3DA">
      <w:pPr>
        <w:spacing w:line="360" w:lineRule="auto"/>
        <w:rPr>
          <w:rFonts w:ascii="宋体" w:hAnsi="宋体" w:cs="宋体"/>
          <w:kern w:val="0"/>
          <w:szCs w:val="21"/>
        </w:rPr>
      </w:pPr>
      <w:r>
        <w:rPr>
          <w:rFonts w:hint="eastAsia" w:ascii="宋体" w:hAnsi="宋体" w:cs="宋体"/>
          <w:kern w:val="0"/>
          <w:szCs w:val="21"/>
        </w:rPr>
        <w:t>附件1</w:t>
      </w:r>
    </w:p>
    <w:p w14:paraId="6FD4A45B">
      <w:pPr>
        <w:spacing w:line="360" w:lineRule="auto"/>
        <w:jc w:val="center"/>
        <w:rPr>
          <w:rFonts w:ascii="黑体" w:hAnsi="宋体" w:eastAsia="黑体" w:cs="宋体"/>
          <w:b/>
          <w:bCs/>
          <w:kern w:val="0"/>
          <w:sz w:val="28"/>
          <w:szCs w:val="28"/>
        </w:rPr>
      </w:pPr>
      <w:r>
        <w:rPr>
          <w:rFonts w:hint="eastAsia" w:ascii="黑体" w:hAnsi="宋体" w:eastAsia="黑体" w:cs="宋体"/>
          <w:b/>
          <w:bCs/>
          <w:kern w:val="0"/>
          <w:sz w:val="28"/>
          <w:szCs w:val="28"/>
        </w:rPr>
        <w:t>募集资金使用情况对照表</w:t>
      </w:r>
    </w:p>
    <w:p w14:paraId="5FFE072F">
      <w:pPr>
        <w:spacing w:line="360" w:lineRule="auto"/>
        <w:jc w:val="center"/>
        <w:rPr>
          <w:rFonts w:ascii="宋体" w:hAnsi="宋体" w:cs="宋体"/>
          <w:kern w:val="0"/>
          <w:sz w:val="18"/>
          <w:szCs w:val="18"/>
        </w:rPr>
      </w:pPr>
      <w:r>
        <w:rPr>
          <w:rFonts w:hint="eastAsia" w:ascii="宋体" w:hAnsi="宋体" w:cs="宋体"/>
          <w:kern w:val="0"/>
          <w:sz w:val="18"/>
          <w:szCs w:val="18"/>
        </w:rPr>
        <w:t>20</w:t>
      </w:r>
      <w:r>
        <w:rPr>
          <w:rFonts w:hint="eastAsia" w:ascii="宋体" w:hAnsi="宋体"/>
          <w:sz w:val="18"/>
          <w:szCs w:val="18"/>
          <w:lang w:val="en-US" w:eastAsia="zh-CN"/>
        </w:rPr>
        <w:t>24</w:t>
      </w:r>
      <w:r>
        <w:rPr>
          <w:rFonts w:hint="eastAsia" w:ascii="宋体" w:hAnsi="宋体" w:cs="宋体"/>
          <w:kern w:val="0"/>
          <w:sz w:val="18"/>
          <w:szCs w:val="18"/>
        </w:rPr>
        <w:t>年度</w:t>
      </w:r>
    </w:p>
    <w:p w14:paraId="51155229">
      <w:pPr>
        <w:spacing w:line="360" w:lineRule="auto"/>
        <w:jc w:val="right"/>
        <w:rPr>
          <w:rFonts w:ascii="宋体" w:hAnsi="宋体"/>
          <w:sz w:val="18"/>
          <w:szCs w:val="18"/>
        </w:rPr>
      </w:pPr>
      <w:r>
        <w:rPr>
          <w:rFonts w:hint="eastAsia" w:ascii="宋体" w:hAnsi="宋体" w:cs="宋体"/>
          <w:kern w:val="0"/>
          <w:sz w:val="18"/>
          <w:szCs w:val="18"/>
        </w:rPr>
        <w:t>编制单位：</w:t>
      </w:r>
      <w:r>
        <w:rPr>
          <w:rFonts w:hint="eastAsia" w:ascii="宋体" w:hAnsi="宋体" w:cs="宋体"/>
          <w:kern w:val="0"/>
          <w:sz w:val="18"/>
          <w:szCs w:val="18"/>
          <w:lang w:val="en-US" w:eastAsia="zh-CN"/>
        </w:rPr>
        <w:t>重庆望变电气（集团）</w:t>
      </w:r>
      <w:r>
        <w:rPr>
          <w:rFonts w:hint="eastAsia" w:ascii="宋体" w:hAnsi="宋体" w:cs="宋体"/>
          <w:kern w:val="0"/>
          <w:sz w:val="18"/>
          <w:szCs w:val="18"/>
        </w:rPr>
        <w:t>股份有限公司</w:t>
      </w:r>
      <w:r>
        <w:rPr>
          <w:rFonts w:hint="eastAsia" w:ascii="宋体" w:hAnsi="宋体" w:cs="宋体"/>
          <w:kern w:val="0"/>
          <w:sz w:val="18"/>
          <w:szCs w:val="18"/>
          <w:lang w:val="en-US" w:eastAsia="zh-CN"/>
        </w:rPr>
        <w:t xml:space="preserve">    </w:t>
      </w:r>
      <w:r>
        <w:rPr>
          <w:rFonts w:hint="eastAsia" w:ascii="宋体" w:hAnsi="宋体" w:cs="宋体"/>
          <w:kern w:val="0"/>
          <w:sz w:val="18"/>
          <w:szCs w:val="18"/>
        </w:rPr>
        <w:tab/>
      </w:r>
      <w:r>
        <w:rPr>
          <w:rFonts w:hint="eastAsia" w:ascii="宋体" w:hAnsi="宋体" w:cs="宋体"/>
          <w:kern w:val="0"/>
          <w:sz w:val="18"/>
          <w:szCs w:val="18"/>
        </w:rPr>
        <w:tab/>
      </w:r>
      <w:r>
        <w:rPr>
          <w:rFonts w:hint="eastAsia" w:ascii="宋体" w:hAnsi="宋体" w:cs="宋体"/>
          <w:kern w:val="0"/>
          <w:sz w:val="18"/>
          <w:szCs w:val="18"/>
        </w:rPr>
        <w:tab/>
      </w:r>
      <w:r>
        <w:rPr>
          <w:rFonts w:hint="eastAsia" w:ascii="宋体" w:hAnsi="宋体" w:cs="宋体"/>
          <w:kern w:val="0"/>
          <w:sz w:val="18"/>
          <w:szCs w:val="18"/>
        </w:rPr>
        <w:tab/>
      </w:r>
      <w:r>
        <w:rPr>
          <w:rFonts w:hint="eastAsia" w:ascii="宋体" w:hAnsi="宋体" w:cs="宋体"/>
          <w:kern w:val="0"/>
          <w:sz w:val="18"/>
          <w:szCs w:val="18"/>
        </w:rPr>
        <w:tab/>
      </w:r>
      <w:r>
        <w:rPr>
          <w:rFonts w:hint="eastAsia" w:ascii="宋体" w:hAnsi="宋体" w:cs="宋体"/>
          <w:kern w:val="0"/>
          <w:sz w:val="18"/>
          <w:szCs w:val="18"/>
        </w:rPr>
        <w:tab/>
      </w:r>
      <w:r>
        <w:rPr>
          <w:rFonts w:hint="eastAsia" w:ascii="宋体" w:hAnsi="宋体" w:cs="宋体"/>
          <w:kern w:val="0"/>
          <w:sz w:val="18"/>
          <w:szCs w:val="18"/>
        </w:rPr>
        <w:tab/>
      </w:r>
      <w:r>
        <w:rPr>
          <w:rFonts w:hint="eastAsia" w:ascii="宋体" w:hAnsi="宋体" w:cs="宋体"/>
          <w:kern w:val="0"/>
          <w:sz w:val="18"/>
          <w:szCs w:val="18"/>
        </w:rPr>
        <w:tab/>
      </w:r>
      <w:r>
        <w:rPr>
          <w:rFonts w:hint="eastAsia" w:ascii="宋体" w:hAnsi="宋体" w:cs="宋体"/>
          <w:kern w:val="0"/>
          <w:sz w:val="18"/>
          <w:szCs w:val="18"/>
        </w:rPr>
        <w:tab/>
      </w:r>
      <w:r>
        <w:rPr>
          <w:rFonts w:hint="eastAsia" w:ascii="宋体" w:hAnsi="宋体" w:cs="宋体"/>
          <w:kern w:val="0"/>
          <w:sz w:val="18"/>
          <w:szCs w:val="18"/>
        </w:rPr>
        <w:tab/>
      </w:r>
      <w:r>
        <w:rPr>
          <w:rFonts w:hint="eastAsia" w:ascii="宋体" w:hAnsi="宋体" w:cs="宋体"/>
          <w:kern w:val="0"/>
          <w:sz w:val="18"/>
          <w:szCs w:val="18"/>
        </w:rPr>
        <w:tab/>
      </w:r>
      <w:r>
        <w:rPr>
          <w:rFonts w:hint="eastAsia" w:ascii="宋体" w:hAnsi="宋体" w:cs="宋体"/>
          <w:kern w:val="0"/>
          <w:sz w:val="18"/>
          <w:szCs w:val="18"/>
        </w:rPr>
        <w:tab/>
      </w:r>
      <w:r>
        <w:rPr>
          <w:rFonts w:hint="eastAsia" w:ascii="宋体" w:hAnsi="宋体" w:cs="宋体"/>
          <w:kern w:val="0"/>
          <w:sz w:val="18"/>
          <w:szCs w:val="18"/>
        </w:rPr>
        <w:tab/>
      </w:r>
      <w:r>
        <w:rPr>
          <w:rFonts w:hint="eastAsia" w:ascii="宋体" w:hAnsi="宋体" w:cs="宋体"/>
          <w:kern w:val="0"/>
          <w:sz w:val="18"/>
          <w:szCs w:val="18"/>
        </w:rPr>
        <w:tab/>
      </w:r>
      <w:r>
        <w:rPr>
          <w:rFonts w:hint="eastAsia" w:ascii="宋体" w:hAnsi="宋体" w:cs="宋体"/>
          <w:kern w:val="0"/>
          <w:sz w:val="18"/>
          <w:szCs w:val="18"/>
        </w:rPr>
        <w:tab/>
      </w:r>
      <w:r>
        <w:rPr>
          <w:rFonts w:hint="eastAsia" w:ascii="宋体" w:hAnsi="宋体" w:cs="宋体"/>
          <w:kern w:val="0"/>
          <w:sz w:val="18"/>
          <w:szCs w:val="18"/>
        </w:rPr>
        <w:tab/>
      </w:r>
      <w:r>
        <w:rPr>
          <w:rFonts w:hint="eastAsia" w:ascii="宋体" w:hAnsi="宋体" w:cs="宋体"/>
          <w:kern w:val="0"/>
          <w:sz w:val="18"/>
          <w:szCs w:val="18"/>
        </w:rPr>
        <w:tab/>
      </w:r>
      <w:r>
        <w:rPr>
          <w:rFonts w:hint="eastAsia" w:ascii="宋体" w:hAnsi="宋体" w:cs="宋体"/>
          <w:kern w:val="0"/>
          <w:sz w:val="18"/>
          <w:szCs w:val="18"/>
        </w:rPr>
        <w:tab/>
      </w:r>
      <w:r>
        <w:rPr>
          <w:rFonts w:hint="eastAsia" w:ascii="宋体" w:hAnsi="宋体" w:cs="宋体"/>
          <w:kern w:val="0"/>
          <w:sz w:val="18"/>
          <w:szCs w:val="18"/>
          <w:lang w:val="en-US" w:eastAsia="zh-CN"/>
        </w:rPr>
        <w:t xml:space="preserve">         金额单位</w:t>
      </w:r>
      <w:r>
        <w:rPr>
          <w:rFonts w:hint="eastAsia" w:ascii="宋体" w:hAnsi="宋体" w:cs="宋体"/>
          <w:kern w:val="0"/>
          <w:sz w:val="18"/>
          <w:szCs w:val="18"/>
        </w:rPr>
        <w:t>：人民币万元</w:t>
      </w:r>
    </w:p>
    <w:tbl>
      <w:tblPr>
        <w:tblStyle w:val="10"/>
        <w:tblW w:w="5093" w:type="pct"/>
        <w:tblInd w:w="-272"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14"/>
        <w:gridCol w:w="960"/>
        <w:gridCol w:w="1020"/>
        <w:gridCol w:w="1037"/>
        <w:gridCol w:w="1132"/>
        <w:gridCol w:w="1034"/>
        <w:gridCol w:w="1219"/>
        <w:gridCol w:w="1444"/>
        <w:gridCol w:w="1210"/>
        <w:gridCol w:w="1141"/>
        <w:gridCol w:w="904"/>
        <w:gridCol w:w="907"/>
        <w:gridCol w:w="916"/>
      </w:tblGrid>
      <w:tr w14:paraId="0FA676E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397" w:hRule="atLeast"/>
          <w:tblHeader/>
        </w:trPr>
        <w:tc>
          <w:tcPr>
            <w:tcW w:w="1569" w:type="pct"/>
            <w:gridSpan w:val="4"/>
            <w:shd w:val="clear" w:color="auto" w:fill="auto"/>
            <w:vAlign w:val="center"/>
          </w:tcPr>
          <w:p w14:paraId="42FA45FA">
            <w:pPr>
              <w:adjustRightInd w:val="0"/>
              <w:jc w:val="left"/>
              <w:rPr>
                <w:rFonts w:ascii="宋体" w:hAnsi="宋体" w:cs="宋体"/>
                <w:kern w:val="0"/>
                <w:sz w:val="18"/>
                <w:szCs w:val="18"/>
              </w:rPr>
            </w:pPr>
            <w:bookmarkStart w:id="1" w:name="OLE_LINK7"/>
            <w:r>
              <w:rPr>
                <w:rFonts w:hint="eastAsia" w:ascii="宋体" w:hAnsi="宋体" w:eastAsia="宋体" w:cs="宋体"/>
                <w:kern w:val="0"/>
                <w:sz w:val="18"/>
                <w:szCs w:val="18"/>
              </w:rPr>
              <w:t>募集资金总额</w:t>
            </w:r>
          </w:p>
        </w:tc>
        <w:tc>
          <w:tcPr>
            <w:tcW w:w="750" w:type="pct"/>
            <w:gridSpan w:val="2"/>
            <w:shd w:val="clear" w:color="auto" w:fill="auto"/>
            <w:vAlign w:val="center"/>
          </w:tcPr>
          <w:p w14:paraId="0D4B5CB2">
            <w:pPr>
              <w:adjustRightInd w:val="0"/>
              <w:jc w:val="right"/>
              <w:rPr>
                <w:rFonts w:ascii="宋体" w:hAnsi="宋体" w:cs="宋体"/>
                <w:kern w:val="0"/>
                <w:sz w:val="18"/>
                <w:szCs w:val="18"/>
              </w:rPr>
            </w:pPr>
            <w:r>
              <w:rPr>
                <w:rFonts w:hint="eastAsia" w:ascii="宋体" w:hAnsi="宋体" w:cs="宋体"/>
                <w:kern w:val="0"/>
                <w:sz w:val="18"/>
                <w:szCs w:val="18"/>
              </w:rPr>
              <w:t>85,456.18</w:t>
            </w:r>
            <w:r>
              <w:rPr>
                <w:rFonts w:hint="eastAsia" w:ascii="宋体" w:hAnsi="宋体" w:cs="宋体"/>
                <w:kern w:val="0"/>
                <w:sz w:val="18"/>
                <w:szCs w:val="18"/>
              </w:rPr>
              <w:tab/>
            </w:r>
          </w:p>
        </w:tc>
        <w:tc>
          <w:tcPr>
            <w:tcW w:w="2049" w:type="pct"/>
            <w:gridSpan w:val="5"/>
            <w:shd w:val="clear" w:color="auto" w:fill="auto"/>
            <w:vAlign w:val="center"/>
          </w:tcPr>
          <w:p w14:paraId="4A137395">
            <w:pPr>
              <w:adjustRightInd w:val="0"/>
              <w:rPr>
                <w:rFonts w:hint="default" w:ascii="宋体" w:hAnsi="宋体" w:eastAsia="宋体" w:cs="宋体"/>
                <w:kern w:val="0"/>
                <w:sz w:val="18"/>
                <w:szCs w:val="18"/>
                <w:lang w:val="en-US" w:eastAsia="zh-CN"/>
              </w:rPr>
            </w:pPr>
            <w:r>
              <w:rPr>
                <w:rFonts w:hint="eastAsia" w:ascii="宋体" w:hAnsi="宋体" w:cs="宋体"/>
                <w:kern w:val="0"/>
                <w:sz w:val="18"/>
                <w:szCs w:val="18"/>
              </w:rPr>
              <w:t>本年度投入募集资金总额</w:t>
            </w:r>
          </w:p>
        </w:tc>
        <w:tc>
          <w:tcPr>
            <w:tcW w:w="631" w:type="pct"/>
            <w:gridSpan w:val="2"/>
            <w:shd w:val="clear" w:color="auto" w:fill="auto"/>
            <w:vAlign w:val="center"/>
          </w:tcPr>
          <w:p w14:paraId="2C84A469">
            <w:pPr>
              <w:adjustRightInd w:val="0"/>
              <w:jc w:val="right"/>
              <w:rPr>
                <w:rFonts w:ascii="宋体" w:hAnsi="宋体" w:cs="宋体"/>
                <w:kern w:val="0"/>
                <w:sz w:val="18"/>
                <w:szCs w:val="18"/>
              </w:rPr>
            </w:pPr>
            <w:r>
              <w:rPr>
                <w:rFonts w:hint="eastAsia" w:ascii="宋体" w:hAnsi="宋体" w:cs="宋体"/>
                <w:kern w:val="0"/>
                <w:sz w:val="18"/>
                <w:szCs w:val="18"/>
              </w:rPr>
              <w:t xml:space="preserve"> 22,185.10 </w:t>
            </w:r>
          </w:p>
        </w:tc>
      </w:tr>
      <w:tr w14:paraId="4CDECBA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569" w:type="pct"/>
            <w:gridSpan w:val="4"/>
            <w:shd w:val="clear" w:color="auto" w:fill="auto"/>
            <w:vAlign w:val="center"/>
          </w:tcPr>
          <w:p w14:paraId="58059A4C">
            <w:pPr>
              <w:adjustRightInd w:val="0"/>
              <w:jc w:val="left"/>
              <w:rPr>
                <w:rFonts w:ascii="宋体" w:hAnsi="宋体" w:cs="宋体"/>
                <w:kern w:val="0"/>
                <w:sz w:val="18"/>
                <w:szCs w:val="18"/>
              </w:rPr>
            </w:pPr>
            <w:r>
              <w:rPr>
                <w:rFonts w:hint="eastAsia" w:ascii="宋体" w:hAnsi="宋体" w:cs="宋体"/>
                <w:kern w:val="0"/>
                <w:sz w:val="18"/>
                <w:szCs w:val="18"/>
              </w:rPr>
              <w:t>变更用途的募集资金总额</w:t>
            </w:r>
          </w:p>
        </w:tc>
        <w:tc>
          <w:tcPr>
            <w:tcW w:w="750" w:type="pct"/>
            <w:gridSpan w:val="2"/>
            <w:shd w:val="clear" w:color="auto" w:fill="auto"/>
            <w:vAlign w:val="center"/>
          </w:tcPr>
          <w:p w14:paraId="0AC38C00">
            <w:pPr>
              <w:adjustRightInd w:val="0"/>
              <w:jc w:val="right"/>
              <w:rPr>
                <w:rFonts w:ascii="宋体" w:hAnsi="宋体" w:cs="宋体"/>
                <w:kern w:val="0"/>
                <w:sz w:val="18"/>
                <w:szCs w:val="18"/>
              </w:rPr>
            </w:pPr>
            <w:r>
              <w:rPr>
                <w:rFonts w:hint="eastAsia" w:ascii="宋体" w:hAnsi="宋体" w:cs="宋体"/>
                <w:kern w:val="0"/>
                <w:sz w:val="18"/>
                <w:szCs w:val="18"/>
              </w:rPr>
              <w:t xml:space="preserve"> 14,774.44 </w:t>
            </w:r>
          </w:p>
        </w:tc>
        <w:tc>
          <w:tcPr>
            <w:tcW w:w="2049" w:type="pct"/>
            <w:gridSpan w:val="5"/>
            <w:vMerge w:val="restart"/>
            <w:shd w:val="clear" w:color="auto" w:fill="auto"/>
            <w:vAlign w:val="center"/>
          </w:tcPr>
          <w:p w14:paraId="3B52D6F5">
            <w:pPr>
              <w:adjustRightInd w:val="0"/>
              <w:jc w:val="left"/>
              <w:rPr>
                <w:rFonts w:hint="default" w:ascii="宋体" w:hAnsi="宋体" w:eastAsia="宋体" w:cs="宋体"/>
                <w:kern w:val="0"/>
                <w:sz w:val="18"/>
                <w:szCs w:val="18"/>
                <w:lang w:val="en-US" w:eastAsia="zh-CN"/>
              </w:rPr>
            </w:pPr>
            <w:r>
              <w:rPr>
                <w:rFonts w:hint="eastAsia" w:ascii="宋体" w:hAnsi="宋体" w:cs="宋体"/>
                <w:kern w:val="0"/>
                <w:sz w:val="18"/>
                <w:szCs w:val="18"/>
              </w:rPr>
              <w:t>已累计投入募集资金总额</w:t>
            </w:r>
          </w:p>
        </w:tc>
        <w:tc>
          <w:tcPr>
            <w:tcW w:w="631" w:type="pct"/>
            <w:gridSpan w:val="2"/>
            <w:vMerge w:val="restart"/>
            <w:shd w:val="clear" w:color="auto" w:fill="auto"/>
            <w:vAlign w:val="center"/>
          </w:tcPr>
          <w:p w14:paraId="68390716">
            <w:pPr>
              <w:adjustRightInd w:val="0"/>
              <w:jc w:val="right"/>
              <w:rPr>
                <w:rFonts w:ascii="宋体" w:hAnsi="宋体" w:cs="宋体"/>
                <w:kern w:val="0"/>
                <w:sz w:val="18"/>
                <w:szCs w:val="18"/>
              </w:rPr>
            </w:pPr>
            <w:r>
              <w:rPr>
                <w:rFonts w:hint="eastAsia" w:ascii="宋体" w:hAnsi="宋体" w:cs="宋体"/>
                <w:kern w:val="0"/>
                <w:sz w:val="18"/>
                <w:szCs w:val="18"/>
              </w:rPr>
              <w:t>80,290.19</w:t>
            </w:r>
          </w:p>
        </w:tc>
      </w:tr>
      <w:tr w14:paraId="0048FE2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569" w:type="pct"/>
            <w:gridSpan w:val="4"/>
            <w:shd w:val="clear" w:color="auto" w:fill="auto"/>
            <w:vAlign w:val="center"/>
          </w:tcPr>
          <w:p w14:paraId="199B98F5">
            <w:pPr>
              <w:adjustRightInd w:val="0"/>
              <w:jc w:val="left"/>
              <w:rPr>
                <w:rFonts w:ascii="宋体" w:hAnsi="宋体" w:cs="宋体"/>
                <w:kern w:val="0"/>
                <w:sz w:val="18"/>
                <w:szCs w:val="18"/>
              </w:rPr>
            </w:pPr>
            <w:r>
              <w:rPr>
                <w:rFonts w:hint="eastAsia" w:ascii="宋体" w:hAnsi="宋体" w:cs="宋体"/>
                <w:kern w:val="0"/>
                <w:sz w:val="18"/>
                <w:szCs w:val="18"/>
              </w:rPr>
              <w:t>变更用途的募集资金总额比例</w:t>
            </w:r>
          </w:p>
        </w:tc>
        <w:tc>
          <w:tcPr>
            <w:tcW w:w="750" w:type="pct"/>
            <w:gridSpan w:val="2"/>
            <w:shd w:val="clear" w:color="auto" w:fill="auto"/>
            <w:vAlign w:val="center"/>
          </w:tcPr>
          <w:p w14:paraId="37652620">
            <w:pPr>
              <w:adjustRightInd w:val="0"/>
              <w:jc w:val="right"/>
              <w:rPr>
                <w:rFonts w:ascii="宋体" w:hAnsi="宋体" w:cs="宋体"/>
                <w:kern w:val="0"/>
                <w:sz w:val="18"/>
                <w:szCs w:val="18"/>
              </w:rPr>
            </w:pPr>
            <w:r>
              <w:rPr>
                <w:rFonts w:hint="eastAsia" w:ascii="宋体" w:hAnsi="宋体" w:cs="宋体"/>
                <w:kern w:val="0"/>
                <w:sz w:val="18"/>
                <w:szCs w:val="18"/>
                <w:lang w:val="en-US" w:eastAsia="zh-CN"/>
              </w:rPr>
              <w:t xml:space="preserve">               17.29</w:t>
            </w:r>
            <w:r>
              <w:rPr>
                <w:rFonts w:hint="eastAsia" w:ascii="宋体" w:hAnsi="宋体" w:cs="宋体"/>
                <w:kern w:val="0"/>
                <w:sz w:val="18"/>
                <w:szCs w:val="18"/>
              </w:rPr>
              <w:t>%</w:t>
            </w:r>
          </w:p>
        </w:tc>
        <w:tc>
          <w:tcPr>
            <w:tcW w:w="2049" w:type="pct"/>
            <w:gridSpan w:val="5"/>
            <w:vMerge w:val="continue"/>
            <w:shd w:val="clear" w:color="auto" w:fill="auto"/>
            <w:vAlign w:val="center"/>
          </w:tcPr>
          <w:p w14:paraId="2242715A">
            <w:pPr>
              <w:adjustRightInd w:val="0"/>
              <w:jc w:val="left"/>
              <w:rPr>
                <w:rFonts w:ascii="宋体" w:hAnsi="宋体" w:cs="宋体"/>
                <w:kern w:val="0"/>
                <w:sz w:val="18"/>
                <w:szCs w:val="18"/>
              </w:rPr>
            </w:pPr>
          </w:p>
        </w:tc>
        <w:tc>
          <w:tcPr>
            <w:tcW w:w="631" w:type="pct"/>
            <w:gridSpan w:val="2"/>
            <w:vMerge w:val="continue"/>
            <w:shd w:val="clear" w:color="auto" w:fill="auto"/>
            <w:vAlign w:val="center"/>
          </w:tcPr>
          <w:p w14:paraId="0ABA7E00">
            <w:pPr>
              <w:adjustRightInd w:val="0"/>
              <w:jc w:val="left"/>
              <w:rPr>
                <w:rFonts w:ascii="宋体" w:hAnsi="宋体" w:cs="宋体"/>
                <w:kern w:val="0"/>
                <w:sz w:val="18"/>
                <w:szCs w:val="18"/>
              </w:rPr>
            </w:pPr>
          </w:p>
        </w:tc>
      </w:tr>
      <w:tr w14:paraId="7CD8463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24" w:type="pct"/>
            <w:shd w:val="clear" w:color="auto" w:fill="auto"/>
            <w:vAlign w:val="center"/>
          </w:tcPr>
          <w:p w14:paraId="0295181B">
            <w:pPr>
              <w:keepNext w:val="0"/>
              <w:keepLines w:val="0"/>
              <w:pageBreakBefore w:val="0"/>
              <w:widowControl/>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承诺投资</w:t>
            </w:r>
          </w:p>
          <w:p w14:paraId="7299A2D5">
            <w:pPr>
              <w:keepNext w:val="0"/>
              <w:keepLines w:val="0"/>
              <w:pageBreakBefore w:val="0"/>
              <w:widowControl/>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项目</w:t>
            </w:r>
          </w:p>
        </w:tc>
        <w:tc>
          <w:tcPr>
            <w:tcW w:w="332" w:type="pct"/>
            <w:shd w:val="clear" w:color="auto" w:fill="auto"/>
            <w:vAlign w:val="center"/>
          </w:tcPr>
          <w:p w14:paraId="68E42E44">
            <w:pPr>
              <w:keepNext w:val="0"/>
              <w:keepLines w:val="0"/>
              <w:pageBreakBefore w:val="0"/>
              <w:widowControl/>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是否已变更项目（含部分变更）</w:t>
            </w:r>
          </w:p>
        </w:tc>
        <w:tc>
          <w:tcPr>
            <w:tcW w:w="353" w:type="pct"/>
            <w:shd w:val="clear" w:color="auto" w:fill="auto"/>
            <w:vAlign w:val="center"/>
          </w:tcPr>
          <w:p w14:paraId="7E950401">
            <w:pPr>
              <w:keepNext w:val="0"/>
              <w:keepLines w:val="0"/>
              <w:pageBreakBefore w:val="0"/>
              <w:widowControl/>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募集资金承诺投资总额</w:t>
            </w:r>
          </w:p>
        </w:tc>
        <w:tc>
          <w:tcPr>
            <w:tcW w:w="359" w:type="pct"/>
            <w:shd w:val="clear" w:color="auto" w:fill="auto"/>
            <w:vAlign w:val="center"/>
          </w:tcPr>
          <w:p w14:paraId="0568D3FE">
            <w:pPr>
              <w:keepNext w:val="0"/>
              <w:keepLines w:val="0"/>
              <w:pageBreakBefore w:val="0"/>
              <w:widowControl/>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调整后</w:t>
            </w:r>
          </w:p>
          <w:p w14:paraId="23FD1DBA">
            <w:pPr>
              <w:keepNext w:val="0"/>
              <w:keepLines w:val="0"/>
              <w:pageBreakBefore w:val="0"/>
              <w:widowControl/>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投资总额</w:t>
            </w:r>
          </w:p>
        </w:tc>
        <w:tc>
          <w:tcPr>
            <w:tcW w:w="392" w:type="pct"/>
            <w:shd w:val="clear" w:color="auto" w:fill="auto"/>
            <w:vAlign w:val="center"/>
          </w:tcPr>
          <w:p w14:paraId="5EC21636">
            <w:pPr>
              <w:keepNext w:val="0"/>
              <w:keepLines w:val="0"/>
              <w:pageBreakBefore w:val="0"/>
              <w:widowControl/>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截至期末承诺投入金额</w:t>
            </w:r>
          </w:p>
          <w:p w14:paraId="556B17BC">
            <w:pPr>
              <w:keepNext w:val="0"/>
              <w:keepLines w:val="0"/>
              <w:pageBreakBefore w:val="0"/>
              <w:widowControl/>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358" w:type="pct"/>
            <w:shd w:val="clear" w:color="auto" w:fill="auto"/>
            <w:vAlign w:val="center"/>
          </w:tcPr>
          <w:p w14:paraId="4CB6DC0C">
            <w:pPr>
              <w:keepNext w:val="0"/>
              <w:keepLines w:val="0"/>
              <w:pageBreakBefore w:val="0"/>
              <w:widowControl/>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本年度</w:t>
            </w:r>
          </w:p>
          <w:p w14:paraId="6B4745F2">
            <w:pPr>
              <w:keepNext w:val="0"/>
              <w:keepLines w:val="0"/>
              <w:pageBreakBefore w:val="0"/>
              <w:widowControl/>
              <w:kinsoku/>
              <w:wordWrap/>
              <w:overflowPunct/>
              <w:topLinePunct w:val="0"/>
              <w:autoSpaceDE/>
              <w:autoSpaceDN/>
              <w:bidi w:val="0"/>
              <w:adjustRightInd/>
              <w:snapToGrid/>
              <w:spacing w:line="0" w:lineRule="atLeast"/>
              <w:ind w:left="-105" w:leftChars="-50" w:right="-105" w:rightChars="-50"/>
              <w:jc w:val="center"/>
              <w:textAlignment w:val="auto"/>
              <w:rPr>
                <w:rFonts w:hint="default" w:ascii="宋体" w:hAnsi="宋体" w:eastAsia="宋体" w:cs="宋体"/>
                <w:kern w:val="0"/>
                <w:sz w:val="18"/>
                <w:szCs w:val="18"/>
                <w:lang w:val="en-US" w:eastAsia="zh-CN"/>
              </w:rPr>
            </w:pPr>
            <w:r>
              <w:rPr>
                <w:rFonts w:hint="eastAsia" w:ascii="宋体" w:hAnsi="宋体" w:eastAsia="宋体" w:cs="宋体"/>
                <w:kern w:val="0"/>
                <w:sz w:val="18"/>
                <w:szCs w:val="18"/>
              </w:rPr>
              <w:t>投入金额</w:t>
            </w:r>
            <w:r>
              <w:rPr>
                <w:rFonts w:hint="eastAsia" w:ascii="宋体" w:hAnsi="宋体" w:eastAsia="宋体" w:cs="宋体"/>
                <w:kern w:val="0"/>
                <w:sz w:val="18"/>
                <w:szCs w:val="18"/>
              </w:rPr>
              <w:br w:type="textWrapping"/>
            </w:r>
          </w:p>
        </w:tc>
        <w:tc>
          <w:tcPr>
            <w:tcW w:w="422" w:type="pct"/>
            <w:shd w:val="clear" w:color="auto" w:fill="auto"/>
            <w:vAlign w:val="center"/>
          </w:tcPr>
          <w:p w14:paraId="6C85E0E6">
            <w:pPr>
              <w:keepNext w:val="0"/>
              <w:keepLines w:val="0"/>
              <w:pageBreakBefore w:val="0"/>
              <w:widowControl/>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rPr>
              <w:t>截至期末</w:t>
            </w:r>
          </w:p>
          <w:p w14:paraId="1F808759">
            <w:pPr>
              <w:keepNext w:val="0"/>
              <w:keepLines w:val="0"/>
              <w:pageBreakBefore w:val="0"/>
              <w:widowControl/>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累计投入金额</w:t>
            </w:r>
          </w:p>
          <w:p w14:paraId="58F34D9D">
            <w:pPr>
              <w:keepNext w:val="0"/>
              <w:keepLines w:val="0"/>
              <w:pageBreakBefore w:val="0"/>
              <w:widowControl/>
              <w:kinsoku/>
              <w:wordWrap/>
              <w:overflowPunct/>
              <w:topLinePunct w:val="0"/>
              <w:autoSpaceDE/>
              <w:autoSpaceDN/>
              <w:bidi w:val="0"/>
              <w:adjustRightInd/>
              <w:snapToGrid/>
              <w:spacing w:line="0" w:lineRule="atLeast"/>
              <w:ind w:left="-105" w:leftChars="-50" w:right="-105" w:rightChars="-50"/>
              <w:jc w:val="center"/>
              <w:textAlignment w:val="auto"/>
              <w:rPr>
                <w:rFonts w:hint="default" w:ascii="宋体" w:hAnsi="宋体" w:eastAsia="宋体" w:cs="宋体"/>
                <w:kern w:val="0"/>
                <w:sz w:val="18"/>
                <w:szCs w:val="18"/>
                <w:lang w:val="en-US" w:eastAsia="zh-CN"/>
              </w:rPr>
            </w:pPr>
            <w:r>
              <w:rPr>
                <w:rFonts w:hint="eastAsia" w:ascii="宋体" w:hAnsi="宋体" w:eastAsia="宋体" w:cs="宋体"/>
                <w:kern w:val="0"/>
                <w:sz w:val="18"/>
                <w:szCs w:val="18"/>
              </w:rPr>
              <w:t>(2)</w:t>
            </w:r>
          </w:p>
        </w:tc>
        <w:tc>
          <w:tcPr>
            <w:tcW w:w="500" w:type="pct"/>
            <w:shd w:val="clear" w:color="auto" w:fill="auto"/>
            <w:vAlign w:val="center"/>
          </w:tcPr>
          <w:p w14:paraId="01C5D37D">
            <w:pPr>
              <w:keepNext w:val="0"/>
              <w:keepLines w:val="0"/>
              <w:pageBreakBefore w:val="0"/>
              <w:widowControl/>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截至期末累计</w:t>
            </w:r>
          </w:p>
          <w:p w14:paraId="1781B7DD">
            <w:pPr>
              <w:keepNext w:val="0"/>
              <w:keepLines w:val="0"/>
              <w:pageBreakBefore w:val="0"/>
              <w:widowControl/>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投入金额与承诺投入金额的差额</w:t>
            </w:r>
          </w:p>
          <w:p w14:paraId="26D3FF55">
            <w:pPr>
              <w:keepNext w:val="0"/>
              <w:keepLines w:val="0"/>
              <w:pageBreakBefore w:val="0"/>
              <w:widowControl/>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(3)＝(2)-(1)</w:t>
            </w:r>
          </w:p>
        </w:tc>
        <w:tc>
          <w:tcPr>
            <w:tcW w:w="419" w:type="pct"/>
            <w:shd w:val="clear" w:color="auto" w:fill="auto"/>
            <w:vAlign w:val="center"/>
          </w:tcPr>
          <w:p w14:paraId="37FD25E3">
            <w:pPr>
              <w:widowControl/>
              <w:spacing w:line="0" w:lineRule="atLeast"/>
              <w:jc w:val="center"/>
              <w:rPr>
                <w:rFonts w:hint="eastAsia" w:ascii="宋体" w:hAnsi="宋体" w:eastAsia="宋体" w:cs="宋体"/>
                <w:kern w:val="0"/>
                <w:sz w:val="18"/>
                <w:szCs w:val="18"/>
              </w:rPr>
            </w:pPr>
            <w:r>
              <w:rPr>
                <w:rFonts w:hint="eastAsia" w:ascii="宋体" w:hAnsi="宋体" w:eastAsia="宋体" w:cs="宋体"/>
                <w:kern w:val="0"/>
                <w:sz w:val="18"/>
                <w:szCs w:val="18"/>
              </w:rPr>
              <w:t>截至期末投入进度（%）</w:t>
            </w:r>
          </w:p>
          <w:p w14:paraId="41C39A07">
            <w:pPr>
              <w:keepNext w:val="0"/>
              <w:keepLines w:val="0"/>
              <w:pageBreakBefore w:val="0"/>
              <w:widowControl/>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eastAsia="宋体" w:cs="宋体"/>
                <w:kern w:val="0"/>
                <w:sz w:val="18"/>
                <w:szCs w:val="18"/>
                <w:lang w:eastAsia="zh"/>
              </w:rPr>
            </w:pPr>
            <w:r>
              <w:rPr>
                <w:rFonts w:hint="eastAsia" w:ascii="宋体" w:hAnsi="宋体" w:eastAsia="宋体" w:cs="宋体"/>
                <w:kern w:val="0"/>
                <w:sz w:val="18"/>
                <w:szCs w:val="18"/>
              </w:rPr>
              <w:t>(4)＝(2)/(1)</w:t>
            </w:r>
          </w:p>
        </w:tc>
        <w:tc>
          <w:tcPr>
            <w:tcW w:w="395" w:type="pct"/>
            <w:shd w:val="clear" w:color="auto" w:fill="auto"/>
            <w:vAlign w:val="center"/>
          </w:tcPr>
          <w:p w14:paraId="29BFE9D8">
            <w:pPr>
              <w:widowControl/>
              <w:spacing w:line="0" w:lineRule="atLeast"/>
              <w:jc w:val="center"/>
              <w:rPr>
                <w:rFonts w:hint="eastAsia" w:ascii="宋体" w:hAnsi="宋体" w:eastAsia="宋体" w:cs="宋体"/>
                <w:kern w:val="0"/>
                <w:sz w:val="18"/>
                <w:szCs w:val="18"/>
              </w:rPr>
            </w:pPr>
            <w:r>
              <w:rPr>
                <w:rFonts w:hint="eastAsia" w:ascii="宋体" w:hAnsi="宋体" w:eastAsia="宋体" w:cs="宋体"/>
                <w:kern w:val="0"/>
                <w:sz w:val="18"/>
                <w:szCs w:val="18"/>
              </w:rPr>
              <w:t>项目达到</w:t>
            </w:r>
          </w:p>
          <w:p w14:paraId="7B5B0AEC">
            <w:pPr>
              <w:widowControl/>
              <w:spacing w:line="0" w:lineRule="atLeast"/>
              <w:jc w:val="center"/>
              <w:rPr>
                <w:rFonts w:hint="eastAsia" w:ascii="宋体" w:hAnsi="宋体" w:eastAsia="宋体" w:cs="宋体"/>
                <w:kern w:val="0"/>
                <w:sz w:val="18"/>
                <w:szCs w:val="18"/>
              </w:rPr>
            </w:pPr>
            <w:r>
              <w:rPr>
                <w:rFonts w:hint="eastAsia" w:ascii="宋体" w:hAnsi="宋体" w:eastAsia="宋体" w:cs="宋体"/>
                <w:kern w:val="0"/>
                <w:sz w:val="18"/>
                <w:szCs w:val="18"/>
              </w:rPr>
              <w:t>预定可使用状态日期</w:t>
            </w:r>
          </w:p>
        </w:tc>
        <w:tc>
          <w:tcPr>
            <w:tcW w:w="313" w:type="pct"/>
            <w:shd w:val="clear" w:color="auto" w:fill="auto"/>
            <w:vAlign w:val="center"/>
          </w:tcPr>
          <w:p w14:paraId="321C46BC">
            <w:pPr>
              <w:keepNext w:val="0"/>
              <w:keepLines w:val="0"/>
              <w:pageBreakBefore w:val="0"/>
              <w:widowControl/>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本年度实现的效益</w:t>
            </w:r>
          </w:p>
        </w:tc>
        <w:tc>
          <w:tcPr>
            <w:tcW w:w="314" w:type="pct"/>
            <w:shd w:val="clear" w:color="auto" w:fill="auto"/>
            <w:vAlign w:val="center"/>
          </w:tcPr>
          <w:p w14:paraId="4F7255C0">
            <w:pPr>
              <w:keepNext w:val="0"/>
              <w:keepLines w:val="0"/>
              <w:pageBreakBefore w:val="0"/>
              <w:widowControl/>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是否达到预计效益</w:t>
            </w:r>
          </w:p>
        </w:tc>
        <w:tc>
          <w:tcPr>
            <w:tcW w:w="317" w:type="pct"/>
            <w:shd w:val="clear" w:color="auto" w:fill="auto"/>
            <w:vAlign w:val="center"/>
          </w:tcPr>
          <w:p w14:paraId="4B9B080D">
            <w:pPr>
              <w:keepNext w:val="0"/>
              <w:keepLines w:val="0"/>
              <w:pageBreakBefore w:val="0"/>
              <w:widowControl/>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项目可行性是否发生重大变化</w:t>
            </w:r>
          </w:p>
        </w:tc>
      </w:tr>
      <w:tr w14:paraId="789F81A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24" w:type="pct"/>
            <w:shd w:val="clear" w:color="auto" w:fill="auto"/>
            <w:vAlign w:val="center"/>
          </w:tcPr>
          <w:p w14:paraId="7D1EF88C">
            <w:pPr>
              <w:widowControl/>
              <w:spacing w:line="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智能成套电气设备产业基地项目</w:t>
            </w:r>
          </w:p>
        </w:tc>
        <w:tc>
          <w:tcPr>
            <w:tcW w:w="332" w:type="pct"/>
            <w:shd w:val="clear" w:color="auto" w:fill="auto"/>
            <w:vAlign w:val="center"/>
          </w:tcPr>
          <w:p w14:paraId="671192AE">
            <w:pPr>
              <w:adjustRightInd w:val="0"/>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是</w:t>
            </w:r>
          </w:p>
        </w:tc>
        <w:tc>
          <w:tcPr>
            <w:tcW w:w="353" w:type="pct"/>
            <w:shd w:val="clear" w:color="auto" w:fill="auto"/>
            <w:vAlign w:val="center"/>
          </w:tcPr>
          <w:p w14:paraId="1CA76DFD">
            <w:pPr>
              <w:keepNext w:val="0"/>
              <w:keepLines w:val="0"/>
              <w:pageBreakBefore w:val="0"/>
              <w:widowControl/>
              <w:kinsoku/>
              <w:wordWrap/>
              <w:overflowPunct/>
              <w:topLinePunct w:val="0"/>
              <w:autoSpaceDE/>
              <w:autoSpaceDN/>
              <w:bidi w:val="0"/>
              <w:adjustRightInd/>
              <w:snapToGrid/>
              <w:spacing w:line="0" w:lineRule="atLeast"/>
              <w:ind w:left="-105" w:leftChars="-50"/>
              <w:jc w:val="right"/>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39,042.91 </w:t>
            </w:r>
          </w:p>
        </w:tc>
        <w:tc>
          <w:tcPr>
            <w:tcW w:w="359" w:type="pct"/>
            <w:shd w:val="clear" w:color="auto" w:fill="auto"/>
            <w:vAlign w:val="center"/>
          </w:tcPr>
          <w:p w14:paraId="45CC9750">
            <w:pPr>
              <w:keepNext w:val="0"/>
              <w:keepLines w:val="0"/>
              <w:pageBreakBefore w:val="0"/>
              <w:widowControl/>
              <w:kinsoku/>
              <w:wordWrap/>
              <w:overflowPunct/>
              <w:topLinePunct w:val="0"/>
              <w:autoSpaceDE/>
              <w:autoSpaceDN/>
              <w:bidi w:val="0"/>
              <w:adjustRightInd/>
              <w:snapToGrid/>
              <w:spacing w:line="0" w:lineRule="atLeast"/>
              <w:ind w:left="-105" w:leftChars="-50"/>
              <w:jc w:val="right"/>
              <w:rPr>
                <w:rFonts w:hint="eastAsia" w:ascii="宋体" w:hAnsi="宋体" w:eastAsia="宋体" w:cs="宋体"/>
                <w:kern w:val="0"/>
                <w:sz w:val="18"/>
                <w:szCs w:val="18"/>
              </w:rPr>
            </w:pPr>
            <w:r>
              <w:rPr>
                <w:rFonts w:hint="eastAsia" w:ascii="宋体" w:hAnsi="宋体" w:eastAsia="宋体" w:cs="宋体"/>
                <w:kern w:val="0"/>
                <w:sz w:val="18"/>
                <w:szCs w:val="18"/>
              </w:rPr>
              <w:t xml:space="preserve"> 24,268.47  </w:t>
            </w:r>
          </w:p>
        </w:tc>
        <w:tc>
          <w:tcPr>
            <w:tcW w:w="1132" w:type="dxa"/>
            <w:shd w:val="clear" w:color="auto" w:fill="auto"/>
            <w:vAlign w:val="center"/>
          </w:tcPr>
          <w:p w14:paraId="75E6008C">
            <w:pPr>
              <w:keepNext w:val="0"/>
              <w:keepLines w:val="0"/>
              <w:pageBreakBefore w:val="0"/>
              <w:widowControl/>
              <w:kinsoku/>
              <w:wordWrap/>
              <w:overflowPunct/>
              <w:topLinePunct w:val="0"/>
              <w:autoSpaceDE/>
              <w:autoSpaceDN/>
              <w:bidi w:val="0"/>
              <w:adjustRightInd/>
              <w:snapToGrid/>
              <w:spacing w:line="0" w:lineRule="atLeast"/>
              <w:ind w:left="-105" w:leftChars="-50"/>
              <w:jc w:val="right"/>
              <w:rPr>
                <w:rFonts w:hint="eastAsia" w:ascii="宋体" w:hAnsi="宋体" w:eastAsia="宋体" w:cs="宋体"/>
                <w:kern w:val="0"/>
                <w:sz w:val="18"/>
                <w:szCs w:val="18"/>
              </w:rPr>
            </w:pPr>
            <w:r>
              <w:rPr>
                <w:rFonts w:hint="eastAsia" w:ascii="宋体" w:hAnsi="宋体" w:eastAsia="宋体" w:cs="宋体"/>
                <w:kern w:val="0"/>
                <w:sz w:val="18"/>
                <w:szCs w:val="18"/>
              </w:rPr>
              <w:t xml:space="preserve"> 24,268.47  </w:t>
            </w:r>
          </w:p>
        </w:tc>
        <w:tc>
          <w:tcPr>
            <w:tcW w:w="1034" w:type="dxa"/>
            <w:shd w:val="clear" w:color="auto" w:fill="auto"/>
            <w:vAlign w:val="center"/>
          </w:tcPr>
          <w:p w14:paraId="3EE8B32B">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 2,214.13 </w:t>
            </w:r>
          </w:p>
        </w:tc>
        <w:tc>
          <w:tcPr>
            <w:tcW w:w="1219" w:type="dxa"/>
            <w:shd w:val="clear" w:color="auto" w:fill="auto"/>
            <w:vAlign w:val="center"/>
          </w:tcPr>
          <w:p w14:paraId="31636832">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 21,020.72 </w:t>
            </w:r>
          </w:p>
        </w:tc>
        <w:tc>
          <w:tcPr>
            <w:tcW w:w="1444" w:type="dxa"/>
            <w:shd w:val="clear" w:color="auto" w:fill="auto"/>
            <w:vAlign w:val="center"/>
          </w:tcPr>
          <w:p w14:paraId="7A27D027">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 -3,247.75 </w:t>
            </w:r>
          </w:p>
        </w:tc>
        <w:tc>
          <w:tcPr>
            <w:tcW w:w="1210" w:type="dxa"/>
            <w:shd w:val="clear" w:color="auto" w:fill="auto"/>
            <w:vAlign w:val="center"/>
          </w:tcPr>
          <w:p w14:paraId="22E6CCEB">
            <w:pPr>
              <w:keepNext w:val="0"/>
              <w:keepLines w:val="0"/>
              <w:pageBreakBefore w:val="0"/>
              <w:widowControl/>
              <w:suppressLineNumbers w:val="0"/>
              <w:kinsoku/>
              <w:wordWrap/>
              <w:overflowPunct/>
              <w:topLinePunct w:val="0"/>
              <w:autoSpaceDE/>
              <w:autoSpaceDN/>
              <w:bidi w:val="0"/>
              <w:adjustRightInd/>
              <w:snapToGrid/>
              <w:ind w:left="-105" w:leftChars="-5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 86.62 </w:t>
            </w:r>
          </w:p>
        </w:tc>
        <w:tc>
          <w:tcPr>
            <w:tcW w:w="395" w:type="pct"/>
            <w:shd w:val="clear" w:color="auto" w:fill="auto"/>
            <w:vAlign w:val="center"/>
          </w:tcPr>
          <w:p w14:paraId="2C86BD7C">
            <w:pPr>
              <w:keepNext w:val="0"/>
              <w:keepLines w:val="0"/>
              <w:widowControl/>
              <w:suppressLineNumbers w:val="0"/>
              <w:jc w:val="center"/>
              <w:textAlignment w:val="center"/>
              <w:rPr>
                <w:rFonts w:hint="default" w:ascii="宋体" w:hAnsi="宋体" w:eastAsia="宋体"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2024年4月</w:t>
            </w:r>
          </w:p>
        </w:tc>
        <w:tc>
          <w:tcPr>
            <w:tcW w:w="313" w:type="pct"/>
            <w:shd w:val="clear" w:color="auto" w:fill="auto"/>
            <w:vAlign w:val="center"/>
          </w:tcPr>
          <w:p w14:paraId="3B90F9FF">
            <w:pPr>
              <w:widowControl/>
              <w:spacing w:line="0" w:lineRule="atLeas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-753.00</w:t>
            </w:r>
          </w:p>
        </w:tc>
        <w:tc>
          <w:tcPr>
            <w:tcW w:w="314" w:type="pct"/>
            <w:shd w:val="clear" w:color="auto" w:fill="auto"/>
            <w:vAlign w:val="center"/>
          </w:tcPr>
          <w:p w14:paraId="4F453A61">
            <w:pPr>
              <w:widowControl/>
              <w:spacing w:line="0" w:lineRule="atLeas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否</w:t>
            </w:r>
          </w:p>
        </w:tc>
        <w:tc>
          <w:tcPr>
            <w:tcW w:w="317" w:type="pct"/>
            <w:shd w:val="clear" w:color="auto" w:fill="auto"/>
            <w:vAlign w:val="center"/>
          </w:tcPr>
          <w:p w14:paraId="75C495CB">
            <w:pPr>
              <w:adjustRightInd w:val="0"/>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否</w:t>
            </w:r>
          </w:p>
        </w:tc>
      </w:tr>
      <w:tr w14:paraId="7767CF2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24" w:type="pct"/>
            <w:shd w:val="clear" w:color="auto" w:fill="auto"/>
            <w:vAlign w:val="center"/>
          </w:tcPr>
          <w:p w14:paraId="1764EC04">
            <w:pPr>
              <w:widowControl/>
              <w:spacing w:line="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110kV及以下节能型变压器智能化工厂技改项目</w:t>
            </w:r>
          </w:p>
        </w:tc>
        <w:tc>
          <w:tcPr>
            <w:tcW w:w="332" w:type="pct"/>
            <w:shd w:val="clear" w:color="auto" w:fill="auto"/>
            <w:vAlign w:val="center"/>
          </w:tcPr>
          <w:p w14:paraId="461DBBAC">
            <w:pPr>
              <w:adjustRightInd w:val="0"/>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否</w:t>
            </w:r>
          </w:p>
        </w:tc>
        <w:tc>
          <w:tcPr>
            <w:tcW w:w="353" w:type="pct"/>
            <w:shd w:val="clear" w:color="auto" w:fill="auto"/>
            <w:vAlign w:val="center"/>
          </w:tcPr>
          <w:p w14:paraId="4236EFAB">
            <w:pPr>
              <w:keepNext w:val="0"/>
              <w:keepLines w:val="0"/>
              <w:pageBreakBefore w:val="0"/>
              <w:widowControl/>
              <w:kinsoku/>
              <w:wordWrap/>
              <w:overflowPunct/>
              <w:topLinePunct w:val="0"/>
              <w:autoSpaceDE/>
              <w:autoSpaceDN/>
              <w:bidi w:val="0"/>
              <w:adjustRightInd/>
              <w:snapToGrid/>
              <w:spacing w:line="0" w:lineRule="atLeast"/>
              <w:ind w:left="-105" w:leftChars="-50"/>
              <w:jc w:val="right"/>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 7,330.59 </w:t>
            </w:r>
          </w:p>
        </w:tc>
        <w:tc>
          <w:tcPr>
            <w:tcW w:w="1037" w:type="dxa"/>
            <w:shd w:val="clear" w:color="auto" w:fill="auto"/>
            <w:vAlign w:val="center"/>
          </w:tcPr>
          <w:p w14:paraId="59B45750">
            <w:pPr>
              <w:keepNext w:val="0"/>
              <w:keepLines w:val="0"/>
              <w:pageBreakBefore w:val="0"/>
              <w:widowControl/>
              <w:kinsoku/>
              <w:wordWrap/>
              <w:overflowPunct/>
              <w:topLinePunct w:val="0"/>
              <w:autoSpaceDE/>
              <w:autoSpaceDN/>
              <w:bidi w:val="0"/>
              <w:adjustRightInd/>
              <w:snapToGrid/>
              <w:spacing w:line="0" w:lineRule="atLeast"/>
              <w:ind w:left="-105" w:leftChars="-50"/>
              <w:jc w:val="right"/>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 7,330.59 </w:t>
            </w:r>
          </w:p>
        </w:tc>
        <w:tc>
          <w:tcPr>
            <w:tcW w:w="1132" w:type="dxa"/>
            <w:shd w:val="clear" w:color="auto" w:fill="auto"/>
            <w:vAlign w:val="center"/>
          </w:tcPr>
          <w:p w14:paraId="4ACD2CD9">
            <w:pPr>
              <w:keepNext w:val="0"/>
              <w:keepLines w:val="0"/>
              <w:pageBreakBefore w:val="0"/>
              <w:widowControl/>
              <w:kinsoku/>
              <w:wordWrap/>
              <w:overflowPunct/>
              <w:topLinePunct w:val="0"/>
              <w:autoSpaceDE/>
              <w:autoSpaceDN/>
              <w:bidi w:val="0"/>
              <w:adjustRightInd/>
              <w:snapToGrid/>
              <w:spacing w:line="0" w:lineRule="atLeast"/>
              <w:ind w:left="-105" w:leftChars="-50"/>
              <w:jc w:val="right"/>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 7,330.59 </w:t>
            </w:r>
          </w:p>
        </w:tc>
        <w:tc>
          <w:tcPr>
            <w:tcW w:w="1034" w:type="dxa"/>
            <w:shd w:val="clear" w:color="auto" w:fill="auto"/>
            <w:vAlign w:val="center"/>
          </w:tcPr>
          <w:p w14:paraId="7B7ACC96">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 2,825.77 </w:t>
            </w:r>
          </w:p>
        </w:tc>
        <w:tc>
          <w:tcPr>
            <w:tcW w:w="1219" w:type="dxa"/>
            <w:shd w:val="clear" w:color="auto" w:fill="auto"/>
            <w:vAlign w:val="center"/>
          </w:tcPr>
          <w:p w14:paraId="453215A9">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 6,062.70 </w:t>
            </w:r>
          </w:p>
        </w:tc>
        <w:tc>
          <w:tcPr>
            <w:tcW w:w="1444" w:type="dxa"/>
            <w:shd w:val="clear" w:color="auto" w:fill="auto"/>
            <w:vAlign w:val="center"/>
          </w:tcPr>
          <w:p w14:paraId="4D146EF4">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 -1,267.89 </w:t>
            </w:r>
          </w:p>
        </w:tc>
        <w:tc>
          <w:tcPr>
            <w:tcW w:w="1210" w:type="dxa"/>
            <w:shd w:val="clear" w:color="auto" w:fill="auto"/>
            <w:vAlign w:val="center"/>
          </w:tcPr>
          <w:p w14:paraId="1775ABAB">
            <w:pPr>
              <w:keepNext w:val="0"/>
              <w:keepLines w:val="0"/>
              <w:pageBreakBefore w:val="0"/>
              <w:widowControl/>
              <w:suppressLineNumbers w:val="0"/>
              <w:kinsoku/>
              <w:wordWrap/>
              <w:overflowPunct/>
              <w:topLinePunct w:val="0"/>
              <w:autoSpaceDE/>
              <w:autoSpaceDN/>
              <w:bidi w:val="0"/>
              <w:adjustRightInd/>
              <w:snapToGrid/>
              <w:ind w:left="-105" w:leftChars="-5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 82.70 </w:t>
            </w:r>
          </w:p>
        </w:tc>
        <w:tc>
          <w:tcPr>
            <w:tcW w:w="395" w:type="pct"/>
            <w:shd w:val="clear" w:color="auto" w:fill="auto"/>
            <w:vAlign w:val="center"/>
          </w:tcPr>
          <w:p w14:paraId="789F424B">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2024年4月</w:t>
            </w:r>
          </w:p>
        </w:tc>
        <w:tc>
          <w:tcPr>
            <w:tcW w:w="313" w:type="pct"/>
            <w:shd w:val="clear" w:color="auto" w:fill="auto"/>
            <w:vAlign w:val="center"/>
          </w:tcPr>
          <w:p w14:paraId="2C037452">
            <w:pPr>
              <w:widowControl/>
              <w:spacing w:line="0" w:lineRule="atLeas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515.00</w:t>
            </w:r>
          </w:p>
        </w:tc>
        <w:tc>
          <w:tcPr>
            <w:tcW w:w="314" w:type="pct"/>
            <w:shd w:val="clear" w:color="auto" w:fill="auto"/>
            <w:vAlign w:val="center"/>
          </w:tcPr>
          <w:p w14:paraId="2B39D965">
            <w:pPr>
              <w:widowControl/>
              <w:spacing w:line="0" w:lineRule="atLeas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否</w:t>
            </w:r>
          </w:p>
        </w:tc>
        <w:tc>
          <w:tcPr>
            <w:tcW w:w="317" w:type="pct"/>
            <w:shd w:val="clear" w:color="auto" w:fill="auto"/>
            <w:vAlign w:val="center"/>
          </w:tcPr>
          <w:p w14:paraId="66D5D007">
            <w:pPr>
              <w:adjustRightInd w:val="0"/>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否</w:t>
            </w:r>
          </w:p>
        </w:tc>
      </w:tr>
      <w:tr w14:paraId="6CAD35B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24" w:type="pct"/>
            <w:shd w:val="clear" w:color="auto" w:fill="auto"/>
            <w:vAlign w:val="center"/>
          </w:tcPr>
          <w:p w14:paraId="44728123">
            <w:pPr>
              <w:widowControl/>
              <w:spacing w:line="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低铁损高磁感硅钢铁心智能制造项目</w:t>
            </w:r>
          </w:p>
        </w:tc>
        <w:tc>
          <w:tcPr>
            <w:tcW w:w="332" w:type="pct"/>
            <w:shd w:val="clear" w:color="auto" w:fill="auto"/>
            <w:vAlign w:val="center"/>
          </w:tcPr>
          <w:p w14:paraId="1BA5E734">
            <w:pPr>
              <w:adjustRightInd w:val="0"/>
              <w:jc w:val="center"/>
              <w:rPr>
                <w:rFonts w:hint="eastAsia" w:ascii="宋体" w:hAnsi="宋体" w:eastAsia="宋体" w:cs="宋体"/>
                <w:kern w:val="0"/>
                <w:sz w:val="18"/>
                <w:szCs w:val="18"/>
                <w:lang w:val="en-US" w:eastAsia="zh-CN"/>
              </w:rPr>
            </w:pPr>
            <w:r>
              <w:rPr>
                <w:rFonts w:hint="default" w:ascii="宋体" w:hAnsi="宋体" w:cs="宋体"/>
                <w:kern w:val="0"/>
                <w:sz w:val="18"/>
                <w:szCs w:val="18"/>
                <w:lang w:val="en-US" w:eastAsia="zh-CN"/>
              </w:rPr>
              <w:t>否</w:t>
            </w:r>
          </w:p>
        </w:tc>
        <w:tc>
          <w:tcPr>
            <w:tcW w:w="353" w:type="pct"/>
            <w:shd w:val="clear" w:color="auto" w:fill="auto"/>
            <w:vAlign w:val="center"/>
          </w:tcPr>
          <w:p w14:paraId="006331AC">
            <w:pPr>
              <w:keepNext w:val="0"/>
              <w:keepLines w:val="0"/>
              <w:pageBreakBefore w:val="0"/>
              <w:widowControl/>
              <w:kinsoku/>
              <w:wordWrap/>
              <w:overflowPunct/>
              <w:topLinePunct w:val="0"/>
              <w:autoSpaceDE/>
              <w:autoSpaceDN/>
              <w:bidi w:val="0"/>
              <w:adjustRightInd/>
              <w:snapToGrid/>
              <w:spacing w:line="0" w:lineRule="atLeast"/>
              <w:ind w:left="-105" w:leftChars="-50"/>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12,832.68 </w:t>
            </w:r>
          </w:p>
        </w:tc>
        <w:tc>
          <w:tcPr>
            <w:tcW w:w="1037" w:type="dxa"/>
            <w:shd w:val="clear" w:color="auto" w:fill="auto"/>
            <w:vAlign w:val="center"/>
          </w:tcPr>
          <w:p w14:paraId="3CC94770">
            <w:pPr>
              <w:keepNext w:val="0"/>
              <w:keepLines w:val="0"/>
              <w:pageBreakBefore w:val="0"/>
              <w:widowControl/>
              <w:kinsoku/>
              <w:wordWrap/>
              <w:overflowPunct/>
              <w:topLinePunct w:val="0"/>
              <w:autoSpaceDE/>
              <w:autoSpaceDN/>
              <w:bidi w:val="0"/>
              <w:adjustRightInd/>
              <w:snapToGrid/>
              <w:spacing w:line="0" w:lineRule="atLeast"/>
              <w:ind w:left="-105" w:leftChars="-50"/>
              <w:jc w:val="right"/>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12,832.68 </w:t>
            </w:r>
          </w:p>
        </w:tc>
        <w:tc>
          <w:tcPr>
            <w:tcW w:w="1132" w:type="dxa"/>
            <w:shd w:val="clear" w:color="auto" w:fill="auto"/>
            <w:vAlign w:val="center"/>
          </w:tcPr>
          <w:p w14:paraId="119CA181">
            <w:pPr>
              <w:keepNext w:val="0"/>
              <w:keepLines w:val="0"/>
              <w:pageBreakBefore w:val="0"/>
              <w:widowControl/>
              <w:kinsoku/>
              <w:wordWrap/>
              <w:overflowPunct/>
              <w:topLinePunct w:val="0"/>
              <w:autoSpaceDE/>
              <w:autoSpaceDN/>
              <w:bidi w:val="0"/>
              <w:adjustRightInd/>
              <w:snapToGrid/>
              <w:spacing w:line="0" w:lineRule="atLeast"/>
              <w:ind w:left="-105" w:leftChars="-50"/>
              <w:jc w:val="right"/>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12,832.68 </w:t>
            </w:r>
          </w:p>
        </w:tc>
        <w:tc>
          <w:tcPr>
            <w:tcW w:w="1034" w:type="dxa"/>
            <w:shd w:val="clear" w:color="auto" w:fill="auto"/>
            <w:vAlign w:val="center"/>
          </w:tcPr>
          <w:p w14:paraId="01F11DE2">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   </w:t>
            </w:r>
          </w:p>
        </w:tc>
        <w:tc>
          <w:tcPr>
            <w:tcW w:w="1219" w:type="dxa"/>
            <w:shd w:val="clear" w:color="auto" w:fill="auto"/>
            <w:vAlign w:val="center"/>
          </w:tcPr>
          <w:p w14:paraId="3EA9EEFB">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 13,007.87 </w:t>
            </w:r>
          </w:p>
        </w:tc>
        <w:tc>
          <w:tcPr>
            <w:tcW w:w="1444" w:type="dxa"/>
            <w:shd w:val="clear" w:color="auto" w:fill="auto"/>
            <w:vAlign w:val="center"/>
          </w:tcPr>
          <w:p w14:paraId="581A30A7">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 175.19 </w:t>
            </w:r>
          </w:p>
        </w:tc>
        <w:tc>
          <w:tcPr>
            <w:tcW w:w="1210" w:type="dxa"/>
            <w:shd w:val="clear" w:color="auto" w:fill="auto"/>
            <w:vAlign w:val="center"/>
          </w:tcPr>
          <w:p w14:paraId="5CDE38B6">
            <w:pPr>
              <w:keepNext w:val="0"/>
              <w:keepLines w:val="0"/>
              <w:pageBreakBefore w:val="0"/>
              <w:widowControl/>
              <w:suppressLineNumbers w:val="0"/>
              <w:kinsoku/>
              <w:wordWrap/>
              <w:overflowPunct/>
              <w:topLinePunct w:val="0"/>
              <w:autoSpaceDE/>
              <w:autoSpaceDN/>
              <w:bidi w:val="0"/>
              <w:adjustRightInd/>
              <w:snapToGrid/>
              <w:ind w:left="-210" w:leftChars="-10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 101.37</w:t>
            </w:r>
            <w:r>
              <w:rPr>
                <w:rFonts w:hint="eastAsia" w:ascii="宋体" w:hAnsi="宋体" w:cs="宋体"/>
                <w:i w:val="0"/>
                <w:iCs w:val="0"/>
                <w:color w:val="000000"/>
                <w:kern w:val="0"/>
                <w:sz w:val="18"/>
                <w:szCs w:val="18"/>
                <w:u w:val="none"/>
                <w:lang w:val="en-US" w:eastAsia="zh-CN" w:bidi="ar"/>
              </w:rPr>
              <w:t>[注1]</w:t>
            </w:r>
            <w:r>
              <w:rPr>
                <w:rFonts w:hint="eastAsia" w:ascii="宋体" w:hAnsi="宋体" w:eastAsia="宋体" w:cs="宋体"/>
                <w:i w:val="0"/>
                <w:iCs w:val="0"/>
                <w:color w:val="000000"/>
                <w:kern w:val="0"/>
                <w:sz w:val="18"/>
                <w:szCs w:val="18"/>
                <w:u w:val="none"/>
                <w:lang w:val="en-US" w:eastAsia="zh-CN" w:bidi="ar"/>
              </w:rPr>
              <w:t xml:space="preserve"> </w:t>
            </w:r>
          </w:p>
        </w:tc>
        <w:tc>
          <w:tcPr>
            <w:tcW w:w="395" w:type="pct"/>
            <w:shd w:val="clear" w:color="auto" w:fill="auto"/>
            <w:vAlign w:val="center"/>
          </w:tcPr>
          <w:p w14:paraId="3CE31B8C">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2023年6月</w:t>
            </w:r>
          </w:p>
        </w:tc>
        <w:tc>
          <w:tcPr>
            <w:tcW w:w="313" w:type="pct"/>
            <w:shd w:val="clear" w:color="auto" w:fill="auto"/>
            <w:vAlign w:val="center"/>
          </w:tcPr>
          <w:p w14:paraId="20B06D5B">
            <w:pPr>
              <w:widowControl/>
              <w:spacing w:line="0" w:lineRule="atLeast"/>
              <w:ind w:left="-105" w:leftChars="-50"/>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1,202.00</w:t>
            </w:r>
          </w:p>
        </w:tc>
        <w:tc>
          <w:tcPr>
            <w:tcW w:w="314" w:type="pct"/>
            <w:shd w:val="clear" w:color="auto" w:fill="auto"/>
            <w:vAlign w:val="center"/>
          </w:tcPr>
          <w:p w14:paraId="2089CAC3">
            <w:pPr>
              <w:widowControl/>
              <w:spacing w:line="0" w:lineRule="atLeas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否</w:t>
            </w:r>
          </w:p>
        </w:tc>
        <w:tc>
          <w:tcPr>
            <w:tcW w:w="317" w:type="pct"/>
            <w:shd w:val="clear" w:color="auto" w:fill="auto"/>
            <w:vAlign w:val="center"/>
          </w:tcPr>
          <w:p w14:paraId="7328FC95">
            <w:pPr>
              <w:adjustRightInd w:val="0"/>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否</w:t>
            </w:r>
          </w:p>
        </w:tc>
      </w:tr>
      <w:tr w14:paraId="5EBAB2C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24" w:type="pct"/>
            <w:shd w:val="clear" w:color="auto" w:fill="auto"/>
            <w:vAlign w:val="center"/>
          </w:tcPr>
          <w:p w14:paraId="32C666F9">
            <w:pPr>
              <w:widowControl/>
              <w:spacing w:line="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研发中心及信息化建设项目</w:t>
            </w:r>
          </w:p>
        </w:tc>
        <w:tc>
          <w:tcPr>
            <w:tcW w:w="332" w:type="pct"/>
            <w:shd w:val="clear" w:color="auto" w:fill="auto"/>
            <w:vAlign w:val="center"/>
          </w:tcPr>
          <w:p w14:paraId="6FA3A8DA">
            <w:pPr>
              <w:adjustRightInd w:val="0"/>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否</w:t>
            </w:r>
          </w:p>
        </w:tc>
        <w:tc>
          <w:tcPr>
            <w:tcW w:w="353" w:type="pct"/>
            <w:shd w:val="clear" w:color="auto" w:fill="auto"/>
            <w:vAlign w:val="center"/>
          </w:tcPr>
          <w:p w14:paraId="03588EF0">
            <w:pPr>
              <w:keepNext w:val="0"/>
              <w:keepLines w:val="0"/>
              <w:pageBreakBefore w:val="0"/>
              <w:widowControl/>
              <w:kinsoku/>
              <w:wordWrap/>
              <w:overflowPunct/>
              <w:topLinePunct w:val="0"/>
              <w:autoSpaceDE/>
              <w:autoSpaceDN/>
              <w:bidi w:val="0"/>
              <w:adjustRightInd/>
              <w:snapToGrid/>
              <w:spacing w:line="0" w:lineRule="atLeast"/>
              <w:ind w:left="-105" w:leftChars="-50"/>
              <w:jc w:val="right"/>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 6,250.00 </w:t>
            </w:r>
          </w:p>
        </w:tc>
        <w:tc>
          <w:tcPr>
            <w:tcW w:w="1037" w:type="dxa"/>
            <w:shd w:val="clear" w:color="auto" w:fill="auto"/>
            <w:vAlign w:val="center"/>
          </w:tcPr>
          <w:p w14:paraId="21ED4BC6">
            <w:pPr>
              <w:keepNext w:val="0"/>
              <w:keepLines w:val="0"/>
              <w:pageBreakBefore w:val="0"/>
              <w:widowControl/>
              <w:kinsoku/>
              <w:wordWrap/>
              <w:overflowPunct/>
              <w:topLinePunct w:val="0"/>
              <w:autoSpaceDE/>
              <w:autoSpaceDN/>
              <w:bidi w:val="0"/>
              <w:adjustRightInd/>
              <w:snapToGrid/>
              <w:spacing w:line="0" w:lineRule="atLeast"/>
              <w:ind w:left="-105" w:leftChars="-50"/>
              <w:jc w:val="right"/>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 6,250.00 </w:t>
            </w:r>
          </w:p>
        </w:tc>
        <w:tc>
          <w:tcPr>
            <w:tcW w:w="1132" w:type="dxa"/>
            <w:shd w:val="clear" w:color="auto" w:fill="auto"/>
            <w:vAlign w:val="center"/>
          </w:tcPr>
          <w:p w14:paraId="1E7DD993">
            <w:pPr>
              <w:keepNext w:val="0"/>
              <w:keepLines w:val="0"/>
              <w:pageBreakBefore w:val="0"/>
              <w:widowControl/>
              <w:kinsoku/>
              <w:wordWrap/>
              <w:overflowPunct/>
              <w:topLinePunct w:val="0"/>
              <w:autoSpaceDE/>
              <w:autoSpaceDN/>
              <w:bidi w:val="0"/>
              <w:adjustRightInd/>
              <w:snapToGrid/>
              <w:spacing w:line="0" w:lineRule="atLeast"/>
              <w:ind w:left="-105" w:leftChars="-50"/>
              <w:jc w:val="right"/>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 6,250.00 </w:t>
            </w:r>
          </w:p>
        </w:tc>
        <w:tc>
          <w:tcPr>
            <w:tcW w:w="1034" w:type="dxa"/>
            <w:shd w:val="clear" w:color="auto" w:fill="auto"/>
            <w:vAlign w:val="center"/>
          </w:tcPr>
          <w:p w14:paraId="2322F530">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 771.95 </w:t>
            </w:r>
          </w:p>
        </w:tc>
        <w:tc>
          <w:tcPr>
            <w:tcW w:w="1219" w:type="dxa"/>
            <w:shd w:val="clear" w:color="auto" w:fill="auto"/>
            <w:vAlign w:val="center"/>
          </w:tcPr>
          <w:p w14:paraId="3D304F42">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 3,684.33 </w:t>
            </w:r>
          </w:p>
        </w:tc>
        <w:tc>
          <w:tcPr>
            <w:tcW w:w="1444" w:type="dxa"/>
            <w:shd w:val="clear" w:color="auto" w:fill="auto"/>
            <w:vAlign w:val="center"/>
          </w:tcPr>
          <w:p w14:paraId="3E86E8BA">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 -2,565.67 </w:t>
            </w:r>
          </w:p>
        </w:tc>
        <w:tc>
          <w:tcPr>
            <w:tcW w:w="1210" w:type="dxa"/>
            <w:shd w:val="clear" w:color="auto" w:fill="auto"/>
            <w:vAlign w:val="center"/>
          </w:tcPr>
          <w:p w14:paraId="2D05CE58">
            <w:pPr>
              <w:keepNext w:val="0"/>
              <w:keepLines w:val="0"/>
              <w:pageBreakBefore w:val="0"/>
              <w:widowControl/>
              <w:suppressLineNumbers w:val="0"/>
              <w:kinsoku/>
              <w:wordWrap/>
              <w:overflowPunct/>
              <w:topLinePunct w:val="0"/>
              <w:autoSpaceDE/>
              <w:autoSpaceDN/>
              <w:bidi w:val="0"/>
              <w:adjustRightInd/>
              <w:snapToGrid/>
              <w:ind w:left="-105" w:leftChars="-5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 58.95 </w:t>
            </w:r>
          </w:p>
        </w:tc>
        <w:tc>
          <w:tcPr>
            <w:tcW w:w="395" w:type="pct"/>
            <w:shd w:val="clear" w:color="auto" w:fill="auto"/>
            <w:vAlign w:val="center"/>
          </w:tcPr>
          <w:p w14:paraId="1B3A9AAC">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2024年4月</w:t>
            </w:r>
          </w:p>
        </w:tc>
        <w:tc>
          <w:tcPr>
            <w:tcW w:w="313" w:type="pct"/>
            <w:shd w:val="clear" w:color="auto" w:fill="auto"/>
            <w:vAlign w:val="center"/>
          </w:tcPr>
          <w:p w14:paraId="0B3EDF6B">
            <w:pPr>
              <w:widowControl/>
              <w:spacing w:line="0" w:lineRule="atLeast"/>
              <w:jc w:val="right"/>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不适用</w:t>
            </w:r>
          </w:p>
        </w:tc>
        <w:tc>
          <w:tcPr>
            <w:tcW w:w="314" w:type="pct"/>
            <w:shd w:val="clear" w:color="auto" w:fill="auto"/>
            <w:vAlign w:val="center"/>
          </w:tcPr>
          <w:p w14:paraId="38B40618">
            <w:pPr>
              <w:widowControl/>
              <w:spacing w:line="0" w:lineRule="atLeast"/>
              <w:jc w:val="center"/>
              <w:rPr>
                <w:rFonts w:hint="eastAsia" w:ascii="宋体" w:hAnsi="宋体" w:eastAsia="宋体" w:cs="宋体"/>
                <w:kern w:val="0"/>
                <w:sz w:val="18"/>
                <w:szCs w:val="18"/>
              </w:rPr>
            </w:pPr>
            <w:r>
              <w:rPr>
                <w:rFonts w:hint="eastAsia" w:ascii="宋体" w:hAnsi="宋体" w:cs="宋体"/>
                <w:kern w:val="0"/>
                <w:sz w:val="18"/>
                <w:szCs w:val="18"/>
                <w:lang w:val="en-US" w:eastAsia="zh-CN"/>
              </w:rPr>
              <w:t>不适用</w:t>
            </w:r>
          </w:p>
        </w:tc>
        <w:tc>
          <w:tcPr>
            <w:tcW w:w="317" w:type="pct"/>
            <w:shd w:val="clear" w:color="auto" w:fill="auto"/>
            <w:vAlign w:val="center"/>
          </w:tcPr>
          <w:p w14:paraId="44C0F329">
            <w:pPr>
              <w:adjustRightInd w:val="0"/>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否</w:t>
            </w:r>
          </w:p>
        </w:tc>
      </w:tr>
      <w:tr w14:paraId="74B9176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24" w:type="pct"/>
            <w:shd w:val="clear" w:color="auto" w:fill="auto"/>
            <w:vAlign w:val="center"/>
          </w:tcPr>
          <w:p w14:paraId="1B4D73F7">
            <w:pPr>
              <w:widowControl/>
              <w:spacing w:line="0" w:lineRule="atLeast"/>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智控设备及金属制品智能工厂建设项目（一期</w:t>
            </w:r>
            <w:r>
              <w:rPr>
                <w:rFonts w:hint="eastAsia" w:ascii="宋体" w:hAnsi="宋体" w:eastAsia="宋体" w:cs="宋体"/>
                <w:kern w:val="0"/>
                <w:sz w:val="18"/>
                <w:szCs w:val="18"/>
                <w:lang w:eastAsia="zh-CN"/>
              </w:rPr>
              <w:t>）</w:t>
            </w:r>
          </w:p>
        </w:tc>
        <w:tc>
          <w:tcPr>
            <w:tcW w:w="332" w:type="pct"/>
            <w:shd w:val="clear" w:color="auto" w:fill="auto"/>
            <w:vAlign w:val="center"/>
          </w:tcPr>
          <w:p w14:paraId="2E988D60">
            <w:pPr>
              <w:adjustRightInd w:val="0"/>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是</w:t>
            </w:r>
          </w:p>
        </w:tc>
        <w:tc>
          <w:tcPr>
            <w:tcW w:w="353" w:type="pct"/>
            <w:shd w:val="clear" w:color="auto" w:fill="auto"/>
            <w:vAlign w:val="center"/>
          </w:tcPr>
          <w:p w14:paraId="1FE76D90">
            <w:pPr>
              <w:keepNext w:val="0"/>
              <w:keepLines w:val="0"/>
              <w:pageBreakBefore w:val="0"/>
              <w:widowControl/>
              <w:kinsoku/>
              <w:wordWrap/>
              <w:overflowPunct/>
              <w:topLinePunct w:val="0"/>
              <w:autoSpaceDE/>
              <w:autoSpaceDN/>
              <w:bidi w:val="0"/>
              <w:adjustRightInd/>
              <w:snapToGrid/>
              <w:spacing w:line="0" w:lineRule="atLeast"/>
              <w:ind w:left="-105" w:leftChars="-50"/>
              <w:jc w:val="right"/>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 </w:t>
            </w:r>
          </w:p>
        </w:tc>
        <w:tc>
          <w:tcPr>
            <w:tcW w:w="359" w:type="pct"/>
            <w:shd w:val="clear" w:color="auto" w:fill="auto"/>
            <w:vAlign w:val="center"/>
          </w:tcPr>
          <w:p w14:paraId="6C7CDB27">
            <w:pPr>
              <w:keepNext w:val="0"/>
              <w:keepLines w:val="0"/>
              <w:pageBreakBefore w:val="0"/>
              <w:widowControl/>
              <w:kinsoku/>
              <w:wordWrap/>
              <w:overflowPunct/>
              <w:topLinePunct w:val="0"/>
              <w:autoSpaceDE/>
              <w:autoSpaceDN/>
              <w:bidi w:val="0"/>
              <w:adjustRightInd/>
              <w:snapToGrid/>
              <w:spacing w:line="0" w:lineRule="atLeast"/>
              <w:ind w:left="-105" w:leftChars="-50"/>
              <w:jc w:val="right"/>
              <w:rPr>
                <w:rFonts w:hint="eastAsia" w:ascii="宋体" w:hAnsi="宋体" w:eastAsia="宋体" w:cs="宋体"/>
                <w:kern w:val="0"/>
                <w:sz w:val="18"/>
                <w:szCs w:val="18"/>
              </w:rPr>
            </w:pPr>
            <w:r>
              <w:rPr>
                <w:rFonts w:hint="eastAsia" w:ascii="宋体" w:hAnsi="宋体" w:eastAsia="宋体" w:cs="宋体"/>
                <w:kern w:val="0"/>
                <w:sz w:val="18"/>
                <w:szCs w:val="18"/>
              </w:rPr>
              <w:t xml:space="preserve">14,774.44 </w:t>
            </w:r>
          </w:p>
        </w:tc>
        <w:tc>
          <w:tcPr>
            <w:tcW w:w="1132" w:type="dxa"/>
            <w:shd w:val="clear" w:color="auto" w:fill="auto"/>
            <w:vAlign w:val="center"/>
          </w:tcPr>
          <w:p w14:paraId="64D8C7C3">
            <w:pPr>
              <w:keepNext w:val="0"/>
              <w:keepLines w:val="0"/>
              <w:pageBreakBefore w:val="0"/>
              <w:widowControl/>
              <w:kinsoku/>
              <w:wordWrap/>
              <w:overflowPunct/>
              <w:topLinePunct w:val="0"/>
              <w:autoSpaceDE/>
              <w:autoSpaceDN/>
              <w:bidi w:val="0"/>
              <w:adjustRightInd/>
              <w:snapToGrid/>
              <w:spacing w:line="0" w:lineRule="atLeast"/>
              <w:ind w:left="-105" w:leftChars="-50"/>
              <w:jc w:val="right"/>
              <w:rPr>
                <w:rFonts w:hint="eastAsia" w:ascii="宋体" w:hAnsi="宋体" w:eastAsia="宋体" w:cs="宋体"/>
                <w:kern w:val="0"/>
                <w:sz w:val="18"/>
                <w:szCs w:val="18"/>
              </w:rPr>
            </w:pPr>
            <w:r>
              <w:rPr>
                <w:rFonts w:hint="eastAsia" w:ascii="宋体" w:hAnsi="宋体" w:eastAsia="宋体" w:cs="宋体"/>
                <w:kern w:val="0"/>
                <w:sz w:val="18"/>
                <w:szCs w:val="18"/>
              </w:rPr>
              <w:t xml:space="preserve">14,774.44 </w:t>
            </w:r>
          </w:p>
        </w:tc>
        <w:tc>
          <w:tcPr>
            <w:tcW w:w="1034" w:type="dxa"/>
            <w:shd w:val="clear" w:color="auto" w:fill="auto"/>
            <w:vAlign w:val="center"/>
          </w:tcPr>
          <w:p w14:paraId="77B27A08">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16,373.24</w:t>
            </w:r>
          </w:p>
        </w:tc>
        <w:tc>
          <w:tcPr>
            <w:tcW w:w="1219" w:type="dxa"/>
            <w:shd w:val="clear" w:color="auto" w:fill="auto"/>
            <w:vAlign w:val="center"/>
          </w:tcPr>
          <w:p w14:paraId="10683B7B">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 16,514.57 </w:t>
            </w:r>
          </w:p>
        </w:tc>
        <w:tc>
          <w:tcPr>
            <w:tcW w:w="1444" w:type="dxa"/>
            <w:shd w:val="clear" w:color="auto" w:fill="auto"/>
            <w:vAlign w:val="center"/>
          </w:tcPr>
          <w:p w14:paraId="0E13348E">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 1,740.13 </w:t>
            </w:r>
          </w:p>
        </w:tc>
        <w:tc>
          <w:tcPr>
            <w:tcW w:w="1210" w:type="dxa"/>
            <w:shd w:val="clear" w:color="auto" w:fill="auto"/>
            <w:vAlign w:val="center"/>
          </w:tcPr>
          <w:p w14:paraId="46090638">
            <w:pPr>
              <w:keepNext w:val="0"/>
              <w:keepLines w:val="0"/>
              <w:pageBreakBefore w:val="0"/>
              <w:widowControl/>
              <w:suppressLineNumbers w:val="0"/>
              <w:kinsoku/>
              <w:wordWrap/>
              <w:overflowPunct/>
              <w:topLinePunct w:val="0"/>
              <w:autoSpaceDE/>
              <w:autoSpaceDN/>
              <w:bidi w:val="0"/>
              <w:adjustRightInd/>
              <w:snapToGrid/>
              <w:ind w:left="-210" w:leftChars="-10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 111.78</w:t>
            </w:r>
            <w:r>
              <w:rPr>
                <w:rFonts w:hint="eastAsia" w:ascii="宋体" w:hAnsi="宋体" w:cs="宋体"/>
                <w:i w:val="0"/>
                <w:iCs w:val="0"/>
                <w:color w:val="000000"/>
                <w:kern w:val="0"/>
                <w:sz w:val="18"/>
                <w:szCs w:val="18"/>
                <w:u w:val="none"/>
                <w:lang w:val="en-US" w:eastAsia="zh-CN" w:bidi="ar"/>
              </w:rPr>
              <w:t>[注2]</w:t>
            </w:r>
            <w:r>
              <w:rPr>
                <w:rFonts w:hint="eastAsia" w:ascii="宋体" w:hAnsi="宋体" w:eastAsia="宋体" w:cs="宋体"/>
                <w:i w:val="0"/>
                <w:iCs w:val="0"/>
                <w:color w:val="000000"/>
                <w:kern w:val="0"/>
                <w:sz w:val="18"/>
                <w:szCs w:val="18"/>
                <w:u w:val="none"/>
                <w:lang w:val="en-US" w:eastAsia="zh-CN" w:bidi="ar"/>
              </w:rPr>
              <w:t xml:space="preserve"> </w:t>
            </w:r>
          </w:p>
        </w:tc>
        <w:tc>
          <w:tcPr>
            <w:tcW w:w="395" w:type="pct"/>
            <w:shd w:val="clear" w:color="auto" w:fill="auto"/>
            <w:vAlign w:val="center"/>
          </w:tcPr>
          <w:p w14:paraId="035163CC">
            <w:pPr>
              <w:keepNext w:val="0"/>
              <w:keepLines w:val="0"/>
              <w:widowControl/>
              <w:suppressLineNumbers w:val="0"/>
              <w:jc w:val="center"/>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2025年6月</w:t>
            </w:r>
          </w:p>
        </w:tc>
        <w:tc>
          <w:tcPr>
            <w:tcW w:w="313" w:type="pct"/>
            <w:shd w:val="clear" w:color="auto" w:fill="auto"/>
            <w:vAlign w:val="center"/>
          </w:tcPr>
          <w:p w14:paraId="1E928FC2">
            <w:pPr>
              <w:widowControl/>
              <w:spacing w:line="0" w:lineRule="atLeast"/>
              <w:jc w:val="right"/>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不适用</w:t>
            </w:r>
          </w:p>
        </w:tc>
        <w:tc>
          <w:tcPr>
            <w:tcW w:w="314" w:type="pct"/>
            <w:shd w:val="clear" w:color="auto" w:fill="auto"/>
            <w:vAlign w:val="center"/>
          </w:tcPr>
          <w:p w14:paraId="5FFA3381">
            <w:pPr>
              <w:widowControl/>
              <w:spacing w:line="0" w:lineRule="atLeas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不适用</w:t>
            </w:r>
          </w:p>
        </w:tc>
        <w:tc>
          <w:tcPr>
            <w:tcW w:w="317" w:type="pct"/>
            <w:shd w:val="clear" w:color="auto" w:fill="auto"/>
            <w:vAlign w:val="center"/>
          </w:tcPr>
          <w:p w14:paraId="6CE25CCF">
            <w:pPr>
              <w:adjustRightInd w:val="0"/>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否</w:t>
            </w:r>
          </w:p>
        </w:tc>
      </w:tr>
      <w:tr w14:paraId="7748C54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24" w:type="pct"/>
            <w:shd w:val="clear" w:color="auto" w:fill="auto"/>
            <w:vAlign w:val="center"/>
          </w:tcPr>
          <w:p w14:paraId="7446C060">
            <w:pPr>
              <w:widowControl/>
              <w:spacing w:line="0" w:lineRule="atLeast"/>
              <w:jc w:val="left"/>
              <w:rPr>
                <w:rFonts w:hint="eastAsia" w:ascii="宋体" w:hAnsi="宋体" w:eastAsia="宋体" w:cs="宋体"/>
                <w:kern w:val="0"/>
                <w:sz w:val="18"/>
                <w:szCs w:val="18"/>
              </w:rPr>
            </w:pPr>
            <w:r>
              <w:rPr>
                <w:rFonts w:hint="eastAsia" w:ascii="宋体" w:hAnsi="宋体" w:eastAsia="宋体" w:cs="宋体"/>
                <w:kern w:val="0"/>
                <w:sz w:val="18"/>
                <w:szCs w:val="18"/>
              </w:rPr>
              <w:t>补充流动资金</w:t>
            </w:r>
          </w:p>
        </w:tc>
        <w:tc>
          <w:tcPr>
            <w:tcW w:w="332" w:type="pct"/>
            <w:shd w:val="clear" w:color="auto" w:fill="auto"/>
            <w:vAlign w:val="center"/>
          </w:tcPr>
          <w:p w14:paraId="3D2F638C">
            <w:pPr>
              <w:adjustRightInd w:val="0"/>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否</w:t>
            </w:r>
          </w:p>
        </w:tc>
        <w:tc>
          <w:tcPr>
            <w:tcW w:w="353" w:type="pct"/>
            <w:shd w:val="clear" w:color="auto" w:fill="auto"/>
            <w:vAlign w:val="center"/>
          </w:tcPr>
          <w:p w14:paraId="27011452">
            <w:pPr>
              <w:keepNext w:val="0"/>
              <w:keepLines w:val="0"/>
              <w:pageBreakBefore w:val="0"/>
              <w:widowControl/>
              <w:kinsoku/>
              <w:wordWrap/>
              <w:overflowPunct/>
              <w:topLinePunct w:val="0"/>
              <w:autoSpaceDE/>
              <w:autoSpaceDN/>
              <w:bidi w:val="0"/>
              <w:adjustRightInd/>
              <w:snapToGrid/>
              <w:spacing w:line="0" w:lineRule="atLeast"/>
              <w:ind w:left="-105" w:leftChars="-50"/>
              <w:jc w:val="right"/>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20,000.00 </w:t>
            </w:r>
          </w:p>
        </w:tc>
        <w:tc>
          <w:tcPr>
            <w:tcW w:w="359" w:type="pct"/>
            <w:shd w:val="clear" w:color="auto" w:fill="auto"/>
            <w:vAlign w:val="center"/>
          </w:tcPr>
          <w:p w14:paraId="0F8C9576">
            <w:pPr>
              <w:keepNext w:val="0"/>
              <w:keepLines w:val="0"/>
              <w:pageBreakBefore w:val="0"/>
              <w:widowControl/>
              <w:kinsoku/>
              <w:wordWrap/>
              <w:overflowPunct/>
              <w:topLinePunct w:val="0"/>
              <w:autoSpaceDE/>
              <w:autoSpaceDN/>
              <w:bidi w:val="0"/>
              <w:adjustRightInd/>
              <w:snapToGrid/>
              <w:spacing w:line="0" w:lineRule="atLeast"/>
              <w:ind w:left="-105" w:leftChars="-50"/>
              <w:jc w:val="right"/>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20,000.00</w:t>
            </w:r>
          </w:p>
        </w:tc>
        <w:tc>
          <w:tcPr>
            <w:tcW w:w="392" w:type="pct"/>
            <w:shd w:val="clear" w:color="auto" w:fill="auto"/>
            <w:vAlign w:val="center"/>
          </w:tcPr>
          <w:p w14:paraId="2FE65576">
            <w:pPr>
              <w:keepNext w:val="0"/>
              <w:keepLines w:val="0"/>
              <w:pageBreakBefore w:val="0"/>
              <w:widowControl/>
              <w:kinsoku/>
              <w:wordWrap/>
              <w:overflowPunct/>
              <w:topLinePunct w:val="0"/>
              <w:autoSpaceDE/>
              <w:autoSpaceDN/>
              <w:bidi w:val="0"/>
              <w:adjustRightInd/>
              <w:snapToGrid/>
              <w:spacing w:line="0" w:lineRule="atLeast"/>
              <w:ind w:left="-105" w:leftChars="-50"/>
              <w:jc w:val="right"/>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20,000.00</w:t>
            </w:r>
          </w:p>
        </w:tc>
        <w:tc>
          <w:tcPr>
            <w:tcW w:w="1034" w:type="dxa"/>
            <w:shd w:val="clear" w:color="auto" w:fill="auto"/>
            <w:vAlign w:val="center"/>
          </w:tcPr>
          <w:p w14:paraId="0BEB09B3">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   </w:t>
            </w:r>
          </w:p>
        </w:tc>
        <w:tc>
          <w:tcPr>
            <w:tcW w:w="1219" w:type="dxa"/>
            <w:shd w:val="clear" w:color="auto" w:fill="auto"/>
            <w:vAlign w:val="center"/>
          </w:tcPr>
          <w:p w14:paraId="7E0B4295">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 20,000.00 </w:t>
            </w:r>
          </w:p>
        </w:tc>
        <w:tc>
          <w:tcPr>
            <w:tcW w:w="500" w:type="pct"/>
            <w:shd w:val="clear" w:color="auto" w:fill="auto"/>
            <w:vAlign w:val="center"/>
          </w:tcPr>
          <w:p w14:paraId="6115D1DB">
            <w:pPr>
              <w:keepNext w:val="0"/>
              <w:keepLines w:val="0"/>
              <w:pageBreakBefore w:val="0"/>
              <w:widowControl/>
              <w:kinsoku/>
              <w:wordWrap/>
              <w:overflowPunct/>
              <w:topLinePunct w:val="0"/>
              <w:autoSpaceDE/>
              <w:autoSpaceDN/>
              <w:bidi w:val="0"/>
              <w:adjustRightInd/>
              <w:snapToGrid/>
              <w:spacing w:line="0" w:lineRule="atLeast"/>
              <w:ind w:left="-105" w:leftChars="-50"/>
              <w:jc w:val="right"/>
              <w:rPr>
                <w:rFonts w:hint="eastAsia" w:ascii="宋体" w:hAnsi="宋体" w:eastAsia="宋体" w:cs="宋体"/>
                <w:kern w:val="0"/>
                <w:sz w:val="18"/>
                <w:szCs w:val="18"/>
              </w:rPr>
            </w:pPr>
          </w:p>
        </w:tc>
        <w:tc>
          <w:tcPr>
            <w:tcW w:w="1210" w:type="dxa"/>
            <w:shd w:val="clear" w:color="auto" w:fill="auto"/>
            <w:vAlign w:val="center"/>
          </w:tcPr>
          <w:p w14:paraId="0EAD8A97">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 100.00 </w:t>
            </w:r>
          </w:p>
        </w:tc>
        <w:tc>
          <w:tcPr>
            <w:tcW w:w="395" w:type="pct"/>
            <w:shd w:val="clear" w:color="auto" w:fill="auto"/>
            <w:vAlign w:val="center"/>
          </w:tcPr>
          <w:p w14:paraId="318CB6E4">
            <w:pPr>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不适用</w:t>
            </w:r>
          </w:p>
        </w:tc>
        <w:tc>
          <w:tcPr>
            <w:tcW w:w="313" w:type="pct"/>
            <w:shd w:val="clear" w:color="auto" w:fill="auto"/>
            <w:vAlign w:val="center"/>
          </w:tcPr>
          <w:p w14:paraId="55E4BBBB">
            <w:pPr>
              <w:widowControl/>
              <w:spacing w:line="0" w:lineRule="atLeast"/>
              <w:jc w:val="right"/>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不适用</w:t>
            </w:r>
          </w:p>
        </w:tc>
        <w:tc>
          <w:tcPr>
            <w:tcW w:w="314" w:type="pct"/>
            <w:shd w:val="clear" w:color="auto" w:fill="auto"/>
            <w:vAlign w:val="center"/>
          </w:tcPr>
          <w:p w14:paraId="12C40C4B">
            <w:pPr>
              <w:widowControl/>
              <w:spacing w:line="0" w:lineRule="atLeas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不适用</w:t>
            </w:r>
          </w:p>
        </w:tc>
        <w:tc>
          <w:tcPr>
            <w:tcW w:w="317" w:type="pct"/>
            <w:shd w:val="clear" w:color="auto" w:fill="auto"/>
            <w:vAlign w:val="center"/>
          </w:tcPr>
          <w:p w14:paraId="722E59B1">
            <w:pPr>
              <w:adjustRightInd w:val="0"/>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否</w:t>
            </w:r>
          </w:p>
        </w:tc>
      </w:tr>
      <w:tr w14:paraId="2365938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24" w:type="pct"/>
            <w:shd w:val="clear" w:color="auto" w:fill="auto"/>
            <w:vAlign w:val="center"/>
          </w:tcPr>
          <w:p w14:paraId="21256F61">
            <w:pPr>
              <w:widowControl/>
              <w:spacing w:line="0" w:lineRule="atLeast"/>
              <w:jc w:val="center"/>
              <w:rPr>
                <w:rFonts w:hint="eastAsia" w:ascii="宋体" w:hAnsi="宋体" w:eastAsia="宋体" w:cs="宋体"/>
                <w:kern w:val="0"/>
                <w:sz w:val="18"/>
                <w:szCs w:val="18"/>
              </w:rPr>
            </w:pPr>
            <w:r>
              <w:rPr>
                <w:rFonts w:hint="eastAsia" w:ascii="宋体" w:hAnsi="宋体" w:eastAsia="宋体" w:cs="宋体"/>
                <w:kern w:val="0"/>
                <w:sz w:val="18"/>
                <w:szCs w:val="18"/>
              </w:rPr>
              <w:t>合  计</w:t>
            </w:r>
          </w:p>
        </w:tc>
        <w:tc>
          <w:tcPr>
            <w:tcW w:w="332" w:type="pct"/>
            <w:shd w:val="clear" w:color="auto" w:fill="auto"/>
            <w:vAlign w:val="center"/>
          </w:tcPr>
          <w:p w14:paraId="3EA071F1">
            <w:pPr>
              <w:adjustRightInd w:val="0"/>
              <w:jc w:val="center"/>
              <w:rPr>
                <w:rFonts w:ascii="宋体" w:hAnsi="宋体" w:cs="宋体"/>
                <w:kern w:val="0"/>
                <w:sz w:val="18"/>
                <w:szCs w:val="18"/>
              </w:rPr>
            </w:pPr>
            <w:r>
              <w:rPr>
                <w:rFonts w:hint="eastAsia" w:ascii="宋体" w:hAnsi="宋体" w:cs="宋体"/>
                <w:kern w:val="0"/>
                <w:sz w:val="18"/>
                <w:szCs w:val="18"/>
              </w:rPr>
              <w:t>－</w:t>
            </w:r>
          </w:p>
        </w:tc>
        <w:tc>
          <w:tcPr>
            <w:tcW w:w="353" w:type="pct"/>
            <w:shd w:val="clear" w:color="auto" w:fill="auto"/>
            <w:vAlign w:val="center"/>
          </w:tcPr>
          <w:p w14:paraId="2C706F41">
            <w:pPr>
              <w:keepNext w:val="0"/>
              <w:keepLines w:val="0"/>
              <w:pageBreakBefore w:val="0"/>
              <w:widowControl/>
              <w:kinsoku/>
              <w:wordWrap/>
              <w:overflowPunct/>
              <w:topLinePunct w:val="0"/>
              <w:autoSpaceDE/>
              <w:autoSpaceDN/>
              <w:bidi w:val="0"/>
              <w:adjustRightInd/>
              <w:snapToGrid/>
              <w:spacing w:line="0" w:lineRule="atLeast"/>
              <w:ind w:left="-105" w:leftChars="-50"/>
              <w:jc w:val="right"/>
              <w:rPr>
                <w:rFonts w:hint="eastAsia" w:ascii="宋体" w:hAnsi="宋体" w:eastAsia="宋体" w:cs="宋体"/>
                <w:kern w:val="0"/>
                <w:sz w:val="18"/>
                <w:szCs w:val="18"/>
              </w:rPr>
            </w:pPr>
            <w:r>
              <w:rPr>
                <w:rFonts w:hint="eastAsia" w:ascii="宋体" w:hAnsi="宋体" w:eastAsia="宋体" w:cs="宋体"/>
                <w:kern w:val="0"/>
                <w:sz w:val="18"/>
                <w:szCs w:val="18"/>
              </w:rPr>
              <w:t xml:space="preserve">85,456.18 </w:t>
            </w:r>
          </w:p>
        </w:tc>
        <w:tc>
          <w:tcPr>
            <w:tcW w:w="359" w:type="pct"/>
            <w:shd w:val="clear" w:color="auto" w:fill="auto"/>
            <w:vAlign w:val="center"/>
          </w:tcPr>
          <w:p w14:paraId="09CDA091">
            <w:pPr>
              <w:keepNext w:val="0"/>
              <w:keepLines w:val="0"/>
              <w:pageBreakBefore w:val="0"/>
              <w:widowControl/>
              <w:kinsoku/>
              <w:wordWrap/>
              <w:overflowPunct/>
              <w:topLinePunct w:val="0"/>
              <w:autoSpaceDE/>
              <w:autoSpaceDN/>
              <w:bidi w:val="0"/>
              <w:adjustRightInd/>
              <w:snapToGrid/>
              <w:spacing w:line="0" w:lineRule="atLeast"/>
              <w:ind w:left="-105" w:leftChars="-50"/>
              <w:jc w:val="right"/>
              <w:rPr>
                <w:rFonts w:hint="eastAsia" w:ascii="宋体" w:hAnsi="宋体" w:eastAsia="宋体" w:cs="宋体"/>
                <w:kern w:val="0"/>
                <w:sz w:val="18"/>
                <w:szCs w:val="18"/>
              </w:rPr>
            </w:pPr>
            <w:r>
              <w:rPr>
                <w:rFonts w:hint="eastAsia" w:ascii="宋体" w:hAnsi="宋体" w:eastAsia="宋体" w:cs="宋体"/>
                <w:kern w:val="0"/>
                <w:sz w:val="18"/>
                <w:szCs w:val="18"/>
              </w:rPr>
              <w:t xml:space="preserve">85,456.18 </w:t>
            </w:r>
          </w:p>
        </w:tc>
        <w:tc>
          <w:tcPr>
            <w:tcW w:w="392" w:type="pct"/>
            <w:shd w:val="clear" w:color="auto" w:fill="auto"/>
            <w:vAlign w:val="center"/>
          </w:tcPr>
          <w:p w14:paraId="0DB76E22">
            <w:pPr>
              <w:keepNext w:val="0"/>
              <w:keepLines w:val="0"/>
              <w:pageBreakBefore w:val="0"/>
              <w:widowControl/>
              <w:kinsoku/>
              <w:wordWrap/>
              <w:overflowPunct/>
              <w:topLinePunct w:val="0"/>
              <w:autoSpaceDE/>
              <w:autoSpaceDN/>
              <w:bidi w:val="0"/>
              <w:adjustRightInd/>
              <w:snapToGrid/>
              <w:spacing w:line="0" w:lineRule="atLeast"/>
              <w:ind w:left="-105" w:leftChars="-50"/>
              <w:jc w:val="right"/>
              <w:rPr>
                <w:rFonts w:hint="eastAsia" w:ascii="宋体" w:hAnsi="宋体" w:eastAsia="宋体" w:cs="宋体"/>
                <w:kern w:val="0"/>
                <w:sz w:val="18"/>
                <w:szCs w:val="18"/>
              </w:rPr>
            </w:pPr>
            <w:r>
              <w:rPr>
                <w:rFonts w:hint="eastAsia" w:ascii="宋体" w:hAnsi="宋体" w:eastAsia="宋体" w:cs="宋体"/>
                <w:kern w:val="0"/>
                <w:sz w:val="18"/>
                <w:szCs w:val="18"/>
              </w:rPr>
              <w:t xml:space="preserve">85,456.18 </w:t>
            </w:r>
          </w:p>
        </w:tc>
        <w:tc>
          <w:tcPr>
            <w:tcW w:w="1034" w:type="dxa"/>
            <w:shd w:val="clear" w:color="auto" w:fill="auto"/>
            <w:vAlign w:val="center"/>
          </w:tcPr>
          <w:p w14:paraId="041086B0">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22,185.10 </w:t>
            </w:r>
          </w:p>
        </w:tc>
        <w:tc>
          <w:tcPr>
            <w:tcW w:w="1219" w:type="dxa"/>
            <w:shd w:val="clear" w:color="auto" w:fill="auto"/>
            <w:vAlign w:val="center"/>
          </w:tcPr>
          <w:p w14:paraId="050B111B">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 80,290.19 </w:t>
            </w:r>
          </w:p>
        </w:tc>
        <w:tc>
          <w:tcPr>
            <w:tcW w:w="500" w:type="pct"/>
            <w:shd w:val="clear" w:color="auto" w:fill="auto"/>
            <w:vAlign w:val="center"/>
          </w:tcPr>
          <w:p w14:paraId="508E1268">
            <w:pPr>
              <w:keepNext w:val="0"/>
              <w:keepLines w:val="0"/>
              <w:pageBreakBefore w:val="0"/>
              <w:widowControl/>
              <w:kinsoku/>
              <w:wordWrap/>
              <w:overflowPunct/>
              <w:topLinePunct w:val="0"/>
              <w:autoSpaceDE/>
              <w:autoSpaceDN/>
              <w:bidi w:val="0"/>
              <w:adjustRightInd/>
              <w:snapToGrid/>
              <w:spacing w:line="0" w:lineRule="atLeast"/>
              <w:ind w:left="-105" w:leftChars="-50"/>
              <w:jc w:val="right"/>
              <w:rPr>
                <w:rFonts w:hint="eastAsia" w:ascii="宋体" w:hAnsi="宋体" w:eastAsia="宋体" w:cs="宋体"/>
                <w:kern w:val="0"/>
                <w:sz w:val="18"/>
                <w:szCs w:val="18"/>
              </w:rPr>
            </w:pPr>
            <w:r>
              <w:rPr>
                <w:rFonts w:hint="eastAsia" w:ascii="宋体" w:hAnsi="宋体" w:eastAsia="宋体" w:cs="宋体"/>
                <w:kern w:val="0"/>
                <w:sz w:val="18"/>
                <w:szCs w:val="18"/>
              </w:rPr>
              <w:t xml:space="preserve"> -5,165.99 </w:t>
            </w:r>
          </w:p>
        </w:tc>
        <w:tc>
          <w:tcPr>
            <w:tcW w:w="419" w:type="pct"/>
            <w:shd w:val="clear" w:color="auto" w:fill="auto"/>
            <w:vAlign w:val="center"/>
          </w:tcPr>
          <w:p w14:paraId="7ABC5F05">
            <w:pPr>
              <w:keepNext w:val="0"/>
              <w:keepLines w:val="0"/>
              <w:pageBreakBefore w:val="0"/>
              <w:widowControl/>
              <w:kinsoku/>
              <w:wordWrap/>
              <w:overflowPunct/>
              <w:topLinePunct w:val="0"/>
              <w:autoSpaceDE/>
              <w:autoSpaceDN/>
              <w:bidi w:val="0"/>
              <w:adjustRightInd/>
              <w:snapToGrid/>
              <w:spacing w:line="0" w:lineRule="atLeast"/>
              <w:ind w:left="-105" w:leftChars="-50"/>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395" w:type="pct"/>
            <w:shd w:val="clear" w:color="auto" w:fill="auto"/>
            <w:vAlign w:val="center"/>
          </w:tcPr>
          <w:p w14:paraId="49A752D0">
            <w:pPr>
              <w:widowControl/>
              <w:spacing w:line="0" w:lineRule="atLeas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313" w:type="pct"/>
            <w:shd w:val="clear" w:color="auto" w:fill="auto"/>
            <w:vAlign w:val="center"/>
          </w:tcPr>
          <w:p w14:paraId="3C269785">
            <w:pPr>
              <w:widowControl/>
              <w:spacing w:line="0" w:lineRule="atLeast"/>
              <w:jc w:val="center"/>
              <w:rPr>
                <w:rFonts w:hint="eastAsia" w:ascii="宋体" w:hAnsi="宋体" w:eastAsia="宋体" w:cs="宋体"/>
                <w:kern w:val="0"/>
                <w:sz w:val="18"/>
                <w:szCs w:val="18"/>
              </w:rPr>
            </w:pPr>
            <w:r>
              <w:rPr>
                <w:rFonts w:hint="eastAsia" w:ascii="宋体" w:hAnsi="宋体" w:cs="宋体"/>
                <w:kern w:val="0"/>
                <w:sz w:val="18"/>
                <w:szCs w:val="18"/>
              </w:rPr>
              <w:t>－</w:t>
            </w:r>
          </w:p>
        </w:tc>
        <w:tc>
          <w:tcPr>
            <w:tcW w:w="314" w:type="pct"/>
            <w:shd w:val="clear" w:color="auto" w:fill="auto"/>
            <w:vAlign w:val="center"/>
          </w:tcPr>
          <w:p w14:paraId="73EDBFD1">
            <w:pPr>
              <w:widowControl/>
              <w:spacing w:line="0" w:lineRule="atLeast"/>
              <w:jc w:val="center"/>
              <w:rPr>
                <w:rFonts w:hint="eastAsia" w:ascii="宋体" w:hAnsi="宋体" w:eastAsia="宋体" w:cs="宋体"/>
                <w:kern w:val="0"/>
                <w:sz w:val="18"/>
                <w:szCs w:val="18"/>
              </w:rPr>
            </w:pPr>
            <w:r>
              <w:rPr>
                <w:rFonts w:hint="eastAsia" w:ascii="宋体" w:hAnsi="宋体" w:eastAsia="宋体" w:cs="宋体"/>
                <w:kern w:val="0"/>
                <w:sz w:val="18"/>
                <w:szCs w:val="18"/>
              </w:rPr>
              <w:t>－</w:t>
            </w:r>
          </w:p>
        </w:tc>
        <w:tc>
          <w:tcPr>
            <w:tcW w:w="317" w:type="pct"/>
            <w:shd w:val="clear" w:color="auto" w:fill="auto"/>
            <w:vAlign w:val="center"/>
          </w:tcPr>
          <w:p w14:paraId="78F5B562">
            <w:pPr>
              <w:adjustRightInd w:val="0"/>
              <w:jc w:val="center"/>
              <w:rPr>
                <w:rFonts w:ascii="宋体" w:hAnsi="宋体" w:cs="宋体"/>
                <w:kern w:val="0"/>
                <w:sz w:val="18"/>
                <w:szCs w:val="18"/>
              </w:rPr>
            </w:pPr>
            <w:r>
              <w:rPr>
                <w:rFonts w:hint="eastAsia" w:ascii="宋体" w:hAnsi="宋体" w:cs="宋体"/>
                <w:kern w:val="0"/>
                <w:sz w:val="18"/>
                <w:szCs w:val="18"/>
              </w:rPr>
              <w:t>－</w:t>
            </w:r>
          </w:p>
        </w:tc>
      </w:tr>
      <w:tr w14:paraId="382E0DB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961" w:type="pct"/>
            <w:gridSpan w:val="5"/>
            <w:shd w:val="clear" w:color="auto" w:fill="auto"/>
            <w:vAlign w:val="center"/>
          </w:tcPr>
          <w:p w14:paraId="2558D0AC">
            <w:pPr>
              <w:adjustRightInd w:val="0"/>
              <w:jc w:val="left"/>
              <w:rPr>
                <w:rFonts w:ascii="宋体" w:hAnsi="宋体" w:cs="宋体"/>
                <w:kern w:val="0"/>
                <w:sz w:val="18"/>
                <w:szCs w:val="18"/>
              </w:rPr>
            </w:pPr>
            <w:r>
              <w:rPr>
                <w:rFonts w:hint="eastAsia" w:ascii="宋体" w:hAnsi="宋体" w:cs="宋体"/>
                <w:kern w:val="0"/>
                <w:sz w:val="18"/>
                <w:szCs w:val="18"/>
              </w:rPr>
              <w:t>未达到计划进度原因（分具体项目）</w:t>
            </w:r>
          </w:p>
        </w:tc>
        <w:tc>
          <w:tcPr>
            <w:tcW w:w="3038" w:type="pct"/>
            <w:gridSpan w:val="8"/>
            <w:shd w:val="clear" w:color="auto" w:fill="auto"/>
            <w:vAlign w:val="center"/>
          </w:tcPr>
          <w:p w14:paraId="6530D7D1">
            <w:pPr>
              <w:adjustRightInd w:val="0"/>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不适用</w:t>
            </w:r>
          </w:p>
        </w:tc>
      </w:tr>
      <w:tr w14:paraId="5804F29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961" w:type="pct"/>
            <w:gridSpan w:val="5"/>
            <w:shd w:val="clear" w:color="auto" w:fill="auto"/>
            <w:vAlign w:val="center"/>
          </w:tcPr>
          <w:p w14:paraId="71577F60">
            <w:pPr>
              <w:adjustRightInd w:val="0"/>
              <w:jc w:val="left"/>
              <w:rPr>
                <w:rFonts w:ascii="宋体" w:hAnsi="宋体" w:cs="宋体"/>
                <w:kern w:val="0"/>
                <w:sz w:val="18"/>
                <w:szCs w:val="18"/>
              </w:rPr>
            </w:pPr>
            <w:r>
              <w:rPr>
                <w:rFonts w:hint="eastAsia" w:ascii="宋体" w:hAnsi="宋体" w:cs="宋体"/>
                <w:kern w:val="0"/>
                <w:sz w:val="18"/>
                <w:szCs w:val="18"/>
              </w:rPr>
              <w:t>项目可行性发生重大变化的情况说明</w:t>
            </w:r>
          </w:p>
        </w:tc>
        <w:tc>
          <w:tcPr>
            <w:tcW w:w="3038" w:type="pct"/>
            <w:gridSpan w:val="8"/>
            <w:shd w:val="clear" w:color="auto" w:fill="auto"/>
            <w:vAlign w:val="center"/>
          </w:tcPr>
          <w:p w14:paraId="3B36D89C">
            <w:pPr>
              <w:adjustRightInd w:val="0"/>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不适用</w:t>
            </w:r>
          </w:p>
        </w:tc>
      </w:tr>
      <w:tr w14:paraId="13955EC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961" w:type="pct"/>
            <w:gridSpan w:val="5"/>
            <w:shd w:val="clear" w:color="auto" w:fill="auto"/>
            <w:vAlign w:val="center"/>
          </w:tcPr>
          <w:p w14:paraId="16E16191">
            <w:pPr>
              <w:adjustRightInd w:val="0"/>
              <w:jc w:val="left"/>
              <w:rPr>
                <w:rFonts w:ascii="宋体" w:hAnsi="宋体" w:cs="宋体"/>
                <w:kern w:val="0"/>
                <w:sz w:val="18"/>
                <w:szCs w:val="18"/>
              </w:rPr>
            </w:pPr>
            <w:r>
              <w:rPr>
                <w:rFonts w:hint="eastAsia" w:ascii="宋体" w:hAnsi="宋体" w:cs="宋体"/>
                <w:kern w:val="0"/>
                <w:sz w:val="18"/>
                <w:szCs w:val="18"/>
              </w:rPr>
              <w:t>募集资金投资项目先期投入及置换情况</w:t>
            </w:r>
          </w:p>
        </w:tc>
        <w:tc>
          <w:tcPr>
            <w:tcW w:w="3038" w:type="pct"/>
            <w:gridSpan w:val="8"/>
            <w:shd w:val="clear" w:color="auto" w:fill="auto"/>
            <w:vAlign w:val="center"/>
          </w:tcPr>
          <w:p w14:paraId="4985A1C2">
            <w:pPr>
              <w:adjustRightInd w:val="0"/>
              <w:jc w:val="left"/>
              <w:rPr>
                <w:rFonts w:hint="default" w:ascii="宋体" w:hAnsi="宋体" w:cs="宋体"/>
                <w:kern w:val="0"/>
                <w:sz w:val="18"/>
                <w:szCs w:val="18"/>
                <w:lang w:val="en-US"/>
              </w:rPr>
            </w:pPr>
            <w:r>
              <w:rPr>
                <w:rFonts w:hint="eastAsia" w:ascii="宋体" w:hAnsi="宋体" w:cs="宋体"/>
                <w:kern w:val="0"/>
                <w:sz w:val="18"/>
                <w:szCs w:val="18"/>
              </w:rPr>
              <w:t>公司2022年6月15日第</w:t>
            </w:r>
            <w:r>
              <w:rPr>
                <w:rFonts w:hint="eastAsia" w:ascii="宋体" w:hAnsi="宋体" w:cs="宋体"/>
                <w:kern w:val="0"/>
                <w:sz w:val="18"/>
                <w:szCs w:val="18"/>
                <w:lang w:val="en-US" w:eastAsia="zh-CN"/>
              </w:rPr>
              <w:t>三</w:t>
            </w:r>
            <w:r>
              <w:rPr>
                <w:rFonts w:hint="eastAsia" w:ascii="宋体" w:hAnsi="宋体" w:cs="宋体"/>
                <w:kern w:val="0"/>
                <w:sz w:val="18"/>
                <w:szCs w:val="18"/>
              </w:rPr>
              <w:t>届董事会第十</w:t>
            </w:r>
            <w:r>
              <w:rPr>
                <w:rFonts w:hint="eastAsia" w:ascii="宋体" w:hAnsi="宋体" w:cs="宋体"/>
                <w:kern w:val="0"/>
                <w:sz w:val="18"/>
                <w:szCs w:val="18"/>
                <w:lang w:val="en-US" w:eastAsia="zh-CN"/>
              </w:rPr>
              <w:t>二</w:t>
            </w:r>
            <w:r>
              <w:rPr>
                <w:rFonts w:hint="eastAsia" w:ascii="宋体" w:hAnsi="宋体" w:cs="宋体"/>
                <w:kern w:val="0"/>
                <w:sz w:val="18"/>
                <w:szCs w:val="18"/>
              </w:rPr>
              <w:t>次会议审议通过</w:t>
            </w:r>
            <w:r>
              <w:rPr>
                <w:rFonts w:hint="eastAsia" w:ascii="宋体" w:hAnsi="宋体" w:cs="宋体"/>
                <w:kern w:val="0"/>
                <w:sz w:val="18"/>
                <w:szCs w:val="18"/>
                <w:lang w:val="en-US" w:eastAsia="zh-CN"/>
              </w:rPr>
              <w:t>了</w:t>
            </w:r>
            <w:r>
              <w:rPr>
                <w:rFonts w:hint="eastAsia" w:ascii="宋体" w:hAnsi="宋体" w:cs="宋体"/>
                <w:kern w:val="0"/>
                <w:sz w:val="18"/>
                <w:szCs w:val="18"/>
              </w:rPr>
              <w:t>《关于使用募集资金置换预先投入募投项目的自筹资金的议案》，同意公司以募集资金置换先期投入的自筹资金</w:t>
            </w:r>
            <w:r>
              <w:rPr>
                <w:rFonts w:hint="eastAsia" w:ascii="宋体" w:hAnsi="宋体" w:cs="宋体"/>
                <w:kern w:val="0"/>
                <w:sz w:val="18"/>
                <w:szCs w:val="18"/>
                <w:lang w:eastAsia="zh-CN"/>
              </w:rPr>
              <w:t>，</w:t>
            </w:r>
            <w:r>
              <w:rPr>
                <w:rFonts w:hint="eastAsia" w:ascii="宋体" w:hAnsi="宋体" w:cs="宋体"/>
                <w:kern w:val="0"/>
                <w:sz w:val="18"/>
                <w:szCs w:val="18"/>
                <w:lang w:val="en-US" w:eastAsia="zh-CN"/>
              </w:rPr>
              <w:t>实际置换募集资金金额为6,298.73万元。</w:t>
            </w:r>
          </w:p>
        </w:tc>
      </w:tr>
      <w:tr w14:paraId="6E57878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961" w:type="pct"/>
            <w:gridSpan w:val="5"/>
            <w:shd w:val="clear" w:color="auto" w:fill="auto"/>
            <w:vAlign w:val="center"/>
          </w:tcPr>
          <w:p w14:paraId="665B27B6">
            <w:pPr>
              <w:adjustRightInd w:val="0"/>
              <w:jc w:val="left"/>
              <w:rPr>
                <w:rFonts w:ascii="宋体" w:hAnsi="宋体" w:cs="宋体"/>
                <w:kern w:val="0"/>
                <w:sz w:val="18"/>
                <w:szCs w:val="18"/>
              </w:rPr>
            </w:pPr>
            <w:r>
              <w:rPr>
                <w:rFonts w:hint="eastAsia" w:ascii="宋体" w:hAnsi="宋体" w:cs="宋体"/>
                <w:kern w:val="0"/>
                <w:sz w:val="18"/>
                <w:szCs w:val="18"/>
              </w:rPr>
              <w:t>用闲置募集资金暂时补充流动资金情况</w:t>
            </w:r>
          </w:p>
        </w:tc>
        <w:tc>
          <w:tcPr>
            <w:tcW w:w="3038" w:type="pct"/>
            <w:gridSpan w:val="8"/>
            <w:shd w:val="clear" w:color="auto" w:fill="auto"/>
            <w:vAlign w:val="center"/>
          </w:tcPr>
          <w:p w14:paraId="12273BC4">
            <w:pPr>
              <w:adjustRightInd w:val="0"/>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不适用</w:t>
            </w:r>
          </w:p>
        </w:tc>
      </w:tr>
      <w:tr w14:paraId="3E8EB75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961" w:type="pct"/>
            <w:gridSpan w:val="5"/>
            <w:shd w:val="clear" w:color="auto" w:fill="auto"/>
            <w:vAlign w:val="center"/>
          </w:tcPr>
          <w:p w14:paraId="3DFE2687">
            <w:pPr>
              <w:adjustRightInd w:val="0"/>
              <w:jc w:val="left"/>
              <w:rPr>
                <w:rFonts w:ascii="宋体" w:hAnsi="宋体" w:cs="宋体"/>
                <w:kern w:val="0"/>
                <w:sz w:val="18"/>
                <w:szCs w:val="18"/>
              </w:rPr>
            </w:pPr>
            <w:r>
              <w:rPr>
                <w:rFonts w:hint="eastAsia" w:ascii="宋体" w:hAnsi="宋体" w:cs="宋体"/>
                <w:kern w:val="0"/>
                <w:sz w:val="18"/>
                <w:szCs w:val="18"/>
              </w:rPr>
              <w:t>对闲置募集金进行现金管理，投资相关产品的情况</w:t>
            </w:r>
          </w:p>
        </w:tc>
        <w:tc>
          <w:tcPr>
            <w:tcW w:w="3038" w:type="pct"/>
            <w:gridSpan w:val="8"/>
            <w:shd w:val="clear" w:color="auto" w:fill="auto"/>
            <w:vAlign w:val="center"/>
          </w:tcPr>
          <w:p w14:paraId="1640CF0F">
            <w:pPr>
              <w:pStyle w:val="4"/>
              <w:adjustRightInd/>
              <w:spacing w:after="0" w:line="240" w:lineRule="auto"/>
              <w:ind w:firstLine="0"/>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公司2024年4月26日第四届董事会第五次会议审议通过了《关于使用部分闲置募集资金进行现金管理的议案》，自董事会审议通过之日起至2024年12月31日止，公司可使用闲置募集资金进行现金管理，最高额不超过29,000万元，在上述额度及有效期限内，公司可循环滚动使用。</w:t>
            </w:r>
            <w:r>
              <w:rPr>
                <w:rFonts w:hint="eastAsia" w:ascii="宋体" w:hAnsi="宋体" w:cs="宋体"/>
                <w:kern w:val="0"/>
                <w:sz w:val="18"/>
                <w:szCs w:val="18"/>
              </w:rPr>
              <w:t>公司于2024年11月26日召开了第四届董事会第九次会议和第四届监事会第八次会议，审议通过了《关于使用暂时闲置募集资金进行现金管理的议案》，同意公司2025年度使用不超过10,000万元的暂时闲置募集资金进行现金管理，该额度的有效期自2025年1月1日至2025年12月31日止，在上述额度及有效期限内，公司可循环滚动使用。</w:t>
            </w:r>
            <w:r>
              <w:rPr>
                <w:rFonts w:hint="eastAsia" w:ascii="宋体" w:hAnsi="宋体" w:cs="宋体"/>
                <w:kern w:val="0"/>
                <w:sz w:val="18"/>
                <w:szCs w:val="18"/>
                <w:lang w:val="en-US" w:eastAsia="zh-CN"/>
              </w:rPr>
              <w:t>2024年度，公司累计使用闲置募集资金购买结构性存款10,000万元，累计收回结构性存款7,500万元,取得收益14.66万元；截至2024年12月31日，公司使用募集资金购买结构性存款余额为2,500万元，协议存款的余额为</w:t>
            </w:r>
            <w:r>
              <w:rPr>
                <w:rFonts w:hint="eastAsia" w:ascii="宋体" w:hAnsi="宋体" w:cs="宋体"/>
                <w:kern w:val="0"/>
                <w:sz w:val="18"/>
                <w:szCs w:val="18"/>
              </w:rPr>
              <w:t>5,369.28万元</w:t>
            </w:r>
            <w:r>
              <w:rPr>
                <w:rFonts w:hint="eastAsia" w:ascii="宋体" w:hAnsi="宋体" w:cs="宋体"/>
                <w:kern w:val="0"/>
                <w:sz w:val="18"/>
                <w:szCs w:val="18"/>
                <w:lang w:eastAsia="zh-CN"/>
              </w:rPr>
              <w:t>，</w:t>
            </w:r>
            <w:r>
              <w:rPr>
                <w:rFonts w:hint="eastAsia" w:ascii="宋体" w:hAnsi="宋体" w:cs="宋体"/>
                <w:kern w:val="0"/>
                <w:sz w:val="18"/>
                <w:szCs w:val="18"/>
                <w:lang w:val="en-US" w:eastAsia="zh-CN"/>
              </w:rPr>
              <w:t>合计</w:t>
            </w:r>
            <w:r>
              <w:rPr>
                <w:rFonts w:hint="eastAsia" w:ascii="宋体" w:hAnsi="宋体" w:cs="宋体"/>
                <w:kern w:val="0"/>
                <w:sz w:val="18"/>
                <w:szCs w:val="18"/>
              </w:rPr>
              <w:t>7,869.28</w:t>
            </w:r>
            <w:r>
              <w:rPr>
                <w:rFonts w:hint="eastAsia" w:ascii="宋体" w:hAnsi="宋体" w:cs="宋体"/>
                <w:kern w:val="0"/>
                <w:sz w:val="18"/>
                <w:szCs w:val="18"/>
                <w:lang w:val="en-US" w:eastAsia="zh-CN"/>
              </w:rPr>
              <w:t>万元</w:t>
            </w:r>
            <w:r>
              <w:rPr>
                <w:rFonts w:hint="eastAsia" w:ascii="宋体" w:hAnsi="宋体" w:cs="宋体"/>
                <w:kern w:val="0"/>
                <w:sz w:val="18"/>
                <w:szCs w:val="18"/>
                <w:lang w:eastAsia="zh-CN"/>
              </w:rPr>
              <w:t>。</w:t>
            </w:r>
          </w:p>
        </w:tc>
      </w:tr>
      <w:tr w14:paraId="0648EFF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961" w:type="pct"/>
            <w:gridSpan w:val="5"/>
            <w:shd w:val="clear" w:color="auto" w:fill="auto"/>
            <w:vAlign w:val="center"/>
          </w:tcPr>
          <w:p w14:paraId="49A0A8F1">
            <w:pPr>
              <w:adjustRightInd w:val="0"/>
              <w:jc w:val="left"/>
              <w:rPr>
                <w:rFonts w:ascii="宋体" w:hAnsi="宋体" w:cs="宋体"/>
                <w:kern w:val="0"/>
                <w:sz w:val="18"/>
                <w:szCs w:val="18"/>
              </w:rPr>
            </w:pPr>
            <w:r>
              <w:rPr>
                <w:rFonts w:hint="eastAsia" w:ascii="宋体" w:hAnsi="宋体" w:cs="宋体"/>
                <w:kern w:val="0"/>
                <w:sz w:val="18"/>
                <w:szCs w:val="18"/>
              </w:rPr>
              <w:t>用超募资金永久补充流动资金或归还银行贷款情况</w:t>
            </w:r>
          </w:p>
        </w:tc>
        <w:tc>
          <w:tcPr>
            <w:tcW w:w="3038" w:type="pct"/>
            <w:gridSpan w:val="8"/>
            <w:shd w:val="clear" w:color="auto" w:fill="auto"/>
            <w:vAlign w:val="center"/>
          </w:tcPr>
          <w:p w14:paraId="57F2A05A">
            <w:pPr>
              <w:adjustRightInd w:val="0"/>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不适用</w:t>
            </w:r>
          </w:p>
        </w:tc>
      </w:tr>
      <w:tr w14:paraId="215051C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961" w:type="pct"/>
            <w:gridSpan w:val="5"/>
            <w:shd w:val="clear" w:color="auto" w:fill="auto"/>
            <w:vAlign w:val="center"/>
          </w:tcPr>
          <w:p w14:paraId="6E753427">
            <w:pPr>
              <w:adjustRightInd w:val="0"/>
              <w:jc w:val="left"/>
              <w:rPr>
                <w:rFonts w:ascii="宋体" w:hAnsi="宋体" w:cs="宋体"/>
                <w:kern w:val="0"/>
                <w:sz w:val="18"/>
                <w:szCs w:val="18"/>
              </w:rPr>
            </w:pPr>
            <w:r>
              <w:rPr>
                <w:rFonts w:hint="eastAsia" w:ascii="宋体" w:hAnsi="宋体" w:cs="宋体"/>
                <w:kern w:val="0"/>
                <w:sz w:val="18"/>
                <w:szCs w:val="18"/>
              </w:rPr>
              <w:t>募集资金结余的金额及形成原因</w:t>
            </w:r>
          </w:p>
        </w:tc>
        <w:tc>
          <w:tcPr>
            <w:tcW w:w="3038" w:type="pct"/>
            <w:gridSpan w:val="8"/>
            <w:shd w:val="clear" w:color="auto" w:fill="auto"/>
            <w:vAlign w:val="center"/>
          </w:tcPr>
          <w:p w14:paraId="36EC4E10">
            <w:pPr>
              <w:adjustRightInd w:val="0"/>
              <w:jc w:val="left"/>
              <w:rPr>
                <w:rFonts w:ascii="宋体" w:hAnsi="宋体" w:cs="宋体"/>
                <w:kern w:val="0"/>
                <w:sz w:val="18"/>
                <w:szCs w:val="18"/>
              </w:rPr>
            </w:pPr>
            <w:r>
              <w:rPr>
                <w:rFonts w:hint="eastAsia" w:ascii="宋体" w:hAnsi="宋体" w:cs="宋体"/>
                <w:kern w:val="0"/>
                <w:sz w:val="18"/>
                <w:szCs w:val="18"/>
                <w:lang w:val="en-US" w:eastAsia="zh-CN"/>
              </w:rPr>
              <w:t>截至2024年12月31日，公司尚未使用的募集资金</w:t>
            </w:r>
            <w:r>
              <w:rPr>
                <w:rFonts w:hint="eastAsia" w:ascii="宋体" w:hAnsi="宋体" w:cs="宋体"/>
                <w:kern w:val="0"/>
                <w:sz w:val="18"/>
                <w:szCs w:val="18"/>
              </w:rPr>
              <w:t>3,091,495.62</w:t>
            </w:r>
            <w:r>
              <w:rPr>
                <w:rFonts w:hint="eastAsia" w:ascii="宋体" w:hAnsi="宋体" w:cs="宋体"/>
                <w:kern w:val="0"/>
                <w:sz w:val="18"/>
                <w:szCs w:val="18"/>
                <w:lang w:val="en-US" w:eastAsia="zh-CN"/>
              </w:rPr>
              <w:t>存放于募集资金账户中。</w:t>
            </w:r>
          </w:p>
        </w:tc>
      </w:tr>
      <w:tr w14:paraId="13DE88F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961" w:type="pct"/>
            <w:gridSpan w:val="5"/>
            <w:shd w:val="clear" w:color="auto" w:fill="auto"/>
            <w:vAlign w:val="center"/>
          </w:tcPr>
          <w:p w14:paraId="3261F8E8">
            <w:pPr>
              <w:adjustRightInd w:val="0"/>
              <w:jc w:val="left"/>
              <w:rPr>
                <w:rFonts w:ascii="宋体" w:hAnsi="宋体" w:cs="宋体"/>
                <w:kern w:val="0"/>
                <w:sz w:val="18"/>
                <w:szCs w:val="18"/>
              </w:rPr>
            </w:pPr>
            <w:r>
              <w:rPr>
                <w:rFonts w:hint="eastAsia" w:ascii="宋体" w:hAnsi="宋体" w:cs="宋体"/>
                <w:kern w:val="0"/>
                <w:sz w:val="18"/>
                <w:szCs w:val="18"/>
              </w:rPr>
              <w:t>募集资金其他使用情况</w:t>
            </w:r>
          </w:p>
        </w:tc>
        <w:tc>
          <w:tcPr>
            <w:tcW w:w="3038" w:type="pct"/>
            <w:gridSpan w:val="8"/>
            <w:shd w:val="clear" w:color="auto" w:fill="auto"/>
            <w:vAlign w:val="center"/>
          </w:tcPr>
          <w:p w14:paraId="3383EB89">
            <w:pPr>
              <w:adjustRightInd w:val="0"/>
              <w:jc w:val="left"/>
              <w:rPr>
                <w:rFonts w:hint="default" w:ascii="宋体" w:hAnsi="宋体" w:eastAsia="宋体" w:cs="宋体"/>
                <w:kern w:val="0"/>
                <w:sz w:val="18"/>
                <w:szCs w:val="18"/>
                <w:lang w:val="en-US" w:eastAsia="zh-CN"/>
              </w:rPr>
            </w:pPr>
            <w:r>
              <w:rPr>
                <w:rFonts w:hint="default" w:ascii="宋体" w:hAnsi="宋体" w:eastAsia="宋体" w:cs="宋体"/>
                <w:kern w:val="0"/>
                <w:sz w:val="18"/>
                <w:szCs w:val="18"/>
                <w:lang w:val="en-US" w:eastAsia="zh-CN"/>
              </w:rPr>
              <w:t>公司2022年8月23日第三届董事会第十三次会议审议通过</w:t>
            </w:r>
            <w:r>
              <w:rPr>
                <w:rFonts w:hint="eastAsia" w:ascii="宋体" w:hAnsi="宋体" w:cs="宋体"/>
                <w:kern w:val="0"/>
                <w:sz w:val="18"/>
                <w:szCs w:val="18"/>
                <w:lang w:val="en-US" w:eastAsia="zh-CN"/>
              </w:rPr>
              <w:t>了</w:t>
            </w:r>
            <w:r>
              <w:rPr>
                <w:rFonts w:hint="default" w:ascii="宋体" w:hAnsi="宋体" w:eastAsia="宋体" w:cs="宋体"/>
                <w:kern w:val="0"/>
                <w:sz w:val="18"/>
                <w:szCs w:val="18"/>
                <w:lang w:val="en-US" w:eastAsia="zh-CN"/>
              </w:rPr>
              <w:t>《关于使用银行承兑汇票、信用证方式支付募投项目资金并以募集资金等额置换的议案》，同意公司根据实际需要以银行承兑汇票、信用证方式先行支付募投项目所涉款项，再以募集资金进行等额置换，并从募集资金专户划转至公司自有资金账户。2024年度</w:t>
            </w:r>
            <w:r>
              <w:rPr>
                <w:rFonts w:hint="eastAsia" w:ascii="宋体" w:hAnsi="宋体" w:cs="宋体"/>
                <w:kern w:val="0"/>
                <w:sz w:val="18"/>
                <w:szCs w:val="18"/>
                <w:lang w:val="en-US" w:eastAsia="zh-CN"/>
              </w:rPr>
              <w:t>实际置换募集资金金额为150,509,894.67元。</w:t>
            </w:r>
          </w:p>
        </w:tc>
      </w:tr>
      <w:bookmarkEnd w:id="1"/>
    </w:tbl>
    <w:p w14:paraId="5AAAD814">
      <w:pPr>
        <w:keepNext w:val="0"/>
        <w:keepLines w:val="0"/>
        <w:pageBreakBefore w:val="0"/>
        <w:widowControl w:val="0"/>
        <w:kinsoku/>
        <w:wordWrap/>
        <w:overflowPunct/>
        <w:topLinePunct w:val="0"/>
        <w:autoSpaceDE/>
        <w:autoSpaceDN/>
        <w:bidi w:val="0"/>
        <w:adjustRightInd/>
        <w:snapToGrid/>
        <w:spacing w:line="312" w:lineRule="auto"/>
        <w:ind w:right="420" w:firstLine="420" w:firstLineChars="200"/>
        <w:textAlignment w:val="auto"/>
        <w:rPr>
          <w:rFonts w:hint="eastAsia" w:ascii="宋体" w:hAnsi="宋体" w:cs="宋体"/>
          <w:kern w:val="0"/>
          <w:sz w:val="21"/>
          <w:szCs w:val="21"/>
          <w:lang w:val="en-US" w:eastAsia="zh-CN"/>
        </w:rPr>
      </w:pPr>
      <w:r>
        <w:rPr>
          <w:rFonts w:hint="eastAsia" w:ascii="宋体" w:hAnsi="宋体" w:cs="宋体"/>
          <w:kern w:val="0"/>
          <w:sz w:val="21"/>
          <w:szCs w:val="21"/>
          <w:lang w:val="en-US" w:eastAsia="zh-CN"/>
        </w:rPr>
        <w:t>[注1]</w:t>
      </w:r>
      <w:r>
        <w:rPr>
          <w:rFonts w:hint="eastAsia" w:ascii="宋体" w:hAnsi="宋体" w:eastAsia="宋体" w:cs="宋体"/>
          <w:kern w:val="0"/>
          <w:sz w:val="21"/>
          <w:szCs w:val="21"/>
        </w:rPr>
        <w:t>低铁损高磁感硅钢铁心智能制造项目</w:t>
      </w:r>
      <w:r>
        <w:rPr>
          <w:rFonts w:hint="eastAsia" w:ascii="宋体" w:hAnsi="宋体" w:cs="宋体"/>
          <w:kern w:val="0"/>
          <w:sz w:val="21"/>
          <w:szCs w:val="21"/>
          <w:lang w:val="en-US" w:eastAsia="zh-CN"/>
        </w:rPr>
        <w:t>的实际累计投入金额大于承诺投入金额，系募集资金账户存续期间产生的利息及现金管理收益</w:t>
      </w:r>
    </w:p>
    <w:p w14:paraId="5BDCDFFB">
      <w:pPr>
        <w:keepNext w:val="0"/>
        <w:keepLines w:val="0"/>
        <w:pageBreakBefore w:val="0"/>
        <w:widowControl w:val="0"/>
        <w:kinsoku/>
        <w:wordWrap/>
        <w:overflowPunct/>
        <w:topLinePunct w:val="0"/>
        <w:autoSpaceDE/>
        <w:autoSpaceDN/>
        <w:bidi w:val="0"/>
        <w:adjustRightInd/>
        <w:snapToGrid/>
        <w:spacing w:line="312" w:lineRule="auto"/>
        <w:ind w:right="420" w:firstLine="420" w:firstLineChars="200"/>
        <w:textAlignment w:val="auto"/>
        <w:rPr>
          <w:rFonts w:ascii="宋体" w:hAnsi="宋体" w:cs="宋体"/>
          <w:kern w:val="0"/>
          <w:szCs w:val="21"/>
        </w:rPr>
      </w:pPr>
      <w:r>
        <w:rPr>
          <w:rFonts w:hint="eastAsia" w:ascii="宋体" w:hAnsi="宋体" w:cs="宋体"/>
          <w:kern w:val="0"/>
          <w:sz w:val="21"/>
          <w:szCs w:val="21"/>
          <w:lang w:val="en-US" w:eastAsia="zh-CN"/>
        </w:rPr>
        <w:t>[注2]智控设备及金属制品智能工厂建设项目（一期）的实际累计投入金额大于承诺投入金额，系从</w:t>
      </w:r>
      <w:r>
        <w:rPr>
          <w:rFonts w:hint="eastAsia" w:ascii="宋体" w:hAnsi="宋体" w:cs="宋体"/>
          <w:kern w:val="0"/>
          <w:szCs w:val="21"/>
        </w:rPr>
        <w:t>智能成套电气设备产业基地建设项目、110kV及以下节能型变压器智能化工厂技改项目和研发中心及信息化建设项目</w:t>
      </w:r>
      <w:r>
        <w:rPr>
          <w:rFonts w:hint="eastAsia" w:ascii="宋体" w:hAnsi="宋体" w:cs="宋体"/>
          <w:kern w:val="0"/>
          <w:szCs w:val="21"/>
          <w:lang w:val="en-US" w:eastAsia="zh-CN"/>
        </w:rPr>
        <w:t>转入节余募集资金</w:t>
      </w:r>
      <w:r>
        <w:rPr>
          <w:rFonts w:hint="eastAsia" w:ascii="宋体" w:hAnsi="宋体" w:cs="宋体"/>
          <w:kern w:val="0"/>
          <w:szCs w:val="21"/>
        </w:rPr>
        <w:t>9,281.94万元</w:t>
      </w:r>
      <w:r>
        <w:rPr>
          <w:rFonts w:hint="eastAsia" w:ascii="宋体" w:hAnsi="宋体" w:cs="宋体"/>
          <w:kern w:val="0"/>
          <w:szCs w:val="21"/>
          <w:lang w:eastAsia="zh-CN"/>
        </w:rPr>
        <w:t>。</w:t>
      </w:r>
      <w:r>
        <w:rPr>
          <w:rFonts w:ascii="宋体" w:hAnsi="宋体" w:cs="宋体"/>
          <w:kern w:val="0"/>
          <w:szCs w:val="21"/>
        </w:rPr>
        <w:br w:type="page"/>
      </w:r>
    </w:p>
    <w:p w14:paraId="20316D23">
      <w:pPr>
        <w:spacing w:line="360" w:lineRule="auto"/>
        <w:rPr>
          <w:rFonts w:hint="eastAsia" w:ascii="宋体" w:hAnsi="宋体" w:cs="宋体"/>
          <w:kern w:val="0"/>
          <w:szCs w:val="21"/>
        </w:rPr>
        <w:sectPr>
          <w:pgSz w:w="16838" w:h="11906" w:orient="landscape"/>
          <w:pgMar w:top="1701" w:right="1440" w:bottom="1701" w:left="1440" w:header="851" w:footer="992" w:gutter="0"/>
          <w:pgBorders>
            <w:top w:val="none" w:sz="0" w:space="0"/>
            <w:left w:val="none" w:sz="0" w:space="0"/>
            <w:bottom w:val="none" w:sz="0" w:space="0"/>
            <w:right w:val="none" w:sz="0" w:space="0"/>
          </w:pgBorders>
          <w:cols w:space="0" w:num="1"/>
          <w:rtlGutter w:val="0"/>
          <w:docGrid w:type="linesAndChars" w:linePitch="312" w:charSpace="0"/>
        </w:sectPr>
      </w:pPr>
    </w:p>
    <w:p w14:paraId="20B69271">
      <w:pPr>
        <w:spacing w:line="360" w:lineRule="auto"/>
        <w:rPr>
          <w:rFonts w:ascii="黑体" w:hAnsi="宋体" w:eastAsia="黑体" w:cs="宋体"/>
          <w:b/>
          <w:bCs/>
          <w:kern w:val="0"/>
          <w:sz w:val="28"/>
          <w:szCs w:val="28"/>
        </w:rPr>
      </w:pPr>
      <w:r>
        <w:rPr>
          <w:rFonts w:hint="eastAsia" w:ascii="宋体" w:hAnsi="宋体" w:cs="宋体"/>
          <w:kern w:val="0"/>
          <w:szCs w:val="21"/>
        </w:rPr>
        <w:t>附件2</w:t>
      </w:r>
    </w:p>
    <w:p w14:paraId="14579ECC">
      <w:pPr>
        <w:jc w:val="center"/>
        <w:rPr>
          <w:rFonts w:ascii="黑体" w:hAnsi="宋体" w:eastAsia="黑体" w:cs="宋体"/>
          <w:b/>
          <w:bCs/>
          <w:kern w:val="0"/>
          <w:sz w:val="28"/>
          <w:szCs w:val="28"/>
        </w:rPr>
      </w:pPr>
      <w:r>
        <w:rPr>
          <w:rFonts w:hint="eastAsia" w:ascii="黑体" w:hAnsi="宋体" w:eastAsia="黑体" w:cs="宋体"/>
          <w:b/>
          <w:bCs/>
          <w:kern w:val="0"/>
          <w:sz w:val="28"/>
          <w:szCs w:val="28"/>
        </w:rPr>
        <w:t>变更募集资金投资项目情况表</w:t>
      </w:r>
    </w:p>
    <w:p w14:paraId="452256F6">
      <w:pPr>
        <w:spacing w:line="360" w:lineRule="auto"/>
        <w:jc w:val="center"/>
        <w:rPr>
          <w:rFonts w:ascii="宋体" w:hAnsi="宋体" w:cs="宋体"/>
          <w:kern w:val="0"/>
          <w:szCs w:val="21"/>
        </w:rPr>
      </w:pPr>
      <w:r>
        <w:rPr>
          <w:rFonts w:hint="eastAsia" w:ascii="宋体" w:hAnsi="宋体" w:cs="宋体"/>
          <w:kern w:val="0"/>
          <w:szCs w:val="21"/>
        </w:rPr>
        <w:t>20</w:t>
      </w:r>
      <w:r>
        <w:rPr>
          <w:rFonts w:hint="eastAsia" w:ascii="宋体" w:hAnsi="宋体"/>
          <w:lang w:val="en-US" w:eastAsia="zh-CN"/>
        </w:rPr>
        <w:t>24</w:t>
      </w:r>
      <w:r>
        <w:rPr>
          <w:rFonts w:hint="eastAsia" w:ascii="宋体" w:hAnsi="宋体" w:cs="宋体"/>
          <w:kern w:val="0"/>
          <w:szCs w:val="21"/>
        </w:rPr>
        <w:t>年度</w:t>
      </w:r>
    </w:p>
    <w:p w14:paraId="5A986693">
      <w:pPr>
        <w:spacing w:line="360" w:lineRule="auto"/>
        <w:rPr>
          <w:rFonts w:ascii="宋体" w:hAnsi="宋体"/>
          <w:szCs w:val="21"/>
        </w:rPr>
      </w:pPr>
      <w:r>
        <w:rPr>
          <w:rFonts w:hint="eastAsia" w:ascii="宋体" w:hAnsi="宋体" w:cs="宋体"/>
          <w:kern w:val="0"/>
          <w:szCs w:val="21"/>
        </w:rPr>
        <w:t>编制单位：</w:t>
      </w:r>
      <w:r>
        <w:rPr>
          <w:rFonts w:hint="eastAsia" w:ascii="宋体" w:hAnsi="宋体" w:cs="宋体"/>
          <w:kern w:val="0"/>
          <w:szCs w:val="21"/>
          <w:lang w:val="en-US" w:eastAsia="zh-CN"/>
        </w:rPr>
        <w:t>重庆望变电气（集团）</w:t>
      </w:r>
      <w:r>
        <w:rPr>
          <w:rFonts w:hint="eastAsia" w:ascii="宋体" w:hAnsi="宋体" w:cs="宋体"/>
          <w:kern w:val="0"/>
          <w:szCs w:val="21"/>
        </w:rPr>
        <w:t>股份有限公司</w:t>
      </w:r>
      <w:r>
        <w:rPr>
          <w:rFonts w:hint="eastAsia" w:ascii="宋体" w:hAnsi="宋体" w:cs="宋体"/>
          <w:kern w:val="0"/>
          <w:szCs w:val="21"/>
        </w:rPr>
        <w:tab/>
      </w:r>
      <w:r>
        <w:rPr>
          <w:rFonts w:hint="eastAsia" w:ascii="宋体" w:hAnsi="宋体" w:cs="宋体"/>
          <w:kern w:val="0"/>
          <w:szCs w:val="21"/>
        </w:rPr>
        <w:tab/>
      </w:r>
      <w:r>
        <w:rPr>
          <w:rFonts w:hint="eastAsia" w:ascii="宋体" w:hAnsi="宋体" w:cs="宋体"/>
          <w:kern w:val="0"/>
          <w:szCs w:val="21"/>
        </w:rPr>
        <w:tab/>
      </w:r>
      <w:r>
        <w:rPr>
          <w:rFonts w:hint="eastAsia" w:ascii="宋体" w:hAnsi="宋体" w:cs="宋体"/>
          <w:kern w:val="0"/>
          <w:szCs w:val="21"/>
        </w:rPr>
        <w:tab/>
      </w:r>
      <w:r>
        <w:rPr>
          <w:rFonts w:hint="eastAsia" w:ascii="宋体" w:hAnsi="宋体" w:cs="宋体"/>
          <w:kern w:val="0"/>
          <w:szCs w:val="21"/>
        </w:rPr>
        <w:tab/>
      </w:r>
      <w:r>
        <w:rPr>
          <w:rFonts w:hint="eastAsia" w:ascii="宋体" w:hAnsi="宋体" w:cs="宋体"/>
          <w:kern w:val="0"/>
          <w:szCs w:val="21"/>
        </w:rPr>
        <w:tab/>
      </w:r>
      <w:r>
        <w:rPr>
          <w:rFonts w:hint="eastAsia" w:ascii="宋体" w:hAnsi="宋体" w:cs="宋体"/>
          <w:kern w:val="0"/>
          <w:szCs w:val="21"/>
        </w:rPr>
        <w:tab/>
      </w:r>
      <w:r>
        <w:rPr>
          <w:rFonts w:hint="eastAsia" w:ascii="宋体" w:hAnsi="宋体" w:cs="宋体"/>
          <w:kern w:val="0"/>
          <w:szCs w:val="21"/>
        </w:rPr>
        <w:tab/>
      </w:r>
      <w:r>
        <w:rPr>
          <w:rFonts w:hint="eastAsia" w:ascii="宋体" w:hAnsi="宋体" w:cs="宋体"/>
          <w:kern w:val="0"/>
          <w:szCs w:val="21"/>
        </w:rPr>
        <w:tab/>
      </w:r>
      <w:r>
        <w:rPr>
          <w:rFonts w:hint="eastAsia" w:ascii="宋体" w:hAnsi="宋体" w:cs="宋体"/>
          <w:kern w:val="0"/>
          <w:szCs w:val="21"/>
        </w:rPr>
        <w:tab/>
      </w:r>
      <w:r>
        <w:rPr>
          <w:rFonts w:hint="eastAsia" w:ascii="宋体" w:hAnsi="宋体" w:cs="宋体"/>
          <w:kern w:val="0"/>
          <w:szCs w:val="21"/>
        </w:rPr>
        <w:tab/>
      </w:r>
      <w:r>
        <w:rPr>
          <w:rFonts w:hint="eastAsia" w:ascii="宋体" w:hAnsi="宋体" w:cs="宋体"/>
          <w:kern w:val="0"/>
          <w:szCs w:val="21"/>
        </w:rPr>
        <w:tab/>
      </w:r>
      <w:r>
        <w:rPr>
          <w:rFonts w:hint="eastAsia" w:ascii="宋体" w:hAnsi="宋体" w:cs="宋体"/>
          <w:kern w:val="0"/>
          <w:szCs w:val="21"/>
        </w:rPr>
        <w:tab/>
      </w:r>
      <w:r>
        <w:rPr>
          <w:rFonts w:hint="eastAsia" w:ascii="宋体" w:hAnsi="宋体" w:cs="宋体"/>
          <w:kern w:val="0"/>
          <w:szCs w:val="21"/>
        </w:rPr>
        <w:tab/>
      </w:r>
      <w:r>
        <w:rPr>
          <w:rFonts w:hint="eastAsia" w:ascii="宋体" w:hAnsi="宋体" w:cs="宋体"/>
          <w:kern w:val="0"/>
          <w:szCs w:val="21"/>
        </w:rPr>
        <w:tab/>
      </w:r>
      <w:r>
        <w:rPr>
          <w:rFonts w:hint="eastAsia" w:ascii="宋体" w:hAnsi="宋体" w:cs="宋体"/>
          <w:kern w:val="0"/>
          <w:szCs w:val="21"/>
        </w:rPr>
        <w:tab/>
      </w:r>
      <w:r>
        <w:rPr>
          <w:rFonts w:hint="eastAsia" w:ascii="宋体" w:hAnsi="宋体" w:cs="宋体"/>
          <w:kern w:val="0"/>
          <w:szCs w:val="21"/>
        </w:rPr>
        <w:tab/>
      </w:r>
      <w:r>
        <w:rPr>
          <w:rFonts w:hint="eastAsia" w:ascii="宋体" w:hAnsi="宋体" w:cs="宋体"/>
          <w:kern w:val="0"/>
          <w:szCs w:val="21"/>
        </w:rPr>
        <w:tab/>
      </w:r>
      <w:r>
        <w:rPr>
          <w:rFonts w:hint="eastAsia" w:ascii="宋体" w:hAnsi="宋体" w:cs="宋体"/>
          <w:kern w:val="0"/>
          <w:szCs w:val="21"/>
          <w:lang w:val="en-US" w:eastAsia="zh-CN"/>
        </w:rPr>
        <w:t>金额</w:t>
      </w:r>
      <w:r>
        <w:rPr>
          <w:rFonts w:hint="eastAsia" w:ascii="宋体" w:hAnsi="宋体" w:cs="宋体"/>
          <w:kern w:val="0"/>
          <w:szCs w:val="21"/>
        </w:rPr>
        <w:t>单位：人民币万元</w:t>
      </w:r>
    </w:p>
    <w:tbl>
      <w:tblPr>
        <w:tblStyle w:val="10"/>
        <w:tblW w:w="4999"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1110"/>
        <w:gridCol w:w="1377"/>
        <w:gridCol w:w="1539"/>
        <w:gridCol w:w="1317"/>
        <w:gridCol w:w="1239"/>
        <w:gridCol w:w="1344"/>
        <w:gridCol w:w="1214"/>
        <w:gridCol w:w="845"/>
        <w:gridCol w:w="1018"/>
        <w:gridCol w:w="1610"/>
      </w:tblGrid>
      <w:tr w14:paraId="17092BB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49" w:type="pct"/>
            <w:shd w:val="clear" w:color="auto" w:fill="auto"/>
            <w:vAlign w:val="center"/>
          </w:tcPr>
          <w:p w14:paraId="2FB393DC">
            <w:pPr>
              <w:keepNext w:val="0"/>
              <w:keepLines w:val="0"/>
              <w:pageBreakBefore w:val="0"/>
              <w:widowControl/>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变更后的项目</w:t>
            </w:r>
          </w:p>
        </w:tc>
        <w:tc>
          <w:tcPr>
            <w:tcW w:w="391" w:type="pct"/>
            <w:shd w:val="clear" w:color="auto" w:fill="auto"/>
            <w:vAlign w:val="center"/>
          </w:tcPr>
          <w:p w14:paraId="095D9D4C">
            <w:pPr>
              <w:keepNext w:val="0"/>
              <w:keepLines w:val="0"/>
              <w:pageBreakBefore w:val="0"/>
              <w:widowControl/>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对应的原项目</w:t>
            </w:r>
          </w:p>
        </w:tc>
        <w:tc>
          <w:tcPr>
            <w:tcW w:w="485" w:type="pct"/>
            <w:shd w:val="clear" w:color="auto" w:fill="auto"/>
            <w:vAlign w:val="center"/>
          </w:tcPr>
          <w:p w14:paraId="4F4D28B0">
            <w:pPr>
              <w:keepNext w:val="0"/>
              <w:keepLines w:val="0"/>
              <w:pageBreakBefore w:val="0"/>
              <w:widowControl/>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变更后项目拟投入募集资金总额</w:t>
            </w:r>
          </w:p>
        </w:tc>
        <w:tc>
          <w:tcPr>
            <w:tcW w:w="542" w:type="pct"/>
            <w:shd w:val="clear" w:color="auto" w:fill="auto"/>
            <w:vAlign w:val="center"/>
          </w:tcPr>
          <w:p w14:paraId="4EF04B94">
            <w:pPr>
              <w:keepNext w:val="0"/>
              <w:keepLines w:val="0"/>
              <w:pageBreakBefore w:val="0"/>
              <w:widowControl/>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截至期末计划</w:t>
            </w:r>
          </w:p>
          <w:p w14:paraId="0CB6573C">
            <w:pPr>
              <w:keepNext w:val="0"/>
              <w:keepLines w:val="0"/>
              <w:pageBreakBefore w:val="0"/>
              <w:widowControl/>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累计投入金额</w:t>
            </w:r>
          </w:p>
          <w:p w14:paraId="51782FAC">
            <w:pPr>
              <w:keepNext w:val="0"/>
              <w:keepLines w:val="0"/>
              <w:pageBreakBefore w:val="0"/>
              <w:widowControl/>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464" w:type="pct"/>
            <w:shd w:val="clear" w:color="auto" w:fill="auto"/>
            <w:vAlign w:val="center"/>
          </w:tcPr>
          <w:p w14:paraId="39B7D51E">
            <w:pPr>
              <w:keepNext w:val="0"/>
              <w:keepLines w:val="0"/>
              <w:pageBreakBefore w:val="0"/>
              <w:widowControl/>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本年度</w:t>
            </w:r>
          </w:p>
          <w:p w14:paraId="2ECB2E29">
            <w:pPr>
              <w:keepNext w:val="0"/>
              <w:keepLines w:val="0"/>
              <w:pageBreakBefore w:val="0"/>
              <w:widowControl/>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实际投入金额</w:t>
            </w:r>
          </w:p>
        </w:tc>
        <w:tc>
          <w:tcPr>
            <w:tcW w:w="437" w:type="pct"/>
            <w:shd w:val="clear" w:color="auto" w:fill="auto"/>
            <w:vAlign w:val="center"/>
          </w:tcPr>
          <w:p w14:paraId="206661F8">
            <w:pPr>
              <w:keepNext w:val="0"/>
              <w:keepLines w:val="0"/>
              <w:pageBreakBefore w:val="0"/>
              <w:widowControl/>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实际累计投入金额(2)</w:t>
            </w:r>
          </w:p>
        </w:tc>
        <w:tc>
          <w:tcPr>
            <w:tcW w:w="474" w:type="pct"/>
            <w:shd w:val="clear" w:color="auto" w:fill="auto"/>
            <w:vAlign w:val="center"/>
          </w:tcPr>
          <w:p w14:paraId="2CEED998">
            <w:pPr>
              <w:keepNext w:val="0"/>
              <w:keepLines w:val="0"/>
              <w:pageBreakBefore w:val="0"/>
              <w:widowControl/>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投资进度（%）</w:t>
            </w:r>
          </w:p>
          <w:p w14:paraId="081C57E5">
            <w:pPr>
              <w:keepNext w:val="0"/>
              <w:keepLines w:val="0"/>
              <w:pageBreakBefore w:val="0"/>
              <w:widowControl/>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(3)=(2)/(1)</w:t>
            </w:r>
          </w:p>
        </w:tc>
        <w:tc>
          <w:tcPr>
            <w:tcW w:w="428" w:type="pct"/>
            <w:shd w:val="clear" w:color="auto" w:fill="auto"/>
            <w:vAlign w:val="center"/>
          </w:tcPr>
          <w:p w14:paraId="67689324">
            <w:pPr>
              <w:keepNext w:val="0"/>
              <w:keepLines w:val="0"/>
              <w:pageBreakBefore w:val="0"/>
              <w:widowControl/>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项目达到</w:t>
            </w:r>
          </w:p>
          <w:p w14:paraId="2AFB777C">
            <w:pPr>
              <w:keepNext w:val="0"/>
              <w:keepLines w:val="0"/>
              <w:pageBreakBefore w:val="0"/>
              <w:widowControl/>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预定可使用状态日期</w:t>
            </w:r>
          </w:p>
        </w:tc>
        <w:tc>
          <w:tcPr>
            <w:tcW w:w="298" w:type="pct"/>
            <w:shd w:val="clear" w:color="auto" w:fill="auto"/>
            <w:vAlign w:val="center"/>
          </w:tcPr>
          <w:p w14:paraId="17DB6B30">
            <w:pPr>
              <w:keepNext w:val="0"/>
              <w:keepLines w:val="0"/>
              <w:pageBreakBefore w:val="0"/>
              <w:widowControl/>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本年度实现的效益</w:t>
            </w:r>
          </w:p>
        </w:tc>
        <w:tc>
          <w:tcPr>
            <w:tcW w:w="359" w:type="pct"/>
            <w:shd w:val="clear" w:color="auto" w:fill="auto"/>
            <w:vAlign w:val="center"/>
          </w:tcPr>
          <w:p w14:paraId="6E76F679">
            <w:pPr>
              <w:keepNext w:val="0"/>
              <w:keepLines w:val="0"/>
              <w:pageBreakBefore w:val="0"/>
              <w:widowControl/>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是否达到预计效益</w:t>
            </w:r>
          </w:p>
        </w:tc>
        <w:tc>
          <w:tcPr>
            <w:tcW w:w="568" w:type="pct"/>
            <w:shd w:val="clear" w:color="auto" w:fill="auto"/>
            <w:vAlign w:val="center"/>
          </w:tcPr>
          <w:p w14:paraId="2E2C84B7">
            <w:pPr>
              <w:keepNext w:val="0"/>
              <w:keepLines w:val="0"/>
              <w:pageBreakBefore w:val="0"/>
              <w:widowControl/>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变更后的项目</w:t>
            </w:r>
          </w:p>
          <w:p w14:paraId="75FC9F50">
            <w:pPr>
              <w:keepNext w:val="0"/>
              <w:keepLines w:val="0"/>
              <w:pageBreakBefore w:val="0"/>
              <w:widowControl/>
              <w:kinsoku/>
              <w:wordWrap/>
              <w:overflowPunct/>
              <w:topLinePunct w:val="0"/>
              <w:autoSpaceDE/>
              <w:autoSpaceDN/>
              <w:bidi w:val="0"/>
              <w:adjustRightInd/>
              <w:snapToGrid/>
              <w:spacing w:line="0" w:lineRule="atLeast"/>
              <w:ind w:left="-105" w:leftChars="-50" w:right="-105" w:rightChars="-5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可行性是否发生重大变化</w:t>
            </w:r>
          </w:p>
        </w:tc>
      </w:tr>
      <w:tr w14:paraId="1E99C2C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49" w:type="pct"/>
            <w:shd w:val="clear" w:color="auto" w:fill="auto"/>
            <w:vAlign w:val="center"/>
          </w:tcPr>
          <w:p w14:paraId="382EB09A">
            <w:pPr>
              <w:keepNext w:val="0"/>
              <w:keepLines w:val="0"/>
              <w:pageBreakBefore w:val="0"/>
              <w:widowControl/>
              <w:kinsoku/>
              <w:wordWrap/>
              <w:overflowPunct/>
              <w:topLinePunct w:val="0"/>
              <w:autoSpaceDE/>
              <w:autoSpaceDN/>
              <w:bidi w:val="0"/>
              <w:adjustRightInd/>
              <w:snapToGrid/>
              <w:spacing w:line="0" w:lineRule="atLeast"/>
              <w:ind w:left="0" w:leftChars="0" w:right="0" w:rightChars="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智控设备及金属制品智能工厂建设项目（一期）</w:t>
            </w:r>
          </w:p>
        </w:tc>
        <w:tc>
          <w:tcPr>
            <w:tcW w:w="391" w:type="pct"/>
            <w:shd w:val="clear" w:color="auto" w:fill="auto"/>
            <w:vAlign w:val="center"/>
          </w:tcPr>
          <w:p w14:paraId="792233EE">
            <w:pPr>
              <w:keepNext w:val="0"/>
              <w:keepLines w:val="0"/>
              <w:pageBreakBefore w:val="0"/>
              <w:widowControl/>
              <w:kinsoku/>
              <w:wordWrap/>
              <w:overflowPunct/>
              <w:topLinePunct w:val="0"/>
              <w:autoSpaceDE/>
              <w:autoSpaceDN/>
              <w:bidi w:val="0"/>
              <w:adjustRightInd/>
              <w:snapToGrid/>
              <w:spacing w:line="0" w:lineRule="atLeast"/>
              <w:ind w:left="-105" w:leftChars="-50" w:right="-105" w:rightChars="-50"/>
              <w:jc w:val="center"/>
              <w:textAlignment w:val="auto"/>
              <w:rPr>
                <w:rFonts w:hint="default" w:ascii="宋体" w:hAnsi="宋体" w:eastAsia="宋体" w:cs="宋体"/>
                <w:kern w:val="0"/>
                <w:sz w:val="18"/>
                <w:szCs w:val="18"/>
                <w:lang w:val="en-US" w:eastAsia="zh-CN"/>
              </w:rPr>
            </w:pPr>
            <w:r>
              <w:rPr>
                <w:rFonts w:hint="eastAsia" w:ascii="宋体" w:hAnsi="宋体" w:cs="宋体"/>
                <w:kern w:val="0"/>
                <w:sz w:val="18"/>
                <w:szCs w:val="18"/>
              </w:rPr>
              <w:t>智能成套电气设备产业基地项目</w:t>
            </w:r>
          </w:p>
        </w:tc>
        <w:tc>
          <w:tcPr>
            <w:tcW w:w="1377" w:type="dxa"/>
            <w:shd w:val="clear" w:color="auto" w:fill="auto"/>
            <w:vAlign w:val="center"/>
          </w:tcPr>
          <w:p w14:paraId="706C975C">
            <w:pPr>
              <w:keepNext w:val="0"/>
              <w:keepLines w:val="0"/>
              <w:pageBreakBefore w:val="0"/>
              <w:widowControl/>
              <w:kinsoku/>
              <w:wordWrap/>
              <w:overflowPunct/>
              <w:topLinePunct w:val="0"/>
              <w:autoSpaceDE/>
              <w:autoSpaceDN/>
              <w:bidi w:val="0"/>
              <w:adjustRightInd/>
              <w:snapToGrid/>
              <w:spacing w:line="0" w:lineRule="atLeast"/>
              <w:ind w:left="-105" w:leftChars="-50"/>
              <w:jc w:val="righ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 xml:space="preserve">14,774.44 </w:t>
            </w:r>
          </w:p>
        </w:tc>
        <w:tc>
          <w:tcPr>
            <w:tcW w:w="1539" w:type="dxa"/>
            <w:shd w:val="clear" w:color="auto" w:fill="auto"/>
            <w:vAlign w:val="center"/>
          </w:tcPr>
          <w:p w14:paraId="0860CE1F">
            <w:pPr>
              <w:keepNext w:val="0"/>
              <w:keepLines w:val="0"/>
              <w:pageBreakBefore w:val="0"/>
              <w:widowControl/>
              <w:kinsoku/>
              <w:wordWrap/>
              <w:overflowPunct/>
              <w:topLinePunct w:val="0"/>
              <w:autoSpaceDE/>
              <w:autoSpaceDN/>
              <w:bidi w:val="0"/>
              <w:adjustRightInd/>
              <w:snapToGrid/>
              <w:spacing w:line="0" w:lineRule="atLeast"/>
              <w:ind w:left="-105" w:leftChars="-50"/>
              <w:jc w:val="right"/>
              <w:rPr>
                <w:rFonts w:ascii="宋体" w:hAnsi="宋体" w:cs="宋体"/>
                <w:kern w:val="0"/>
                <w:sz w:val="18"/>
                <w:szCs w:val="18"/>
              </w:rPr>
            </w:pPr>
            <w:r>
              <w:rPr>
                <w:rFonts w:hint="eastAsia" w:ascii="宋体" w:hAnsi="宋体" w:eastAsia="宋体" w:cs="宋体"/>
                <w:kern w:val="0"/>
                <w:sz w:val="18"/>
                <w:szCs w:val="18"/>
              </w:rPr>
              <w:t xml:space="preserve">14,774.44 </w:t>
            </w:r>
          </w:p>
        </w:tc>
        <w:tc>
          <w:tcPr>
            <w:tcW w:w="1318" w:type="dxa"/>
            <w:shd w:val="clear" w:color="auto" w:fill="auto"/>
            <w:vAlign w:val="center"/>
          </w:tcPr>
          <w:p w14:paraId="5F509B2F">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16,373.24</w:t>
            </w:r>
          </w:p>
        </w:tc>
        <w:tc>
          <w:tcPr>
            <w:tcW w:w="1240" w:type="dxa"/>
            <w:shd w:val="clear" w:color="auto" w:fill="auto"/>
            <w:vAlign w:val="center"/>
          </w:tcPr>
          <w:p w14:paraId="04FD517D">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 16,514.57 </w:t>
            </w:r>
          </w:p>
        </w:tc>
        <w:tc>
          <w:tcPr>
            <w:tcW w:w="1344" w:type="dxa"/>
            <w:shd w:val="clear" w:color="auto" w:fill="auto"/>
            <w:vAlign w:val="center"/>
          </w:tcPr>
          <w:p w14:paraId="1B44A9F9">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111.78 </w:t>
            </w:r>
          </w:p>
        </w:tc>
        <w:tc>
          <w:tcPr>
            <w:tcW w:w="428" w:type="pct"/>
            <w:shd w:val="clear" w:color="auto" w:fill="auto"/>
            <w:vAlign w:val="center"/>
          </w:tcPr>
          <w:p w14:paraId="68DD9151">
            <w:pPr>
              <w:adjustRightInd w:val="0"/>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2025年6月</w:t>
            </w:r>
          </w:p>
        </w:tc>
        <w:tc>
          <w:tcPr>
            <w:tcW w:w="298" w:type="pct"/>
            <w:shd w:val="clear" w:color="auto" w:fill="auto"/>
            <w:vAlign w:val="center"/>
          </w:tcPr>
          <w:p w14:paraId="5CC83FD4">
            <w:pPr>
              <w:adjustRightInd w:val="0"/>
              <w:jc w:val="righ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不适用</w:t>
            </w:r>
          </w:p>
        </w:tc>
        <w:tc>
          <w:tcPr>
            <w:tcW w:w="359" w:type="pct"/>
            <w:shd w:val="clear" w:color="auto" w:fill="auto"/>
            <w:vAlign w:val="center"/>
          </w:tcPr>
          <w:p w14:paraId="66D99A26">
            <w:pPr>
              <w:adjustRightInd w:val="0"/>
              <w:jc w:val="righ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不适用</w:t>
            </w:r>
          </w:p>
        </w:tc>
        <w:tc>
          <w:tcPr>
            <w:tcW w:w="568" w:type="pct"/>
            <w:shd w:val="clear" w:color="auto" w:fill="auto"/>
            <w:vAlign w:val="center"/>
          </w:tcPr>
          <w:p w14:paraId="34DF4D6C">
            <w:pPr>
              <w:adjustRightInd w:val="0"/>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否</w:t>
            </w:r>
          </w:p>
        </w:tc>
      </w:tr>
      <w:tr w14:paraId="1CFDD0E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49" w:type="pct"/>
            <w:shd w:val="clear" w:color="auto" w:fill="auto"/>
            <w:vAlign w:val="center"/>
          </w:tcPr>
          <w:p w14:paraId="4E1E608D">
            <w:pPr>
              <w:adjustRightInd w:val="0"/>
              <w:ind w:firstLine="180" w:firstLineChars="100"/>
              <w:jc w:val="left"/>
              <w:rPr>
                <w:rFonts w:ascii="宋体" w:hAnsi="宋体" w:cs="宋体"/>
                <w:kern w:val="0"/>
                <w:sz w:val="18"/>
                <w:szCs w:val="18"/>
              </w:rPr>
            </w:pPr>
            <w:r>
              <w:rPr>
                <w:rFonts w:hint="eastAsia" w:ascii="宋体" w:hAnsi="宋体" w:cs="宋体"/>
                <w:kern w:val="0"/>
                <w:sz w:val="18"/>
                <w:szCs w:val="18"/>
              </w:rPr>
              <w:t>合</w:t>
            </w:r>
            <w:r>
              <w:rPr>
                <w:rFonts w:ascii="宋体" w:hAnsi="宋体" w:cs="宋体"/>
                <w:kern w:val="0"/>
                <w:sz w:val="18"/>
                <w:szCs w:val="18"/>
              </w:rPr>
              <w:t xml:space="preserve">  计</w:t>
            </w:r>
          </w:p>
        </w:tc>
        <w:tc>
          <w:tcPr>
            <w:tcW w:w="391" w:type="pct"/>
            <w:shd w:val="clear" w:color="auto" w:fill="auto"/>
            <w:vAlign w:val="center"/>
          </w:tcPr>
          <w:p w14:paraId="247D5E17">
            <w:pPr>
              <w:adjustRightInd w:val="0"/>
              <w:jc w:val="center"/>
              <w:rPr>
                <w:rFonts w:ascii="宋体" w:hAnsi="宋体" w:cs="宋体"/>
                <w:kern w:val="0"/>
                <w:sz w:val="18"/>
                <w:szCs w:val="18"/>
              </w:rPr>
            </w:pPr>
            <w:r>
              <w:rPr>
                <w:rFonts w:hint="eastAsia" w:ascii="宋体" w:hAnsi="宋体" w:cs="宋体"/>
                <w:kern w:val="0"/>
                <w:sz w:val="18"/>
                <w:szCs w:val="18"/>
              </w:rPr>
              <w:t>－</w:t>
            </w:r>
          </w:p>
        </w:tc>
        <w:tc>
          <w:tcPr>
            <w:tcW w:w="1377" w:type="dxa"/>
            <w:shd w:val="clear" w:color="auto" w:fill="auto"/>
            <w:vAlign w:val="center"/>
          </w:tcPr>
          <w:p w14:paraId="0CD80F5D">
            <w:pPr>
              <w:keepNext w:val="0"/>
              <w:keepLines w:val="0"/>
              <w:pageBreakBefore w:val="0"/>
              <w:widowControl/>
              <w:kinsoku/>
              <w:wordWrap/>
              <w:overflowPunct/>
              <w:topLinePunct w:val="0"/>
              <w:autoSpaceDE/>
              <w:autoSpaceDN/>
              <w:bidi w:val="0"/>
              <w:adjustRightInd/>
              <w:snapToGrid/>
              <w:spacing w:line="0" w:lineRule="atLeast"/>
              <w:ind w:left="-105" w:leftChars="-50"/>
              <w:jc w:val="right"/>
              <w:rPr>
                <w:rFonts w:ascii="宋体" w:hAnsi="宋体" w:cs="宋体"/>
                <w:kern w:val="0"/>
                <w:sz w:val="18"/>
                <w:szCs w:val="18"/>
              </w:rPr>
            </w:pPr>
            <w:r>
              <w:rPr>
                <w:rFonts w:hint="eastAsia" w:ascii="宋体" w:hAnsi="宋体" w:eastAsia="宋体" w:cs="宋体"/>
                <w:kern w:val="0"/>
                <w:sz w:val="18"/>
                <w:szCs w:val="18"/>
              </w:rPr>
              <w:t xml:space="preserve">14,774.44 </w:t>
            </w:r>
          </w:p>
        </w:tc>
        <w:tc>
          <w:tcPr>
            <w:tcW w:w="1539" w:type="dxa"/>
            <w:shd w:val="clear" w:color="auto" w:fill="auto"/>
            <w:vAlign w:val="center"/>
          </w:tcPr>
          <w:p w14:paraId="1ADCF565">
            <w:pPr>
              <w:keepNext w:val="0"/>
              <w:keepLines w:val="0"/>
              <w:pageBreakBefore w:val="0"/>
              <w:widowControl/>
              <w:kinsoku/>
              <w:wordWrap/>
              <w:overflowPunct/>
              <w:topLinePunct w:val="0"/>
              <w:autoSpaceDE/>
              <w:autoSpaceDN/>
              <w:bidi w:val="0"/>
              <w:adjustRightInd/>
              <w:snapToGrid/>
              <w:spacing w:line="0" w:lineRule="atLeast"/>
              <w:ind w:left="-105" w:leftChars="-50"/>
              <w:jc w:val="right"/>
              <w:rPr>
                <w:rFonts w:ascii="宋体" w:hAnsi="宋体" w:cs="宋体"/>
                <w:kern w:val="0"/>
                <w:sz w:val="18"/>
                <w:szCs w:val="18"/>
              </w:rPr>
            </w:pPr>
            <w:r>
              <w:rPr>
                <w:rFonts w:hint="eastAsia" w:ascii="宋体" w:hAnsi="宋体" w:eastAsia="宋体" w:cs="宋体"/>
                <w:kern w:val="0"/>
                <w:sz w:val="18"/>
                <w:szCs w:val="18"/>
              </w:rPr>
              <w:t xml:space="preserve">14,774.44 </w:t>
            </w:r>
          </w:p>
        </w:tc>
        <w:tc>
          <w:tcPr>
            <w:tcW w:w="464" w:type="pct"/>
            <w:shd w:val="clear" w:color="auto" w:fill="auto"/>
            <w:vAlign w:val="center"/>
          </w:tcPr>
          <w:p w14:paraId="12B42617">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16,373.24 </w:t>
            </w:r>
          </w:p>
        </w:tc>
        <w:tc>
          <w:tcPr>
            <w:tcW w:w="437" w:type="pct"/>
            <w:shd w:val="clear" w:color="auto" w:fill="auto"/>
            <w:vAlign w:val="center"/>
          </w:tcPr>
          <w:p w14:paraId="02FE0E4C">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 xml:space="preserve"> 16,514.57 </w:t>
            </w:r>
          </w:p>
        </w:tc>
        <w:tc>
          <w:tcPr>
            <w:tcW w:w="474" w:type="pct"/>
            <w:shd w:val="clear" w:color="auto" w:fill="auto"/>
            <w:vAlign w:val="center"/>
          </w:tcPr>
          <w:p w14:paraId="7FE697A1">
            <w:pPr>
              <w:adjustRightInd w:val="0"/>
              <w:jc w:val="center"/>
              <w:rPr>
                <w:rFonts w:ascii="宋体" w:hAnsi="宋体" w:cs="宋体"/>
                <w:kern w:val="0"/>
                <w:sz w:val="18"/>
                <w:szCs w:val="18"/>
              </w:rPr>
            </w:pPr>
            <w:r>
              <w:rPr>
                <w:rFonts w:hint="eastAsia" w:ascii="宋体" w:hAnsi="宋体" w:cs="宋体"/>
                <w:kern w:val="0"/>
                <w:sz w:val="18"/>
                <w:szCs w:val="18"/>
              </w:rPr>
              <w:t>－</w:t>
            </w:r>
          </w:p>
        </w:tc>
        <w:tc>
          <w:tcPr>
            <w:tcW w:w="428" w:type="pct"/>
            <w:shd w:val="clear" w:color="auto" w:fill="auto"/>
            <w:vAlign w:val="center"/>
          </w:tcPr>
          <w:p w14:paraId="2E5569A2">
            <w:pPr>
              <w:adjustRightInd w:val="0"/>
              <w:jc w:val="center"/>
              <w:rPr>
                <w:rFonts w:ascii="宋体" w:hAnsi="宋体" w:cs="宋体"/>
                <w:kern w:val="0"/>
                <w:sz w:val="18"/>
                <w:szCs w:val="18"/>
              </w:rPr>
            </w:pPr>
            <w:r>
              <w:rPr>
                <w:rFonts w:hint="eastAsia" w:ascii="宋体" w:hAnsi="宋体" w:cs="宋体"/>
                <w:kern w:val="0"/>
                <w:sz w:val="18"/>
                <w:szCs w:val="18"/>
              </w:rPr>
              <w:t>－</w:t>
            </w:r>
          </w:p>
        </w:tc>
        <w:tc>
          <w:tcPr>
            <w:tcW w:w="298" w:type="pct"/>
            <w:shd w:val="clear" w:color="auto" w:fill="auto"/>
            <w:vAlign w:val="center"/>
          </w:tcPr>
          <w:p w14:paraId="66C0CF1B">
            <w:pPr>
              <w:adjustRightInd w:val="0"/>
              <w:jc w:val="center"/>
              <w:rPr>
                <w:rFonts w:ascii="宋体" w:hAnsi="宋体" w:cs="宋体"/>
                <w:kern w:val="0"/>
                <w:sz w:val="18"/>
                <w:szCs w:val="18"/>
              </w:rPr>
            </w:pPr>
            <w:r>
              <w:rPr>
                <w:rFonts w:hint="eastAsia" w:ascii="宋体" w:hAnsi="宋体" w:cs="宋体"/>
                <w:kern w:val="0"/>
                <w:sz w:val="18"/>
                <w:szCs w:val="18"/>
              </w:rPr>
              <w:t>－</w:t>
            </w:r>
          </w:p>
        </w:tc>
        <w:tc>
          <w:tcPr>
            <w:tcW w:w="359" w:type="pct"/>
            <w:shd w:val="clear" w:color="auto" w:fill="auto"/>
            <w:vAlign w:val="center"/>
          </w:tcPr>
          <w:p w14:paraId="68568BF3">
            <w:pPr>
              <w:adjustRightInd w:val="0"/>
              <w:jc w:val="center"/>
              <w:rPr>
                <w:rFonts w:ascii="宋体" w:hAnsi="宋体" w:cs="宋体"/>
                <w:kern w:val="0"/>
                <w:sz w:val="18"/>
                <w:szCs w:val="18"/>
              </w:rPr>
            </w:pPr>
            <w:r>
              <w:rPr>
                <w:rFonts w:hint="eastAsia" w:ascii="宋体" w:hAnsi="宋体" w:cs="宋体"/>
                <w:kern w:val="0"/>
                <w:sz w:val="18"/>
                <w:szCs w:val="18"/>
              </w:rPr>
              <w:t>－</w:t>
            </w:r>
          </w:p>
        </w:tc>
        <w:tc>
          <w:tcPr>
            <w:tcW w:w="568" w:type="pct"/>
            <w:shd w:val="clear" w:color="auto" w:fill="auto"/>
            <w:vAlign w:val="center"/>
          </w:tcPr>
          <w:p w14:paraId="170A0793">
            <w:pPr>
              <w:adjustRightInd w:val="0"/>
              <w:jc w:val="center"/>
              <w:rPr>
                <w:rFonts w:ascii="宋体" w:hAnsi="宋体" w:cs="宋体"/>
                <w:kern w:val="0"/>
                <w:sz w:val="18"/>
                <w:szCs w:val="18"/>
              </w:rPr>
            </w:pPr>
            <w:r>
              <w:rPr>
                <w:rFonts w:hint="eastAsia" w:ascii="宋体" w:hAnsi="宋体" w:cs="宋体"/>
                <w:kern w:val="0"/>
                <w:sz w:val="18"/>
                <w:szCs w:val="18"/>
              </w:rPr>
              <w:t>－</w:t>
            </w:r>
          </w:p>
        </w:tc>
      </w:tr>
      <w:tr w14:paraId="2E11DB7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05" w:hRule="atLeast"/>
          <w:tblHeader/>
        </w:trPr>
        <w:tc>
          <w:tcPr>
            <w:tcW w:w="940" w:type="pct"/>
            <w:gridSpan w:val="2"/>
            <w:shd w:val="clear" w:color="auto" w:fill="auto"/>
            <w:vAlign w:val="center"/>
          </w:tcPr>
          <w:p w14:paraId="1F521090">
            <w:pPr>
              <w:adjustRightInd w:val="0"/>
              <w:jc w:val="left"/>
              <w:rPr>
                <w:rFonts w:hint="eastAsia" w:ascii="宋体" w:hAnsi="宋体" w:cs="宋体"/>
                <w:kern w:val="0"/>
                <w:sz w:val="18"/>
                <w:szCs w:val="18"/>
              </w:rPr>
            </w:pPr>
            <w:r>
              <w:rPr>
                <w:rFonts w:hint="eastAsia" w:ascii="宋体" w:hAnsi="宋体" w:cs="宋体"/>
                <w:kern w:val="0"/>
                <w:sz w:val="18"/>
                <w:szCs w:val="18"/>
              </w:rPr>
              <w:t>变</w:t>
            </w:r>
            <w:r>
              <w:rPr>
                <w:rFonts w:hint="eastAsia" w:ascii="宋体" w:hAnsi="宋体" w:eastAsia="宋体" w:cs="宋体"/>
                <w:kern w:val="0"/>
                <w:sz w:val="18"/>
                <w:szCs w:val="18"/>
              </w:rPr>
              <w:t>更原因、决策程序及信息披露情况说明</w:t>
            </w:r>
          </w:p>
        </w:tc>
        <w:tc>
          <w:tcPr>
            <w:tcW w:w="4059" w:type="pct"/>
            <w:gridSpan w:val="9"/>
            <w:shd w:val="clear" w:color="auto" w:fill="auto"/>
            <w:vAlign w:val="center"/>
          </w:tcPr>
          <w:p w14:paraId="6C4E0470">
            <w:pPr>
              <w:keepNext w:val="0"/>
              <w:keepLines w:val="0"/>
              <w:pageBreakBefore w:val="0"/>
              <w:widowControl w:val="0"/>
              <w:kinsoku/>
              <w:wordWrap/>
              <w:overflowPunct/>
              <w:topLinePunct w:val="0"/>
              <w:autoSpaceDE/>
              <w:autoSpaceDN/>
              <w:bidi w:val="0"/>
              <w:adjustRightInd w:val="0"/>
              <w:snapToGrid/>
              <w:ind w:firstLine="360" w:firstLineChars="200"/>
              <w:jc w:val="left"/>
              <w:textAlignment w:val="auto"/>
              <w:rPr>
                <w:rFonts w:hint="eastAsia" w:ascii="宋体" w:hAnsi="宋体" w:cs="宋体"/>
                <w:kern w:val="0"/>
                <w:sz w:val="18"/>
                <w:szCs w:val="18"/>
                <w:lang w:val="en-US" w:eastAsia="zh-CN"/>
              </w:rPr>
            </w:pPr>
            <w:r>
              <w:rPr>
                <w:rFonts w:ascii="宋体" w:hAnsi="宋体" w:cs="宋体"/>
                <w:kern w:val="0"/>
                <w:sz w:val="18"/>
                <w:szCs w:val="18"/>
              </w:rPr>
              <w:t>公司经过持续的技术升级与布局优化，成套电气设备业务规模</w:t>
            </w:r>
            <w:r>
              <w:rPr>
                <w:rFonts w:hint="eastAsia" w:ascii="宋体" w:hAnsi="宋体" w:cs="宋体"/>
                <w:kern w:val="0"/>
                <w:sz w:val="18"/>
                <w:szCs w:val="18"/>
                <w:lang w:val="en-US" w:eastAsia="zh-CN"/>
              </w:rPr>
              <w:t>将</w:t>
            </w:r>
            <w:r>
              <w:rPr>
                <w:rFonts w:ascii="宋体" w:hAnsi="宋体" w:cs="宋体"/>
                <w:kern w:val="0"/>
                <w:sz w:val="18"/>
                <w:szCs w:val="18"/>
              </w:rPr>
              <w:t>持续扩大，原募投项目规划设备投资方案内包含板件加工、铜排加工以及自动喷涂生产线等内容，原规划加工能力已不能满足未来业务发展需求，且设备选型也已不具备领先优势，因此公司对项目内金属加工相关</w:t>
            </w:r>
            <w:r>
              <w:rPr>
                <w:rFonts w:hint="eastAsia" w:ascii="宋体" w:hAnsi="宋体" w:cs="宋体"/>
                <w:kern w:val="0"/>
                <w:sz w:val="18"/>
                <w:szCs w:val="18"/>
                <w:lang w:val="en-US" w:eastAsia="zh-CN"/>
              </w:rPr>
              <w:t>业务</w:t>
            </w:r>
            <w:r>
              <w:rPr>
                <w:rFonts w:ascii="宋体" w:hAnsi="宋体" w:cs="宋体"/>
                <w:kern w:val="0"/>
                <w:sz w:val="18"/>
                <w:szCs w:val="18"/>
              </w:rPr>
              <w:t>进行调整</w:t>
            </w:r>
            <w:r>
              <w:rPr>
                <w:rFonts w:hint="eastAsia" w:ascii="宋体" w:hAnsi="宋体" w:cs="宋体"/>
                <w:kern w:val="0"/>
                <w:sz w:val="18"/>
                <w:szCs w:val="18"/>
                <w:lang w:eastAsia="zh-CN"/>
              </w:rPr>
              <w:t>，</w:t>
            </w:r>
            <w:r>
              <w:rPr>
                <w:rFonts w:ascii="宋体" w:hAnsi="宋体" w:cs="宋体"/>
                <w:kern w:val="0"/>
                <w:sz w:val="18"/>
                <w:szCs w:val="18"/>
              </w:rPr>
              <w:t>将金属制品进行统筹制造</w:t>
            </w:r>
            <w:r>
              <w:rPr>
                <w:rFonts w:hint="eastAsia" w:ascii="宋体" w:hAnsi="宋体" w:cs="宋体"/>
                <w:kern w:val="0"/>
                <w:sz w:val="18"/>
                <w:szCs w:val="18"/>
                <w:lang w:eastAsia="zh-CN"/>
              </w:rPr>
              <w:t>。</w:t>
            </w:r>
            <w:r>
              <w:rPr>
                <w:rFonts w:ascii="宋体" w:hAnsi="宋体" w:cs="宋体"/>
                <w:kern w:val="0"/>
                <w:sz w:val="18"/>
                <w:szCs w:val="18"/>
              </w:rPr>
              <w:t>在新地块建设钣金加工和自动喷涂线，同时增加变压器油箱加工和夹件加工能力，提升变压器产能配套能力，提升公司金属制品加工能力和加工效率</w:t>
            </w:r>
            <w:r>
              <w:rPr>
                <w:rFonts w:hint="eastAsia" w:ascii="宋体" w:hAnsi="宋体" w:cs="宋体"/>
                <w:kern w:val="0"/>
                <w:sz w:val="18"/>
                <w:szCs w:val="18"/>
                <w:lang w:eastAsia="zh-CN"/>
              </w:rPr>
              <w:t>、</w:t>
            </w:r>
            <w:r>
              <w:rPr>
                <w:rFonts w:ascii="宋体" w:hAnsi="宋体" w:cs="宋体"/>
                <w:kern w:val="0"/>
                <w:sz w:val="18"/>
                <w:szCs w:val="18"/>
              </w:rPr>
              <w:t>降低成本，增强公司产品市场竞争力。</w:t>
            </w:r>
            <w:r>
              <w:rPr>
                <w:rFonts w:hint="eastAsia" w:ascii="宋体" w:hAnsi="宋体" w:cs="宋体"/>
                <w:kern w:val="0"/>
                <w:sz w:val="18"/>
                <w:szCs w:val="18"/>
                <w:lang w:val="en-US" w:eastAsia="zh-CN"/>
              </w:rPr>
              <w:t>公司将从原募投项目中</w:t>
            </w:r>
            <w:r>
              <w:rPr>
                <w:rFonts w:hint="eastAsia"/>
                <w:sz w:val="18"/>
                <w:szCs w:val="18"/>
                <w:lang w:val="en-US" w:eastAsia="zh-CN"/>
              </w:rPr>
              <w:t>划拨</w:t>
            </w:r>
            <w:r>
              <w:rPr>
                <w:rFonts w:hint="eastAsia" w:ascii="宋体" w:hAnsi="宋体" w:cs="宋体"/>
                <w:kern w:val="0"/>
                <w:sz w:val="18"/>
                <w:szCs w:val="18"/>
                <w:lang w:val="en-US" w:eastAsia="zh-CN"/>
              </w:rPr>
              <w:t>一部分资金用于</w:t>
            </w:r>
            <w:r>
              <w:rPr>
                <w:rFonts w:ascii="宋体" w:hAnsi="宋体" w:cs="宋体"/>
                <w:kern w:val="0"/>
                <w:sz w:val="18"/>
                <w:szCs w:val="18"/>
              </w:rPr>
              <w:t>智控设备及金属制品智能工厂建设项目</w:t>
            </w:r>
            <w:r>
              <w:rPr>
                <w:rFonts w:hint="eastAsia" w:ascii="宋体" w:hAnsi="宋体" w:cs="宋体"/>
                <w:kern w:val="0"/>
                <w:sz w:val="18"/>
                <w:szCs w:val="18"/>
                <w:lang w:eastAsia="zh-CN"/>
              </w:rPr>
              <w:t>。</w:t>
            </w:r>
            <w:r>
              <w:rPr>
                <w:rFonts w:hint="eastAsia" w:ascii="宋体" w:hAnsi="宋体" w:cs="宋体"/>
                <w:kern w:val="0"/>
                <w:sz w:val="18"/>
                <w:szCs w:val="18"/>
                <w:lang w:val="en-US" w:eastAsia="zh-CN"/>
              </w:rPr>
              <w:t>上述募投项目变更事项已</w:t>
            </w:r>
            <w:r>
              <w:rPr>
                <w:rFonts w:hint="eastAsia" w:ascii="宋体" w:hAnsi="宋体" w:cs="宋体"/>
                <w:kern w:val="0"/>
                <w:sz w:val="18"/>
                <w:szCs w:val="18"/>
              </w:rPr>
              <w:t>经公司2023年10月25日第三届董事会第十八次会议审议通过，并经2023年第二次临时股东大会</w:t>
            </w:r>
            <w:r>
              <w:rPr>
                <w:rFonts w:hint="eastAsia" w:ascii="宋体" w:hAnsi="宋体" w:cs="宋体"/>
                <w:kern w:val="0"/>
                <w:sz w:val="18"/>
                <w:szCs w:val="18"/>
                <w:lang w:val="en-US" w:eastAsia="zh-CN"/>
              </w:rPr>
              <w:t>审议</w:t>
            </w:r>
            <w:r>
              <w:rPr>
                <w:rFonts w:hint="eastAsia" w:ascii="宋体" w:hAnsi="宋体" w:cs="宋体"/>
                <w:kern w:val="0"/>
                <w:sz w:val="18"/>
                <w:szCs w:val="18"/>
              </w:rPr>
              <w:t>通过。</w:t>
            </w:r>
            <w:r>
              <w:rPr>
                <w:rFonts w:hint="eastAsia" w:ascii="宋体" w:hAnsi="宋体" w:cs="宋体"/>
                <w:kern w:val="0"/>
                <w:sz w:val="18"/>
                <w:szCs w:val="18"/>
                <w:lang w:val="en-US" w:eastAsia="zh-CN"/>
              </w:rPr>
              <w:t>公司已于2023年10月27日对上述募集资金用途变更进行公告。</w:t>
            </w:r>
          </w:p>
        </w:tc>
      </w:tr>
      <w:tr w14:paraId="3558531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4" w:hRule="atLeast"/>
          <w:tblHeader/>
        </w:trPr>
        <w:tc>
          <w:tcPr>
            <w:tcW w:w="940" w:type="pct"/>
            <w:gridSpan w:val="2"/>
            <w:shd w:val="clear" w:color="auto" w:fill="auto"/>
            <w:vAlign w:val="center"/>
          </w:tcPr>
          <w:p w14:paraId="692F5B94">
            <w:pPr>
              <w:adjustRightInd w:val="0"/>
              <w:jc w:val="left"/>
              <w:rPr>
                <w:rFonts w:hint="eastAsia" w:ascii="宋体" w:hAnsi="宋体" w:cs="宋体"/>
                <w:kern w:val="0"/>
                <w:sz w:val="18"/>
                <w:szCs w:val="18"/>
              </w:rPr>
            </w:pPr>
            <w:r>
              <w:rPr>
                <w:rFonts w:hint="eastAsia" w:ascii="宋体" w:hAnsi="宋体" w:cs="宋体"/>
                <w:kern w:val="0"/>
                <w:sz w:val="18"/>
                <w:szCs w:val="18"/>
              </w:rPr>
              <w:t>未达到计划进度的情况和原因</w:t>
            </w:r>
          </w:p>
        </w:tc>
        <w:tc>
          <w:tcPr>
            <w:tcW w:w="4059" w:type="pct"/>
            <w:gridSpan w:val="9"/>
            <w:shd w:val="clear" w:color="auto" w:fill="auto"/>
            <w:vAlign w:val="center"/>
          </w:tcPr>
          <w:p w14:paraId="4D185A8A">
            <w:pPr>
              <w:adjustRightInd w:val="0"/>
              <w:jc w:val="left"/>
              <w:rPr>
                <w:rFonts w:hint="eastAsia" w:ascii="宋体" w:hAnsi="宋体" w:eastAsia="宋体" w:cs="宋体"/>
                <w:kern w:val="0"/>
                <w:sz w:val="18"/>
                <w:szCs w:val="21"/>
                <w:lang w:val="en-US" w:eastAsia="zh-CN"/>
              </w:rPr>
            </w:pPr>
            <w:r>
              <w:rPr>
                <w:rFonts w:hint="eastAsia" w:ascii="宋体" w:hAnsi="宋体" w:cs="宋体"/>
                <w:kern w:val="0"/>
                <w:sz w:val="18"/>
                <w:szCs w:val="21"/>
                <w:lang w:val="en-US" w:eastAsia="zh-CN"/>
              </w:rPr>
              <w:t>不适用</w:t>
            </w:r>
          </w:p>
        </w:tc>
      </w:tr>
      <w:tr w14:paraId="25E1761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940" w:type="pct"/>
            <w:gridSpan w:val="2"/>
            <w:shd w:val="clear" w:color="auto" w:fill="auto"/>
            <w:vAlign w:val="center"/>
          </w:tcPr>
          <w:p w14:paraId="097C92BD">
            <w:pPr>
              <w:adjustRightInd w:val="0"/>
              <w:jc w:val="left"/>
              <w:rPr>
                <w:rFonts w:hint="eastAsia" w:ascii="宋体" w:hAnsi="宋体" w:cs="宋体"/>
                <w:kern w:val="0"/>
                <w:sz w:val="18"/>
                <w:szCs w:val="18"/>
              </w:rPr>
            </w:pPr>
            <w:r>
              <w:rPr>
                <w:rFonts w:hint="eastAsia" w:ascii="宋体" w:hAnsi="宋体" w:cs="宋体"/>
                <w:kern w:val="0"/>
                <w:sz w:val="18"/>
                <w:szCs w:val="18"/>
              </w:rPr>
              <w:t>变更后的项目可行性发生重大变化的情况说明</w:t>
            </w:r>
          </w:p>
        </w:tc>
        <w:tc>
          <w:tcPr>
            <w:tcW w:w="4059" w:type="pct"/>
            <w:gridSpan w:val="9"/>
            <w:shd w:val="clear" w:color="auto" w:fill="auto"/>
            <w:vAlign w:val="center"/>
          </w:tcPr>
          <w:p w14:paraId="7BC7034E">
            <w:pPr>
              <w:adjustRightInd w:val="0"/>
              <w:jc w:val="left"/>
              <w:rPr>
                <w:rFonts w:hint="eastAsia" w:ascii="宋体" w:hAnsi="宋体" w:eastAsia="宋体"/>
                <w:kern w:val="0"/>
                <w:sz w:val="18"/>
                <w:szCs w:val="21"/>
                <w:lang w:val="en-US" w:eastAsia="zh-CN"/>
              </w:rPr>
            </w:pPr>
            <w:r>
              <w:rPr>
                <w:rFonts w:hint="eastAsia" w:ascii="宋体" w:hAnsi="宋体"/>
                <w:kern w:val="0"/>
                <w:sz w:val="18"/>
                <w:szCs w:val="21"/>
                <w:lang w:val="en-US" w:eastAsia="zh-CN"/>
              </w:rPr>
              <w:t>不适用</w:t>
            </w:r>
          </w:p>
        </w:tc>
      </w:tr>
    </w:tbl>
    <w:p w14:paraId="51C9B56F">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b w:val="0"/>
          <w:bCs/>
          <w:sz w:val="21"/>
          <w:szCs w:val="21"/>
          <w:lang w:val="en-US" w:eastAsia="zh-CN"/>
        </w:rPr>
      </w:pPr>
      <w:r>
        <w:rPr>
          <w:rFonts w:hint="eastAsia" w:ascii="宋体" w:hAnsi="宋体" w:cs="宋体"/>
          <w:b w:val="0"/>
          <w:bCs/>
          <w:sz w:val="21"/>
          <w:szCs w:val="21"/>
          <w:lang w:val="en-US" w:eastAsia="zh-CN"/>
        </w:rPr>
        <w:t>注：</w:t>
      </w:r>
      <w:r>
        <w:rPr>
          <w:rFonts w:hint="eastAsia" w:ascii="宋体" w:hAnsi="宋体" w:cs="宋体"/>
          <w:bCs/>
          <w:szCs w:val="21"/>
        </w:rPr>
        <w:t>智控设备及金属制品智能工厂建设项目（一期）的实际累计投入金额大于承诺投入金额，系从智能成套电气设备产业基地建设项目、110kV及以下节能型变压器智能化工厂技改项目和研发中心及信息化建设项目转入节余募集资金9,281.94万元</w:t>
      </w:r>
      <w:r>
        <w:rPr>
          <w:rFonts w:hint="eastAsia" w:ascii="宋体" w:hAnsi="宋体" w:cs="宋体"/>
          <w:bCs/>
          <w:szCs w:val="21"/>
          <w:lang w:eastAsia="zh-CN"/>
        </w:rPr>
        <w:t>。</w:t>
      </w:r>
    </w:p>
    <w:sectPr>
      <w:footerReference r:id="rId4" w:type="default"/>
      <w:footerReference r:id="rId5" w:type="even"/>
      <w:pgSz w:w="16838" w:h="11906" w:orient="landscape"/>
      <w:pgMar w:top="1701" w:right="1440" w:bottom="1701" w:left="1440" w:header="851" w:footer="992" w:gutter="0"/>
      <w:pgBorders>
        <w:top w:val="none" w:sz="0" w:space="0"/>
        <w:left w:val="none" w:sz="0" w:space="0"/>
        <w:bottom w:val="none" w:sz="0" w:space="0"/>
        <w:right w:val="none" w:sz="0" w:space="0"/>
      </w:pgBorders>
      <w:pgNumType w:fmt="decimal" w:start="11"/>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A0734">
    <w:pPr>
      <w:pStyle w:val="6"/>
      <w:jc w:val="center"/>
      <w:rPr>
        <w:rFonts w:ascii="宋体" w:hAnsi="宋体"/>
      </w:rPr>
    </w:pPr>
    <w:r>
      <w:rPr>
        <w:rStyle w:val="13"/>
        <w:rFonts w:hint="eastAsia" w:ascii="宋体" w:hAnsi="宋体"/>
      </w:rPr>
      <w:t xml:space="preserve">第 </w:t>
    </w:r>
    <w:r>
      <w:rPr>
        <w:rStyle w:val="13"/>
        <w:rFonts w:ascii="宋体" w:hAnsi="宋体"/>
      </w:rPr>
      <w:fldChar w:fldCharType="begin"/>
    </w:r>
    <w:r>
      <w:rPr>
        <w:rStyle w:val="13"/>
        <w:rFonts w:ascii="宋体" w:hAnsi="宋体"/>
      </w:rPr>
      <w:instrText xml:space="preserve"> PAGE </w:instrText>
    </w:r>
    <w:r>
      <w:rPr>
        <w:rStyle w:val="13"/>
        <w:rFonts w:ascii="宋体" w:hAnsi="宋体"/>
      </w:rPr>
      <w:fldChar w:fldCharType="separate"/>
    </w:r>
    <w:r>
      <w:rPr>
        <w:rStyle w:val="13"/>
        <w:rFonts w:ascii="宋体" w:hAnsi="宋体"/>
      </w:rPr>
      <w:t>10</w:t>
    </w:r>
    <w:r>
      <w:rPr>
        <w:rStyle w:val="13"/>
        <w:rFonts w:ascii="宋体" w:hAnsi="宋体"/>
      </w:rPr>
      <w:fldChar w:fldCharType="end"/>
    </w:r>
    <w:r>
      <w:rPr>
        <w:rStyle w:val="13"/>
        <w:rFonts w:hint="eastAsia" w:ascii="宋体" w:hAnsi="宋体"/>
      </w:rPr>
      <w:t xml:space="preserve"> 页 共 </w:t>
    </w:r>
    <w:r>
      <w:rPr>
        <w:rStyle w:val="13"/>
        <w:rFonts w:hint="eastAsia" w:ascii="宋体" w:hAnsi="宋体"/>
        <w:lang w:val="en-US" w:eastAsia="zh-CN"/>
      </w:rPr>
      <w:t>16</w:t>
    </w:r>
    <w:r>
      <w:rPr>
        <w:rStyle w:val="13"/>
        <w:rFonts w:hint="eastAsia" w:ascii="宋体" w:hAnsi="宋体"/>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28D29">
    <w:pPr>
      <w:pStyle w:val="6"/>
      <w:jc w:val="center"/>
      <w:rPr>
        <w:rFonts w:ascii="宋体" w:hAnsi="宋体"/>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441AE6">
                          <w:pPr>
                            <w:pStyle w:val="6"/>
                            <w:rPr>
                              <w:rFonts w:hint="eastAsia" w:ascii="宋体" w:hAnsi="宋体" w:cs="宋体"/>
                            </w:rPr>
                          </w:pPr>
                          <w:r>
                            <w:rPr>
                              <w:rFonts w:hint="eastAsia" w:ascii="宋体" w:hAnsi="宋体" w:cs="宋体"/>
                            </w:rPr>
                            <w:t xml:space="preserve">第 </w:t>
                          </w: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hint="eastAsia" w:ascii="宋体" w:hAnsi="宋体" w:cs="宋体"/>
                            </w:rPr>
                            <w:t>11</w:t>
                          </w:r>
                          <w:r>
                            <w:rPr>
                              <w:rFonts w:hint="eastAsia" w:ascii="宋体" w:hAnsi="宋体" w:cs="宋体"/>
                            </w:rPr>
                            <w:fldChar w:fldCharType="end"/>
                          </w:r>
                          <w:r>
                            <w:rPr>
                              <w:rFonts w:hint="eastAsia" w:ascii="宋体" w:hAnsi="宋体" w:cs="宋体"/>
                            </w:rPr>
                            <w:t xml:space="preserve"> 页 共 </w:t>
                          </w:r>
                          <w:r>
                            <w:rPr>
                              <w:rFonts w:hint="eastAsia" w:ascii="宋体" w:hAnsi="宋体" w:cs="宋体"/>
                              <w:lang w:val="en-US" w:eastAsia="zh-CN"/>
                            </w:rPr>
                            <w:t>16</w:t>
                          </w:r>
                          <w:r>
                            <w:rPr>
                              <w:rFonts w:hint="eastAsia" w:ascii="宋体" w:hAnsi="宋体" w:cs="宋体"/>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E441AE6">
                    <w:pPr>
                      <w:pStyle w:val="6"/>
                      <w:rPr>
                        <w:rFonts w:hint="eastAsia" w:ascii="宋体" w:hAnsi="宋体" w:cs="宋体"/>
                      </w:rPr>
                    </w:pPr>
                    <w:r>
                      <w:rPr>
                        <w:rFonts w:hint="eastAsia" w:ascii="宋体" w:hAnsi="宋体" w:cs="宋体"/>
                      </w:rPr>
                      <w:t xml:space="preserve">第 </w:t>
                    </w: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hint="eastAsia" w:ascii="宋体" w:hAnsi="宋体" w:cs="宋体"/>
                      </w:rPr>
                      <w:t>11</w:t>
                    </w:r>
                    <w:r>
                      <w:rPr>
                        <w:rFonts w:hint="eastAsia" w:ascii="宋体" w:hAnsi="宋体" w:cs="宋体"/>
                      </w:rPr>
                      <w:fldChar w:fldCharType="end"/>
                    </w:r>
                    <w:r>
                      <w:rPr>
                        <w:rFonts w:hint="eastAsia" w:ascii="宋体" w:hAnsi="宋体" w:cs="宋体"/>
                      </w:rPr>
                      <w:t xml:space="preserve"> 页 共 </w:t>
                    </w:r>
                    <w:r>
                      <w:rPr>
                        <w:rFonts w:hint="eastAsia" w:ascii="宋体" w:hAnsi="宋体" w:cs="宋体"/>
                        <w:lang w:val="en-US" w:eastAsia="zh-CN"/>
                      </w:rPr>
                      <w:t>16</w:t>
                    </w:r>
                    <w:r>
                      <w:rPr>
                        <w:rFonts w:hint="eastAsia" w:ascii="宋体" w:hAnsi="宋体" w:cs="宋体"/>
                      </w:rPr>
                      <w:t xml:space="preserve"> 页</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415544">
                          <w:pPr>
                            <w:pStyle w:val="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3415544">
                    <w:pPr>
                      <w:pStyle w:val="6"/>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ED928">
    <w:pPr>
      <w:pStyle w:val="6"/>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14:paraId="6B2067D4">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7ED33E"/>
    <w:multiLevelType w:val="singleLevel"/>
    <w:tmpl w:val="217ED33E"/>
    <w:lvl w:ilvl="0" w:tentative="0">
      <w:start w:val="2"/>
      <w:numFmt w:val="decimal"/>
      <w:suff w:val="space"/>
      <w:lvlText w:val="%1."/>
      <w:lvlJc w:val="left"/>
    </w:lvl>
  </w:abstractNum>
  <w:abstractNum w:abstractNumId="1">
    <w:nsid w:val="3CB878A8"/>
    <w:multiLevelType w:val="singleLevel"/>
    <w:tmpl w:val="3CB878A8"/>
    <w:lvl w:ilvl="0" w:tentative="0">
      <w:start w:val="3"/>
      <w:numFmt w:val="chineseCounting"/>
      <w:suff w:val="space"/>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HorizontalSpacing w:val="210"/>
  <w:drawingGridVerticalSpacing w:val="15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zNTU2MzUyNTM0YTdjYjNmMTE0YTA5NjgyYmQ5MzcifQ=="/>
    <w:docVar w:name="KSO_WPS_MARK_KEY" w:val="f6cdd873-c72b-47ab-88cf-270ad7b7c714"/>
  </w:docVars>
  <w:rsids>
    <w:rsidRoot w:val="003A3C3E"/>
    <w:rsid w:val="00002082"/>
    <w:rsid w:val="000021C1"/>
    <w:rsid w:val="00002F46"/>
    <w:rsid w:val="00003D26"/>
    <w:rsid w:val="00003DF5"/>
    <w:rsid w:val="00005C62"/>
    <w:rsid w:val="00010075"/>
    <w:rsid w:val="000156F5"/>
    <w:rsid w:val="00017D43"/>
    <w:rsid w:val="000208E8"/>
    <w:rsid w:val="0002541F"/>
    <w:rsid w:val="000257E8"/>
    <w:rsid w:val="0003081E"/>
    <w:rsid w:val="00034110"/>
    <w:rsid w:val="000405E5"/>
    <w:rsid w:val="000412AE"/>
    <w:rsid w:val="00044384"/>
    <w:rsid w:val="0004609E"/>
    <w:rsid w:val="00051553"/>
    <w:rsid w:val="000576E5"/>
    <w:rsid w:val="00060585"/>
    <w:rsid w:val="00065434"/>
    <w:rsid w:val="00072B86"/>
    <w:rsid w:val="00072E11"/>
    <w:rsid w:val="0007705E"/>
    <w:rsid w:val="00077E11"/>
    <w:rsid w:val="00086F23"/>
    <w:rsid w:val="00091C83"/>
    <w:rsid w:val="000A45DD"/>
    <w:rsid w:val="000A6A33"/>
    <w:rsid w:val="000A71CA"/>
    <w:rsid w:val="000B0796"/>
    <w:rsid w:val="000B22A1"/>
    <w:rsid w:val="000B29C4"/>
    <w:rsid w:val="000B3B63"/>
    <w:rsid w:val="000B4B22"/>
    <w:rsid w:val="000B6594"/>
    <w:rsid w:val="000B7ACA"/>
    <w:rsid w:val="000C0EFE"/>
    <w:rsid w:val="000C121C"/>
    <w:rsid w:val="000C5BB0"/>
    <w:rsid w:val="000C5EBE"/>
    <w:rsid w:val="000E22CA"/>
    <w:rsid w:val="000F19B5"/>
    <w:rsid w:val="000F4003"/>
    <w:rsid w:val="00100C4F"/>
    <w:rsid w:val="00101F02"/>
    <w:rsid w:val="00104C10"/>
    <w:rsid w:val="0012399F"/>
    <w:rsid w:val="00125C68"/>
    <w:rsid w:val="00130EDD"/>
    <w:rsid w:val="00134745"/>
    <w:rsid w:val="00135CD5"/>
    <w:rsid w:val="00155703"/>
    <w:rsid w:val="00156138"/>
    <w:rsid w:val="00156F13"/>
    <w:rsid w:val="0016022A"/>
    <w:rsid w:val="0016321E"/>
    <w:rsid w:val="0016393B"/>
    <w:rsid w:val="00181FEF"/>
    <w:rsid w:val="001830BE"/>
    <w:rsid w:val="0019243D"/>
    <w:rsid w:val="00193447"/>
    <w:rsid w:val="001938BA"/>
    <w:rsid w:val="0019754D"/>
    <w:rsid w:val="001A1DCB"/>
    <w:rsid w:val="001A29A0"/>
    <w:rsid w:val="001A3BFA"/>
    <w:rsid w:val="001A5FD8"/>
    <w:rsid w:val="001B3E64"/>
    <w:rsid w:val="001B429B"/>
    <w:rsid w:val="001B74FF"/>
    <w:rsid w:val="001C1FE6"/>
    <w:rsid w:val="001C2D8D"/>
    <w:rsid w:val="001C7D11"/>
    <w:rsid w:val="001D5D14"/>
    <w:rsid w:val="001E2EA7"/>
    <w:rsid w:val="001E3777"/>
    <w:rsid w:val="001E4F2C"/>
    <w:rsid w:val="001E5040"/>
    <w:rsid w:val="001E5EB0"/>
    <w:rsid w:val="001E6EB3"/>
    <w:rsid w:val="001E79A0"/>
    <w:rsid w:val="001F5A7D"/>
    <w:rsid w:val="001F7F7E"/>
    <w:rsid w:val="00200510"/>
    <w:rsid w:val="002012C3"/>
    <w:rsid w:val="00201D1E"/>
    <w:rsid w:val="00204FBF"/>
    <w:rsid w:val="00211225"/>
    <w:rsid w:val="002143D1"/>
    <w:rsid w:val="0021494C"/>
    <w:rsid w:val="00217077"/>
    <w:rsid w:val="002219C7"/>
    <w:rsid w:val="002336F6"/>
    <w:rsid w:val="00233948"/>
    <w:rsid w:val="00234BE7"/>
    <w:rsid w:val="00240CC3"/>
    <w:rsid w:val="00251DFE"/>
    <w:rsid w:val="002532D0"/>
    <w:rsid w:val="002628EE"/>
    <w:rsid w:val="00263852"/>
    <w:rsid w:val="00265F2C"/>
    <w:rsid w:val="00284914"/>
    <w:rsid w:val="00284F78"/>
    <w:rsid w:val="00290A99"/>
    <w:rsid w:val="00291283"/>
    <w:rsid w:val="00292474"/>
    <w:rsid w:val="00293D05"/>
    <w:rsid w:val="002A2157"/>
    <w:rsid w:val="002A4A87"/>
    <w:rsid w:val="002A5B45"/>
    <w:rsid w:val="002A7302"/>
    <w:rsid w:val="002B2970"/>
    <w:rsid w:val="002B6B54"/>
    <w:rsid w:val="002B6DAD"/>
    <w:rsid w:val="002C3362"/>
    <w:rsid w:val="002C4144"/>
    <w:rsid w:val="002D1DB4"/>
    <w:rsid w:val="002D2467"/>
    <w:rsid w:val="002D461A"/>
    <w:rsid w:val="002E23F5"/>
    <w:rsid w:val="002E2E36"/>
    <w:rsid w:val="002F3426"/>
    <w:rsid w:val="002F344D"/>
    <w:rsid w:val="002F7C1C"/>
    <w:rsid w:val="00301554"/>
    <w:rsid w:val="0030314A"/>
    <w:rsid w:val="003127AA"/>
    <w:rsid w:val="00317C1F"/>
    <w:rsid w:val="00321CE1"/>
    <w:rsid w:val="00330444"/>
    <w:rsid w:val="00332378"/>
    <w:rsid w:val="00334916"/>
    <w:rsid w:val="00340D19"/>
    <w:rsid w:val="003429A7"/>
    <w:rsid w:val="0034511D"/>
    <w:rsid w:val="003519CB"/>
    <w:rsid w:val="00356764"/>
    <w:rsid w:val="0036299E"/>
    <w:rsid w:val="003659FD"/>
    <w:rsid w:val="00365D5D"/>
    <w:rsid w:val="003718C2"/>
    <w:rsid w:val="0037272D"/>
    <w:rsid w:val="0037286E"/>
    <w:rsid w:val="00373014"/>
    <w:rsid w:val="00376F5B"/>
    <w:rsid w:val="003801AC"/>
    <w:rsid w:val="0039351D"/>
    <w:rsid w:val="00397108"/>
    <w:rsid w:val="003A3C3E"/>
    <w:rsid w:val="003A46D4"/>
    <w:rsid w:val="003A5CB7"/>
    <w:rsid w:val="003A7248"/>
    <w:rsid w:val="003B188B"/>
    <w:rsid w:val="003B46E2"/>
    <w:rsid w:val="003B5F7D"/>
    <w:rsid w:val="003C68F4"/>
    <w:rsid w:val="003C6EF4"/>
    <w:rsid w:val="003D3040"/>
    <w:rsid w:val="003D3D75"/>
    <w:rsid w:val="003E00CD"/>
    <w:rsid w:val="003E6B26"/>
    <w:rsid w:val="003E722F"/>
    <w:rsid w:val="003F1448"/>
    <w:rsid w:val="003F5E95"/>
    <w:rsid w:val="003F601C"/>
    <w:rsid w:val="003F7E48"/>
    <w:rsid w:val="00400CF8"/>
    <w:rsid w:val="00401AC1"/>
    <w:rsid w:val="00401AC7"/>
    <w:rsid w:val="004035D1"/>
    <w:rsid w:val="00410A1F"/>
    <w:rsid w:val="00411E7E"/>
    <w:rsid w:val="004132CA"/>
    <w:rsid w:val="0041786A"/>
    <w:rsid w:val="004264C0"/>
    <w:rsid w:val="00432369"/>
    <w:rsid w:val="0043689F"/>
    <w:rsid w:val="004372EC"/>
    <w:rsid w:val="00440F93"/>
    <w:rsid w:val="0044112B"/>
    <w:rsid w:val="00444D73"/>
    <w:rsid w:val="004467E7"/>
    <w:rsid w:val="00447D0C"/>
    <w:rsid w:val="00450DF9"/>
    <w:rsid w:val="004521E0"/>
    <w:rsid w:val="00463BC9"/>
    <w:rsid w:val="0046437A"/>
    <w:rsid w:val="004665B4"/>
    <w:rsid w:val="00466A8A"/>
    <w:rsid w:val="004827E4"/>
    <w:rsid w:val="00483ABE"/>
    <w:rsid w:val="004A1C67"/>
    <w:rsid w:val="004B4F82"/>
    <w:rsid w:val="004C1EEA"/>
    <w:rsid w:val="004C2CB6"/>
    <w:rsid w:val="004C5992"/>
    <w:rsid w:val="004D0DEC"/>
    <w:rsid w:val="004D0F19"/>
    <w:rsid w:val="004D0F71"/>
    <w:rsid w:val="004D12A5"/>
    <w:rsid w:val="004D5DB6"/>
    <w:rsid w:val="004D7028"/>
    <w:rsid w:val="004E0BBA"/>
    <w:rsid w:val="004E1A30"/>
    <w:rsid w:val="004E2D5B"/>
    <w:rsid w:val="004E699F"/>
    <w:rsid w:val="004F02C6"/>
    <w:rsid w:val="004F3873"/>
    <w:rsid w:val="004F3B6D"/>
    <w:rsid w:val="004F6589"/>
    <w:rsid w:val="004F7993"/>
    <w:rsid w:val="00501483"/>
    <w:rsid w:val="00501A8F"/>
    <w:rsid w:val="00504CEF"/>
    <w:rsid w:val="00505260"/>
    <w:rsid w:val="005120FC"/>
    <w:rsid w:val="005121D4"/>
    <w:rsid w:val="00516D06"/>
    <w:rsid w:val="00516EF9"/>
    <w:rsid w:val="00517228"/>
    <w:rsid w:val="005210D7"/>
    <w:rsid w:val="00523DFA"/>
    <w:rsid w:val="005316F6"/>
    <w:rsid w:val="00533241"/>
    <w:rsid w:val="00535A83"/>
    <w:rsid w:val="005401ED"/>
    <w:rsid w:val="0054663A"/>
    <w:rsid w:val="0054737D"/>
    <w:rsid w:val="00557E08"/>
    <w:rsid w:val="005737EC"/>
    <w:rsid w:val="005765E3"/>
    <w:rsid w:val="00576794"/>
    <w:rsid w:val="00581A81"/>
    <w:rsid w:val="00583133"/>
    <w:rsid w:val="00584EF4"/>
    <w:rsid w:val="00585B99"/>
    <w:rsid w:val="0058646F"/>
    <w:rsid w:val="005904F5"/>
    <w:rsid w:val="005929AB"/>
    <w:rsid w:val="0059328A"/>
    <w:rsid w:val="00595D59"/>
    <w:rsid w:val="00596641"/>
    <w:rsid w:val="005A2E5D"/>
    <w:rsid w:val="005B23B7"/>
    <w:rsid w:val="005B72A4"/>
    <w:rsid w:val="005C0DE7"/>
    <w:rsid w:val="005C0EF8"/>
    <w:rsid w:val="005C113D"/>
    <w:rsid w:val="005C2B9B"/>
    <w:rsid w:val="005C4EF1"/>
    <w:rsid w:val="005D3D78"/>
    <w:rsid w:val="005D64F7"/>
    <w:rsid w:val="005E76BA"/>
    <w:rsid w:val="005F7266"/>
    <w:rsid w:val="006016A3"/>
    <w:rsid w:val="0060597F"/>
    <w:rsid w:val="00611548"/>
    <w:rsid w:val="0061441D"/>
    <w:rsid w:val="00615AC6"/>
    <w:rsid w:val="0061783B"/>
    <w:rsid w:val="006239AF"/>
    <w:rsid w:val="00625FB8"/>
    <w:rsid w:val="006362AD"/>
    <w:rsid w:val="0064482D"/>
    <w:rsid w:val="006502E9"/>
    <w:rsid w:val="00655998"/>
    <w:rsid w:val="00662C66"/>
    <w:rsid w:val="00665022"/>
    <w:rsid w:val="00667BD3"/>
    <w:rsid w:val="00667E3E"/>
    <w:rsid w:val="0067627A"/>
    <w:rsid w:val="006768C9"/>
    <w:rsid w:val="00686192"/>
    <w:rsid w:val="00686A21"/>
    <w:rsid w:val="00692B5A"/>
    <w:rsid w:val="00694D71"/>
    <w:rsid w:val="006A1A1F"/>
    <w:rsid w:val="006A2094"/>
    <w:rsid w:val="006A2EC1"/>
    <w:rsid w:val="006B272F"/>
    <w:rsid w:val="006B316E"/>
    <w:rsid w:val="006B5B3E"/>
    <w:rsid w:val="006C14A4"/>
    <w:rsid w:val="006D1FD2"/>
    <w:rsid w:val="006D32B0"/>
    <w:rsid w:val="006D3F5A"/>
    <w:rsid w:val="006D5644"/>
    <w:rsid w:val="006D7118"/>
    <w:rsid w:val="006E6A4B"/>
    <w:rsid w:val="006E70CD"/>
    <w:rsid w:val="006E730E"/>
    <w:rsid w:val="006E7911"/>
    <w:rsid w:val="006F0C0F"/>
    <w:rsid w:val="006F41BF"/>
    <w:rsid w:val="006F5A68"/>
    <w:rsid w:val="006F71A6"/>
    <w:rsid w:val="00702F17"/>
    <w:rsid w:val="0070357C"/>
    <w:rsid w:val="00705C72"/>
    <w:rsid w:val="007109E6"/>
    <w:rsid w:val="00717CF6"/>
    <w:rsid w:val="00726FEB"/>
    <w:rsid w:val="00733309"/>
    <w:rsid w:val="007375EF"/>
    <w:rsid w:val="007419C5"/>
    <w:rsid w:val="00741FBB"/>
    <w:rsid w:val="0074220D"/>
    <w:rsid w:val="00747DF0"/>
    <w:rsid w:val="0075048D"/>
    <w:rsid w:val="00754BC5"/>
    <w:rsid w:val="0076319D"/>
    <w:rsid w:val="00764672"/>
    <w:rsid w:val="007679F2"/>
    <w:rsid w:val="0077356D"/>
    <w:rsid w:val="00773E3D"/>
    <w:rsid w:val="007743FB"/>
    <w:rsid w:val="00776979"/>
    <w:rsid w:val="00776E78"/>
    <w:rsid w:val="007811AA"/>
    <w:rsid w:val="00782DA1"/>
    <w:rsid w:val="00782DD7"/>
    <w:rsid w:val="00787324"/>
    <w:rsid w:val="00787EF2"/>
    <w:rsid w:val="00794E3B"/>
    <w:rsid w:val="00795E5E"/>
    <w:rsid w:val="007A0255"/>
    <w:rsid w:val="007A31A8"/>
    <w:rsid w:val="007B585B"/>
    <w:rsid w:val="007B7098"/>
    <w:rsid w:val="007B73A2"/>
    <w:rsid w:val="007C26E4"/>
    <w:rsid w:val="007C37C5"/>
    <w:rsid w:val="007C6B19"/>
    <w:rsid w:val="007C79C8"/>
    <w:rsid w:val="007D619C"/>
    <w:rsid w:val="007D7169"/>
    <w:rsid w:val="007E3D91"/>
    <w:rsid w:val="007E7E80"/>
    <w:rsid w:val="007F2B44"/>
    <w:rsid w:val="007F5C4E"/>
    <w:rsid w:val="0080414D"/>
    <w:rsid w:val="00807CC3"/>
    <w:rsid w:val="00817ABC"/>
    <w:rsid w:val="008202DC"/>
    <w:rsid w:val="008227D0"/>
    <w:rsid w:val="00823ACD"/>
    <w:rsid w:val="00834EBB"/>
    <w:rsid w:val="00836B61"/>
    <w:rsid w:val="00836ECD"/>
    <w:rsid w:val="008376C0"/>
    <w:rsid w:val="00837735"/>
    <w:rsid w:val="008412CC"/>
    <w:rsid w:val="00846B57"/>
    <w:rsid w:val="0085640F"/>
    <w:rsid w:val="00857312"/>
    <w:rsid w:val="0086014D"/>
    <w:rsid w:val="008655C9"/>
    <w:rsid w:val="008668D6"/>
    <w:rsid w:val="00873645"/>
    <w:rsid w:val="00873C8C"/>
    <w:rsid w:val="008758C2"/>
    <w:rsid w:val="00891A2E"/>
    <w:rsid w:val="008A2B84"/>
    <w:rsid w:val="008A3A48"/>
    <w:rsid w:val="008A7330"/>
    <w:rsid w:val="008A745D"/>
    <w:rsid w:val="008A762C"/>
    <w:rsid w:val="008D09BE"/>
    <w:rsid w:val="008D3510"/>
    <w:rsid w:val="008D4F54"/>
    <w:rsid w:val="008D51E6"/>
    <w:rsid w:val="008E2080"/>
    <w:rsid w:val="008F31B7"/>
    <w:rsid w:val="00902788"/>
    <w:rsid w:val="00903D3B"/>
    <w:rsid w:val="00913520"/>
    <w:rsid w:val="00914716"/>
    <w:rsid w:val="0091730D"/>
    <w:rsid w:val="00923549"/>
    <w:rsid w:val="00923C87"/>
    <w:rsid w:val="00932651"/>
    <w:rsid w:val="00937BA8"/>
    <w:rsid w:val="0094285D"/>
    <w:rsid w:val="00943544"/>
    <w:rsid w:val="00947818"/>
    <w:rsid w:val="00956B37"/>
    <w:rsid w:val="00956FA1"/>
    <w:rsid w:val="00970591"/>
    <w:rsid w:val="0097381B"/>
    <w:rsid w:val="009806D5"/>
    <w:rsid w:val="00984B04"/>
    <w:rsid w:val="009946E2"/>
    <w:rsid w:val="0099731A"/>
    <w:rsid w:val="009A02BE"/>
    <w:rsid w:val="009A5EC6"/>
    <w:rsid w:val="009A763C"/>
    <w:rsid w:val="009B1FA6"/>
    <w:rsid w:val="009B221B"/>
    <w:rsid w:val="009B4980"/>
    <w:rsid w:val="009B7B72"/>
    <w:rsid w:val="009D114E"/>
    <w:rsid w:val="009D15FB"/>
    <w:rsid w:val="009D5349"/>
    <w:rsid w:val="009E5DDE"/>
    <w:rsid w:val="009F1768"/>
    <w:rsid w:val="00A00AB1"/>
    <w:rsid w:val="00A05596"/>
    <w:rsid w:val="00A06952"/>
    <w:rsid w:val="00A1476D"/>
    <w:rsid w:val="00A20890"/>
    <w:rsid w:val="00A30632"/>
    <w:rsid w:val="00A31CD4"/>
    <w:rsid w:val="00A32305"/>
    <w:rsid w:val="00A33737"/>
    <w:rsid w:val="00A36F6E"/>
    <w:rsid w:val="00A46FAF"/>
    <w:rsid w:val="00A52577"/>
    <w:rsid w:val="00A57C61"/>
    <w:rsid w:val="00A603D0"/>
    <w:rsid w:val="00A614B5"/>
    <w:rsid w:val="00A6182F"/>
    <w:rsid w:val="00A63C91"/>
    <w:rsid w:val="00A6401A"/>
    <w:rsid w:val="00A65A09"/>
    <w:rsid w:val="00A6619C"/>
    <w:rsid w:val="00A852BF"/>
    <w:rsid w:val="00A95017"/>
    <w:rsid w:val="00AA07B1"/>
    <w:rsid w:val="00AA368F"/>
    <w:rsid w:val="00AA709F"/>
    <w:rsid w:val="00AA774D"/>
    <w:rsid w:val="00AB1074"/>
    <w:rsid w:val="00AB3128"/>
    <w:rsid w:val="00AB4315"/>
    <w:rsid w:val="00AB5451"/>
    <w:rsid w:val="00AC414E"/>
    <w:rsid w:val="00AD331A"/>
    <w:rsid w:val="00AE0536"/>
    <w:rsid w:val="00AF3A99"/>
    <w:rsid w:val="00AF7125"/>
    <w:rsid w:val="00B026C2"/>
    <w:rsid w:val="00B106DF"/>
    <w:rsid w:val="00B113E1"/>
    <w:rsid w:val="00B20D1D"/>
    <w:rsid w:val="00B26EA6"/>
    <w:rsid w:val="00B27083"/>
    <w:rsid w:val="00B27135"/>
    <w:rsid w:val="00B4526B"/>
    <w:rsid w:val="00B45BC3"/>
    <w:rsid w:val="00B50905"/>
    <w:rsid w:val="00B527BF"/>
    <w:rsid w:val="00B5599C"/>
    <w:rsid w:val="00B56BCC"/>
    <w:rsid w:val="00B6342B"/>
    <w:rsid w:val="00B66E6B"/>
    <w:rsid w:val="00B73965"/>
    <w:rsid w:val="00B8559E"/>
    <w:rsid w:val="00B90BE6"/>
    <w:rsid w:val="00B92000"/>
    <w:rsid w:val="00B93EB4"/>
    <w:rsid w:val="00B95BAC"/>
    <w:rsid w:val="00B95C2A"/>
    <w:rsid w:val="00BA15E7"/>
    <w:rsid w:val="00BA7FBD"/>
    <w:rsid w:val="00BB6BAD"/>
    <w:rsid w:val="00BC2B2B"/>
    <w:rsid w:val="00BC33AB"/>
    <w:rsid w:val="00BC4E23"/>
    <w:rsid w:val="00BC5365"/>
    <w:rsid w:val="00BC7FB1"/>
    <w:rsid w:val="00BD18B5"/>
    <w:rsid w:val="00BD22E2"/>
    <w:rsid w:val="00BD2CDF"/>
    <w:rsid w:val="00BD51FB"/>
    <w:rsid w:val="00BE2CC7"/>
    <w:rsid w:val="00BE7918"/>
    <w:rsid w:val="00BF3728"/>
    <w:rsid w:val="00C02282"/>
    <w:rsid w:val="00C037D6"/>
    <w:rsid w:val="00C047F7"/>
    <w:rsid w:val="00C05486"/>
    <w:rsid w:val="00C128AE"/>
    <w:rsid w:val="00C1316B"/>
    <w:rsid w:val="00C146D4"/>
    <w:rsid w:val="00C163B2"/>
    <w:rsid w:val="00C25390"/>
    <w:rsid w:val="00C26165"/>
    <w:rsid w:val="00C3255B"/>
    <w:rsid w:val="00C46AA9"/>
    <w:rsid w:val="00C47DC7"/>
    <w:rsid w:val="00C50A8F"/>
    <w:rsid w:val="00C51063"/>
    <w:rsid w:val="00C51718"/>
    <w:rsid w:val="00C55BF4"/>
    <w:rsid w:val="00C576C1"/>
    <w:rsid w:val="00C67619"/>
    <w:rsid w:val="00C73486"/>
    <w:rsid w:val="00C73AC4"/>
    <w:rsid w:val="00C83250"/>
    <w:rsid w:val="00C86166"/>
    <w:rsid w:val="00C8789C"/>
    <w:rsid w:val="00C91AC4"/>
    <w:rsid w:val="00C93531"/>
    <w:rsid w:val="00CA0925"/>
    <w:rsid w:val="00CA4583"/>
    <w:rsid w:val="00CA6B56"/>
    <w:rsid w:val="00CB37DF"/>
    <w:rsid w:val="00CC15A1"/>
    <w:rsid w:val="00CC25FC"/>
    <w:rsid w:val="00CC6057"/>
    <w:rsid w:val="00CC768B"/>
    <w:rsid w:val="00CD05A6"/>
    <w:rsid w:val="00CD3A5D"/>
    <w:rsid w:val="00CD3C27"/>
    <w:rsid w:val="00CD5772"/>
    <w:rsid w:val="00CD5F91"/>
    <w:rsid w:val="00CE0F4A"/>
    <w:rsid w:val="00CE25EF"/>
    <w:rsid w:val="00CE4F63"/>
    <w:rsid w:val="00CE5574"/>
    <w:rsid w:val="00CE6AF7"/>
    <w:rsid w:val="00CE7B82"/>
    <w:rsid w:val="00CF118F"/>
    <w:rsid w:val="00CF15C7"/>
    <w:rsid w:val="00CF22B4"/>
    <w:rsid w:val="00CF4288"/>
    <w:rsid w:val="00CF5536"/>
    <w:rsid w:val="00D01AA5"/>
    <w:rsid w:val="00D03E63"/>
    <w:rsid w:val="00D06AE4"/>
    <w:rsid w:val="00D139B2"/>
    <w:rsid w:val="00D1733F"/>
    <w:rsid w:val="00D24288"/>
    <w:rsid w:val="00D31A99"/>
    <w:rsid w:val="00D328F5"/>
    <w:rsid w:val="00D33744"/>
    <w:rsid w:val="00D37083"/>
    <w:rsid w:val="00D41483"/>
    <w:rsid w:val="00D44229"/>
    <w:rsid w:val="00D531B0"/>
    <w:rsid w:val="00D55896"/>
    <w:rsid w:val="00D575FF"/>
    <w:rsid w:val="00D602EB"/>
    <w:rsid w:val="00D63F9D"/>
    <w:rsid w:val="00D715E4"/>
    <w:rsid w:val="00D71C2C"/>
    <w:rsid w:val="00D748FC"/>
    <w:rsid w:val="00D84306"/>
    <w:rsid w:val="00D86A4C"/>
    <w:rsid w:val="00D934BA"/>
    <w:rsid w:val="00D97333"/>
    <w:rsid w:val="00D975DA"/>
    <w:rsid w:val="00DA089A"/>
    <w:rsid w:val="00DA0A0E"/>
    <w:rsid w:val="00DA50FF"/>
    <w:rsid w:val="00DB3317"/>
    <w:rsid w:val="00DB63CF"/>
    <w:rsid w:val="00DC0337"/>
    <w:rsid w:val="00DC0C05"/>
    <w:rsid w:val="00DC1D29"/>
    <w:rsid w:val="00DC5558"/>
    <w:rsid w:val="00DC7248"/>
    <w:rsid w:val="00DC7279"/>
    <w:rsid w:val="00DD3220"/>
    <w:rsid w:val="00DD37E8"/>
    <w:rsid w:val="00DD441E"/>
    <w:rsid w:val="00DD54A6"/>
    <w:rsid w:val="00DE3AEC"/>
    <w:rsid w:val="00DE470C"/>
    <w:rsid w:val="00DE4F04"/>
    <w:rsid w:val="00DE64D6"/>
    <w:rsid w:val="00DF034B"/>
    <w:rsid w:val="00DF0600"/>
    <w:rsid w:val="00DF256B"/>
    <w:rsid w:val="00E03611"/>
    <w:rsid w:val="00E11521"/>
    <w:rsid w:val="00E1394F"/>
    <w:rsid w:val="00E23121"/>
    <w:rsid w:val="00E250F7"/>
    <w:rsid w:val="00E27345"/>
    <w:rsid w:val="00E27FC8"/>
    <w:rsid w:val="00E36F67"/>
    <w:rsid w:val="00E46E76"/>
    <w:rsid w:val="00E50576"/>
    <w:rsid w:val="00E529E4"/>
    <w:rsid w:val="00E52F2D"/>
    <w:rsid w:val="00E55007"/>
    <w:rsid w:val="00E5628C"/>
    <w:rsid w:val="00E60E6B"/>
    <w:rsid w:val="00E62336"/>
    <w:rsid w:val="00E666DE"/>
    <w:rsid w:val="00E67CD2"/>
    <w:rsid w:val="00E71233"/>
    <w:rsid w:val="00E73197"/>
    <w:rsid w:val="00E74450"/>
    <w:rsid w:val="00E7503C"/>
    <w:rsid w:val="00E75C95"/>
    <w:rsid w:val="00E8100C"/>
    <w:rsid w:val="00E85595"/>
    <w:rsid w:val="00E92D83"/>
    <w:rsid w:val="00E971E5"/>
    <w:rsid w:val="00E978FA"/>
    <w:rsid w:val="00EB394A"/>
    <w:rsid w:val="00EB3E07"/>
    <w:rsid w:val="00EC0401"/>
    <w:rsid w:val="00EC4FA9"/>
    <w:rsid w:val="00EC6267"/>
    <w:rsid w:val="00EC6BE9"/>
    <w:rsid w:val="00EC77BD"/>
    <w:rsid w:val="00EE10B3"/>
    <w:rsid w:val="00EE4814"/>
    <w:rsid w:val="00EF1C2A"/>
    <w:rsid w:val="00EF2136"/>
    <w:rsid w:val="00EF5B60"/>
    <w:rsid w:val="00EF732A"/>
    <w:rsid w:val="00F01B11"/>
    <w:rsid w:val="00F037D3"/>
    <w:rsid w:val="00F1356C"/>
    <w:rsid w:val="00F1453B"/>
    <w:rsid w:val="00F208D1"/>
    <w:rsid w:val="00F21F86"/>
    <w:rsid w:val="00F347A5"/>
    <w:rsid w:val="00F36098"/>
    <w:rsid w:val="00F4093D"/>
    <w:rsid w:val="00F42DAC"/>
    <w:rsid w:val="00F44F18"/>
    <w:rsid w:val="00F6639C"/>
    <w:rsid w:val="00F6662F"/>
    <w:rsid w:val="00F7639E"/>
    <w:rsid w:val="00F82CAA"/>
    <w:rsid w:val="00F91F32"/>
    <w:rsid w:val="00F91FF2"/>
    <w:rsid w:val="00F930D2"/>
    <w:rsid w:val="00F941F0"/>
    <w:rsid w:val="00FA246B"/>
    <w:rsid w:val="00FA379A"/>
    <w:rsid w:val="00FA3F23"/>
    <w:rsid w:val="00FB1BFB"/>
    <w:rsid w:val="00FB28C2"/>
    <w:rsid w:val="00FB7333"/>
    <w:rsid w:val="00FC3B1D"/>
    <w:rsid w:val="00FC53A2"/>
    <w:rsid w:val="00FC578A"/>
    <w:rsid w:val="00FE2DCC"/>
    <w:rsid w:val="00FE4F6F"/>
    <w:rsid w:val="00FE53F5"/>
    <w:rsid w:val="00FF082B"/>
    <w:rsid w:val="00FF2B48"/>
    <w:rsid w:val="00FF6F48"/>
    <w:rsid w:val="01F31028"/>
    <w:rsid w:val="020774B0"/>
    <w:rsid w:val="029B72BC"/>
    <w:rsid w:val="02AA583E"/>
    <w:rsid w:val="033B6E7D"/>
    <w:rsid w:val="03E733BD"/>
    <w:rsid w:val="052B288A"/>
    <w:rsid w:val="05AF76AE"/>
    <w:rsid w:val="064F49ED"/>
    <w:rsid w:val="06E278FA"/>
    <w:rsid w:val="07C37441"/>
    <w:rsid w:val="081E63AC"/>
    <w:rsid w:val="08907C6B"/>
    <w:rsid w:val="092108C3"/>
    <w:rsid w:val="0A110938"/>
    <w:rsid w:val="0A595E3B"/>
    <w:rsid w:val="0A96708F"/>
    <w:rsid w:val="0AC51722"/>
    <w:rsid w:val="0B0E0AF2"/>
    <w:rsid w:val="0B112EBB"/>
    <w:rsid w:val="0B304DED"/>
    <w:rsid w:val="0C0A28AB"/>
    <w:rsid w:val="0D5A43A4"/>
    <w:rsid w:val="0D957AD2"/>
    <w:rsid w:val="0E2C21E4"/>
    <w:rsid w:val="0EC4091E"/>
    <w:rsid w:val="0F350C32"/>
    <w:rsid w:val="102430A8"/>
    <w:rsid w:val="11BF4BF7"/>
    <w:rsid w:val="129C0FBA"/>
    <w:rsid w:val="13BD16C7"/>
    <w:rsid w:val="140E0EC4"/>
    <w:rsid w:val="142474B9"/>
    <w:rsid w:val="149A777C"/>
    <w:rsid w:val="14FD03C4"/>
    <w:rsid w:val="150C0679"/>
    <w:rsid w:val="15F72F10"/>
    <w:rsid w:val="16755999"/>
    <w:rsid w:val="16F2564D"/>
    <w:rsid w:val="171C4DC0"/>
    <w:rsid w:val="17755D8D"/>
    <w:rsid w:val="185936B9"/>
    <w:rsid w:val="18BC1F5B"/>
    <w:rsid w:val="19D13C3F"/>
    <w:rsid w:val="19FA038A"/>
    <w:rsid w:val="1A150F5D"/>
    <w:rsid w:val="1B8B042B"/>
    <w:rsid w:val="1BB92A48"/>
    <w:rsid w:val="1D0936F0"/>
    <w:rsid w:val="1D3369BF"/>
    <w:rsid w:val="1D921938"/>
    <w:rsid w:val="1DD24459"/>
    <w:rsid w:val="1E2A319D"/>
    <w:rsid w:val="1E380C61"/>
    <w:rsid w:val="1E4A504D"/>
    <w:rsid w:val="1EB740A0"/>
    <w:rsid w:val="1EFF14CC"/>
    <w:rsid w:val="1F0B6FC4"/>
    <w:rsid w:val="1F6851D1"/>
    <w:rsid w:val="1FD91AA0"/>
    <w:rsid w:val="20AE78B7"/>
    <w:rsid w:val="20B56EF4"/>
    <w:rsid w:val="217E09BE"/>
    <w:rsid w:val="22F34C27"/>
    <w:rsid w:val="236A0004"/>
    <w:rsid w:val="24DE36B4"/>
    <w:rsid w:val="26D62895"/>
    <w:rsid w:val="272B2A82"/>
    <w:rsid w:val="277B74B3"/>
    <w:rsid w:val="29A13905"/>
    <w:rsid w:val="29B71C46"/>
    <w:rsid w:val="2A382B58"/>
    <w:rsid w:val="2B1E2697"/>
    <w:rsid w:val="2B5A4D4A"/>
    <w:rsid w:val="2B6E5792"/>
    <w:rsid w:val="2B984CC7"/>
    <w:rsid w:val="2C0F1D83"/>
    <w:rsid w:val="2CCB09C2"/>
    <w:rsid w:val="2DAB0190"/>
    <w:rsid w:val="2DED5FB1"/>
    <w:rsid w:val="2DF066BE"/>
    <w:rsid w:val="2F3F4E5E"/>
    <w:rsid w:val="2F452CAE"/>
    <w:rsid w:val="30134B5A"/>
    <w:rsid w:val="30B041E1"/>
    <w:rsid w:val="312A5CFF"/>
    <w:rsid w:val="316F4012"/>
    <w:rsid w:val="323E5792"/>
    <w:rsid w:val="324B69B7"/>
    <w:rsid w:val="338B3B77"/>
    <w:rsid w:val="342C61EA"/>
    <w:rsid w:val="35B61203"/>
    <w:rsid w:val="35CD7559"/>
    <w:rsid w:val="36486BE0"/>
    <w:rsid w:val="368F54AF"/>
    <w:rsid w:val="36A71B58"/>
    <w:rsid w:val="36C3270A"/>
    <w:rsid w:val="3710636D"/>
    <w:rsid w:val="371F0BC8"/>
    <w:rsid w:val="37784633"/>
    <w:rsid w:val="38027835"/>
    <w:rsid w:val="3814146F"/>
    <w:rsid w:val="382C2078"/>
    <w:rsid w:val="390F51F9"/>
    <w:rsid w:val="39425757"/>
    <w:rsid w:val="39553AED"/>
    <w:rsid w:val="3A305520"/>
    <w:rsid w:val="3A8D5509"/>
    <w:rsid w:val="3CAA64FF"/>
    <w:rsid w:val="3CBF564C"/>
    <w:rsid w:val="3CFD6394"/>
    <w:rsid w:val="3D814420"/>
    <w:rsid w:val="3E1A609F"/>
    <w:rsid w:val="3F544847"/>
    <w:rsid w:val="3F645465"/>
    <w:rsid w:val="3F726423"/>
    <w:rsid w:val="3F7647BE"/>
    <w:rsid w:val="3FD634AE"/>
    <w:rsid w:val="3FFED76A"/>
    <w:rsid w:val="400B12A0"/>
    <w:rsid w:val="408F378D"/>
    <w:rsid w:val="417B430D"/>
    <w:rsid w:val="41C07F72"/>
    <w:rsid w:val="41ED400C"/>
    <w:rsid w:val="41FB10D1"/>
    <w:rsid w:val="42F978DC"/>
    <w:rsid w:val="433C04D6"/>
    <w:rsid w:val="438E12F6"/>
    <w:rsid w:val="43BE4985"/>
    <w:rsid w:val="43FB34E3"/>
    <w:rsid w:val="44706668"/>
    <w:rsid w:val="44A96A63"/>
    <w:rsid w:val="450B18B4"/>
    <w:rsid w:val="451F2B30"/>
    <w:rsid w:val="454B2248"/>
    <w:rsid w:val="456D21BF"/>
    <w:rsid w:val="45EE77A4"/>
    <w:rsid w:val="4613778E"/>
    <w:rsid w:val="47636D21"/>
    <w:rsid w:val="478F28C0"/>
    <w:rsid w:val="48F55AF8"/>
    <w:rsid w:val="4B480C33"/>
    <w:rsid w:val="4BF076A6"/>
    <w:rsid w:val="4D6D59FD"/>
    <w:rsid w:val="4D8C0196"/>
    <w:rsid w:val="4DBF5582"/>
    <w:rsid w:val="4EC50172"/>
    <w:rsid w:val="4F11005F"/>
    <w:rsid w:val="4FFF7A81"/>
    <w:rsid w:val="50DD0C46"/>
    <w:rsid w:val="51EE28D9"/>
    <w:rsid w:val="5394300C"/>
    <w:rsid w:val="539B25ED"/>
    <w:rsid w:val="54022B5B"/>
    <w:rsid w:val="54CF7350"/>
    <w:rsid w:val="54F33A60"/>
    <w:rsid w:val="550B5550"/>
    <w:rsid w:val="55EA7024"/>
    <w:rsid w:val="562D75D2"/>
    <w:rsid w:val="5706231D"/>
    <w:rsid w:val="570A5ABF"/>
    <w:rsid w:val="585D61C2"/>
    <w:rsid w:val="58691301"/>
    <w:rsid w:val="58C40FF6"/>
    <w:rsid w:val="58F32497"/>
    <w:rsid w:val="59605E6B"/>
    <w:rsid w:val="59853250"/>
    <w:rsid w:val="59E52814"/>
    <w:rsid w:val="5A7C2933"/>
    <w:rsid w:val="5AE825BC"/>
    <w:rsid w:val="5B243E3E"/>
    <w:rsid w:val="5B8F6EDB"/>
    <w:rsid w:val="5BA70697"/>
    <w:rsid w:val="5BC326E1"/>
    <w:rsid w:val="5C542156"/>
    <w:rsid w:val="5CF26E76"/>
    <w:rsid w:val="5D4D0693"/>
    <w:rsid w:val="5E082F75"/>
    <w:rsid w:val="5E3C708E"/>
    <w:rsid w:val="5FFA069B"/>
    <w:rsid w:val="60AE2A12"/>
    <w:rsid w:val="60CF6AC6"/>
    <w:rsid w:val="60E06461"/>
    <w:rsid w:val="62402CDD"/>
    <w:rsid w:val="62603B46"/>
    <w:rsid w:val="62621758"/>
    <w:rsid w:val="62C72630"/>
    <w:rsid w:val="638917C8"/>
    <w:rsid w:val="63A519F7"/>
    <w:rsid w:val="63C74D38"/>
    <w:rsid w:val="63DA0F0F"/>
    <w:rsid w:val="655B2CBD"/>
    <w:rsid w:val="65754150"/>
    <w:rsid w:val="65CD7560"/>
    <w:rsid w:val="65DE5181"/>
    <w:rsid w:val="661853E7"/>
    <w:rsid w:val="661C3FB1"/>
    <w:rsid w:val="6626043C"/>
    <w:rsid w:val="6686712D"/>
    <w:rsid w:val="669B713A"/>
    <w:rsid w:val="67157854"/>
    <w:rsid w:val="67A55390"/>
    <w:rsid w:val="67BF6452"/>
    <w:rsid w:val="67C41CBB"/>
    <w:rsid w:val="68F81224"/>
    <w:rsid w:val="69004F74"/>
    <w:rsid w:val="69675EB2"/>
    <w:rsid w:val="69D63CA9"/>
    <w:rsid w:val="69E40EFF"/>
    <w:rsid w:val="6A7A1B06"/>
    <w:rsid w:val="6BAA4549"/>
    <w:rsid w:val="6BFD2B21"/>
    <w:rsid w:val="6D350F65"/>
    <w:rsid w:val="6D60176B"/>
    <w:rsid w:val="6DED0D1E"/>
    <w:rsid w:val="6EE62242"/>
    <w:rsid w:val="6FA64291"/>
    <w:rsid w:val="70165607"/>
    <w:rsid w:val="70FE7850"/>
    <w:rsid w:val="714E77C7"/>
    <w:rsid w:val="733F0D8F"/>
    <w:rsid w:val="73BFFA9A"/>
    <w:rsid w:val="74CE5F27"/>
    <w:rsid w:val="74FC2200"/>
    <w:rsid w:val="75850662"/>
    <w:rsid w:val="7613731C"/>
    <w:rsid w:val="76C02517"/>
    <w:rsid w:val="770140B7"/>
    <w:rsid w:val="774F56E8"/>
    <w:rsid w:val="7776705B"/>
    <w:rsid w:val="77E12357"/>
    <w:rsid w:val="78930FD5"/>
    <w:rsid w:val="78E55F35"/>
    <w:rsid w:val="7A1A383D"/>
    <w:rsid w:val="7A33472F"/>
    <w:rsid w:val="7A536363"/>
    <w:rsid w:val="7B9879A6"/>
    <w:rsid w:val="7C594C70"/>
    <w:rsid w:val="7DF005C8"/>
    <w:rsid w:val="7E116D98"/>
    <w:rsid w:val="7F3D0DBC"/>
    <w:rsid w:val="7FD60FF5"/>
    <w:rsid w:val="7FDFABE6"/>
    <w:rsid w:val="7FE07BAF"/>
    <w:rsid w:val="B6EE4B9A"/>
    <w:rsid w:val="D7B9F221"/>
    <w:rsid w:val="DACF4DED"/>
    <w:rsid w:val="FDF49630"/>
    <w:rsid w:val="FF96F44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annotation text"/>
    <w:basedOn w:val="1"/>
    <w:semiHidden/>
    <w:qFormat/>
    <w:uiPriority w:val="0"/>
    <w:pPr>
      <w:jc w:val="left"/>
    </w:pPr>
  </w:style>
  <w:style w:type="paragraph" w:styleId="4">
    <w:name w:val="Body Text"/>
    <w:basedOn w:val="1"/>
    <w:qFormat/>
    <w:uiPriority w:val="0"/>
    <w:pPr>
      <w:spacing w:before="0" w:after="283" w:line="360" w:lineRule="auto"/>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link w:val="16"/>
    <w:qFormat/>
    <w:uiPriority w:val="0"/>
    <w:pPr>
      <w:spacing w:line="560" w:lineRule="exact"/>
      <w:ind w:firstLine="644"/>
    </w:pPr>
    <w:rPr>
      <w:rFonts w:ascii="方正仿宋简体" w:eastAsia="方正仿宋简体"/>
      <w:sz w:val="30"/>
    </w:rPr>
  </w:style>
  <w:style w:type="paragraph" w:styleId="9">
    <w:name w:val="annotation subject"/>
    <w:basedOn w:val="3"/>
    <w:next w:val="3"/>
    <w:semiHidden/>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annotation reference"/>
    <w:semiHidden/>
    <w:qFormat/>
    <w:uiPriority w:val="0"/>
    <w:rPr>
      <w:sz w:val="21"/>
      <w:szCs w:val="21"/>
    </w:rPr>
  </w:style>
  <w:style w:type="paragraph" w:customStyle="1" w:styleId="15">
    <w:name w:val="Char"/>
    <w:basedOn w:val="1"/>
    <w:qFormat/>
    <w:uiPriority w:val="0"/>
    <w:pPr>
      <w:widowControl/>
      <w:spacing w:after="160" w:line="240" w:lineRule="exact"/>
      <w:jc w:val="left"/>
    </w:pPr>
    <w:rPr>
      <w:rFonts w:ascii="Verdana" w:hAnsi="Verdana"/>
      <w:kern w:val="0"/>
      <w:sz w:val="20"/>
      <w:lang w:eastAsia="en-US"/>
    </w:rPr>
  </w:style>
  <w:style w:type="character" w:customStyle="1" w:styleId="16">
    <w:name w:val="正文文本缩进 3 Char"/>
    <w:basedOn w:val="12"/>
    <w:link w:val="8"/>
    <w:qFormat/>
    <w:uiPriority w:val="0"/>
    <w:rPr>
      <w:rFonts w:ascii="方正仿宋简体" w:eastAsia="方正仿宋简体"/>
      <w:kern w:val="2"/>
      <w:sz w:val="30"/>
    </w:rPr>
  </w:style>
  <w:style w:type="paragraph" w:customStyle="1" w:styleId="17">
    <w:name w:val="Revision"/>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panchina</Company>
  <Pages>8</Pages>
  <Words>5866</Words>
  <Characters>7344</Characters>
  <Lines>41</Lines>
  <Paragraphs>11</Paragraphs>
  <TotalTime>30</TotalTime>
  <ScaleCrop>false</ScaleCrop>
  <LinksUpToDate>false</LinksUpToDate>
  <CharactersWithSpaces>7563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2019-12-22T17:45:00Z</dcterms:created>
  <dc:creator>william</dc:creator>
  <cp:lastModifiedBy>雯亦</cp:lastModifiedBy>
  <cp:lastPrinted>2022-12-22T14:56:00Z</cp:lastPrinted>
  <dcterms:modified xsi:type="dcterms:W3CDTF">2025-04-25T07:11:53Z</dcterms:modified>
  <dc:title>年度募集资金存放与使用情况鉴证报告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2A8EDCC0501F441AADD62FC96EB3458A_13</vt:lpwstr>
  </property>
  <property fmtid="{D5CDD505-2E9C-101B-9397-08002B2CF9AE}" pid="4" name="KSOTemplateDocerSaveRecord">
    <vt:lpwstr>eyJoZGlkIjoiZTQzZmRmZDMxMjkwMDE2NTk0ZWQ1ZWYwMzRmYjVhNmUiLCJ1c2VySWQiOiI2NDQwNzQxNTQifQ==</vt:lpwstr>
  </property>
</Properties>
</file>