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89F4B">
      <w:pPr>
        <w:adjustRightInd w:val="0"/>
        <w:snapToGrid w:val="0"/>
        <w:spacing w:line="560" w:lineRule="exact"/>
        <w:jc w:val="left"/>
        <w:rPr>
          <w:rFonts w:hint="eastAsia" w:ascii="仿宋" w:hAnsi="仿宋" w:eastAsia="仿宋_GB2312"/>
          <w:sz w:val="30"/>
          <w:szCs w:val="30"/>
        </w:rPr>
      </w:pPr>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公告编号：2</w:t>
      </w:r>
      <w:r>
        <w:rPr>
          <w:rFonts w:ascii="宋体" w:hAnsi="宋体"/>
          <w:b/>
          <w:sz w:val="24"/>
          <w:szCs w:val="24"/>
        </w:rPr>
        <w:t>02</w:t>
      </w:r>
      <w:r>
        <w:rPr>
          <w:rFonts w:hint="eastAsia" w:ascii="宋体" w:hAnsi="宋体"/>
          <w:b/>
          <w:sz w:val="24"/>
          <w:szCs w:val="24"/>
        </w:rPr>
        <w:t>5</w:t>
      </w:r>
      <w:r>
        <w:rPr>
          <w:rFonts w:ascii="宋体" w:hAnsi="宋体"/>
          <w:b/>
          <w:sz w:val="24"/>
          <w:szCs w:val="24"/>
        </w:rPr>
        <w:t>-0</w:t>
      </w:r>
      <w:r>
        <w:rPr>
          <w:rFonts w:hint="eastAsia" w:ascii="宋体" w:hAnsi="宋体" w:eastAsia="仿宋_GB2312"/>
          <w:b/>
          <w:sz w:val="24"/>
          <w:szCs w:val="24"/>
        </w:rPr>
        <w:t>27</w:t>
      </w:r>
    </w:p>
    <w:p w14:paraId="5A90EB51">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27A0E369">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关于2025年4月</w:t>
      </w:r>
      <w:r>
        <w:rPr>
          <w:rFonts w:ascii="宋体" w:hAnsi="宋体" w:cs="仿宋_GB2312"/>
          <w:b/>
          <w:bCs/>
          <w:color w:val="FF0000"/>
          <w:sz w:val="36"/>
          <w:szCs w:val="36"/>
        </w:rPr>
        <w:t>对外</w:t>
      </w:r>
      <w:r>
        <w:rPr>
          <w:rFonts w:hint="eastAsia" w:ascii="宋体" w:hAnsi="宋体" w:cs="仿宋_GB2312"/>
          <w:b/>
          <w:bCs/>
          <w:color w:val="FF0000"/>
          <w:sz w:val="36"/>
          <w:szCs w:val="36"/>
        </w:rPr>
        <w:t>担保的进展公告</w:t>
      </w:r>
    </w:p>
    <w:p w14:paraId="10CE4F52">
      <w:pPr>
        <w:adjustRightInd w:val="0"/>
        <w:snapToGrid w:val="0"/>
        <w:spacing w:before="159" w:beforeLines="50" w:line="560" w:lineRule="exact"/>
        <w:jc w:val="center"/>
        <w:rPr>
          <w:rFonts w:hint="eastAsia" w:ascii="仿宋_GB2312" w:hAnsi="仿宋_GB2312" w:eastAsia="仿宋_GB2312" w:cs="仿宋_GB2312"/>
          <w:b/>
          <w:bCs/>
          <w:sz w:val="30"/>
          <w:szCs w:val="30"/>
        </w:rPr>
      </w:pPr>
    </w:p>
    <w:p w14:paraId="48EFC4E2">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sz w:val="24"/>
          <w:szCs w:val="24"/>
        </w:rPr>
      </w:pPr>
      <w:r>
        <w:rPr>
          <w:rFonts w:hint="eastAsia" w:ascii="仿宋" w:hAnsi="仿宋" w:eastAsia="仿宋"/>
          <w:sz w:val="24"/>
          <w:szCs w:val="24"/>
        </w:rPr>
        <w:t>本公司董事会及全体董事保证本公告内容不存在任何虚假记载、误导性陈述或者重大遗漏，并对其内容的真实性、准确性和完整性承担法律责任</w:t>
      </w:r>
      <w:r>
        <w:rPr>
          <w:rFonts w:hint="eastAsia" w:ascii="宋体" w:hAnsi="宋体"/>
          <w:sz w:val="24"/>
          <w:szCs w:val="24"/>
        </w:rPr>
        <w:t>。</w:t>
      </w:r>
    </w:p>
    <w:p w14:paraId="642CEA82">
      <w:pPr>
        <w:adjustRightInd w:val="0"/>
        <w:snapToGrid w:val="0"/>
        <w:spacing w:line="560" w:lineRule="exact"/>
        <w:rPr>
          <w:rFonts w:hint="eastAsia" w:ascii="宋体" w:hAnsi="宋体" w:cs="宋体"/>
          <w:sz w:val="24"/>
          <w:szCs w:val="24"/>
        </w:rPr>
      </w:pPr>
    </w:p>
    <w:p w14:paraId="3DD71F21">
      <w:pPr>
        <w:adjustRightInd w:val="0"/>
        <w:snapToGrid w:val="0"/>
        <w:spacing w:line="560" w:lineRule="exact"/>
        <w:rPr>
          <w:rFonts w:hint="eastAsia" w:ascii="宋体" w:hAnsi="宋体" w:cs="宋体"/>
          <w:b/>
          <w:sz w:val="24"/>
          <w:szCs w:val="24"/>
        </w:rPr>
      </w:pPr>
      <w:r>
        <w:rPr>
          <w:rFonts w:hint="eastAsia" w:ascii="宋体" w:hAnsi="宋体" w:cs="宋体"/>
          <w:b/>
          <w:sz w:val="24"/>
          <w:szCs w:val="24"/>
        </w:rPr>
        <w:t>重要内容提示：</w:t>
      </w:r>
    </w:p>
    <w:p w14:paraId="4611552F">
      <w:pPr>
        <w:pStyle w:val="94"/>
        <w:numPr>
          <w:ilvl w:val="0"/>
          <w:numId w:val="12"/>
        </w:numPr>
        <w:rPr>
          <w:rFonts w:hint="eastAsia" w:ascii="宋体" w:hAnsi="宋体" w:cs="宋体"/>
          <w:sz w:val="24"/>
          <w:szCs w:val="24"/>
        </w:rPr>
      </w:pPr>
      <w:r>
        <w:rPr>
          <w:rFonts w:hint="eastAsia" w:ascii="宋体" w:hAnsi="宋体" w:cs="宋体"/>
          <w:sz w:val="24"/>
          <w:szCs w:val="24"/>
        </w:rPr>
        <w:t>被担保人：控股子公司云南变压器电气股份有限公司（以下简称“云变电气”）、担保金额及已实际提供的担保余额：2025年4月1日-4月30日期间，重庆望变电气（集团）股份有限公司（以下简称“公司”或“望变电气”）及下属子公司新增对外担保21,000万元；截止2025年4月末，公司对外担保余额为41,656.73万元，均为对子公司提供的担保。</w:t>
      </w:r>
    </w:p>
    <w:p w14:paraId="3D8BEAA5">
      <w:pPr>
        <w:pStyle w:val="94"/>
        <w:rPr>
          <w:rFonts w:hint="eastAsia" w:ascii="宋体" w:hAnsi="宋体" w:cs="宋体"/>
          <w:sz w:val="24"/>
          <w:szCs w:val="24"/>
        </w:rPr>
      </w:pPr>
      <w:r>
        <w:rPr>
          <w:rFonts w:hint="eastAsia" w:ascii="宋体" w:hAnsi="宋体" w:cs="宋体"/>
          <w:sz w:val="24"/>
          <w:szCs w:val="24"/>
        </w:rPr>
        <w:t>是否有反担保：无</w:t>
      </w:r>
    </w:p>
    <w:p w14:paraId="78CF50A9">
      <w:pPr>
        <w:pStyle w:val="94"/>
        <w:rPr>
          <w:rFonts w:hint="eastAsia" w:ascii="宋体" w:hAnsi="宋体" w:cs="宋体"/>
          <w:sz w:val="24"/>
          <w:szCs w:val="24"/>
        </w:rPr>
      </w:pPr>
      <w:r>
        <w:rPr>
          <w:rFonts w:hint="eastAsia" w:ascii="宋体" w:hAnsi="宋体" w:cs="宋体"/>
          <w:sz w:val="24"/>
          <w:szCs w:val="24"/>
        </w:rPr>
        <w:t>公司有无逾期对外担保的情况：无</w:t>
      </w:r>
    </w:p>
    <w:p w14:paraId="52349442">
      <w:pPr>
        <w:pStyle w:val="94"/>
        <w:rPr>
          <w:rFonts w:hint="eastAsia" w:ascii="宋体" w:hAnsi="宋体" w:cs="宋体"/>
          <w:sz w:val="24"/>
          <w:szCs w:val="24"/>
        </w:rPr>
      </w:pPr>
      <w:r>
        <w:rPr>
          <w:rFonts w:hint="eastAsia" w:ascii="宋体" w:hAnsi="宋体" w:cs="宋体"/>
          <w:spacing w:val="-1"/>
          <w:sz w:val="24"/>
          <w:szCs w:val="24"/>
        </w:rPr>
        <w:t>特别风险提示：截至2025年4月30日，公司对外担保总额为人民币88,500.00 万元，担保余额为</w:t>
      </w:r>
      <w:r>
        <w:rPr>
          <w:rFonts w:hint="eastAsia" w:ascii="宋体" w:hAnsi="宋体" w:cs="宋体"/>
          <w:sz w:val="24"/>
          <w:szCs w:val="24"/>
        </w:rPr>
        <w:t>41,656.73</w:t>
      </w:r>
      <w:r>
        <w:rPr>
          <w:rFonts w:hint="eastAsia" w:ascii="宋体" w:hAnsi="宋体" w:cs="宋体"/>
          <w:spacing w:val="-1"/>
          <w:sz w:val="24"/>
          <w:szCs w:val="24"/>
        </w:rPr>
        <w:t>万元，占公司最近一期经审计净资产的</w:t>
      </w:r>
      <w:r>
        <w:rPr>
          <w:rFonts w:hint="eastAsia" w:ascii="宋体" w:hAnsi="宋体" w:cs="宋体"/>
          <w:spacing w:val="-1"/>
          <w:sz w:val="24"/>
          <w:szCs w:val="24"/>
          <w:lang w:val="en-US" w:eastAsia="zh-CN"/>
        </w:rPr>
        <w:t>17.26</w:t>
      </w:r>
      <w:r>
        <w:rPr>
          <w:rFonts w:hint="eastAsia" w:ascii="宋体" w:hAnsi="宋体" w:cs="宋体"/>
          <w:spacing w:val="-1"/>
          <w:sz w:val="24"/>
          <w:szCs w:val="24"/>
        </w:rPr>
        <w:t>%；对</w:t>
      </w:r>
      <w:r>
        <w:rPr>
          <w:rFonts w:hint="eastAsia" w:ascii="宋体" w:hAnsi="宋体" w:cs="宋体"/>
          <w:spacing w:val="-2"/>
          <w:sz w:val="24"/>
          <w:szCs w:val="24"/>
        </w:rPr>
        <w:t>资产负债率超过70.00%的单位提供担保的金额为人民币13,000.00万元，担保余额为 4,296.72万元，占公司最近一期经审计净资产的1.78%；</w:t>
      </w:r>
      <w:r>
        <w:rPr>
          <w:rFonts w:hint="eastAsia" w:ascii="宋体" w:hAnsi="宋体" w:cs="宋体"/>
          <w:spacing w:val="-1"/>
          <w:sz w:val="24"/>
          <w:szCs w:val="24"/>
        </w:rPr>
        <w:t>敬请投资者充分关</w:t>
      </w:r>
      <w:r>
        <w:rPr>
          <w:rFonts w:hint="eastAsia" w:ascii="宋体" w:hAnsi="宋体" w:cs="宋体"/>
          <w:spacing w:val="-5"/>
          <w:sz w:val="24"/>
          <w:szCs w:val="24"/>
        </w:rPr>
        <w:t>注担保风险。</w:t>
      </w:r>
    </w:p>
    <w:p w14:paraId="6DFE09CA">
      <w:pPr>
        <w:numPr>
          <w:ilvl w:val="0"/>
          <w:numId w:val="13"/>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担保情况概述</w:t>
      </w:r>
    </w:p>
    <w:p w14:paraId="00101A03">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（一）</w:t>
      </w:r>
      <w:r>
        <w:rPr>
          <w:rFonts w:ascii="宋体" w:hAnsi="宋体" w:cs="宋体"/>
          <w:kern w:val="0"/>
          <w:sz w:val="24"/>
          <w:szCs w:val="24"/>
        </w:rPr>
        <w:t>公司对外担保总额及内部决策程序履行</w:t>
      </w:r>
      <w:r>
        <w:rPr>
          <w:rFonts w:hint="eastAsia" w:ascii="宋体" w:hAnsi="宋体" w:cs="宋体"/>
          <w:kern w:val="0"/>
          <w:sz w:val="24"/>
          <w:szCs w:val="24"/>
        </w:rPr>
        <w:t>情况</w:t>
      </w:r>
    </w:p>
    <w:p w14:paraId="07CBA296">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公司于2024年11月26日召开第四届董事会第九次会议审议通过《关于2025年度向银行等金融机构申请综合授信额度及为子公司提供融资担保额度的议案》，同意2025年度为子公司重庆惠泽电器有限公司（以下简称“惠泽电器”）向银行等金融机构申请综合授信或借款提供新增额度不超过1亿元人民币（或等值外币）的担保；同意2025年度为资产负债率超过70%的子公司黔南望江变压器有限公司（以下简称“黔南望江”）向银行等金融机构申请综合授信或借款提供新增额度不超过2亿元人民币（或等值外币）的担保；同意2025年度为子公司云变电气向银行等金融机构申请综合授信或借款提供新增额度不超过12亿元人民币（或等值外币）的担保。上述担保额度有效期自2025年1月1日至2025年12月31日。该担保事项已提交公司2024年第三次临时股东会审议通过。具体情况详见公司在上海证券交易所官网披露的《关于预计2025年度对子公司新增担保额度的公告》（公告编号：2024-075）和《2024年第三次临时股东大会决议公告》（公告编号：2024-082）。</w:t>
      </w:r>
    </w:p>
    <w:p w14:paraId="4501BC21">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（二）本月对外担保进展情况</w:t>
      </w:r>
    </w:p>
    <w:p w14:paraId="6B5658E6">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2025年4月，公司及下属子公司新增对外担保人民币21,000万元,其中15,000万元担保系公司于2024年4月10日与中国银行股份有限公司昆明市西山支行（以下简称“中行昆明支行”）签署《最高额保证合同》为控股子公司云变电气与中行昆明支行签署的《授信额度协议》提供不超过人民币15,000万元的连带责任担保；6,000万元担保系公司于2024年4月18日与中信银行股份有限公司昆明分行（以下简称“中信昆明分行”）签署《最高额保证合同》为控股子公司云变电气与中信昆明分行签署的《综合授信合同》提供不超过人民币6,000万元的连带责任担保。</w:t>
      </w:r>
    </w:p>
    <w:p w14:paraId="4A858200">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上述担保无反担保，云变电气其他股东对上述担保未提供对应比例的担保。</w:t>
      </w:r>
    </w:p>
    <w:p w14:paraId="6BBF2DBD">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上述担保事项属于公司2024年第三次临时股东会授权范围并在有效期内，无需再次提交公司董事会、股东会审议。</w:t>
      </w:r>
    </w:p>
    <w:p w14:paraId="52309438">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（三）担保预计的实际发生情况</w:t>
      </w:r>
    </w:p>
    <w:p w14:paraId="3A6BE4F3">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截止2025年4月末，公司对外担保的实际发生情况如下：</w:t>
      </w:r>
    </w:p>
    <w:tbl>
      <w:tblPr>
        <w:tblStyle w:val="104"/>
        <w:tblW w:w="5157"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041"/>
        <w:gridCol w:w="879"/>
        <w:gridCol w:w="1058"/>
        <w:gridCol w:w="1140"/>
        <w:gridCol w:w="1071"/>
        <w:gridCol w:w="1144"/>
        <w:gridCol w:w="658"/>
        <w:gridCol w:w="620"/>
      </w:tblGrid>
      <w:tr w14:paraId="5E253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56" w:type="dxa"/>
            <w:vAlign w:val="center"/>
          </w:tcPr>
          <w:p w14:paraId="1668ACD4">
            <w:pPr>
              <w:pStyle w:val="105"/>
              <w:jc w:val="center"/>
              <w:rPr>
                <w:rFonts w:hint="eastAsia" w:ascii="宋体" w:hAnsi="宋体" w:eastAsia="宋体"/>
                <w:b/>
                <w:bCs/>
                <w:sz w:val="21"/>
                <w:szCs w:val="21"/>
                <w:lang w:eastAsia="zh-CN"/>
              </w:rPr>
            </w:pPr>
            <w:r>
              <w:rPr>
                <w:rFonts w:hint="eastAsia" w:ascii="宋体" w:hAnsi="宋体" w:eastAsia="宋体"/>
                <w:b/>
                <w:bCs/>
                <w:sz w:val="21"/>
                <w:szCs w:val="21"/>
              </w:rPr>
              <w:t>担保</w:t>
            </w:r>
            <w:r>
              <w:rPr>
                <w:rFonts w:hint="eastAsia" w:ascii="宋体" w:hAnsi="宋体" w:eastAsia="宋体"/>
                <w:b/>
                <w:bCs/>
                <w:sz w:val="21"/>
                <w:szCs w:val="21"/>
                <w:lang w:eastAsia="zh-CN"/>
              </w:rPr>
              <w:t>方</w:t>
            </w:r>
          </w:p>
        </w:tc>
        <w:tc>
          <w:tcPr>
            <w:tcW w:w="1040" w:type="dxa"/>
            <w:vAlign w:val="center"/>
          </w:tcPr>
          <w:p w14:paraId="50EA1460">
            <w:pPr>
              <w:pStyle w:val="105"/>
              <w:jc w:val="center"/>
              <w:rPr>
                <w:rFonts w:hint="eastAsia" w:ascii="宋体" w:hAnsi="宋体" w:eastAsia="宋体"/>
                <w:b/>
                <w:bCs/>
                <w:sz w:val="21"/>
                <w:szCs w:val="21"/>
                <w:lang w:eastAsia="zh-CN"/>
              </w:rPr>
            </w:pPr>
            <w:r>
              <w:rPr>
                <w:rFonts w:hint="eastAsia" w:ascii="宋体" w:hAnsi="宋体" w:eastAsia="宋体"/>
                <w:b/>
                <w:bCs/>
                <w:sz w:val="21"/>
                <w:szCs w:val="21"/>
              </w:rPr>
              <w:t>被担保</w:t>
            </w:r>
            <w:r>
              <w:rPr>
                <w:rFonts w:hint="eastAsia" w:ascii="宋体" w:hAnsi="宋体" w:eastAsia="宋体"/>
                <w:b/>
                <w:bCs/>
                <w:sz w:val="21"/>
                <w:szCs w:val="21"/>
                <w:lang w:eastAsia="zh-CN"/>
              </w:rPr>
              <w:t>方</w:t>
            </w:r>
          </w:p>
        </w:tc>
        <w:tc>
          <w:tcPr>
            <w:tcW w:w="879" w:type="dxa"/>
            <w:vAlign w:val="center"/>
          </w:tcPr>
          <w:p w14:paraId="5F76ECB5">
            <w:pPr>
              <w:pStyle w:val="105"/>
              <w:jc w:val="center"/>
              <w:rPr>
                <w:rFonts w:hint="eastAsia" w:ascii="宋体" w:hAnsi="宋体" w:eastAsia="宋体"/>
                <w:b/>
                <w:bCs/>
                <w:sz w:val="21"/>
                <w:szCs w:val="21"/>
              </w:rPr>
            </w:pPr>
            <w:r>
              <w:rPr>
                <w:rFonts w:hint="eastAsia" w:ascii="宋体" w:hAnsi="宋体" w:eastAsia="宋体"/>
                <w:b/>
                <w:bCs/>
                <w:sz w:val="21"/>
                <w:szCs w:val="21"/>
              </w:rPr>
              <w:t>担保方持股比例</w:t>
            </w:r>
          </w:p>
        </w:tc>
        <w:tc>
          <w:tcPr>
            <w:tcW w:w="1057" w:type="dxa"/>
            <w:vAlign w:val="center"/>
          </w:tcPr>
          <w:p w14:paraId="59E1C193">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截止2025.03.31被担保方资产负债率（未经审计）</w:t>
            </w:r>
          </w:p>
        </w:tc>
        <w:tc>
          <w:tcPr>
            <w:tcW w:w="1139" w:type="dxa"/>
            <w:vAlign w:val="center"/>
          </w:tcPr>
          <w:p w14:paraId="61335F89">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2025年预计担保额度</w:t>
            </w:r>
          </w:p>
          <w:p w14:paraId="0B6ABA87">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1070" w:type="dxa"/>
            <w:vAlign w:val="center"/>
          </w:tcPr>
          <w:p w14:paraId="2CDDCB38">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截至2025年4月末累计担保总额</w:t>
            </w:r>
          </w:p>
          <w:p w14:paraId="37383B4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w:t>
            </w:r>
            <w:r>
              <w:rPr>
                <w:rFonts w:hint="eastAsia" w:ascii="宋体" w:hAnsi="宋体" w:eastAsia="宋体"/>
                <w:b/>
                <w:bCs/>
                <w:spacing w:val="-7"/>
                <w:sz w:val="21"/>
                <w:szCs w:val="21"/>
                <w:lang w:eastAsia="zh-CN"/>
              </w:rPr>
              <w:t>元）</w:t>
            </w:r>
          </w:p>
        </w:tc>
        <w:tc>
          <w:tcPr>
            <w:tcW w:w="1143" w:type="dxa"/>
            <w:vAlign w:val="center"/>
          </w:tcPr>
          <w:p w14:paraId="25E4629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截至2025年4月末担保余额</w:t>
            </w:r>
          </w:p>
          <w:p w14:paraId="3DDB86F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658" w:type="dxa"/>
            <w:vAlign w:val="center"/>
          </w:tcPr>
          <w:p w14:paraId="3919B96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是否关联担保</w:t>
            </w:r>
          </w:p>
        </w:tc>
        <w:tc>
          <w:tcPr>
            <w:tcW w:w="619" w:type="dxa"/>
            <w:vAlign w:val="center"/>
          </w:tcPr>
          <w:p w14:paraId="32CFD9D3">
            <w:pPr>
              <w:pStyle w:val="105"/>
              <w:jc w:val="center"/>
              <w:rPr>
                <w:rFonts w:hint="eastAsia" w:ascii="宋体" w:hAnsi="宋体" w:eastAsia="宋体"/>
                <w:b/>
                <w:bCs/>
                <w:sz w:val="21"/>
                <w:szCs w:val="21"/>
              </w:rPr>
            </w:pPr>
            <w:r>
              <w:rPr>
                <w:rFonts w:hint="eastAsia" w:ascii="宋体" w:hAnsi="宋体" w:eastAsia="宋体"/>
                <w:b/>
                <w:bCs/>
                <w:sz w:val="21"/>
                <w:szCs w:val="21"/>
              </w:rPr>
              <w:t>是否有反担保</w:t>
            </w:r>
          </w:p>
        </w:tc>
      </w:tr>
      <w:tr w14:paraId="233C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56" w:type="dxa"/>
            <w:vAlign w:val="center"/>
          </w:tcPr>
          <w:p w14:paraId="04C5B055">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57C18943">
            <w:pPr>
              <w:pStyle w:val="105"/>
              <w:jc w:val="center"/>
              <w:rPr>
                <w:rFonts w:hint="eastAsia" w:ascii="宋体" w:hAnsi="宋体" w:eastAsia="宋体"/>
                <w:sz w:val="21"/>
                <w:szCs w:val="21"/>
              </w:rPr>
            </w:pPr>
            <w:r>
              <w:rPr>
                <w:rFonts w:hint="eastAsia" w:ascii="宋体" w:hAnsi="宋体" w:eastAsia="宋体"/>
                <w:sz w:val="21"/>
                <w:szCs w:val="21"/>
              </w:rPr>
              <w:t>黔南望江</w:t>
            </w:r>
          </w:p>
        </w:tc>
        <w:tc>
          <w:tcPr>
            <w:tcW w:w="879" w:type="dxa"/>
            <w:vAlign w:val="center"/>
          </w:tcPr>
          <w:p w14:paraId="4A7F08E9">
            <w:pPr>
              <w:pStyle w:val="105"/>
              <w:jc w:val="right"/>
              <w:rPr>
                <w:rFonts w:hint="eastAsia" w:ascii="宋体" w:hAnsi="宋体" w:eastAsia="宋体"/>
                <w:sz w:val="21"/>
                <w:szCs w:val="21"/>
              </w:rPr>
            </w:pPr>
            <w:r>
              <w:rPr>
                <w:rFonts w:hint="eastAsia" w:ascii="宋体" w:hAnsi="宋体" w:eastAsia="宋体"/>
                <w:sz w:val="21"/>
                <w:szCs w:val="21"/>
              </w:rPr>
              <w:t>100</w:t>
            </w:r>
            <w:r>
              <w:rPr>
                <w:rFonts w:hint="eastAsia" w:ascii="宋体" w:hAnsi="宋体" w:eastAsia="宋体"/>
                <w:sz w:val="21"/>
                <w:szCs w:val="21"/>
                <w:lang w:eastAsia="zh-CN"/>
              </w:rPr>
              <w:t>.00</w:t>
            </w:r>
            <w:r>
              <w:rPr>
                <w:rFonts w:hint="eastAsia" w:ascii="宋体" w:hAnsi="宋体" w:eastAsia="宋体"/>
                <w:sz w:val="21"/>
                <w:szCs w:val="21"/>
              </w:rPr>
              <w:t>%</w:t>
            </w:r>
          </w:p>
        </w:tc>
        <w:tc>
          <w:tcPr>
            <w:tcW w:w="1057" w:type="dxa"/>
            <w:vAlign w:val="center"/>
          </w:tcPr>
          <w:p w14:paraId="07B294D4">
            <w:pPr>
              <w:widowControl/>
              <w:jc w:val="right"/>
              <w:textAlignment w:val="center"/>
              <w:rPr>
                <w:rFonts w:hint="eastAsia" w:ascii="宋体" w:hAnsi="宋体"/>
                <w:szCs w:val="21"/>
                <w:highlight w:val="none"/>
              </w:rPr>
            </w:pPr>
            <w:r>
              <w:rPr>
                <w:rFonts w:hint="eastAsia" w:asciiTheme="minorEastAsia" w:hAnsiTheme="minorEastAsia" w:eastAsiaTheme="minorEastAsia" w:cstheme="minorEastAsia"/>
                <w:kern w:val="0"/>
                <w:sz w:val="20"/>
                <w:szCs w:val="20"/>
                <w:highlight w:val="none"/>
              </w:rPr>
              <w:t>76.03</w:t>
            </w:r>
            <w:r>
              <w:rPr>
                <w:rFonts w:hint="eastAsia" w:ascii="宋体" w:hAnsi="宋体" w:cs="宋体"/>
                <w:color w:val="000000"/>
                <w:kern w:val="0"/>
                <w:szCs w:val="21"/>
                <w:highlight w:val="none"/>
                <w:lang w:bidi="ar"/>
              </w:rPr>
              <w:t>%</w:t>
            </w:r>
          </w:p>
        </w:tc>
        <w:tc>
          <w:tcPr>
            <w:tcW w:w="1139" w:type="dxa"/>
            <w:vAlign w:val="center"/>
          </w:tcPr>
          <w:p w14:paraId="0B659174">
            <w:pPr>
              <w:pStyle w:val="105"/>
              <w:jc w:val="right"/>
              <w:rPr>
                <w:rFonts w:hint="eastAsia" w:ascii="宋体" w:hAnsi="宋体" w:eastAsia="宋体"/>
                <w:sz w:val="21"/>
                <w:szCs w:val="21"/>
                <w:lang w:eastAsia="zh-CN"/>
              </w:rPr>
            </w:pPr>
            <w:r>
              <w:rPr>
                <w:rFonts w:ascii="宋体" w:hAnsi="宋体" w:eastAsia="宋体"/>
                <w:sz w:val="21"/>
                <w:szCs w:val="21"/>
                <w:lang w:eastAsia="zh-CN"/>
              </w:rPr>
              <w:t>2</w:t>
            </w:r>
            <w:r>
              <w:rPr>
                <w:rFonts w:hint="eastAsia" w:ascii="宋体" w:hAnsi="宋体" w:eastAsia="宋体"/>
                <w:sz w:val="21"/>
                <w:szCs w:val="21"/>
                <w:lang w:eastAsia="zh-CN"/>
              </w:rPr>
              <w:t>0</w:t>
            </w:r>
            <w:r>
              <w:rPr>
                <w:rFonts w:ascii="宋体" w:hAnsi="宋体" w:eastAsia="宋体"/>
                <w:sz w:val="21"/>
                <w:szCs w:val="21"/>
                <w:lang w:eastAsia="zh-CN"/>
              </w:rPr>
              <w:t>,000</w:t>
            </w:r>
            <w:r>
              <w:rPr>
                <w:rFonts w:hint="eastAsia" w:ascii="宋体" w:hAnsi="宋体" w:eastAsia="宋体"/>
                <w:sz w:val="21"/>
                <w:szCs w:val="21"/>
                <w:lang w:eastAsia="zh-CN"/>
              </w:rPr>
              <w:t>.00</w:t>
            </w:r>
          </w:p>
        </w:tc>
        <w:tc>
          <w:tcPr>
            <w:tcW w:w="1070" w:type="dxa"/>
            <w:vAlign w:val="center"/>
          </w:tcPr>
          <w:p w14:paraId="52CD0D85">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13,000.00</w:t>
            </w:r>
          </w:p>
        </w:tc>
        <w:tc>
          <w:tcPr>
            <w:tcW w:w="1143" w:type="dxa"/>
            <w:vAlign w:val="center"/>
          </w:tcPr>
          <w:p w14:paraId="27A08C93">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 4,296.72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1C673BA">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33994A37">
            <w:pPr>
              <w:pStyle w:val="105"/>
              <w:jc w:val="center"/>
              <w:rPr>
                <w:rFonts w:hint="eastAsia" w:ascii="宋体" w:hAnsi="宋体" w:eastAsia="宋体"/>
                <w:sz w:val="21"/>
                <w:szCs w:val="21"/>
              </w:rPr>
            </w:pPr>
            <w:r>
              <w:rPr>
                <w:rFonts w:hint="eastAsia" w:ascii="宋体" w:hAnsi="宋体" w:eastAsia="宋体"/>
                <w:sz w:val="21"/>
                <w:szCs w:val="21"/>
              </w:rPr>
              <w:t>否</w:t>
            </w:r>
          </w:p>
        </w:tc>
      </w:tr>
      <w:tr w14:paraId="5200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2ECE6951">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74F8D397">
            <w:pPr>
              <w:widowControl/>
              <w:kinsoku w:val="0"/>
              <w:autoSpaceDE w:val="0"/>
              <w:autoSpaceDN w:val="0"/>
              <w:adjustRightInd w:val="0"/>
              <w:snapToGrid w:val="0"/>
              <w:spacing w:line="560" w:lineRule="exact"/>
              <w:jc w:val="center"/>
              <w:textAlignment w:val="baseline"/>
              <w:rPr>
                <w:rFonts w:hint="eastAsia" w:ascii="宋体" w:hAnsi="宋体" w:cs="宋体"/>
                <w:szCs w:val="21"/>
              </w:rPr>
            </w:pPr>
            <w:r>
              <w:rPr>
                <w:rFonts w:hint="eastAsia" w:ascii="宋体" w:hAnsi="宋体" w:cs="宋体"/>
                <w:spacing w:val="-1"/>
                <w:szCs w:val="21"/>
              </w:rPr>
              <w:t>云变电气</w:t>
            </w:r>
          </w:p>
        </w:tc>
        <w:tc>
          <w:tcPr>
            <w:tcW w:w="879" w:type="dxa"/>
            <w:vAlign w:val="center"/>
          </w:tcPr>
          <w:p w14:paraId="24D96DE6">
            <w:pPr>
              <w:pStyle w:val="105"/>
              <w:jc w:val="right"/>
              <w:rPr>
                <w:rFonts w:hint="eastAsia" w:ascii="宋体" w:hAnsi="宋体" w:eastAsia="宋体"/>
                <w:sz w:val="21"/>
                <w:szCs w:val="21"/>
              </w:rPr>
            </w:pPr>
            <w:r>
              <w:rPr>
                <w:rFonts w:ascii="宋体" w:hAnsi="宋体" w:eastAsia="宋体"/>
                <w:sz w:val="21"/>
                <w:szCs w:val="21"/>
              </w:rPr>
              <w:t>79.97%</w:t>
            </w:r>
          </w:p>
        </w:tc>
        <w:tc>
          <w:tcPr>
            <w:tcW w:w="1057" w:type="dxa"/>
            <w:vAlign w:val="center"/>
          </w:tcPr>
          <w:p w14:paraId="4FDADEB5">
            <w:pPr>
              <w:widowControl/>
              <w:jc w:val="right"/>
              <w:textAlignment w:val="center"/>
              <w:rPr>
                <w:rFonts w:hint="eastAsia" w:ascii="宋体" w:hAnsi="宋体"/>
                <w:szCs w:val="21"/>
                <w:highlight w:val="none"/>
              </w:rPr>
            </w:pPr>
            <w:r>
              <w:rPr>
                <w:rFonts w:hint="eastAsia" w:ascii="宋体" w:hAnsi="宋体" w:cs="宋体"/>
                <w:color w:val="000000"/>
                <w:kern w:val="0"/>
                <w:szCs w:val="21"/>
                <w:highlight w:val="none"/>
                <w:lang w:bidi="ar"/>
              </w:rPr>
              <w:t>61.88%</w:t>
            </w:r>
          </w:p>
        </w:tc>
        <w:tc>
          <w:tcPr>
            <w:tcW w:w="1139" w:type="dxa"/>
            <w:vAlign w:val="center"/>
          </w:tcPr>
          <w:p w14:paraId="730CCECF">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12</w:t>
            </w:r>
            <w:r>
              <w:rPr>
                <w:rFonts w:ascii="宋体" w:hAnsi="宋体" w:eastAsia="宋体"/>
                <w:sz w:val="21"/>
                <w:szCs w:val="21"/>
                <w:lang w:eastAsia="zh-CN"/>
              </w:rPr>
              <w:t>0,000</w:t>
            </w:r>
            <w:r>
              <w:rPr>
                <w:rFonts w:hint="eastAsia" w:ascii="宋体" w:hAnsi="宋体" w:eastAsia="宋体"/>
                <w:sz w:val="21"/>
                <w:szCs w:val="21"/>
                <w:lang w:eastAsia="zh-CN"/>
              </w:rPr>
              <w:t>.00</w:t>
            </w:r>
          </w:p>
        </w:tc>
        <w:tc>
          <w:tcPr>
            <w:tcW w:w="1070" w:type="dxa"/>
            <w:vAlign w:val="center"/>
          </w:tcPr>
          <w:p w14:paraId="1CFC3FCE">
            <w:pPr>
              <w:pStyle w:val="105"/>
              <w:jc w:val="right"/>
              <w:rPr>
                <w:rFonts w:hint="eastAsia" w:ascii="宋体" w:hAnsi="宋体" w:eastAsia="宋体"/>
                <w:sz w:val="21"/>
                <w:szCs w:val="21"/>
              </w:rPr>
            </w:pPr>
            <w:r>
              <w:rPr>
                <w:rFonts w:hint="eastAsia" w:ascii="宋体" w:hAnsi="宋体" w:eastAsia="宋体"/>
                <w:sz w:val="21"/>
                <w:szCs w:val="21"/>
                <w:lang w:eastAsia="zh-CN"/>
              </w:rPr>
              <w:t>75,5</w:t>
            </w:r>
            <w:r>
              <w:rPr>
                <w:rFonts w:hint="eastAsia" w:ascii="宋体" w:hAnsi="宋体" w:eastAsia="宋体"/>
                <w:sz w:val="21"/>
                <w:szCs w:val="21"/>
              </w:rPr>
              <w:t>00.00</w:t>
            </w:r>
          </w:p>
        </w:tc>
        <w:tc>
          <w:tcPr>
            <w:tcW w:w="1143" w:type="dxa"/>
            <w:vAlign w:val="center"/>
          </w:tcPr>
          <w:p w14:paraId="41833572">
            <w:pPr>
              <w:pStyle w:val="105"/>
              <w:jc w:val="right"/>
              <w:rPr>
                <w:rFonts w:hint="eastAsia" w:ascii="宋体" w:hAnsi="宋体" w:eastAsia="宋体"/>
                <w:sz w:val="21"/>
                <w:szCs w:val="21"/>
              </w:rPr>
            </w:pPr>
            <w:r>
              <w:rPr>
                <w:rFonts w:hint="eastAsia" w:ascii="宋体" w:hAnsi="宋体" w:eastAsia="宋体"/>
                <w:sz w:val="21"/>
                <w:szCs w:val="21"/>
                <w:lang w:eastAsia="zh-CN"/>
              </w:rPr>
              <w:t xml:space="preserve"> 37,360.01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493680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1DA49165">
            <w:pPr>
              <w:pStyle w:val="105"/>
              <w:jc w:val="center"/>
              <w:rPr>
                <w:rFonts w:hint="eastAsia" w:ascii="宋体" w:hAnsi="宋体" w:eastAsia="宋体"/>
                <w:sz w:val="21"/>
                <w:szCs w:val="21"/>
              </w:rPr>
            </w:pPr>
            <w:r>
              <w:rPr>
                <w:rFonts w:hint="eastAsia" w:ascii="宋体" w:hAnsi="宋体" w:eastAsia="宋体"/>
                <w:sz w:val="21"/>
                <w:szCs w:val="21"/>
              </w:rPr>
              <w:t>否</w:t>
            </w:r>
          </w:p>
        </w:tc>
      </w:tr>
      <w:tr w14:paraId="2679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55078313">
            <w:pPr>
              <w:pStyle w:val="105"/>
              <w:jc w:val="center"/>
              <w:rPr>
                <w:rFonts w:hint="eastAsia" w:ascii="宋体" w:hAnsi="宋体" w:eastAsia="宋体"/>
                <w:sz w:val="21"/>
                <w:szCs w:val="21"/>
              </w:rPr>
            </w:pPr>
            <w:r>
              <w:rPr>
                <w:rFonts w:hint="eastAsia" w:ascii="宋体" w:hAnsi="宋体" w:eastAsia="宋体"/>
                <w:sz w:val="21"/>
                <w:szCs w:val="21"/>
                <w:lang w:eastAsia="zh-CN"/>
              </w:rPr>
              <w:t>望变电气</w:t>
            </w:r>
          </w:p>
        </w:tc>
        <w:tc>
          <w:tcPr>
            <w:tcW w:w="1040" w:type="dxa"/>
            <w:vAlign w:val="center"/>
          </w:tcPr>
          <w:p w14:paraId="4C80D43C">
            <w:pPr>
              <w:widowControl/>
              <w:kinsoku w:val="0"/>
              <w:autoSpaceDE w:val="0"/>
              <w:autoSpaceDN w:val="0"/>
              <w:adjustRightInd w:val="0"/>
              <w:snapToGrid w:val="0"/>
              <w:spacing w:line="560" w:lineRule="exact"/>
              <w:jc w:val="center"/>
              <w:textAlignment w:val="baseline"/>
              <w:rPr>
                <w:rFonts w:hint="eastAsia" w:ascii="宋体" w:hAnsi="宋体" w:cs="宋体"/>
                <w:spacing w:val="-1"/>
                <w:szCs w:val="21"/>
              </w:rPr>
            </w:pPr>
            <w:r>
              <w:rPr>
                <w:rFonts w:hint="eastAsia" w:ascii="宋体" w:hAnsi="宋体"/>
                <w:szCs w:val="21"/>
              </w:rPr>
              <w:t>惠泽电器</w:t>
            </w:r>
          </w:p>
        </w:tc>
        <w:tc>
          <w:tcPr>
            <w:tcW w:w="879" w:type="dxa"/>
            <w:vAlign w:val="center"/>
          </w:tcPr>
          <w:p w14:paraId="6937FDCE">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100.00%</w:t>
            </w:r>
          </w:p>
        </w:tc>
        <w:tc>
          <w:tcPr>
            <w:tcW w:w="1057" w:type="dxa"/>
            <w:vAlign w:val="center"/>
          </w:tcPr>
          <w:p w14:paraId="6E6C4A27">
            <w:pPr>
              <w:widowControl/>
              <w:jc w:val="right"/>
              <w:textAlignment w:val="center"/>
              <w:rPr>
                <w:rFonts w:hint="eastAsia" w:ascii="宋体" w:hAnsi="宋体"/>
                <w:szCs w:val="21"/>
                <w:highlight w:val="none"/>
              </w:rPr>
            </w:pPr>
            <w:r>
              <w:rPr>
                <w:rFonts w:hint="eastAsia" w:asciiTheme="minorEastAsia" w:hAnsiTheme="minorEastAsia" w:eastAsiaTheme="minorEastAsia" w:cstheme="minorEastAsia"/>
                <w:kern w:val="0"/>
                <w:sz w:val="20"/>
                <w:szCs w:val="20"/>
                <w:highlight w:val="none"/>
              </w:rPr>
              <w:t>57.93</w:t>
            </w:r>
            <w:r>
              <w:rPr>
                <w:rFonts w:hint="eastAsia" w:ascii="宋体" w:hAnsi="宋体" w:cs="宋体"/>
                <w:color w:val="000000"/>
                <w:kern w:val="0"/>
                <w:szCs w:val="21"/>
                <w:highlight w:val="none"/>
                <w:lang w:bidi="ar"/>
              </w:rPr>
              <w:t>%</w:t>
            </w:r>
          </w:p>
        </w:tc>
        <w:tc>
          <w:tcPr>
            <w:tcW w:w="1139" w:type="dxa"/>
            <w:vAlign w:val="center"/>
          </w:tcPr>
          <w:p w14:paraId="24B1EB89">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10,000.00</w:t>
            </w:r>
          </w:p>
        </w:tc>
        <w:tc>
          <w:tcPr>
            <w:tcW w:w="1070" w:type="dxa"/>
            <w:vAlign w:val="center"/>
          </w:tcPr>
          <w:p w14:paraId="488CB4A2">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0</w:t>
            </w:r>
          </w:p>
        </w:tc>
        <w:tc>
          <w:tcPr>
            <w:tcW w:w="1143" w:type="dxa"/>
            <w:vAlign w:val="center"/>
          </w:tcPr>
          <w:p w14:paraId="6B8B1D67">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0   </w:t>
            </w:r>
          </w:p>
        </w:tc>
        <w:tc>
          <w:tcPr>
            <w:tcW w:w="658" w:type="dxa"/>
            <w:vAlign w:val="center"/>
          </w:tcPr>
          <w:p w14:paraId="3AD566D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5EB1D662">
            <w:pPr>
              <w:pStyle w:val="105"/>
              <w:jc w:val="center"/>
              <w:rPr>
                <w:rFonts w:hint="eastAsia" w:ascii="宋体" w:hAnsi="宋体" w:eastAsia="宋体"/>
                <w:sz w:val="21"/>
                <w:szCs w:val="21"/>
              </w:rPr>
            </w:pPr>
            <w:r>
              <w:rPr>
                <w:rFonts w:hint="eastAsia" w:ascii="宋体" w:hAnsi="宋体" w:eastAsia="宋体"/>
                <w:sz w:val="21"/>
                <w:szCs w:val="21"/>
              </w:rPr>
              <w:t>否</w:t>
            </w:r>
          </w:p>
        </w:tc>
      </w:tr>
      <w:tr w14:paraId="21E58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96" w:type="dxa"/>
            <w:gridSpan w:val="2"/>
            <w:vAlign w:val="center"/>
          </w:tcPr>
          <w:p w14:paraId="76A10EEC">
            <w:pPr>
              <w:jc w:val="center"/>
              <w:rPr>
                <w:rFonts w:hint="eastAsia" w:ascii="宋体" w:hAnsi="宋体" w:cs="宋体"/>
                <w:b/>
                <w:bCs/>
                <w:szCs w:val="21"/>
              </w:rPr>
            </w:pPr>
            <w:r>
              <w:rPr>
                <w:rFonts w:hint="eastAsia" w:ascii="宋体" w:hAnsi="宋体" w:cs="宋体"/>
                <w:b/>
                <w:bCs/>
                <w:spacing w:val="-2"/>
                <w:szCs w:val="21"/>
              </w:rPr>
              <w:t>合计</w:t>
            </w:r>
          </w:p>
        </w:tc>
        <w:tc>
          <w:tcPr>
            <w:tcW w:w="879" w:type="dxa"/>
            <w:vAlign w:val="center"/>
          </w:tcPr>
          <w:p w14:paraId="7998FFD3">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057" w:type="dxa"/>
            <w:vAlign w:val="center"/>
          </w:tcPr>
          <w:p w14:paraId="6C58A2D6">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139" w:type="dxa"/>
            <w:vAlign w:val="center"/>
          </w:tcPr>
          <w:p w14:paraId="2C95AE29">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150,000.00</w:t>
            </w:r>
          </w:p>
        </w:tc>
        <w:tc>
          <w:tcPr>
            <w:tcW w:w="1070" w:type="dxa"/>
            <w:vAlign w:val="center"/>
          </w:tcPr>
          <w:p w14:paraId="0D55A9F3">
            <w:pPr>
              <w:pStyle w:val="105"/>
              <w:jc w:val="right"/>
              <w:rPr>
                <w:rFonts w:hint="eastAsia" w:ascii="宋体" w:hAnsi="宋体" w:eastAsia="宋体"/>
                <w:b/>
                <w:bCs/>
                <w:sz w:val="21"/>
                <w:szCs w:val="21"/>
              </w:rPr>
            </w:pPr>
            <w:r>
              <w:rPr>
                <w:rFonts w:hint="eastAsia" w:ascii="宋体" w:hAnsi="宋体" w:eastAsia="宋体"/>
                <w:b/>
                <w:bCs/>
                <w:sz w:val="21"/>
                <w:szCs w:val="21"/>
                <w:lang w:eastAsia="zh-CN"/>
              </w:rPr>
              <w:t>88</w:t>
            </w:r>
            <w:r>
              <w:rPr>
                <w:rFonts w:hint="eastAsia" w:ascii="宋体" w:hAnsi="宋体" w:eastAsia="宋体"/>
                <w:b/>
                <w:bCs/>
                <w:sz w:val="21"/>
                <w:szCs w:val="21"/>
              </w:rPr>
              <w:t>,</w:t>
            </w:r>
            <w:r>
              <w:rPr>
                <w:rFonts w:hint="eastAsia" w:ascii="宋体" w:hAnsi="宋体" w:eastAsia="宋体"/>
                <w:b/>
                <w:bCs/>
                <w:sz w:val="21"/>
                <w:szCs w:val="21"/>
                <w:lang w:eastAsia="zh-CN"/>
              </w:rPr>
              <w:t>5</w:t>
            </w:r>
            <w:r>
              <w:rPr>
                <w:rFonts w:hint="eastAsia" w:ascii="宋体" w:hAnsi="宋体" w:eastAsia="宋体"/>
                <w:b/>
                <w:bCs/>
                <w:sz w:val="21"/>
                <w:szCs w:val="21"/>
              </w:rPr>
              <w:t>00.00</w:t>
            </w:r>
          </w:p>
        </w:tc>
        <w:tc>
          <w:tcPr>
            <w:tcW w:w="1143" w:type="dxa"/>
            <w:vAlign w:val="center"/>
          </w:tcPr>
          <w:p w14:paraId="783B9FD8">
            <w:pPr>
              <w:pStyle w:val="105"/>
              <w:jc w:val="right"/>
              <w:rPr>
                <w:rFonts w:hint="eastAsia" w:ascii="宋体" w:hAnsi="宋体" w:eastAsia="宋体"/>
                <w:b/>
                <w:bCs/>
                <w:sz w:val="21"/>
                <w:szCs w:val="21"/>
              </w:rPr>
            </w:pPr>
            <w:r>
              <w:rPr>
                <w:rFonts w:hint="eastAsia" w:ascii="宋体" w:hAnsi="宋体" w:eastAsia="宋体"/>
                <w:b/>
                <w:bCs/>
                <w:sz w:val="21"/>
                <w:szCs w:val="21"/>
                <w:lang w:eastAsia="zh-CN"/>
              </w:rPr>
              <w:t xml:space="preserve">41,656.73       </w:t>
            </w:r>
            <w:r>
              <w:rPr>
                <w:rFonts w:hint="eastAsia" w:ascii="宋体" w:hAnsi="宋体" w:eastAsia="宋体"/>
                <w:b/>
                <w:bCs/>
                <w:sz w:val="21"/>
                <w:szCs w:val="21"/>
              </w:rPr>
              <w:t xml:space="preserve"> </w:t>
            </w:r>
            <w:r>
              <w:rPr>
                <w:rFonts w:hint="eastAsia" w:ascii="宋体" w:hAnsi="宋体" w:eastAsia="宋体"/>
                <w:b/>
                <w:bCs/>
                <w:sz w:val="21"/>
                <w:szCs w:val="21"/>
                <w:lang w:eastAsia="zh-CN"/>
              </w:rPr>
              <w:t xml:space="preserve"> </w:t>
            </w:r>
          </w:p>
        </w:tc>
        <w:tc>
          <w:tcPr>
            <w:tcW w:w="658" w:type="dxa"/>
            <w:vAlign w:val="center"/>
          </w:tcPr>
          <w:p w14:paraId="2D65E95F">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w:t>
            </w:r>
          </w:p>
        </w:tc>
        <w:tc>
          <w:tcPr>
            <w:tcW w:w="619" w:type="dxa"/>
            <w:vAlign w:val="center"/>
          </w:tcPr>
          <w:p w14:paraId="1B8D54A3">
            <w:pPr>
              <w:pStyle w:val="105"/>
              <w:jc w:val="right"/>
              <w:rPr>
                <w:rFonts w:hint="eastAsia" w:ascii="宋体" w:hAnsi="宋体" w:eastAsia="宋体"/>
                <w:b/>
                <w:bCs/>
                <w:sz w:val="21"/>
                <w:szCs w:val="21"/>
              </w:rPr>
            </w:pPr>
            <w:r>
              <w:rPr>
                <w:rFonts w:hint="eastAsia" w:ascii="宋体" w:hAnsi="宋体" w:eastAsia="宋体"/>
                <w:b/>
                <w:bCs/>
                <w:sz w:val="21"/>
                <w:szCs w:val="21"/>
              </w:rPr>
              <w:t>-</w:t>
            </w:r>
          </w:p>
        </w:tc>
      </w:tr>
    </w:tbl>
    <w:p w14:paraId="73BE9953">
      <w:pPr>
        <w:spacing w:line="560" w:lineRule="exact"/>
        <w:rPr>
          <w:rFonts w:hint="eastAsia" w:ascii="宋体" w:hAnsi="宋体" w:cs="宋体"/>
          <w:kern w:val="0"/>
          <w:szCs w:val="21"/>
        </w:rPr>
      </w:pPr>
      <w:r>
        <w:rPr>
          <w:rFonts w:hint="eastAsia" w:ascii="宋体" w:hAnsi="宋体" w:cs="宋体"/>
          <w:kern w:val="0"/>
          <w:szCs w:val="21"/>
        </w:rPr>
        <w:t>注：尾数差异系小数点四舍五入造成。</w:t>
      </w:r>
    </w:p>
    <w:p w14:paraId="5BCA6F6C">
      <w:pPr>
        <w:numPr>
          <w:ilvl w:val="0"/>
          <w:numId w:val="14"/>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被担保人基本情况</w:t>
      </w:r>
    </w:p>
    <w:p w14:paraId="7A6FA206">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 xml:space="preserve">公司名称：云南变压器电气股份有限公司 </w:t>
      </w:r>
    </w:p>
    <w:p w14:paraId="71295D4B">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统一社会信用代码：91530000713402501X</w:t>
      </w:r>
    </w:p>
    <w:p w14:paraId="259CCD39">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成立时间：1999年01月23日</w:t>
      </w:r>
    </w:p>
    <w:p w14:paraId="7645731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 xml:space="preserve">注册地点：中国（云南）自由贸易试验区昆明片区经开区洛羊街道办事处拓翔路212号 </w:t>
      </w:r>
    </w:p>
    <w:p w14:paraId="7FE60168">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法定代表人：肖斌</w:t>
      </w:r>
    </w:p>
    <w:p w14:paraId="26C3FC1D">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注册资本：人民币 10,041.3641万元</w:t>
      </w:r>
    </w:p>
    <w:p w14:paraId="1446BA02">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主要股东：公司</w:t>
      </w:r>
      <w:r>
        <w:rPr>
          <w:rFonts w:hint="eastAsia" w:ascii="宋体" w:hAnsi="宋体" w:cs="宋体"/>
          <w:bCs/>
          <w:snapToGrid w:val="0"/>
          <w:kern w:val="0"/>
          <w:sz w:val="24"/>
          <w:szCs w:val="24"/>
          <w:highlight w:val="none"/>
        </w:rPr>
        <w:t>持股79.97%</w:t>
      </w:r>
    </w:p>
    <w:p w14:paraId="4A9B3195">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经营范围：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14:paraId="61A7BF49">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最近一年及一期的财务数据：</w:t>
      </w:r>
    </w:p>
    <w:p w14:paraId="7832BC92">
      <w:pPr>
        <w:widowControl/>
        <w:kinsoku w:val="0"/>
        <w:autoSpaceDE w:val="0"/>
        <w:autoSpaceDN w:val="0"/>
        <w:adjustRightInd w:val="0"/>
        <w:snapToGrid w:val="0"/>
        <w:spacing w:line="560" w:lineRule="exact"/>
        <w:jc w:val="right"/>
        <w:textAlignment w:val="baseline"/>
        <w:rPr>
          <w:rFonts w:hint="eastAsia" w:ascii="宋体" w:hAnsi="宋体" w:cs="宋体"/>
          <w:bCs/>
          <w:snapToGrid w:val="0"/>
          <w:kern w:val="0"/>
          <w:szCs w:val="21"/>
          <w:lang w:eastAsia="en-US"/>
        </w:rPr>
      </w:pPr>
      <w:r>
        <w:rPr>
          <w:rFonts w:hint="eastAsia" w:ascii="宋体" w:hAnsi="宋体" w:cs="宋体"/>
          <w:bCs/>
          <w:snapToGrid w:val="0"/>
          <w:kern w:val="0"/>
          <w:szCs w:val="21"/>
        </w:rPr>
        <w:t xml:space="preserve">  </w:t>
      </w:r>
      <w:r>
        <w:rPr>
          <w:rFonts w:hint="eastAsia" w:ascii="宋体" w:hAnsi="宋体" w:cs="宋体"/>
          <w:bCs/>
          <w:snapToGrid w:val="0"/>
          <w:kern w:val="0"/>
          <w:szCs w:val="21"/>
          <w:lang w:eastAsia="en-US"/>
        </w:rPr>
        <w:t>单位：人民币/万元</w:t>
      </w:r>
    </w:p>
    <w:tbl>
      <w:tblPr>
        <w:tblStyle w:val="89"/>
        <w:tblpPr w:leftFromText="180" w:rightFromText="180" w:vertAnchor="text" w:horzAnchor="page" w:tblpX="1806" w:tblpY="22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3326"/>
        <w:gridCol w:w="3328"/>
      </w:tblGrid>
      <w:tr w14:paraId="0B75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5D8AB5C6">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财务指标</w:t>
            </w:r>
          </w:p>
        </w:tc>
        <w:tc>
          <w:tcPr>
            <w:tcW w:w="1953" w:type="pct"/>
            <w:vAlign w:val="center"/>
          </w:tcPr>
          <w:p w14:paraId="1D27FC8A">
            <w:pPr>
              <w:autoSpaceDE w:val="0"/>
              <w:autoSpaceDN w:val="0"/>
              <w:adjustRightInd w:val="0"/>
              <w:spacing w:line="560" w:lineRule="exact"/>
              <w:jc w:val="center"/>
              <w:rPr>
                <w:rFonts w:hint="eastAsia" w:ascii="宋体" w:hAnsi="宋体" w:cs="宋体"/>
                <w:kern w:val="0"/>
                <w:sz w:val="20"/>
                <w:szCs w:val="20"/>
              </w:rPr>
            </w:pPr>
            <w:r>
              <w:rPr>
                <w:rFonts w:hint="eastAsia" w:ascii="宋体" w:hAnsi="宋体" w:cs="宋体"/>
                <w:kern w:val="0"/>
                <w:sz w:val="20"/>
                <w:szCs w:val="20"/>
              </w:rPr>
              <w:t>2025年3月31日（未经审计）</w:t>
            </w:r>
          </w:p>
        </w:tc>
        <w:tc>
          <w:tcPr>
            <w:tcW w:w="1954" w:type="pct"/>
            <w:vAlign w:val="center"/>
          </w:tcPr>
          <w:p w14:paraId="508CA15F">
            <w:pPr>
              <w:autoSpaceDE w:val="0"/>
              <w:autoSpaceDN w:val="0"/>
              <w:adjustRightInd w:val="0"/>
              <w:spacing w:line="560" w:lineRule="exact"/>
              <w:jc w:val="center"/>
              <w:rPr>
                <w:rFonts w:hint="eastAsia" w:ascii="宋体" w:hAnsi="宋体" w:cs="宋体"/>
                <w:kern w:val="0"/>
                <w:sz w:val="20"/>
                <w:szCs w:val="20"/>
              </w:rPr>
            </w:pPr>
            <w:r>
              <w:rPr>
                <w:rFonts w:hint="eastAsia" w:ascii="宋体" w:hAnsi="宋体" w:cs="宋体"/>
                <w:kern w:val="0"/>
                <w:sz w:val="20"/>
                <w:szCs w:val="20"/>
              </w:rPr>
              <w:t>2024年12月31日（经审计）</w:t>
            </w:r>
          </w:p>
        </w:tc>
      </w:tr>
      <w:tr w14:paraId="6A05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D7B3252">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资产总额</w:t>
            </w:r>
          </w:p>
        </w:tc>
        <w:tc>
          <w:tcPr>
            <w:tcW w:w="3329" w:type="dxa"/>
            <w:vAlign w:val="center"/>
          </w:tcPr>
          <w:p w14:paraId="0868FA3F">
            <w:pPr>
              <w:widowControl/>
              <w:jc w:val="right"/>
              <w:textAlignment w:val="center"/>
              <w:rPr>
                <w:rFonts w:hint="eastAsia" w:ascii="宋体" w:hAnsi="宋体" w:cs="宋体"/>
                <w:sz w:val="20"/>
                <w:szCs w:val="20"/>
                <w:highlight w:val="yellow"/>
              </w:rPr>
            </w:pPr>
            <w:r>
              <w:rPr>
                <w:rFonts w:hint="eastAsia" w:ascii="宋体" w:hAnsi="宋体" w:cs="宋体"/>
                <w:color w:val="000000"/>
                <w:kern w:val="0"/>
                <w:sz w:val="20"/>
                <w:szCs w:val="20"/>
                <w:lang w:bidi="ar"/>
              </w:rPr>
              <w:t xml:space="preserve"> 184,911.73 </w:t>
            </w:r>
          </w:p>
        </w:tc>
        <w:tc>
          <w:tcPr>
            <w:tcW w:w="3330" w:type="dxa"/>
            <w:vAlign w:val="center"/>
          </w:tcPr>
          <w:p w14:paraId="473D482E">
            <w:pPr>
              <w:widowControl/>
              <w:jc w:val="right"/>
              <w:textAlignment w:val="center"/>
              <w:rPr>
                <w:rFonts w:hint="eastAsia" w:ascii="宋体" w:hAnsi="宋体" w:cs="宋体"/>
                <w:sz w:val="20"/>
                <w:szCs w:val="20"/>
                <w:highlight w:val="yellow"/>
              </w:rPr>
            </w:pPr>
            <w:r>
              <w:rPr>
                <w:rFonts w:hint="eastAsia" w:ascii="宋体" w:hAnsi="宋体" w:cs="宋体"/>
                <w:color w:val="000000"/>
                <w:kern w:val="0"/>
                <w:sz w:val="20"/>
                <w:szCs w:val="20"/>
                <w:lang w:bidi="ar"/>
              </w:rPr>
              <w:t xml:space="preserve"> 182,092.03 </w:t>
            </w:r>
          </w:p>
        </w:tc>
      </w:tr>
      <w:tr w14:paraId="2094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147F08C8">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负债总额</w:t>
            </w:r>
          </w:p>
        </w:tc>
        <w:tc>
          <w:tcPr>
            <w:tcW w:w="3329" w:type="dxa"/>
            <w:vAlign w:val="center"/>
          </w:tcPr>
          <w:p w14:paraId="6FF3AF2B">
            <w:pPr>
              <w:widowControl/>
              <w:jc w:val="right"/>
              <w:textAlignment w:val="center"/>
              <w:rPr>
                <w:rFonts w:hint="eastAsia" w:ascii="宋体" w:hAnsi="宋体" w:cs="宋体"/>
                <w:kern w:val="0"/>
                <w:sz w:val="20"/>
                <w:szCs w:val="20"/>
                <w:highlight w:val="yellow"/>
                <w:lang w:bidi="ar"/>
              </w:rPr>
            </w:pPr>
            <w:r>
              <w:rPr>
                <w:rFonts w:hint="eastAsia" w:ascii="宋体" w:hAnsi="宋体" w:cs="宋体"/>
                <w:color w:val="000000"/>
                <w:kern w:val="0"/>
                <w:sz w:val="20"/>
                <w:szCs w:val="20"/>
                <w:lang w:bidi="ar"/>
              </w:rPr>
              <w:t xml:space="preserve"> 114,417.03 </w:t>
            </w:r>
          </w:p>
        </w:tc>
        <w:tc>
          <w:tcPr>
            <w:tcW w:w="3330" w:type="dxa"/>
            <w:vAlign w:val="center"/>
          </w:tcPr>
          <w:p w14:paraId="2E65CB00">
            <w:pPr>
              <w:widowControl/>
              <w:jc w:val="right"/>
              <w:textAlignment w:val="center"/>
              <w:rPr>
                <w:rFonts w:hint="eastAsia" w:ascii="宋体" w:hAnsi="宋体" w:cs="宋体"/>
                <w:kern w:val="0"/>
                <w:sz w:val="20"/>
                <w:szCs w:val="20"/>
                <w:highlight w:val="yellow"/>
              </w:rPr>
            </w:pPr>
            <w:r>
              <w:rPr>
                <w:rFonts w:hint="eastAsia" w:ascii="宋体" w:hAnsi="宋体" w:cs="宋体"/>
                <w:color w:val="000000"/>
                <w:kern w:val="0"/>
                <w:sz w:val="20"/>
                <w:szCs w:val="20"/>
                <w:lang w:bidi="ar"/>
              </w:rPr>
              <w:t xml:space="preserve"> 112,397.30 </w:t>
            </w:r>
          </w:p>
        </w:tc>
      </w:tr>
      <w:tr w14:paraId="24B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3384E5DF">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净资产</w:t>
            </w:r>
          </w:p>
        </w:tc>
        <w:tc>
          <w:tcPr>
            <w:tcW w:w="3329" w:type="dxa"/>
            <w:vAlign w:val="center"/>
          </w:tcPr>
          <w:p w14:paraId="7E809BD9">
            <w:pPr>
              <w:widowControl/>
              <w:jc w:val="right"/>
              <w:textAlignment w:val="center"/>
              <w:rPr>
                <w:rFonts w:hint="eastAsia" w:ascii="宋体" w:hAnsi="宋体" w:cs="宋体"/>
                <w:kern w:val="0"/>
                <w:sz w:val="20"/>
                <w:szCs w:val="20"/>
                <w:highlight w:val="yellow"/>
                <w:lang w:bidi="ar"/>
              </w:rPr>
            </w:pPr>
            <w:r>
              <w:rPr>
                <w:rFonts w:hint="eastAsia" w:ascii="宋体" w:hAnsi="宋体" w:cs="宋体"/>
                <w:color w:val="000000"/>
                <w:kern w:val="0"/>
                <w:sz w:val="20"/>
                <w:szCs w:val="20"/>
                <w:lang w:bidi="ar"/>
              </w:rPr>
              <w:t xml:space="preserve"> 70,494.70 </w:t>
            </w:r>
          </w:p>
        </w:tc>
        <w:tc>
          <w:tcPr>
            <w:tcW w:w="3330" w:type="dxa"/>
            <w:vAlign w:val="center"/>
          </w:tcPr>
          <w:p w14:paraId="7D2B0914">
            <w:pPr>
              <w:widowControl/>
              <w:jc w:val="right"/>
              <w:textAlignment w:val="center"/>
              <w:rPr>
                <w:rFonts w:hint="eastAsia" w:ascii="宋体" w:hAnsi="宋体" w:cs="宋体"/>
                <w:kern w:val="0"/>
                <w:sz w:val="20"/>
                <w:szCs w:val="20"/>
                <w:highlight w:val="yellow"/>
              </w:rPr>
            </w:pPr>
            <w:r>
              <w:rPr>
                <w:rFonts w:hint="eastAsia" w:ascii="宋体" w:hAnsi="宋体" w:cs="宋体"/>
                <w:color w:val="000000"/>
                <w:kern w:val="0"/>
                <w:sz w:val="20"/>
                <w:szCs w:val="20"/>
                <w:lang w:bidi="ar"/>
              </w:rPr>
              <w:t xml:space="preserve"> 69,694.73 </w:t>
            </w:r>
          </w:p>
        </w:tc>
      </w:tr>
      <w:tr w14:paraId="60BC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41C01DBB">
            <w:pPr>
              <w:autoSpaceDE w:val="0"/>
              <w:autoSpaceDN w:val="0"/>
              <w:adjustRightInd w:val="0"/>
              <w:spacing w:line="560" w:lineRule="exact"/>
              <w:rPr>
                <w:rFonts w:hint="eastAsia" w:ascii="宋体" w:hAnsi="宋体" w:cs="宋体"/>
                <w:b/>
                <w:bCs/>
                <w:kern w:val="0"/>
                <w:sz w:val="20"/>
                <w:szCs w:val="20"/>
              </w:rPr>
            </w:pPr>
          </w:p>
        </w:tc>
        <w:tc>
          <w:tcPr>
            <w:tcW w:w="1953" w:type="pct"/>
            <w:vAlign w:val="center"/>
          </w:tcPr>
          <w:p w14:paraId="0A4D50B6">
            <w:pPr>
              <w:widowControl/>
              <w:jc w:val="center"/>
              <w:textAlignment w:val="center"/>
              <w:rPr>
                <w:rFonts w:hint="eastAsia" w:ascii="宋体" w:hAnsi="宋体" w:cs="宋体"/>
                <w:kern w:val="0"/>
                <w:sz w:val="20"/>
                <w:szCs w:val="20"/>
                <w:lang w:bidi="ar"/>
              </w:rPr>
            </w:pPr>
            <w:r>
              <w:rPr>
                <w:rFonts w:hint="eastAsia" w:ascii="宋体" w:hAnsi="宋体" w:cs="宋体"/>
                <w:color w:val="000000"/>
                <w:kern w:val="0"/>
                <w:sz w:val="20"/>
                <w:szCs w:val="20"/>
                <w:lang w:bidi="ar"/>
              </w:rPr>
              <w:t>2025年1-3月（未经审计）</w:t>
            </w:r>
          </w:p>
        </w:tc>
        <w:tc>
          <w:tcPr>
            <w:tcW w:w="1954" w:type="pct"/>
            <w:vAlign w:val="center"/>
          </w:tcPr>
          <w:p w14:paraId="0E91C34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2024年1-12月（经审计）</w:t>
            </w:r>
          </w:p>
        </w:tc>
      </w:tr>
      <w:tr w14:paraId="49CE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6DA89ED">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营业收入</w:t>
            </w:r>
          </w:p>
        </w:tc>
        <w:tc>
          <w:tcPr>
            <w:tcW w:w="3329" w:type="dxa"/>
            <w:vAlign w:val="center"/>
          </w:tcPr>
          <w:p w14:paraId="3EA85D4C">
            <w:pPr>
              <w:widowControl/>
              <w:jc w:val="right"/>
              <w:textAlignment w:val="center"/>
              <w:rPr>
                <w:rFonts w:hint="eastAsia" w:ascii="宋体" w:hAnsi="宋体" w:cs="宋体"/>
                <w:kern w:val="0"/>
                <w:sz w:val="20"/>
                <w:szCs w:val="20"/>
                <w:highlight w:val="yellow"/>
                <w:lang w:bidi="ar"/>
              </w:rPr>
            </w:pPr>
            <w:r>
              <w:rPr>
                <w:rFonts w:hint="eastAsia" w:ascii="宋体" w:hAnsi="宋体" w:cs="宋体"/>
                <w:color w:val="000000"/>
                <w:kern w:val="0"/>
                <w:sz w:val="20"/>
                <w:szCs w:val="20"/>
                <w:lang w:bidi="ar"/>
              </w:rPr>
              <w:t xml:space="preserve"> 18,160.07 </w:t>
            </w:r>
          </w:p>
        </w:tc>
        <w:tc>
          <w:tcPr>
            <w:tcW w:w="3330" w:type="dxa"/>
            <w:vAlign w:val="center"/>
          </w:tcPr>
          <w:p w14:paraId="265A62AC">
            <w:pPr>
              <w:widowControl/>
              <w:jc w:val="right"/>
              <w:textAlignment w:val="center"/>
              <w:rPr>
                <w:rFonts w:hint="eastAsia" w:ascii="宋体" w:hAnsi="宋体" w:cs="宋体"/>
                <w:kern w:val="0"/>
                <w:sz w:val="20"/>
                <w:szCs w:val="20"/>
                <w:highlight w:val="yellow"/>
              </w:rPr>
            </w:pPr>
            <w:r>
              <w:rPr>
                <w:rFonts w:hint="eastAsia" w:ascii="宋体" w:hAnsi="宋体" w:cs="宋体"/>
                <w:color w:val="000000"/>
                <w:kern w:val="0"/>
                <w:sz w:val="20"/>
                <w:szCs w:val="20"/>
                <w:lang w:bidi="ar"/>
              </w:rPr>
              <w:t xml:space="preserve"> 82,015.42 </w:t>
            </w:r>
          </w:p>
        </w:tc>
      </w:tr>
      <w:tr w14:paraId="5EC4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92" w:type="pct"/>
          </w:tcPr>
          <w:p w14:paraId="2C645448">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净利润</w:t>
            </w:r>
          </w:p>
        </w:tc>
        <w:tc>
          <w:tcPr>
            <w:tcW w:w="3329" w:type="dxa"/>
            <w:vAlign w:val="center"/>
          </w:tcPr>
          <w:p w14:paraId="2A8D0D3B">
            <w:pPr>
              <w:widowControl/>
              <w:jc w:val="right"/>
              <w:textAlignment w:val="center"/>
              <w:rPr>
                <w:rFonts w:hint="eastAsia" w:ascii="宋体" w:hAnsi="宋体" w:cs="宋体"/>
                <w:kern w:val="0"/>
                <w:sz w:val="20"/>
                <w:szCs w:val="20"/>
                <w:highlight w:val="yellow"/>
                <w:lang w:bidi="ar"/>
              </w:rPr>
            </w:pPr>
            <w:r>
              <w:rPr>
                <w:rFonts w:hint="eastAsia" w:ascii="宋体" w:hAnsi="宋体" w:cs="宋体"/>
                <w:color w:val="000000"/>
                <w:kern w:val="0"/>
                <w:sz w:val="20"/>
                <w:szCs w:val="20"/>
                <w:lang w:bidi="ar"/>
              </w:rPr>
              <w:t xml:space="preserve"> 777.64 </w:t>
            </w:r>
          </w:p>
        </w:tc>
        <w:tc>
          <w:tcPr>
            <w:tcW w:w="3330" w:type="dxa"/>
            <w:vAlign w:val="center"/>
          </w:tcPr>
          <w:p w14:paraId="1D1D5A8A">
            <w:pPr>
              <w:widowControl/>
              <w:jc w:val="right"/>
              <w:textAlignment w:val="center"/>
              <w:rPr>
                <w:rFonts w:hint="eastAsia" w:ascii="宋体" w:hAnsi="宋体" w:cs="宋体"/>
                <w:kern w:val="0"/>
                <w:sz w:val="20"/>
                <w:szCs w:val="20"/>
                <w:highlight w:val="yellow"/>
              </w:rPr>
            </w:pPr>
            <w:r>
              <w:rPr>
                <w:rFonts w:hint="eastAsia" w:ascii="宋体" w:hAnsi="宋体" w:cs="宋体"/>
                <w:color w:val="000000"/>
                <w:kern w:val="0"/>
                <w:sz w:val="20"/>
                <w:szCs w:val="20"/>
                <w:lang w:bidi="ar"/>
              </w:rPr>
              <w:t xml:space="preserve"> 5,090.37 </w:t>
            </w:r>
          </w:p>
        </w:tc>
      </w:tr>
    </w:tbl>
    <w:p w14:paraId="493C1485">
      <w:pPr>
        <w:numPr>
          <w:ilvl w:val="0"/>
          <w:numId w:val="14"/>
        </w:numPr>
        <w:autoSpaceDE w:val="0"/>
        <w:autoSpaceDN w:val="0"/>
        <w:adjustRightInd w:val="0"/>
        <w:spacing w:line="560" w:lineRule="exact"/>
        <w:rPr>
          <w:rFonts w:hint="eastAsia" w:ascii="宋体" w:hAnsi="宋体" w:cs="宋体"/>
          <w:b/>
          <w:kern w:val="0"/>
          <w:sz w:val="24"/>
          <w:szCs w:val="24"/>
        </w:rPr>
      </w:pPr>
      <w:r>
        <w:rPr>
          <w:rFonts w:hint="eastAsia" w:ascii="宋体" w:hAnsi="宋体" w:cs="宋体"/>
          <w:b/>
          <w:kern w:val="0"/>
          <w:sz w:val="24"/>
          <w:szCs w:val="24"/>
        </w:rPr>
        <w:t>本月签署的《保证合同》主要内容</w:t>
      </w:r>
    </w:p>
    <w:p w14:paraId="6F22CB51">
      <w:pPr>
        <w:numPr>
          <w:ilvl w:val="0"/>
          <w:numId w:val="15"/>
        </w:num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中行昆明支行《最高额保证合同》</w:t>
      </w:r>
    </w:p>
    <w:p w14:paraId="1824BC30">
      <w:pPr>
        <w:pStyle w:val="81"/>
        <w:spacing w:beforeAutospacing="0" w:afterAutospacing="0" w:line="560" w:lineRule="exact"/>
        <w:ind w:firstLine="480" w:firstLineChars="200"/>
        <w:rPr>
          <w:rFonts w:hint="eastAsia" w:ascii="宋体" w:hAnsi="宋体" w:cs="宋体"/>
          <w:szCs w:val="24"/>
        </w:rPr>
      </w:pPr>
      <w:r>
        <w:rPr>
          <w:rFonts w:hint="eastAsia" w:ascii="宋体" w:hAnsi="宋体" w:cs="宋体"/>
          <w:bCs/>
          <w:snapToGrid w:val="0"/>
          <w:szCs w:val="24"/>
        </w:rPr>
        <w:t>1、</w:t>
      </w:r>
      <w:r>
        <w:rPr>
          <w:rFonts w:hint="eastAsia" w:ascii="宋体" w:hAnsi="宋体" w:cs="宋体"/>
          <w:szCs w:val="24"/>
        </w:rPr>
        <w:t>保证人：重庆望变电气(集团)股份有限公司</w:t>
      </w:r>
    </w:p>
    <w:p w14:paraId="1E735603">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2、保证方式：连带保证责任</w:t>
      </w:r>
    </w:p>
    <w:p w14:paraId="49C75333">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3、保证范围：</w:t>
      </w:r>
    </w:p>
    <w:p w14:paraId="0A9E6F91">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(1)本合同所担保债权之最高本金余额为人民币15,000万元;</w:t>
      </w:r>
    </w:p>
    <w:p w14:paraId="3B551B82">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授信额度协议》主债权发生期间届满之日，被确定属于本合同之被担保主债权的，则基于该主债权之本金所发生的利息(包括利息、复利、罚息)、违约金、损害赔偿金、实现债权的费用(包括但不限于诉讼费用、律师费用、公证费用、执行费用等)、因债务人违约而给债权人造成的损失和其他所有应付费用等，也属于被担保债权，其具体金额在其被清偿时确定。</w:t>
      </w:r>
    </w:p>
    <w:p w14:paraId="42F9D768">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依据上述两款确定的债权金额之和，即为本合同所担保的最高债权额。</w:t>
      </w:r>
    </w:p>
    <w:p w14:paraId="2037BBD1">
      <w:pPr>
        <w:numPr>
          <w:ilvl w:val="255"/>
          <w:numId w:val="0"/>
        </w:num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4、担保期限：《最高额保证合同》项下所担保的债务逐笔单独计算保证期间，各债务保证期间为该笔债务履行期限届满之日起三年。在该保证期间内，债权人有权就所涉主债权的全部或部分、多笔或单笔，一并或分别要求保证人承担保证责任。</w:t>
      </w:r>
    </w:p>
    <w:p w14:paraId="774AADCB">
      <w:pPr>
        <w:numPr>
          <w:ilvl w:val="0"/>
          <w:numId w:val="15"/>
        </w:num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中信昆明分行《最高额保证合同》</w:t>
      </w:r>
    </w:p>
    <w:p w14:paraId="0DFF96D7">
      <w:pPr>
        <w:pStyle w:val="81"/>
        <w:spacing w:beforeAutospacing="0" w:afterAutospacing="0" w:line="560" w:lineRule="exact"/>
        <w:ind w:firstLine="480" w:firstLineChars="200"/>
        <w:rPr>
          <w:rFonts w:hint="eastAsia" w:ascii="宋体" w:hAnsi="宋体" w:cs="宋体"/>
          <w:szCs w:val="24"/>
        </w:rPr>
      </w:pPr>
      <w:r>
        <w:rPr>
          <w:rFonts w:hint="eastAsia" w:ascii="宋体" w:hAnsi="宋体" w:cs="宋体"/>
          <w:bCs/>
          <w:snapToGrid w:val="0"/>
          <w:szCs w:val="24"/>
        </w:rPr>
        <w:t>1、</w:t>
      </w:r>
      <w:r>
        <w:rPr>
          <w:rFonts w:hint="eastAsia" w:ascii="宋体" w:hAnsi="宋体" w:cs="宋体"/>
          <w:szCs w:val="24"/>
        </w:rPr>
        <w:t>保证人：重庆望变电气(集团)股份有限公司</w:t>
      </w:r>
    </w:p>
    <w:p w14:paraId="60326640">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2、保证方式：连带保证责任</w:t>
      </w:r>
    </w:p>
    <w:p w14:paraId="1767AF3C">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3、保证范围：包括中信昆明分行和云变电气签署并形成债权债务关系的一系列合同、协议以及其他法律性文件（以下简称“主合同”）项下的主债权、利息、罚息、复利、违约金、损害赔偿金、迟延履行期间的债务利息、迟延履行金、为实现债权的费用(包括但不限于诉讼费、仲裁费、律师费、差旅费、评估费、过户费、保全费、公告费、公证认证费、翻译费、执行费、保全保险费等)和其他所有应付的费用。</w:t>
      </w:r>
    </w:p>
    <w:p w14:paraId="67AE66E2">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担保的债权最高额限度为陆仟万元整和相应的利息、罚息、复利、违约金、损害赔偿金、迟延履行期间的债务利息、迟延履行金以及为实现债权、担保权利等所发生的一切费用(包括但不限于诉讼费、仲裁费、律师费、差旅费、评估费、过户费、保全费、公告费、公证认证费、翻译费、执行费、保全保险费等)和其他所有应付的费用之和。</w:t>
      </w:r>
    </w:p>
    <w:p w14:paraId="1C3692F4">
      <w:pPr>
        <w:numPr>
          <w:ilvl w:val="0"/>
          <w:numId w:val="16"/>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担保期限：</w:t>
      </w:r>
    </w:p>
    <w:p w14:paraId="65B1C6E4">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（1）本合同项下的保证期间为主合同项下债务履行期限届满之日起三年，即自债务人依具体业务合同约定的债务履行期限届满之日起三年。每一具体业务合同项下的保证期间单独计算。</w:t>
      </w:r>
    </w:p>
    <w:p w14:paraId="32059C97">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主合同债务人履行债务的期限以主合同约定为准。但按法律、法规、规章规定或依主合同约定或主合同双方当事人协商一致主合同债务提前到期，或主合同双方当事人在第2.2款约定的期间内协议延长债务履行期限的，则主合同债务提前到期日或延长到期日为债务的履行期限届满之日。如主合同约定债务人分期清偿债务，则最后一笔债务到期之日即为主合同项下债务履行期限届满之日。</w:t>
      </w:r>
    </w:p>
    <w:p w14:paraId="6DD81AE8">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如主合同项下业务为信用证或银行承兑汇票，则乙方按信用证或银行承兑汇票垫款日为主合同债务人债务履行期限届满之日。</w:t>
      </w:r>
    </w:p>
    <w:p w14:paraId="18E89676">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如主合同项下业务为保函，则乙方按保函实际履行担保责任日为主合同债务人债务履行期限届满之日。</w:t>
      </w:r>
    </w:p>
    <w:p w14:paraId="5C98E2DF">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如主合同项下业务为保理业务的，以保理合同约定的回购价款支付日为主合同债务人债务履行期限届满之日。</w:t>
      </w:r>
    </w:p>
    <w:p w14:paraId="4C3ADCD5">
      <w:pPr>
        <w:numPr>
          <w:ilvl w:val="255"/>
          <w:numId w:val="0"/>
        </w:num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如主合同项下业务为其他或有负债业务的，以乙方实际支付款项日为主合同债务人债务履行期限届满之日。</w:t>
      </w:r>
    </w:p>
    <w:p w14:paraId="67BEC282">
      <w:p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四、担保的必要性和合理性</w:t>
      </w:r>
    </w:p>
    <w:p w14:paraId="77DF22F8">
      <w:pPr>
        <w:pStyle w:val="81"/>
        <w:autoSpaceDE w:val="0"/>
        <w:autoSpaceDN w:val="0"/>
        <w:adjustRightInd w:val="0"/>
        <w:spacing w:beforeAutospacing="0" w:afterAutospacing="0" w:line="560" w:lineRule="exact"/>
        <w:ind w:firstLine="480" w:firstLineChars="200"/>
        <w:rPr>
          <w:rFonts w:hint="eastAsia" w:ascii="宋体" w:hAnsi="宋体" w:cs="宋体"/>
          <w:bCs/>
          <w:snapToGrid w:val="0"/>
          <w:szCs w:val="24"/>
        </w:rPr>
      </w:pPr>
      <w:r>
        <w:rPr>
          <w:rFonts w:hint="eastAsia" w:ascii="宋体" w:hAnsi="宋体" w:cs="宋体"/>
          <w:bCs/>
          <w:snapToGrid w:val="0"/>
          <w:szCs w:val="24"/>
        </w:rPr>
        <w:t>公司本月新增的对外担保主要为满足子公司日常生产经营需要，保证其生产经营活动的顺利开展，符合公司实际经营情况和整体发展战略，具有必要性和合理性。被担保对象为公司控股子公司和全资子公司，公司对其日常经营活动和资信状况能够及时掌握，担保风险总体可控，不会对公司及股东特别是中小股东利益造成重大不利影响。</w:t>
      </w:r>
    </w:p>
    <w:p w14:paraId="660C3901">
      <w:pPr>
        <w:tabs>
          <w:tab w:val="left" w:pos="3468"/>
        </w:tabs>
        <w:autoSpaceDE w:val="0"/>
        <w:autoSpaceDN w:val="0"/>
        <w:adjustRightInd w:val="0"/>
        <w:spacing w:before="159" w:beforeLines="50" w:line="360" w:lineRule="auto"/>
        <w:rPr>
          <w:rFonts w:hint="eastAsia" w:ascii="宋体" w:hAnsi="宋体" w:cs="宋体"/>
          <w:b/>
          <w:sz w:val="24"/>
          <w:szCs w:val="24"/>
        </w:rPr>
      </w:pPr>
      <w:r>
        <w:rPr>
          <w:rFonts w:hint="eastAsia" w:ascii="宋体" w:hAnsi="宋体" w:cs="宋体"/>
          <w:b/>
          <w:sz w:val="24"/>
          <w:szCs w:val="24"/>
        </w:rPr>
        <w:t>五、累计对外担保数量及逾期担保的数量</w:t>
      </w:r>
    </w:p>
    <w:p w14:paraId="1E47E60B">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截至2025年4月末，公司对外担保均为对子公司的担保，累计担保总额为88,500.00万元，担保余额为41,656.73万元，担保余额占公司最近一期经审计净资产的</w:t>
      </w:r>
      <w:r>
        <w:rPr>
          <w:rFonts w:hint="eastAsia" w:ascii="宋体" w:hAnsi="宋体" w:cs="宋体"/>
          <w:bCs/>
          <w:sz w:val="24"/>
          <w:szCs w:val="24"/>
          <w:lang w:val="en-US" w:eastAsia="zh-CN"/>
        </w:rPr>
        <w:t>17.26</w:t>
      </w:r>
      <w:bookmarkStart w:id="0" w:name="_GoBack"/>
      <w:bookmarkEnd w:id="0"/>
      <w:r>
        <w:rPr>
          <w:rFonts w:hint="eastAsia" w:ascii="宋体" w:hAnsi="宋体" w:cs="宋体"/>
          <w:bCs/>
          <w:sz w:val="24"/>
          <w:szCs w:val="24"/>
        </w:rPr>
        <w:t>%；不存在逾期担保。</w:t>
      </w:r>
    </w:p>
    <w:p w14:paraId="3DC7205B">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截止2025年4月末，公司及子公司可用担保额度为98,000.00万元（包含惠泽电器10,000.00万元、黔南望江18,000.00万元和云变电气70,000.00万元），均为经公司2024年第三次临时股东会会议审议通过的2025年度担保额度。</w:t>
      </w:r>
    </w:p>
    <w:p w14:paraId="0781C32D">
      <w:pPr>
        <w:autoSpaceDE w:val="0"/>
        <w:autoSpaceDN w:val="0"/>
        <w:adjustRightInd w:val="0"/>
        <w:spacing w:before="159" w:beforeLines="50" w:line="360" w:lineRule="auto"/>
        <w:ind w:firstLine="480" w:firstLineChars="200"/>
        <w:rPr>
          <w:rFonts w:hint="eastAsia" w:ascii="宋体" w:hAnsi="宋体" w:cs="宋体"/>
          <w:b/>
          <w:sz w:val="24"/>
          <w:szCs w:val="24"/>
        </w:rPr>
      </w:pPr>
      <w:r>
        <w:rPr>
          <w:rFonts w:hint="eastAsia" w:ascii="宋体" w:hAnsi="宋体" w:cs="宋体"/>
          <w:kern w:val="0"/>
          <w:sz w:val="24"/>
          <w:szCs w:val="24"/>
        </w:rPr>
        <w:t>特此公告。</w:t>
      </w:r>
    </w:p>
    <w:p w14:paraId="2EDFB188">
      <w:pPr>
        <w:autoSpaceDE w:val="0"/>
        <w:autoSpaceDN w:val="0"/>
        <w:adjustRightInd w:val="0"/>
        <w:spacing w:line="560" w:lineRule="exact"/>
        <w:jc w:val="left"/>
        <w:rPr>
          <w:rFonts w:hint="eastAsia" w:ascii="宋体" w:hAnsi="宋体" w:cs="宋体"/>
          <w:kern w:val="0"/>
          <w:sz w:val="24"/>
          <w:szCs w:val="24"/>
        </w:rPr>
      </w:pPr>
    </w:p>
    <w:p w14:paraId="530905B0">
      <w:pPr>
        <w:adjustRightInd w:val="0"/>
        <w:snapToGrid w:val="0"/>
        <w:spacing w:line="560" w:lineRule="exact"/>
        <w:ind w:firstLine="480" w:firstLineChars="200"/>
        <w:jc w:val="right"/>
        <w:rPr>
          <w:rFonts w:hint="eastAsia" w:ascii="宋体" w:hAnsi="宋体"/>
          <w:sz w:val="24"/>
          <w:szCs w:val="24"/>
        </w:rPr>
      </w:pPr>
      <w:r>
        <w:rPr>
          <w:rFonts w:hint="eastAsia" w:ascii="宋体" w:hAnsi="宋体" w:cs="宋体"/>
          <w:kern w:val="0"/>
          <w:sz w:val="24"/>
          <w:szCs w:val="24"/>
        </w:rPr>
        <w:t>重庆望变电气（集团）</w:t>
      </w:r>
      <w:r>
        <w:rPr>
          <w:rFonts w:hint="eastAsia" w:ascii="宋体" w:hAnsi="宋体" w:cs="仿宋_GB2312"/>
          <w:sz w:val="24"/>
          <w:szCs w:val="24"/>
        </w:rPr>
        <w:t>股</w:t>
      </w:r>
      <w:r>
        <w:rPr>
          <w:rFonts w:hint="eastAsia" w:ascii="宋体" w:hAnsi="宋体"/>
          <w:sz w:val="24"/>
          <w:szCs w:val="24"/>
        </w:rPr>
        <w:t>份有限公司董事会</w:t>
      </w:r>
    </w:p>
    <w:p w14:paraId="408BD968">
      <w:pPr>
        <w:adjustRightInd w:val="0"/>
        <w:snapToGrid w:val="0"/>
        <w:spacing w:line="560" w:lineRule="exact"/>
        <w:ind w:firstLine="480" w:firstLineChars="200"/>
        <w:jc w:val="right"/>
        <w:rPr>
          <w:rFonts w:hint="eastAsia" w:ascii="宋体" w:hAnsi="宋体" w:cs="宋体"/>
          <w:kern w:val="0"/>
          <w:sz w:val="24"/>
          <w:szCs w:val="24"/>
        </w:rPr>
      </w:pPr>
      <w:r>
        <w:rPr>
          <w:rFonts w:ascii="宋体" w:hAnsi="宋体"/>
          <w:sz w:val="24"/>
          <w:szCs w:val="24"/>
        </w:rPr>
        <w:t>202</w:t>
      </w:r>
      <w:r>
        <w:rPr>
          <w:rFonts w:hint="eastAsia" w:ascii="宋体" w:hAnsi="宋体"/>
          <w:sz w:val="24"/>
          <w:szCs w:val="24"/>
        </w:rPr>
        <w:t>5年5月8日</w:t>
      </w:r>
    </w:p>
    <w:p w14:paraId="67A2A472">
      <w:pPr>
        <w:autoSpaceDE w:val="0"/>
        <w:autoSpaceDN w:val="0"/>
        <w:adjustRightInd w:val="0"/>
        <w:snapToGrid w:val="0"/>
        <w:spacing w:line="560" w:lineRule="exact"/>
        <w:ind w:firstLine="480" w:firstLineChars="200"/>
        <w:rPr>
          <w:rFonts w:hint="eastAsia" w:ascii="宋体" w:hAnsi="宋体" w:cs="宋体"/>
          <w:sz w:val="24"/>
          <w:szCs w:val="24"/>
        </w:rPr>
      </w:pPr>
    </w:p>
    <w:p w14:paraId="4CCB618B"/>
    <w:p w14:paraId="44075C06"/>
    <w:p w14:paraId="38499641"/>
    <w:p w14:paraId="067D987F"/>
    <w:p w14:paraId="78CF2BFD"/>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49F2DEA0">
        <w:pPr>
          <w:pStyle w:val="55"/>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02F9E"/>
    <w:multiLevelType w:val="singleLevel"/>
    <w:tmpl w:val="92F02F9E"/>
    <w:lvl w:ilvl="0" w:tentative="0">
      <w:start w:val="1"/>
      <w:numFmt w:val="chineseCounting"/>
      <w:suff w:val="nothing"/>
      <w:lvlText w:val="（%1）"/>
      <w:lvlJc w:val="left"/>
      <w:rPr>
        <w:rFonts w:hint="eastAsia"/>
      </w:rPr>
    </w:lvl>
  </w:abstractNum>
  <w:abstractNum w:abstractNumId="1">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22712713"/>
    <w:multiLevelType w:val="singleLevel"/>
    <w:tmpl w:val="22712713"/>
    <w:lvl w:ilvl="0" w:tentative="0">
      <w:start w:val="1"/>
      <w:numFmt w:val="bullet"/>
      <w:pStyle w:val="94"/>
      <w:lvlText w:val=""/>
      <w:lvlJc w:val="left"/>
      <w:pPr>
        <w:ind w:left="420" w:hanging="420"/>
      </w:pPr>
      <w:rPr>
        <w:rFonts w:hint="default" w:ascii="Wingdings" w:hAnsi="Wingdings"/>
      </w:rPr>
    </w:lvl>
  </w:abstractNum>
  <w:abstractNum w:abstractNumId="13">
    <w:nsid w:val="4019ABB1"/>
    <w:multiLevelType w:val="singleLevel"/>
    <w:tmpl w:val="4019ABB1"/>
    <w:lvl w:ilvl="0" w:tentative="0">
      <w:start w:val="4"/>
      <w:numFmt w:val="decimal"/>
      <w:suff w:val="nothing"/>
      <w:lvlText w:val="%1、"/>
      <w:lvlJc w:val="left"/>
    </w:lvl>
  </w:abstractNum>
  <w:abstractNum w:abstractNumId="14">
    <w:nsid w:val="40EC9271"/>
    <w:multiLevelType w:val="singleLevel"/>
    <w:tmpl w:val="40EC9271"/>
    <w:lvl w:ilvl="0" w:tentative="0">
      <w:start w:val="2"/>
      <w:numFmt w:val="chineseCounting"/>
      <w:suff w:val="nothing"/>
      <w:lvlText w:val="%1、"/>
      <w:lvlJc w:val="left"/>
      <w:rPr>
        <w:rFonts w:hint="eastAsia"/>
      </w:rPr>
    </w:lvl>
  </w:abstractNum>
  <w:abstractNum w:abstractNumId="15">
    <w:nsid w:val="655C0D75"/>
    <w:multiLevelType w:val="singleLevel"/>
    <w:tmpl w:val="655C0D75"/>
    <w:lvl w:ilvl="0" w:tentative="0">
      <w:start w:val="1"/>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
  </w:num>
  <w:num w:numId="13">
    <w:abstractNumId w:val="15"/>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00BF2ECD"/>
    <w:rsid w:val="00000558"/>
    <w:rsid w:val="00000BC9"/>
    <w:rsid w:val="0000604D"/>
    <w:rsid w:val="00030B8F"/>
    <w:rsid w:val="000369D9"/>
    <w:rsid w:val="00037429"/>
    <w:rsid w:val="000434C6"/>
    <w:rsid w:val="00044B7A"/>
    <w:rsid w:val="000507FA"/>
    <w:rsid w:val="00050D8C"/>
    <w:rsid w:val="00051D15"/>
    <w:rsid w:val="00054EEE"/>
    <w:rsid w:val="00060DFA"/>
    <w:rsid w:val="00064333"/>
    <w:rsid w:val="00064E57"/>
    <w:rsid w:val="000671F4"/>
    <w:rsid w:val="00070F49"/>
    <w:rsid w:val="0007156E"/>
    <w:rsid w:val="000764C3"/>
    <w:rsid w:val="00082408"/>
    <w:rsid w:val="00084C5D"/>
    <w:rsid w:val="00087F94"/>
    <w:rsid w:val="00095674"/>
    <w:rsid w:val="000A490B"/>
    <w:rsid w:val="000B677B"/>
    <w:rsid w:val="000E2AAC"/>
    <w:rsid w:val="000E3807"/>
    <w:rsid w:val="000E795D"/>
    <w:rsid w:val="00101EA2"/>
    <w:rsid w:val="00124FA5"/>
    <w:rsid w:val="00125C8C"/>
    <w:rsid w:val="00126188"/>
    <w:rsid w:val="001335CF"/>
    <w:rsid w:val="001368F4"/>
    <w:rsid w:val="001619B6"/>
    <w:rsid w:val="00161C50"/>
    <w:rsid w:val="001631B1"/>
    <w:rsid w:val="00177222"/>
    <w:rsid w:val="001903B0"/>
    <w:rsid w:val="001B5730"/>
    <w:rsid w:val="001C165F"/>
    <w:rsid w:val="001C235A"/>
    <w:rsid w:val="001C4707"/>
    <w:rsid w:val="001D0405"/>
    <w:rsid w:val="001D4B82"/>
    <w:rsid w:val="001E4E44"/>
    <w:rsid w:val="001E6FB1"/>
    <w:rsid w:val="001E7562"/>
    <w:rsid w:val="001F0293"/>
    <w:rsid w:val="001F3BAD"/>
    <w:rsid w:val="002032FC"/>
    <w:rsid w:val="002051AC"/>
    <w:rsid w:val="00207506"/>
    <w:rsid w:val="002114BE"/>
    <w:rsid w:val="00224E96"/>
    <w:rsid w:val="00246976"/>
    <w:rsid w:val="00266A7C"/>
    <w:rsid w:val="00272D61"/>
    <w:rsid w:val="00287610"/>
    <w:rsid w:val="002878A7"/>
    <w:rsid w:val="00294DFB"/>
    <w:rsid w:val="002B1A65"/>
    <w:rsid w:val="002B291C"/>
    <w:rsid w:val="002C32E2"/>
    <w:rsid w:val="002C3AF3"/>
    <w:rsid w:val="002C5387"/>
    <w:rsid w:val="002D6A43"/>
    <w:rsid w:val="002E2215"/>
    <w:rsid w:val="002F1340"/>
    <w:rsid w:val="002F33C4"/>
    <w:rsid w:val="002F4948"/>
    <w:rsid w:val="002F5CBD"/>
    <w:rsid w:val="002F6DC2"/>
    <w:rsid w:val="002F6FD5"/>
    <w:rsid w:val="0030115C"/>
    <w:rsid w:val="003051B5"/>
    <w:rsid w:val="003127EC"/>
    <w:rsid w:val="00313A26"/>
    <w:rsid w:val="00316757"/>
    <w:rsid w:val="00332636"/>
    <w:rsid w:val="00335DCA"/>
    <w:rsid w:val="00342251"/>
    <w:rsid w:val="00343F60"/>
    <w:rsid w:val="00347210"/>
    <w:rsid w:val="00352F3F"/>
    <w:rsid w:val="003866A3"/>
    <w:rsid w:val="003A1724"/>
    <w:rsid w:val="003A3C4B"/>
    <w:rsid w:val="003A4934"/>
    <w:rsid w:val="003A6877"/>
    <w:rsid w:val="003B5E5C"/>
    <w:rsid w:val="003C13ED"/>
    <w:rsid w:val="003C3E72"/>
    <w:rsid w:val="003D1D39"/>
    <w:rsid w:val="003D4987"/>
    <w:rsid w:val="003D500E"/>
    <w:rsid w:val="003E399E"/>
    <w:rsid w:val="003F26EB"/>
    <w:rsid w:val="004015D4"/>
    <w:rsid w:val="00404524"/>
    <w:rsid w:val="00412966"/>
    <w:rsid w:val="00414EDD"/>
    <w:rsid w:val="004166FA"/>
    <w:rsid w:val="00421FBB"/>
    <w:rsid w:val="00432414"/>
    <w:rsid w:val="004417CE"/>
    <w:rsid w:val="00455164"/>
    <w:rsid w:val="004617FD"/>
    <w:rsid w:val="00481530"/>
    <w:rsid w:val="004A27BC"/>
    <w:rsid w:val="004B6940"/>
    <w:rsid w:val="004C3D35"/>
    <w:rsid w:val="004E11B1"/>
    <w:rsid w:val="004F4D81"/>
    <w:rsid w:val="004F792E"/>
    <w:rsid w:val="00501890"/>
    <w:rsid w:val="0050197F"/>
    <w:rsid w:val="00507042"/>
    <w:rsid w:val="0052284A"/>
    <w:rsid w:val="0052751C"/>
    <w:rsid w:val="00527F05"/>
    <w:rsid w:val="005335E5"/>
    <w:rsid w:val="005555B7"/>
    <w:rsid w:val="00556B8A"/>
    <w:rsid w:val="005636E0"/>
    <w:rsid w:val="00563DEF"/>
    <w:rsid w:val="005700E6"/>
    <w:rsid w:val="005928B0"/>
    <w:rsid w:val="00593D94"/>
    <w:rsid w:val="005950D7"/>
    <w:rsid w:val="005A5697"/>
    <w:rsid w:val="005B06D0"/>
    <w:rsid w:val="005B1790"/>
    <w:rsid w:val="005B1CE9"/>
    <w:rsid w:val="005E015E"/>
    <w:rsid w:val="005E0D94"/>
    <w:rsid w:val="005F0BAA"/>
    <w:rsid w:val="006004F3"/>
    <w:rsid w:val="0061300F"/>
    <w:rsid w:val="0061302E"/>
    <w:rsid w:val="00616B8A"/>
    <w:rsid w:val="00621D2E"/>
    <w:rsid w:val="006227F4"/>
    <w:rsid w:val="00623320"/>
    <w:rsid w:val="006233E1"/>
    <w:rsid w:val="00631267"/>
    <w:rsid w:val="00636AA5"/>
    <w:rsid w:val="00641271"/>
    <w:rsid w:val="006414A6"/>
    <w:rsid w:val="00651E5A"/>
    <w:rsid w:val="006541E0"/>
    <w:rsid w:val="00656B76"/>
    <w:rsid w:val="0065737B"/>
    <w:rsid w:val="0066648F"/>
    <w:rsid w:val="006754DD"/>
    <w:rsid w:val="00692CB8"/>
    <w:rsid w:val="006A782A"/>
    <w:rsid w:val="006B13DA"/>
    <w:rsid w:val="006B1B09"/>
    <w:rsid w:val="006B2315"/>
    <w:rsid w:val="006B45CE"/>
    <w:rsid w:val="006B4A91"/>
    <w:rsid w:val="006B6910"/>
    <w:rsid w:val="006C2D1F"/>
    <w:rsid w:val="006C312B"/>
    <w:rsid w:val="006C6811"/>
    <w:rsid w:val="006D1676"/>
    <w:rsid w:val="006D6459"/>
    <w:rsid w:val="006F5A45"/>
    <w:rsid w:val="007041A1"/>
    <w:rsid w:val="00713C80"/>
    <w:rsid w:val="00721749"/>
    <w:rsid w:val="007310E5"/>
    <w:rsid w:val="00732D11"/>
    <w:rsid w:val="0073774F"/>
    <w:rsid w:val="00740449"/>
    <w:rsid w:val="00745B5F"/>
    <w:rsid w:val="0075445C"/>
    <w:rsid w:val="0076073C"/>
    <w:rsid w:val="00776B0C"/>
    <w:rsid w:val="007946B0"/>
    <w:rsid w:val="00795307"/>
    <w:rsid w:val="007A42EC"/>
    <w:rsid w:val="007A46A0"/>
    <w:rsid w:val="007A54FF"/>
    <w:rsid w:val="007B4990"/>
    <w:rsid w:val="007C00D5"/>
    <w:rsid w:val="007C1F91"/>
    <w:rsid w:val="007C343C"/>
    <w:rsid w:val="007C655F"/>
    <w:rsid w:val="007D539C"/>
    <w:rsid w:val="007D7D45"/>
    <w:rsid w:val="007E7845"/>
    <w:rsid w:val="008026A0"/>
    <w:rsid w:val="00816C8F"/>
    <w:rsid w:val="00826B51"/>
    <w:rsid w:val="0083455D"/>
    <w:rsid w:val="00861F0B"/>
    <w:rsid w:val="008625FB"/>
    <w:rsid w:val="00866013"/>
    <w:rsid w:val="00885E01"/>
    <w:rsid w:val="00891EE8"/>
    <w:rsid w:val="008A06B7"/>
    <w:rsid w:val="008A12F9"/>
    <w:rsid w:val="008A76CD"/>
    <w:rsid w:val="008B360D"/>
    <w:rsid w:val="008B4652"/>
    <w:rsid w:val="008C75E8"/>
    <w:rsid w:val="008D10ED"/>
    <w:rsid w:val="008D7908"/>
    <w:rsid w:val="008D7D16"/>
    <w:rsid w:val="008E2FF0"/>
    <w:rsid w:val="008E77F9"/>
    <w:rsid w:val="008F3FFE"/>
    <w:rsid w:val="00904DB6"/>
    <w:rsid w:val="00906FA1"/>
    <w:rsid w:val="00912197"/>
    <w:rsid w:val="00913A1A"/>
    <w:rsid w:val="009238FB"/>
    <w:rsid w:val="009477DC"/>
    <w:rsid w:val="009536D8"/>
    <w:rsid w:val="00955454"/>
    <w:rsid w:val="0095561C"/>
    <w:rsid w:val="00955DC4"/>
    <w:rsid w:val="00960BDB"/>
    <w:rsid w:val="00962784"/>
    <w:rsid w:val="0096329B"/>
    <w:rsid w:val="0097194D"/>
    <w:rsid w:val="009752E9"/>
    <w:rsid w:val="00977420"/>
    <w:rsid w:val="00981177"/>
    <w:rsid w:val="0099027E"/>
    <w:rsid w:val="00992A41"/>
    <w:rsid w:val="009A242D"/>
    <w:rsid w:val="009A3EBC"/>
    <w:rsid w:val="009B1CE4"/>
    <w:rsid w:val="009B605A"/>
    <w:rsid w:val="009C18AC"/>
    <w:rsid w:val="009C3379"/>
    <w:rsid w:val="00A06636"/>
    <w:rsid w:val="00A20224"/>
    <w:rsid w:val="00A317FA"/>
    <w:rsid w:val="00A369A9"/>
    <w:rsid w:val="00A4773A"/>
    <w:rsid w:val="00A50776"/>
    <w:rsid w:val="00A563BC"/>
    <w:rsid w:val="00A56BD4"/>
    <w:rsid w:val="00A750F9"/>
    <w:rsid w:val="00A80442"/>
    <w:rsid w:val="00A87F63"/>
    <w:rsid w:val="00A9108C"/>
    <w:rsid w:val="00AA1DF6"/>
    <w:rsid w:val="00AA36C5"/>
    <w:rsid w:val="00AC6182"/>
    <w:rsid w:val="00AD2992"/>
    <w:rsid w:val="00AD7080"/>
    <w:rsid w:val="00AE01A3"/>
    <w:rsid w:val="00AE3517"/>
    <w:rsid w:val="00AF4CB2"/>
    <w:rsid w:val="00B10348"/>
    <w:rsid w:val="00B10A2A"/>
    <w:rsid w:val="00B12308"/>
    <w:rsid w:val="00B13505"/>
    <w:rsid w:val="00B152B7"/>
    <w:rsid w:val="00B253D1"/>
    <w:rsid w:val="00B25554"/>
    <w:rsid w:val="00B3338B"/>
    <w:rsid w:val="00B35C9C"/>
    <w:rsid w:val="00B575AF"/>
    <w:rsid w:val="00B64F0E"/>
    <w:rsid w:val="00B65460"/>
    <w:rsid w:val="00B656C4"/>
    <w:rsid w:val="00B66D7C"/>
    <w:rsid w:val="00B90010"/>
    <w:rsid w:val="00B96BB6"/>
    <w:rsid w:val="00BA03AD"/>
    <w:rsid w:val="00BC4BBB"/>
    <w:rsid w:val="00BD7901"/>
    <w:rsid w:val="00BE0431"/>
    <w:rsid w:val="00BE7AC6"/>
    <w:rsid w:val="00BF0EF1"/>
    <w:rsid w:val="00BF2ECD"/>
    <w:rsid w:val="00BF54FF"/>
    <w:rsid w:val="00C061F6"/>
    <w:rsid w:val="00C11467"/>
    <w:rsid w:val="00C11DBC"/>
    <w:rsid w:val="00C21159"/>
    <w:rsid w:val="00C2610B"/>
    <w:rsid w:val="00C321FA"/>
    <w:rsid w:val="00C335E9"/>
    <w:rsid w:val="00C37A23"/>
    <w:rsid w:val="00C5077D"/>
    <w:rsid w:val="00C515E8"/>
    <w:rsid w:val="00C55AA9"/>
    <w:rsid w:val="00C578DC"/>
    <w:rsid w:val="00C57B6A"/>
    <w:rsid w:val="00C61E56"/>
    <w:rsid w:val="00C64E83"/>
    <w:rsid w:val="00C67654"/>
    <w:rsid w:val="00C800AF"/>
    <w:rsid w:val="00C937A0"/>
    <w:rsid w:val="00CA5962"/>
    <w:rsid w:val="00CA5E22"/>
    <w:rsid w:val="00CC2A94"/>
    <w:rsid w:val="00CC6A06"/>
    <w:rsid w:val="00CD0630"/>
    <w:rsid w:val="00CE161A"/>
    <w:rsid w:val="00CE38B0"/>
    <w:rsid w:val="00CF157C"/>
    <w:rsid w:val="00D0021B"/>
    <w:rsid w:val="00D060E9"/>
    <w:rsid w:val="00D061EC"/>
    <w:rsid w:val="00D11AE5"/>
    <w:rsid w:val="00D12713"/>
    <w:rsid w:val="00D14999"/>
    <w:rsid w:val="00D16DF3"/>
    <w:rsid w:val="00D20476"/>
    <w:rsid w:val="00D348AE"/>
    <w:rsid w:val="00D36CEC"/>
    <w:rsid w:val="00D37022"/>
    <w:rsid w:val="00D40D5F"/>
    <w:rsid w:val="00D479B2"/>
    <w:rsid w:val="00D51495"/>
    <w:rsid w:val="00D516F9"/>
    <w:rsid w:val="00D6642E"/>
    <w:rsid w:val="00D706DA"/>
    <w:rsid w:val="00D94A43"/>
    <w:rsid w:val="00DA6BAB"/>
    <w:rsid w:val="00DB4349"/>
    <w:rsid w:val="00DD1465"/>
    <w:rsid w:val="00DD3A5B"/>
    <w:rsid w:val="00DD5D73"/>
    <w:rsid w:val="00DE0D68"/>
    <w:rsid w:val="00DE24A1"/>
    <w:rsid w:val="00DE2FB4"/>
    <w:rsid w:val="00E06561"/>
    <w:rsid w:val="00E153C6"/>
    <w:rsid w:val="00E1723F"/>
    <w:rsid w:val="00E2700A"/>
    <w:rsid w:val="00E313D8"/>
    <w:rsid w:val="00E35CC1"/>
    <w:rsid w:val="00E360F6"/>
    <w:rsid w:val="00E47DB7"/>
    <w:rsid w:val="00E50EF5"/>
    <w:rsid w:val="00E52836"/>
    <w:rsid w:val="00E54250"/>
    <w:rsid w:val="00E62DAF"/>
    <w:rsid w:val="00E927F8"/>
    <w:rsid w:val="00E92E43"/>
    <w:rsid w:val="00E97E71"/>
    <w:rsid w:val="00EA34E8"/>
    <w:rsid w:val="00EA46D7"/>
    <w:rsid w:val="00EC5C5A"/>
    <w:rsid w:val="00ED0055"/>
    <w:rsid w:val="00ED2FD9"/>
    <w:rsid w:val="00EF138E"/>
    <w:rsid w:val="00EF74FD"/>
    <w:rsid w:val="00F16E07"/>
    <w:rsid w:val="00F2365C"/>
    <w:rsid w:val="00F57B5A"/>
    <w:rsid w:val="00F605B9"/>
    <w:rsid w:val="00F60665"/>
    <w:rsid w:val="00F65A6F"/>
    <w:rsid w:val="00F77490"/>
    <w:rsid w:val="00F84CFA"/>
    <w:rsid w:val="00F964CD"/>
    <w:rsid w:val="00F967B2"/>
    <w:rsid w:val="00FA1CAB"/>
    <w:rsid w:val="00FA54C0"/>
    <w:rsid w:val="00FB1D6D"/>
    <w:rsid w:val="00FD0699"/>
    <w:rsid w:val="00FD1980"/>
    <w:rsid w:val="00FE0712"/>
    <w:rsid w:val="01A21D3D"/>
    <w:rsid w:val="01B20EB9"/>
    <w:rsid w:val="01E50D53"/>
    <w:rsid w:val="01F821BD"/>
    <w:rsid w:val="02066364"/>
    <w:rsid w:val="02815CE9"/>
    <w:rsid w:val="03134C0F"/>
    <w:rsid w:val="032D4E3E"/>
    <w:rsid w:val="04012B21"/>
    <w:rsid w:val="048F7171"/>
    <w:rsid w:val="06E320CC"/>
    <w:rsid w:val="07312958"/>
    <w:rsid w:val="073B5BC9"/>
    <w:rsid w:val="07BE292C"/>
    <w:rsid w:val="07C65CA5"/>
    <w:rsid w:val="084C69BC"/>
    <w:rsid w:val="08514037"/>
    <w:rsid w:val="08CA2A7A"/>
    <w:rsid w:val="096251C7"/>
    <w:rsid w:val="0AD705E9"/>
    <w:rsid w:val="0AF50259"/>
    <w:rsid w:val="0B9C5BD8"/>
    <w:rsid w:val="0D8E4A70"/>
    <w:rsid w:val="0E470635"/>
    <w:rsid w:val="0EBC6E9B"/>
    <w:rsid w:val="0EE14124"/>
    <w:rsid w:val="0FDA2FF1"/>
    <w:rsid w:val="10C85995"/>
    <w:rsid w:val="11162CD7"/>
    <w:rsid w:val="11DD5B0E"/>
    <w:rsid w:val="11F04FB0"/>
    <w:rsid w:val="11FD41AB"/>
    <w:rsid w:val="136F6B4F"/>
    <w:rsid w:val="13F76D41"/>
    <w:rsid w:val="15337B56"/>
    <w:rsid w:val="19857952"/>
    <w:rsid w:val="1A7D7C74"/>
    <w:rsid w:val="1DD957B9"/>
    <w:rsid w:val="1E79312C"/>
    <w:rsid w:val="1F2305F5"/>
    <w:rsid w:val="20967991"/>
    <w:rsid w:val="213B1B76"/>
    <w:rsid w:val="21574856"/>
    <w:rsid w:val="215D435A"/>
    <w:rsid w:val="21A32B39"/>
    <w:rsid w:val="22237597"/>
    <w:rsid w:val="230A0721"/>
    <w:rsid w:val="23C35C66"/>
    <w:rsid w:val="24100647"/>
    <w:rsid w:val="24BC60E2"/>
    <w:rsid w:val="251B37E1"/>
    <w:rsid w:val="2615746A"/>
    <w:rsid w:val="26401ABD"/>
    <w:rsid w:val="264E6834"/>
    <w:rsid w:val="29173A50"/>
    <w:rsid w:val="29A05578"/>
    <w:rsid w:val="2AAC23F9"/>
    <w:rsid w:val="2B0D2CE4"/>
    <w:rsid w:val="2B693673"/>
    <w:rsid w:val="2C422599"/>
    <w:rsid w:val="2CCD15FB"/>
    <w:rsid w:val="2F9B5627"/>
    <w:rsid w:val="2FB04883"/>
    <w:rsid w:val="309B0366"/>
    <w:rsid w:val="30FC41DF"/>
    <w:rsid w:val="343369E1"/>
    <w:rsid w:val="36372CA9"/>
    <w:rsid w:val="36C409BE"/>
    <w:rsid w:val="373D751E"/>
    <w:rsid w:val="381C2D1C"/>
    <w:rsid w:val="39E2569B"/>
    <w:rsid w:val="3A8D0F72"/>
    <w:rsid w:val="3A960DE3"/>
    <w:rsid w:val="3A9D4FCC"/>
    <w:rsid w:val="3BD46640"/>
    <w:rsid w:val="3C35413D"/>
    <w:rsid w:val="3C6F4907"/>
    <w:rsid w:val="3CF573AA"/>
    <w:rsid w:val="3D624079"/>
    <w:rsid w:val="3D631834"/>
    <w:rsid w:val="3EB91CF7"/>
    <w:rsid w:val="3F946AA7"/>
    <w:rsid w:val="3F9B1851"/>
    <w:rsid w:val="3FC47117"/>
    <w:rsid w:val="3FFBD36B"/>
    <w:rsid w:val="40570A70"/>
    <w:rsid w:val="40F46B66"/>
    <w:rsid w:val="40FD3D2C"/>
    <w:rsid w:val="41076FBE"/>
    <w:rsid w:val="41084786"/>
    <w:rsid w:val="41110C42"/>
    <w:rsid w:val="41212946"/>
    <w:rsid w:val="41295BE0"/>
    <w:rsid w:val="41D45DF6"/>
    <w:rsid w:val="42275509"/>
    <w:rsid w:val="42823823"/>
    <w:rsid w:val="42D1600F"/>
    <w:rsid w:val="439C5700"/>
    <w:rsid w:val="44205485"/>
    <w:rsid w:val="45987F90"/>
    <w:rsid w:val="460F40D4"/>
    <w:rsid w:val="4611224F"/>
    <w:rsid w:val="4611554A"/>
    <w:rsid w:val="48695B04"/>
    <w:rsid w:val="49461F7F"/>
    <w:rsid w:val="499F1D78"/>
    <w:rsid w:val="4A2758B7"/>
    <w:rsid w:val="4A983129"/>
    <w:rsid w:val="4B376E07"/>
    <w:rsid w:val="4D556624"/>
    <w:rsid w:val="4EB26519"/>
    <w:rsid w:val="4F020FAD"/>
    <w:rsid w:val="4F095C75"/>
    <w:rsid w:val="50083C0F"/>
    <w:rsid w:val="50E43F8B"/>
    <w:rsid w:val="51283C8D"/>
    <w:rsid w:val="51F33A5F"/>
    <w:rsid w:val="524C7FC2"/>
    <w:rsid w:val="52E00474"/>
    <w:rsid w:val="53202F13"/>
    <w:rsid w:val="53932575"/>
    <w:rsid w:val="54120B01"/>
    <w:rsid w:val="543371DD"/>
    <w:rsid w:val="546F68B3"/>
    <w:rsid w:val="54FB7285"/>
    <w:rsid w:val="55800C5A"/>
    <w:rsid w:val="55845605"/>
    <w:rsid w:val="565D3A9C"/>
    <w:rsid w:val="57823100"/>
    <w:rsid w:val="57BB00D1"/>
    <w:rsid w:val="57C86637"/>
    <w:rsid w:val="58EF64DB"/>
    <w:rsid w:val="58FF2EFF"/>
    <w:rsid w:val="5919171F"/>
    <w:rsid w:val="59531228"/>
    <w:rsid w:val="5BA66D99"/>
    <w:rsid w:val="5C7436E9"/>
    <w:rsid w:val="5C8255FD"/>
    <w:rsid w:val="5CEE2784"/>
    <w:rsid w:val="5D0E2A44"/>
    <w:rsid w:val="5DBE1494"/>
    <w:rsid w:val="5EAF52F7"/>
    <w:rsid w:val="5EFC0458"/>
    <w:rsid w:val="5F7B6833"/>
    <w:rsid w:val="5F8316B7"/>
    <w:rsid w:val="5FE3F82D"/>
    <w:rsid w:val="5FFD5624"/>
    <w:rsid w:val="611F29C3"/>
    <w:rsid w:val="61466C61"/>
    <w:rsid w:val="61AD670E"/>
    <w:rsid w:val="620A112B"/>
    <w:rsid w:val="64787502"/>
    <w:rsid w:val="655C29BA"/>
    <w:rsid w:val="66534921"/>
    <w:rsid w:val="66D35B41"/>
    <w:rsid w:val="67253B4D"/>
    <w:rsid w:val="676705B3"/>
    <w:rsid w:val="67DC6589"/>
    <w:rsid w:val="68B22361"/>
    <w:rsid w:val="68F829FB"/>
    <w:rsid w:val="69D24BFB"/>
    <w:rsid w:val="6BE74894"/>
    <w:rsid w:val="6D41173A"/>
    <w:rsid w:val="6D657C9B"/>
    <w:rsid w:val="6EEE5B5B"/>
    <w:rsid w:val="6F2BFEC0"/>
    <w:rsid w:val="6F6946EC"/>
    <w:rsid w:val="6F8D7841"/>
    <w:rsid w:val="6F92035A"/>
    <w:rsid w:val="70182BA3"/>
    <w:rsid w:val="73733853"/>
    <w:rsid w:val="73A8198C"/>
    <w:rsid w:val="73E55BF9"/>
    <w:rsid w:val="757F06CF"/>
    <w:rsid w:val="75865A4D"/>
    <w:rsid w:val="75B740CF"/>
    <w:rsid w:val="7636144B"/>
    <w:rsid w:val="76FF27BE"/>
    <w:rsid w:val="77E729E4"/>
    <w:rsid w:val="780E64E4"/>
    <w:rsid w:val="78624636"/>
    <w:rsid w:val="78852C26"/>
    <w:rsid w:val="794B6266"/>
    <w:rsid w:val="799A21AD"/>
    <w:rsid w:val="7A227FFF"/>
    <w:rsid w:val="7AC13A71"/>
    <w:rsid w:val="7B255AC8"/>
    <w:rsid w:val="7B87500D"/>
    <w:rsid w:val="7CDF41F3"/>
    <w:rsid w:val="7D5B007A"/>
    <w:rsid w:val="7D6864F7"/>
    <w:rsid w:val="7E0457F8"/>
    <w:rsid w:val="7E717EAD"/>
    <w:rsid w:val="7EA126C9"/>
    <w:rsid w:val="7EFD57C1"/>
    <w:rsid w:val="7F2351A1"/>
    <w:rsid w:val="7F93D619"/>
    <w:rsid w:val="7FE01AFA"/>
    <w:rsid w:val="8BFFE455"/>
    <w:rsid w:val="A4B35309"/>
    <w:rsid w:val="BEBE0E25"/>
    <w:rsid w:val="E5FB001E"/>
    <w:rsid w:val="EF5F0041"/>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uiPriority="1" w:semiHidden="0"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1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4"/>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6"/>
    <w:autoRedefine/>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7"/>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8"/>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23"/>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1"/>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5"/>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21"/>
    <w:autoRedefine/>
    <w:semiHidden/>
    <w:unhideWhenUsed/>
    <w:qFormat/>
    <w:uiPriority w:val="99"/>
  </w:style>
  <w:style w:type="paragraph" w:styleId="20">
    <w:name w:val="List Number"/>
    <w:basedOn w:val="1"/>
    <w:autoRedefine/>
    <w:semiHidden/>
    <w:unhideWhenUsed/>
    <w:qFormat/>
    <w:uiPriority w:val="99"/>
    <w:pPr>
      <w:numPr>
        <w:ilvl w:val="0"/>
        <w:numId w:val="3"/>
      </w:numPr>
      <w:contextualSpacing/>
    </w:pPr>
  </w:style>
  <w:style w:type="paragraph" w:styleId="21">
    <w:name w:val="Normal Indent"/>
    <w:basedOn w:val="1"/>
    <w:autoRedefine/>
    <w:semiHidden/>
    <w:unhideWhenUsed/>
    <w:qFormat/>
    <w:uiPriority w:val="99"/>
    <w:pPr>
      <w:ind w:firstLine="420" w:firstLineChars="20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4"/>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2"/>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9"/>
    <w:autoRedefine/>
    <w:unhideWhenUsed/>
    <w:qFormat/>
    <w:uiPriority w:val="0"/>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9"/>
    <w:autoRedefine/>
    <w:semiHidden/>
    <w:unhideWhenUsed/>
    <w:qFormat/>
    <w:uiPriority w:val="99"/>
  </w:style>
  <w:style w:type="paragraph" w:styleId="31">
    <w:name w:val="Body Text 3"/>
    <w:basedOn w:val="1"/>
    <w:link w:val="138"/>
    <w:autoRedefine/>
    <w:semiHidden/>
    <w:unhideWhenUsed/>
    <w:qFormat/>
    <w:uiPriority w:val="99"/>
    <w:pPr>
      <w:spacing w:after="120"/>
    </w:pPr>
    <w:rPr>
      <w:sz w:val="16"/>
      <w:szCs w:val="16"/>
    </w:rPr>
  </w:style>
  <w:style w:type="paragraph" w:styleId="32">
    <w:name w:val="Closing"/>
    <w:basedOn w:val="1"/>
    <w:link w:val="125"/>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5"/>
      </w:numPr>
      <w:contextualSpacing/>
    </w:pPr>
  </w:style>
  <w:style w:type="paragraph" w:styleId="34">
    <w:name w:val="Body Text"/>
    <w:basedOn w:val="1"/>
    <w:link w:val="139"/>
    <w:autoRedefine/>
    <w:semiHidden/>
    <w:qFormat/>
    <w:uiPriority w:val="0"/>
    <w:rPr>
      <w:rFonts w:ascii="宋体" w:hAnsi="宋体" w:cs="宋体"/>
      <w:sz w:val="35"/>
      <w:szCs w:val="35"/>
      <w:lang w:eastAsia="en-US"/>
    </w:rPr>
  </w:style>
  <w:style w:type="paragraph" w:styleId="35">
    <w:name w:val="Body Text Indent"/>
    <w:basedOn w:val="1"/>
    <w:link w:val="141"/>
    <w:autoRedefine/>
    <w:semiHidden/>
    <w:unhideWhenUsed/>
    <w:qFormat/>
    <w:uiPriority w:val="99"/>
    <w:pPr>
      <w:spacing w:after="120"/>
      <w:ind w:left="420" w:leftChars="200"/>
    </w:pPr>
  </w:style>
  <w:style w:type="paragraph" w:styleId="36">
    <w:name w:val="List Number 3"/>
    <w:basedOn w:val="1"/>
    <w:autoRedefine/>
    <w:semiHidden/>
    <w:unhideWhenUsed/>
    <w:qFormat/>
    <w:uiPriority w:val="99"/>
    <w:pPr>
      <w:numPr>
        <w:ilvl w:val="0"/>
        <w:numId w:val="6"/>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7"/>
      </w:numPr>
      <w:contextualSpacing/>
    </w:pPr>
  </w:style>
  <w:style w:type="paragraph" w:styleId="41">
    <w:name w:val="HTML Address"/>
    <w:basedOn w:val="1"/>
    <w:link w:val="106"/>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20"/>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8"/>
      </w:numPr>
      <w:contextualSpacing/>
    </w:pPr>
  </w:style>
  <w:style w:type="paragraph" w:styleId="47">
    <w:name w:val="List Number 4"/>
    <w:basedOn w:val="1"/>
    <w:autoRedefine/>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9"/>
    <w:autoRedefine/>
    <w:semiHidden/>
    <w:unhideWhenUsed/>
    <w:qFormat/>
    <w:uiPriority w:val="99"/>
    <w:pPr>
      <w:ind w:left="100" w:leftChars="2500"/>
    </w:pPr>
  </w:style>
  <w:style w:type="paragraph" w:styleId="51">
    <w:name w:val="Body Text Indent 2"/>
    <w:basedOn w:val="1"/>
    <w:link w:val="143"/>
    <w:autoRedefine/>
    <w:semiHidden/>
    <w:unhideWhenUsed/>
    <w:qFormat/>
    <w:uiPriority w:val="99"/>
    <w:pPr>
      <w:spacing w:after="120" w:line="480" w:lineRule="auto"/>
      <w:ind w:left="420" w:leftChars="200"/>
    </w:pPr>
  </w:style>
  <w:style w:type="paragraph" w:styleId="52">
    <w:name w:val="endnote text"/>
    <w:basedOn w:val="1"/>
    <w:link w:val="131"/>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96"/>
    <w:autoRedefine/>
    <w:unhideWhenUsed/>
    <w:qFormat/>
    <w:uiPriority w:val="99"/>
    <w:rPr>
      <w:sz w:val="18"/>
      <w:szCs w:val="18"/>
    </w:rPr>
  </w:style>
  <w:style w:type="paragraph" w:styleId="55">
    <w:name w:val="footer"/>
    <w:basedOn w:val="1"/>
    <w:link w:val="93"/>
    <w:autoRedefine/>
    <w:unhideWhenUsed/>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9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8"/>
    <w:autoRedefine/>
    <w:semiHidden/>
    <w:unhideWhenUsed/>
    <w:qFormat/>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22"/>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0"/>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24"/>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4"/>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7"/>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4"/>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7"/>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0"/>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00"/>
    <w:autoRedefine/>
    <w:semiHidden/>
    <w:unhideWhenUsed/>
    <w:qFormat/>
    <w:uiPriority w:val="99"/>
    <w:rPr>
      <w:b/>
      <w:bCs/>
    </w:rPr>
  </w:style>
  <w:style w:type="paragraph" w:styleId="86">
    <w:name w:val="Body Text First Indent"/>
    <w:basedOn w:val="34"/>
    <w:link w:val="140"/>
    <w:autoRedefine/>
    <w:semiHidden/>
    <w:unhideWhenUsed/>
    <w:qFormat/>
    <w:uiPriority w:val="99"/>
    <w:pPr>
      <w:spacing w:after="120"/>
      <w:ind w:firstLine="420" w:firstLineChars="100"/>
    </w:pPr>
    <w:rPr>
      <w:rFonts w:ascii="Calibri" w:hAnsi="Calibri" w:cs="Times New Roman"/>
      <w:sz w:val="21"/>
      <w:szCs w:val="22"/>
      <w:lang w:eastAsia="zh-CN"/>
    </w:rPr>
  </w:style>
  <w:style w:type="paragraph" w:styleId="87">
    <w:name w:val="Body Text First Indent 2"/>
    <w:basedOn w:val="35"/>
    <w:link w:val="142"/>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autoRedefine/>
    <w:semiHidden/>
    <w:unhideWhenUsed/>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脚 字符"/>
    <w:basedOn w:val="90"/>
    <w:link w:val="55"/>
    <w:autoRedefine/>
    <w:qFormat/>
    <w:uiPriority w:val="99"/>
    <w:rPr>
      <w:rFonts w:ascii="Calibri" w:hAnsi="Calibri" w:eastAsia="宋体" w:cs="Times New Roman"/>
      <w:sz w:val="18"/>
      <w:szCs w:val="18"/>
    </w:rPr>
  </w:style>
  <w:style w:type="paragraph" w:customStyle="1" w:styleId="94">
    <w:name w:val="列出段落1"/>
    <w:basedOn w:val="1"/>
    <w:autoRedefine/>
    <w:qFormat/>
    <w:uiPriority w:val="34"/>
    <w:pPr>
      <w:numPr>
        <w:ilvl w:val="0"/>
        <w:numId w:val="11"/>
      </w:numPr>
      <w:adjustRightInd w:val="0"/>
      <w:snapToGrid w:val="0"/>
      <w:spacing w:line="560" w:lineRule="exact"/>
    </w:pPr>
  </w:style>
  <w:style w:type="character" w:customStyle="1" w:styleId="95">
    <w:name w:val="页眉 字符"/>
    <w:basedOn w:val="90"/>
    <w:link w:val="57"/>
    <w:autoRedefine/>
    <w:semiHidden/>
    <w:qFormat/>
    <w:uiPriority w:val="99"/>
    <w:rPr>
      <w:rFonts w:ascii="Calibri" w:hAnsi="Calibri" w:eastAsia="宋体" w:cs="Times New Roman"/>
      <w:sz w:val="18"/>
      <w:szCs w:val="18"/>
    </w:rPr>
  </w:style>
  <w:style w:type="character" w:customStyle="1" w:styleId="96">
    <w:name w:val="批注框文本 字符"/>
    <w:basedOn w:val="90"/>
    <w:link w:val="54"/>
    <w:autoRedefine/>
    <w:semiHidden/>
    <w:qFormat/>
    <w:uiPriority w:val="99"/>
    <w:rPr>
      <w:rFonts w:ascii="Calibri" w:hAnsi="Calibri" w:eastAsia="宋体" w:cs="Times New Roman"/>
      <w:sz w:val="18"/>
      <w:szCs w:val="18"/>
    </w:rPr>
  </w:style>
  <w:style w:type="paragraph" w:customStyle="1" w:styleId="97">
    <w:name w:val="修订1"/>
    <w:autoRedefine/>
    <w:hidden/>
    <w:semiHidden/>
    <w:qFormat/>
    <w:uiPriority w:val="99"/>
    <w:rPr>
      <w:rFonts w:ascii="Calibri" w:hAnsi="Calibri" w:eastAsia="宋体" w:cs="Times New Roman"/>
      <w:kern w:val="2"/>
      <w:sz w:val="21"/>
      <w:szCs w:val="22"/>
      <w:lang w:val="en-US" w:eastAsia="zh-CN" w:bidi="ar-SA"/>
    </w:rPr>
  </w:style>
  <w:style w:type="paragraph" w:styleId="98">
    <w:name w:val="List Paragraph"/>
    <w:basedOn w:val="1"/>
    <w:autoRedefine/>
    <w:qFormat/>
    <w:uiPriority w:val="99"/>
    <w:pPr>
      <w:ind w:firstLine="420" w:firstLineChars="200"/>
    </w:pPr>
  </w:style>
  <w:style w:type="character" w:customStyle="1" w:styleId="99">
    <w:name w:val="批注文字 字符"/>
    <w:basedOn w:val="90"/>
    <w:link w:val="28"/>
    <w:autoRedefine/>
    <w:qFormat/>
    <w:uiPriority w:val="0"/>
    <w:rPr>
      <w:rFonts w:ascii="Calibri" w:hAnsi="Calibri"/>
      <w:kern w:val="2"/>
      <w:sz w:val="21"/>
      <w:szCs w:val="22"/>
    </w:rPr>
  </w:style>
  <w:style w:type="character" w:customStyle="1" w:styleId="100">
    <w:name w:val="批注主题 字符"/>
    <w:basedOn w:val="99"/>
    <w:link w:val="85"/>
    <w:autoRedefine/>
    <w:qFormat/>
    <w:uiPriority w:val="0"/>
    <w:rPr>
      <w:rFonts w:ascii="Calibri" w:hAnsi="Calibri" w:eastAsia="宋体" w:cs="Times New Roman"/>
      <w:kern w:val="2"/>
      <w:sz w:val="21"/>
      <w:szCs w:val="22"/>
    </w:rPr>
  </w:style>
  <w:style w:type="paragraph" w:customStyle="1" w:styleId="10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0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0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04">
    <w:name w:val="Table Normal"/>
    <w:autoRedefine/>
    <w:semiHidden/>
    <w:unhideWhenUsed/>
    <w:qFormat/>
    <w:uiPriority w:val="0"/>
    <w:tblPr>
      <w:tblCellMar>
        <w:top w:w="0" w:type="dxa"/>
        <w:left w:w="0" w:type="dxa"/>
        <w:bottom w:w="0" w:type="dxa"/>
        <w:right w:w="0" w:type="dxa"/>
      </w:tblCellMar>
    </w:tblPr>
  </w:style>
  <w:style w:type="paragraph" w:customStyle="1" w:styleId="105">
    <w:name w:val="Table Text"/>
    <w:basedOn w:val="1"/>
    <w:autoRedefine/>
    <w:semiHidden/>
    <w:qFormat/>
    <w:uiPriority w:val="0"/>
    <w:pPr>
      <w:spacing w:before="64" w:line="284" w:lineRule="auto"/>
      <w:ind w:left="18" w:right="30" w:hanging="7"/>
      <w:jc w:val="left"/>
    </w:pPr>
    <w:rPr>
      <w:rFonts w:ascii="Times New Roman" w:hAnsi="Times New Roman" w:eastAsia="Times New Roman"/>
      <w:sz w:val="24"/>
      <w:szCs w:val="24"/>
      <w:lang w:eastAsia="en-US"/>
    </w:rPr>
  </w:style>
  <w:style w:type="character" w:customStyle="1" w:styleId="106">
    <w:name w:val="HTML 地址 字符"/>
    <w:basedOn w:val="90"/>
    <w:link w:val="41"/>
    <w:autoRedefine/>
    <w:semiHidden/>
    <w:qFormat/>
    <w:uiPriority w:val="99"/>
    <w:rPr>
      <w:rFonts w:ascii="Calibri" w:hAnsi="Calibri"/>
      <w:i/>
      <w:iCs/>
      <w:kern w:val="2"/>
      <w:sz w:val="21"/>
      <w:szCs w:val="22"/>
    </w:rPr>
  </w:style>
  <w:style w:type="character" w:customStyle="1" w:styleId="107">
    <w:name w:val="HTML 预设格式 字符"/>
    <w:basedOn w:val="90"/>
    <w:link w:val="80"/>
    <w:autoRedefine/>
    <w:semiHidden/>
    <w:qFormat/>
    <w:uiPriority w:val="99"/>
    <w:rPr>
      <w:rFonts w:ascii="Courier New" w:hAnsi="Courier New" w:cs="Courier New"/>
      <w:kern w:val="2"/>
    </w:rPr>
  </w:style>
  <w:style w:type="character" w:customStyle="1" w:styleId="108">
    <w:name w:val="标题 1 字符"/>
    <w:basedOn w:val="90"/>
    <w:link w:val="3"/>
    <w:autoRedefine/>
    <w:qFormat/>
    <w:uiPriority w:val="9"/>
    <w:rPr>
      <w:rFonts w:ascii="Calibri" w:hAnsi="Calibri"/>
      <w:b/>
      <w:bCs/>
      <w:kern w:val="44"/>
      <w:sz w:val="44"/>
      <w:szCs w:val="44"/>
    </w:rPr>
  </w:style>
  <w:style w:type="paragraph" w:customStyle="1" w:styleId="109">
    <w:name w:val="TOC 标题1"/>
    <w:basedOn w:val="3"/>
    <w:next w:val="1"/>
    <w:autoRedefine/>
    <w:semiHidden/>
    <w:unhideWhenUsed/>
    <w:qFormat/>
    <w:uiPriority w:val="39"/>
    <w:pPr>
      <w:outlineLvl w:val="9"/>
    </w:pPr>
  </w:style>
  <w:style w:type="character" w:customStyle="1" w:styleId="110">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11">
    <w:name w:val="标题 2 字符"/>
    <w:basedOn w:val="90"/>
    <w:link w:val="4"/>
    <w:autoRedefine/>
    <w:semiHidden/>
    <w:qFormat/>
    <w:uiPriority w:val="9"/>
    <w:rPr>
      <w:rFonts w:asciiTheme="majorHAnsi" w:hAnsiTheme="majorHAnsi" w:eastAsiaTheme="majorEastAsia" w:cstheme="majorBidi"/>
      <w:b/>
      <w:bCs/>
      <w:kern w:val="2"/>
      <w:sz w:val="32"/>
      <w:szCs w:val="32"/>
    </w:rPr>
  </w:style>
  <w:style w:type="character" w:customStyle="1" w:styleId="112">
    <w:name w:val="标题 3 字符"/>
    <w:basedOn w:val="90"/>
    <w:link w:val="5"/>
    <w:autoRedefine/>
    <w:semiHidden/>
    <w:qFormat/>
    <w:uiPriority w:val="9"/>
    <w:rPr>
      <w:rFonts w:ascii="Calibri" w:hAnsi="Calibri"/>
      <w:b/>
      <w:bCs/>
      <w:kern w:val="2"/>
      <w:sz w:val="32"/>
      <w:szCs w:val="32"/>
    </w:rPr>
  </w:style>
  <w:style w:type="character" w:customStyle="1" w:styleId="113">
    <w:name w:val="标题 4 字符"/>
    <w:basedOn w:val="90"/>
    <w:link w:val="6"/>
    <w:autoRedefine/>
    <w:semiHidden/>
    <w:qFormat/>
    <w:uiPriority w:val="9"/>
    <w:rPr>
      <w:rFonts w:asciiTheme="majorHAnsi" w:hAnsiTheme="majorHAnsi" w:eastAsiaTheme="majorEastAsia" w:cstheme="majorBidi"/>
      <w:b/>
      <w:bCs/>
      <w:kern w:val="2"/>
      <w:sz w:val="28"/>
      <w:szCs w:val="28"/>
    </w:rPr>
  </w:style>
  <w:style w:type="character" w:customStyle="1" w:styleId="114">
    <w:name w:val="标题 5 字符"/>
    <w:basedOn w:val="90"/>
    <w:link w:val="7"/>
    <w:autoRedefine/>
    <w:semiHidden/>
    <w:qFormat/>
    <w:uiPriority w:val="9"/>
    <w:rPr>
      <w:rFonts w:ascii="Calibri" w:hAnsi="Calibri"/>
      <w:b/>
      <w:bCs/>
      <w:kern w:val="2"/>
      <w:sz w:val="28"/>
      <w:szCs w:val="28"/>
    </w:rPr>
  </w:style>
  <w:style w:type="character" w:customStyle="1" w:styleId="115">
    <w:name w:val="标题 6 字符"/>
    <w:basedOn w:val="90"/>
    <w:link w:val="8"/>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字符"/>
    <w:basedOn w:val="90"/>
    <w:link w:val="9"/>
    <w:autoRedefine/>
    <w:semiHidden/>
    <w:qFormat/>
    <w:uiPriority w:val="9"/>
    <w:rPr>
      <w:rFonts w:ascii="Calibri" w:hAnsi="Calibri"/>
      <w:b/>
      <w:bCs/>
      <w:kern w:val="2"/>
      <w:sz w:val="24"/>
      <w:szCs w:val="24"/>
    </w:rPr>
  </w:style>
  <w:style w:type="character" w:customStyle="1" w:styleId="117">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8">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9">
    <w:name w:val="称呼 字符"/>
    <w:basedOn w:val="90"/>
    <w:link w:val="30"/>
    <w:autoRedefine/>
    <w:semiHidden/>
    <w:qFormat/>
    <w:uiPriority w:val="99"/>
    <w:rPr>
      <w:rFonts w:ascii="Calibri" w:hAnsi="Calibri"/>
      <w:kern w:val="2"/>
      <w:sz w:val="21"/>
      <w:szCs w:val="22"/>
    </w:rPr>
  </w:style>
  <w:style w:type="character" w:customStyle="1" w:styleId="120">
    <w:name w:val="纯文本 字符"/>
    <w:basedOn w:val="90"/>
    <w:link w:val="45"/>
    <w:autoRedefine/>
    <w:semiHidden/>
    <w:qFormat/>
    <w:uiPriority w:val="99"/>
    <w:rPr>
      <w:rFonts w:hAnsi="Courier New" w:cs="Courier New" w:asciiTheme="minorEastAsia" w:eastAsiaTheme="minorEastAsia"/>
      <w:kern w:val="2"/>
      <w:sz w:val="21"/>
      <w:szCs w:val="22"/>
    </w:rPr>
  </w:style>
  <w:style w:type="character" w:customStyle="1" w:styleId="121">
    <w:name w:val="电子邮件签名 字符"/>
    <w:basedOn w:val="90"/>
    <w:link w:val="19"/>
    <w:autoRedefine/>
    <w:semiHidden/>
    <w:qFormat/>
    <w:uiPriority w:val="99"/>
    <w:rPr>
      <w:rFonts w:ascii="Calibri" w:hAnsi="Calibri"/>
      <w:kern w:val="2"/>
      <w:sz w:val="21"/>
      <w:szCs w:val="22"/>
    </w:rPr>
  </w:style>
  <w:style w:type="character" w:customStyle="1" w:styleId="122">
    <w:name w:val="副标题 字符"/>
    <w:basedOn w:val="90"/>
    <w:link w:val="64"/>
    <w:autoRedefine/>
    <w:qFormat/>
    <w:uiPriority w:val="11"/>
    <w:rPr>
      <w:rFonts w:asciiTheme="minorHAnsi" w:hAnsiTheme="minorHAnsi" w:eastAsiaTheme="minorEastAsia" w:cstheme="minorBidi"/>
      <w:b/>
      <w:bCs/>
      <w:kern w:val="28"/>
      <w:sz w:val="32"/>
      <w:szCs w:val="32"/>
    </w:rPr>
  </w:style>
  <w:style w:type="character" w:customStyle="1" w:styleId="123">
    <w:name w:val="宏文本 字符"/>
    <w:basedOn w:val="90"/>
    <w:link w:val="2"/>
    <w:autoRedefine/>
    <w:semiHidden/>
    <w:qFormat/>
    <w:uiPriority w:val="99"/>
    <w:rPr>
      <w:rFonts w:ascii="Courier New" w:hAnsi="Courier New" w:cs="Courier New"/>
      <w:kern w:val="2"/>
      <w:sz w:val="24"/>
      <w:szCs w:val="24"/>
    </w:rPr>
  </w:style>
  <w:style w:type="character" w:customStyle="1" w:styleId="124">
    <w:name w:val="脚注文本 字符"/>
    <w:basedOn w:val="90"/>
    <w:link w:val="67"/>
    <w:autoRedefine/>
    <w:semiHidden/>
    <w:qFormat/>
    <w:uiPriority w:val="99"/>
    <w:rPr>
      <w:rFonts w:ascii="Calibri" w:hAnsi="Calibri"/>
      <w:kern w:val="2"/>
      <w:sz w:val="18"/>
      <w:szCs w:val="18"/>
    </w:rPr>
  </w:style>
  <w:style w:type="character" w:customStyle="1" w:styleId="125">
    <w:name w:val="结束语 字符"/>
    <w:basedOn w:val="90"/>
    <w:link w:val="32"/>
    <w:autoRedefine/>
    <w:semiHidden/>
    <w:qFormat/>
    <w:uiPriority w:val="99"/>
    <w:rPr>
      <w:rFonts w:ascii="Calibri" w:hAnsi="Calibri"/>
      <w:kern w:val="2"/>
      <w:sz w:val="21"/>
      <w:szCs w:val="22"/>
    </w:rPr>
  </w:style>
  <w:style w:type="paragraph" w:styleId="126">
    <w:name w:val="Intense Quote"/>
    <w:basedOn w:val="1"/>
    <w:next w:val="1"/>
    <w:link w:val="127"/>
    <w:autoRedefine/>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7">
    <w:name w:val="明显引用 字符"/>
    <w:basedOn w:val="90"/>
    <w:link w:val="126"/>
    <w:autoRedefine/>
    <w:semiHidden/>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128">
    <w:name w:val="签名 字符"/>
    <w:basedOn w:val="90"/>
    <w:link w:val="58"/>
    <w:autoRedefine/>
    <w:semiHidden/>
    <w:qFormat/>
    <w:uiPriority w:val="99"/>
    <w:rPr>
      <w:rFonts w:ascii="Calibri" w:hAnsi="Calibri"/>
      <w:kern w:val="2"/>
      <w:sz w:val="21"/>
      <w:szCs w:val="22"/>
    </w:rPr>
  </w:style>
  <w:style w:type="character" w:customStyle="1" w:styleId="129">
    <w:name w:val="日期 字符"/>
    <w:basedOn w:val="90"/>
    <w:link w:val="50"/>
    <w:autoRedefine/>
    <w:semiHidden/>
    <w:qFormat/>
    <w:uiPriority w:val="99"/>
    <w:rPr>
      <w:rFonts w:ascii="Calibri" w:hAnsi="Calibri"/>
      <w:kern w:val="2"/>
      <w:sz w:val="21"/>
      <w:szCs w:val="22"/>
    </w:rPr>
  </w:style>
  <w:style w:type="paragraph" w:customStyle="1" w:styleId="130">
    <w:name w:val="书目1"/>
    <w:basedOn w:val="1"/>
    <w:next w:val="1"/>
    <w:autoRedefine/>
    <w:semiHidden/>
    <w:unhideWhenUsed/>
    <w:qFormat/>
    <w:uiPriority w:val="37"/>
  </w:style>
  <w:style w:type="character" w:customStyle="1" w:styleId="131">
    <w:name w:val="尾注文本 字符"/>
    <w:basedOn w:val="90"/>
    <w:link w:val="52"/>
    <w:autoRedefine/>
    <w:semiHidden/>
    <w:qFormat/>
    <w:uiPriority w:val="99"/>
    <w:rPr>
      <w:rFonts w:ascii="Calibri" w:hAnsi="Calibri"/>
      <w:kern w:val="2"/>
      <w:sz w:val="21"/>
      <w:szCs w:val="22"/>
    </w:rPr>
  </w:style>
  <w:style w:type="character" w:customStyle="1" w:styleId="132">
    <w:name w:val="文档结构图 字符"/>
    <w:basedOn w:val="90"/>
    <w:link w:val="26"/>
    <w:autoRedefine/>
    <w:semiHidden/>
    <w:qFormat/>
    <w:uiPriority w:val="99"/>
    <w:rPr>
      <w:rFonts w:ascii="Microsoft YaHei UI" w:hAnsi="Calibri" w:eastAsia="Microsoft YaHei UI"/>
      <w:kern w:val="2"/>
      <w:sz w:val="18"/>
      <w:szCs w:val="18"/>
    </w:rPr>
  </w:style>
  <w:style w:type="paragraph" w:styleId="133">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5">
    <w:name w:val="Quote"/>
    <w:basedOn w:val="1"/>
    <w:next w:val="1"/>
    <w:link w:val="136"/>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autoRedefine/>
    <w:semiHidden/>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7">
    <w:name w:val="正文文本 2 字符"/>
    <w:basedOn w:val="90"/>
    <w:link w:val="76"/>
    <w:autoRedefine/>
    <w:semiHidden/>
    <w:qFormat/>
    <w:uiPriority w:val="99"/>
    <w:rPr>
      <w:rFonts w:ascii="Calibri" w:hAnsi="Calibri"/>
      <w:kern w:val="2"/>
      <w:sz w:val="21"/>
      <w:szCs w:val="22"/>
    </w:rPr>
  </w:style>
  <w:style w:type="character" w:customStyle="1" w:styleId="138">
    <w:name w:val="正文文本 3 字符"/>
    <w:basedOn w:val="90"/>
    <w:link w:val="31"/>
    <w:autoRedefine/>
    <w:semiHidden/>
    <w:qFormat/>
    <w:uiPriority w:val="99"/>
    <w:rPr>
      <w:rFonts w:ascii="Calibri" w:hAnsi="Calibri"/>
      <w:kern w:val="2"/>
      <w:sz w:val="16"/>
      <w:szCs w:val="16"/>
    </w:rPr>
  </w:style>
  <w:style w:type="character" w:customStyle="1" w:styleId="139">
    <w:name w:val="正文文本 字符"/>
    <w:basedOn w:val="90"/>
    <w:link w:val="34"/>
    <w:autoRedefine/>
    <w:semiHidden/>
    <w:qFormat/>
    <w:uiPriority w:val="0"/>
    <w:rPr>
      <w:rFonts w:ascii="宋体" w:hAnsi="宋体" w:cs="宋体"/>
      <w:kern w:val="2"/>
      <w:sz w:val="35"/>
      <w:szCs w:val="35"/>
      <w:lang w:eastAsia="en-US"/>
    </w:rPr>
  </w:style>
  <w:style w:type="character" w:customStyle="1" w:styleId="140">
    <w:name w:val="正文文本首行缩进 字符"/>
    <w:basedOn w:val="139"/>
    <w:link w:val="86"/>
    <w:autoRedefine/>
    <w:semiHidden/>
    <w:qFormat/>
    <w:uiPriority w:val="99"/>
    <w:rPr>
      <w:rFonts w:ascii="Calibri" w:hAnsi="Calibri" w:cs="宋体"/>
      <w:kern w:val="2"/>
      <w:sz w:val="21"/>
      <w:szCs w:val="22"/>
      <w:lang w:eastAsia="en-US"/>
    </w:rPr>
  </w:style>
  <w:style w:type="character" w:customStyle="1" w:styleId="141">
    <w:name w:val="正文文本缩进 字符"/>
    <w:basedOn w:val="90"/>
    <w:link w:val="35"/>
    <w:autoRedefine/>
    <w:semiHidden/>
    <w:qFormat/>
    <w:uiPriority w:val="99"/>
    <w:rPr>
      <w:rFonts w:ascii="Calibri" w:hAnsi="Calibri"/>
      <w:kern w:val="2"/>
      <w:sz w:val="21"/>
      <w:szCs w:val="22"/>
    </w:rPr>
  </w:style>
  <w:style w:type="character" w:customStyle="1" w:styleId="142">
    <w:name w:val="正文文本首行缩进 2 字符"/>
    <w:basedOn w:val="141"/>
    <w:link w:val="87"/>
    <w:autoRedefine/>
    <w:semiHidden/>
    <w:qFormat/>
    <w:uiPriority w:val="99"/>
    <w:rPr>
      <w:rFonts w:ascii="Calibri" w:hAnsi="Calibri"/>
      <w:kern w:val="2"/>
      <w:sz w:val="21"/>
      <w:szCs w:val="22"/>
    </w:rPr>
  </w:style>
  <w:style w:type="character" w:customStyle="1" w:styleId="143">
    <w:name w:val="正文文本缩进 2 字符"/>
    <w:basedOn w:val="90"/>
    <w:link w:val="51"/>
    <w:autoRedefine/>
    <w:semiHidden/>
    <w:qFormat/>
    <w:uiPriority w:val="99"/>
    <w:rPr>
      <w:rFonts w:ascii="Calibri" w:hAnsi="Calibri"/>
      <w:kern w:val="2"/>
      <w:sz w:val="21"/>
      <w:szCs w:val="22"/>
    </w:rPr>
  </w:style>
  <w:style w:type="character" w:customStyle="1" w:styleId="144">
    <w:name w:val="正文文本缩进 3 字符"/>
    <w:basedOn w:val="90"/>
    <w:link w:val="70"/>
    <w:autoRedefine/>
    <w:semiHidden/>
    <w:qFormat/>
    <w:uiPriority w:val="99"/>
    <w:rPr>
      <w:rFonts w:ascii="Calibri" w:hAnsi="Calibri"/>
      <w:kern w:val="2"/>
      <w:sz w:val="16"/>
      <w:szCs w:val="16"/>
    </w:rPr>
  </w:style>
  <w:style w:type="character" w:customStyle="1" w:styleId="145">
    <w:name w:val="注释标题 字符"/>
    <w:basedOn w:val="90"/>
    <w:link w:val="16"/>
    <w:autoRedefine/>
    <w:semiHidden/>
    <w:qFormat/>
    <w:uiPriority w:val="99"/>
    <w:rPr>
      <w:rFonts w:ascii="Calibri" w:hAnsi="Calibri"/>
      <w:kern w:val="2"/>
      <w:sz w:val="21"/>
      <w:szCs w:val="22"/>
    </w:rPr>
  </w:style>
  <w:style w:type="paragraph" w:customStyle="1" w:styleId="146">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font11"/>
    <w:basedOn w:val="90"/>
    <w:autoRedefine/>
    <w:qFormat/>
    <w:uiPriority w:val="0"/>
    <w:rPr>
      <w:rFonts w:hint="eastAsia" w:ascii="宋体" w:hAnsi="宋体" w:eastAsia="宋体" w:cs="宋体"/>
      <w:b/>
      <w:bCs/>
      <w:color w:val="000000"/>
      <w:sz w:val="24"/>
      <w:szCs w:val="24"/>
      <w:u w:val="none"/>
    </w:rPr>
  </w:style>
  <w:style w:type="character" w:customStyle="1" w:styleId="148">
    <w:name w:val="font21"/>
    <w:basedOn w:val="90"/>
    <w:autoRedefine/>
    <w:qFormat/>
    <w:uiPriority w:val="0"/>
    <w:rPr>
      <w:rFonts w:hint="eastAsia" w:ascii="宋体" w:hAnsi="宋体" w:eastAsia="宋体" w:cs="宋体"/>
      <w:color w:val="000000"/>
      <w:sz w:val="24"/>
      <w:szCs w:val="24"/>
      <w:u w:val="none"/>
    </w:rPr>
  </w:style>
  <w:style w:type="paragraph" w:customStyle="1" w:styleId="14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150">
    <w:name w:val="TOC 标题2"/>
    <w:basedOn w:val="3"/>
    <w:next w:val="1"/>
    <w:autoRedefine/>
    <w:semiHidden/>
    <w:unhideWhenUsed/>
    <w:qFormat/>
    <w:uiPriority w:val="39"/>
    <w:pPr>
      <w:outlineLvl w:val="9"/>
    </w:pPr>
  </w:style>
  <w:style w:type="paragraph" w:customStyle="1" w:styleId="151">
    <w:name w:val="书目2"/>
    <w:basedOn w:val="1"/>
    <w:next w:val="1"/>
    <w:autoRedefine/>
    <w:semiHidden/>
    <w:unhideWhenUsed/>
    <w:qFormat/>
    <w:uiPriority w:val="37"/>
  </w:style>
  <w:style w:type="paragraph" w:customStyle="1" w:styleId="152">
    <w:name w:val="修订7"/>
    <w:autoRedefine/>
    <w:hidden/>
    <w:unhideWhenUsed/>
    <w:qFormat/>
    <w:uiPriority w:val="99"/>
    <w:rPr>
      <w:rFonts w:ascii="Calibri" w:hAnsi="Calibri" w:eastAsia="宋体" w:cs="Times New Roman"/>
      <w:kern w:val="2"/>
      <w:sz w:val="21"/>
      <w:szCs w:val="22"/>
      <w:lang w:val="en-US" w:eastAsia="zh-CN" w:bidi="ar-SA"/>
    </w:rPr>
  </w:style>
  <w:style w:type="paragraph" w:customStyle="1" w:styleId="153">
    <w:name w:val="修订8"/>
    <w:hidden/>
    <w:unhideWhenUsed/>
    <w:qFormat/>
    <w:uiPriority w:val="99"/>
    <w:rPr>
      <w:rFonts w:ascii="Calibri" w:hAnsi="Calibri" w:eastAsia="宋体" w:cs="Times New Roman"/>
      <w:kern w:val="2"/>
      <w:sz w:val="21"/>
      <w:szCs w:val="22"/>
      <w:lang w:val="en-US" w:eastAsia="zh-CN" w:bidi="ar-SA"/>
    </w:rPr>
  </w:style>
  <w:style w:type="paragraph" w:customStyle="1" w:styleId="154">
    <w:name w:val="修订9"/>
    <w:hidden/>
    <w:unhideWhenUsed/>
    <w:qFormat/>
    <w:uiPriority w:val="99"/>
    <w:rPr>
      <w:rFonts w:ascii="Calibri" w:hAnsi="Calibri" w:eastAsia="宋体" w:cs="Times New Roman"/>
      <w:kern w:val="2"/>
      <w:sz w:val="21"/>
      <w:szCs w:val="22"/>
      <w:lang w:val="en-US" w:eastAsia="zh-CN" w:bidi="ar-SA"/>
    </w:rPr>
  </w:style>
  <w:style w:type="paragraph" w:customStyle="1" w:styleId="155">
    <w:name w:val="修订10"/>
    <w:hidden/>
    <w:unhideWhenUsed/>
    <w:qFormat/>
    <w:uiPriority w:val="99"/>
    <w:rPr>
      <w:rFonts w:ascii="Calibri" w:hAnsi="Calibri" w:eastAsia="宋体" w:cs="Times New Roman"/>
      <w:kern w:val="2"/>
      <w:sz w:val="21"/>
      <w:szCs w:val="22"/>
      <w:lang w:val="en-US" w:eastAsia="zh-CN" w:bidi="ar-SA"/>
    </w:rPr>
  </w:style>
  <w:style w:type="paragraph" w:customStyle="1" w:styleId="156">
    <w:name w:val="修订11"/>
    <w:hidden/>
    <w:unhideWhenUsed/>
    <w:qFormat/>
    <w:uiPriority w:val="99"/>
    <w:rPr>
      <w:rFonts w:ascii="Calibri" w:hAnsi="Calibri" w:eastAsia="宋体" w:cs="Times New Roman"/>
      <w:kern w:val="2"/>
      <w:sz w:val="21"/>
      <w:szCs w:val="22"/>
      <w:lang w:val="en-US" w:eastAsia="zh-CN" w:bidi="ar-SA"/>
    </w:rPr>
  </w:style>
  <w:style w:type="paragraph" w:customStyle="1" w:styleId="157">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729EB-DD8E-49F2-BCA2-B982D114E1A2}">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3322</Words>
  <Characters>3847</Characters>
  <Lines>129</Lines>
  <Paragraphs>128</Paragraphs>
  <TotalTime>6</TotalTime>
  <ScaleCrop>false</ScaleCrop>
  <LinksUpToDate>false</LinksUpToDate>
  <CharactersWithSpaces>3918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2025-05-07T07:05:00Z</dcterms:created>
  <dc:creator>tek</dc:creator>
  <cp:lastModifiedBy>雯亦</cp:lastModifiedBy>
  <dcterms:modified xsi:type="dcterms:W3CDTF">2025-05-07T08:32:04Z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82BC2E14A1E04498AD21909C6064FBCA_13</vt:lpwstr>
  </property>
  <property fmtid="{D5CDD505-2E9C-101B-9397-08002B2CF9AE}" pid="4" name="KSOTemplateDocerSaveRecord">
    <vt:lpwstr>eyJoZGlkIjoiZTQzZmRmZDMxMjkwMDE2NTk0ZWQ1ZWYwMzRmYjVhNmUiLCJ1c2VySWQiOiI2NDQwNzQxNTQifQ==</vt:lpwstr>
  </property>
</Properties>
</file>