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B5799">
      <w:pPr>
        <w:rPr>
          <w:rFonts w:hint="eastAsia" w:asciiTheme="minorEastAsia" w:hAnsiTheme="minorEastAsia"/>
          <w:b/>
          <w:sz w:val="24"/>
          <w:szCs w:val="24"/>
        </w:rPr>
      </w:pPr>
      <w:r>
        <w:rPr>
          <w:rFonts w:hint="eastAsia" w:asciiTheme="minorEastAsia" w:hAnsiTheme="minorEastAsia"/>
          <w:b/>
          <w:sz w:val="24"/>
          <w:szCs w:val="24"/>
        </w:rPr>
        <w:t>证券代码：603191        证券简称：望变电气         公告编号：2025-023</w:t>
      </w:r>
    </w:p>
    <w:p w14:paraId="2B0C1F07">
      <w:pPr>
        <w:adjustRightInd w:val="0"/>
        <w:snapToGrid w:val="0"/>
        <w:spacing w:line="560" w:lineRule="exact"/>
        <w:jc w:val="left"/>
        <w:rPr>
          <w:rFonts w:hint="eastAsia" w:ascii="仿宋" w:hAnsi="仿宋" w:eastAsia="仿宋_GB2312"/>
          <w:sz w:val="30"/>
          <w:szCs w:val="30"/>
        </w:rPr>
      </w:pPr>
    </w:p>
    <w:p w14:paraId="395B2EFE">
      <w:pPr>
        <w:adjustRightInd w:val="0"/>
        <w:snapToGrid w:val="0"/>
        <w:spacing w:before="156" w:beforeLines="50" w:line="560" w:lineRule="exact"/>
        <w:jc w:val="center"/>
        <w:rPr>
          <w:rFonts w:hint="eastAsia" w:cs="仿宋_GB2312" w:asciiTheme="minorEastAsia" w:hAnsiTheme="minorEastAsia"/>
          <w:b/>
          <w:bCs/>
          <w:color w:val="FF0000"/>
          <w:sz w:val="36"/>
          <w:szCs w:val="36"/>
        </w:rPr>
      </w:pPr>
      <w:r>
        <w:rPr>
          <w:rFonts w:hint="eastAsia" w:cs="仿宋_GB2312" w:asciiTheme="minorEastAsia" w:hAnsiTheme="minorEastAsia"/>
          <w:b/>
          <w:bCs/>
          <w:color w:val="FF0000"/>
          <w:sz w:val="36"/>
          <w:szCs w:val="36"/>
        </w:rPr>
        <w:t>重庆望变电气（集团）股份有限公司</w:t>
      </w:r>
    </w:p>
    <w:p w14:paraId="60E36E68">
      <w:pPr>
        <w:adjustRightInd w:val="0"/>
        <w:snapToGrid w:val="0"/>
        <w:spacing w:before="156" w:beforeLines="50" w:line="560" w:lineRule="exact"/>
        <w:jc w:val="center"/>
        <w:rPr>
          <w:rFonts w:hint="eastAsia" w:cs="仿宋_GB2312" w:asciiTheme="minorEastAsia" w:hAnsiTheme="minorEastAsia"/>
          <w:b/>
          <w:bCs/>
          <w:color w:val="FF0000"/>
          <w:sz w:val="36"/>
          <w:szCs w:val="36"/>
        </w:rPr>
      </w:pPr>
      <w:bookmarkStart w:id="1" w:name="_GoBack"/>
      <w:r>
        <w:rPr>
          <w:rFonts w:hint="eastAsia" w:cs="仿宋_GB2312" w:asciiTheme="minorEastAsia" w:hAnsiTheme="minorEastAsia"/>
          <w:b/>
          <w:bCs/>
          <w:color w:val="FF0000"/>
          <w:sz w:val="36"/>
          <w:szCs w:val="36"/>
        </w:rPr>
        <w:t>关于续聘会计师事务所的公告</w:t>
      </w:r>
    </w:p>
    <w:bookmarkEnd w:id="1"/>
    <w:p w14:paraId="100F6519">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p>
    <w:p w14:paraId="4689DF40">
      <w:pPr>
        <w:adjustRightInd w:val="0"/>
        <w:snapToGrid w:val="0"/>
        <w:spacing w:line="560" w:lineRule="exact"/>
        <w:ind w:firstLine="480" w:firstLineChars="200"/>
        <w:rPr>
          <w:rFonts w:hint="eastAsia" w:ascii="宋体" w:hAnsi="宋体" w:eastAsia="宋体" w:cs="宋体"/>
          <w:color w:val="000000"/>
          <w:kern w:val="0"/>
          <w:sz w:val="24"/>
          <w:szCs w:val="24"/>
        </w:rPr>
      </w:pPr>
    </w:p>
    <w:p w14:paraId="0D854759">
      <w:pPr>
        <w:adjustRightInd w:val="0"/>
        <w:snapToGrid w:val="0"/>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重要内容提示：</w:t>
      </w:r>
    </w:p>
    <w:p w14:paraId="418566F0">
      <w:pPr>
        <w:numPr>
          <w:ilvl w:val="0"/>
          <w:numId w:val="1"/>
        </w:numPr>
        <w:adjustRightInd w:val="0"/>
        <w:snapToGrid w:val="0"/>
        <w:spacing w:line="560" w:lineRule="exact"/>
        <w:rPr>
          <w:rFonts w:hint="eastAsia" w:ascii="宋体" w:hAnsi="宋体" w:eastAsia="宋体" w:cs="宋体"/>
          <w:sz w:val="24"/>
          <w:szCs w:val="24"/>
        </w:rPr>
      </w:pPr>
      <w:r>
        <w:rPr>
          <w:rFonts w:hint="eastAsia" w:ascii="宋体" w:hAnsi="宋体" w:eastAsia="宋体" w:cs="宋体"/>
          <w:sz w:val="24"/>
          <w:szCs w:val="24"/>
        </w:rPr>
        <w:t>拟聘任的会计师事务所名称：天健会计师事务所（特殊普通合伙）（以</w:t>
      </w:r>
    </w:p>
    <w:p w14:paraId="4D0ECA51">
      <w:pPr>
        <w:adjustRightInd w:val="0"/>
        <w:snapToGrid w:val="0"/>
        <w:spacing w:line="560" w:lineRule="exact"/>
        <w:rPr>
          <w:rFonts w:ascii="宋体" w:hAnsi="宋体" w:eastAsia="宋体" w:cs="宋体"/>
          <w:sz w:val="24"/>
          <w:szCs w:val="24"/>
        </w:rPr>
      </w:pPr>
      <w:r>
        <w:rPr>
          <w:rFonts w:hint="eastAsia" w:ascii="宋体" w:hAnsi="宋体" w:eastAsia="宋体" w:cs="宋体"/>
          <w:sz w:val="24"/>
          <w:szCs w:val="24"/>
        </w:rPr>
        <w:t>下简称“天健会所”）</w:t>
      </w:r>
    </w:p>
    <w:p w14:paraId="0F393DE9">
      <w:pPr>
        <w:adjustRightInd w:val="0"/>
        <w:snapToGrid w:val="0"/>
        <w:spacing w:line="560" w:lineRule="exact"/>
        <w:rPr>
          <w:rFonts w:hint="eastAsia" w:ascii="宋体" w:hAnsi="宋体" w:eastAsia="宋体" w:cs="宋体"/>
          <w:sz w:val="24"/>
          <w:szCs w:val="24"/>
        </w:rPr>
      </w:pPr>
    </w:p>
    <w:p w14:paraId="1077547B">
      <w:pPr>
        <w:numPr>
          <w:ilvl w:val="0"/>
          <w:numId w:val="2"/>
        </w:numPr>
        <w:adjustRightInd w:val="0"/>
        <w:snapToGrid w:val="0"/>
        <w:spacing w:line="560" w:lineRule="exact"/>
        <w:rPr>
          <w:rFonts w:hint="eastAsia" w:ascii="宋体" w:hAnsi="宋体" w:eastAsia="宋体" w:cs="宋体"/>
          <w:b/>
          <w:bCs/>
          <w:sz w:val="24"/>
          <w:szCs w:val="24"/>
        </w:rPr>
      </w:pPr>
      <w:r>
        <w:rPr>
          <w:rFonts w:hint="eastAsia" w:ascii="宋体" w:hAnsi="宋体" w:eastAsia="宋体" w:cs="宋体"/>
          <w:b/>
          <w:bCs/>
          <w:sz w:val="24"/>
          <w:szCs w:val="24"/>
        </w:rPr>
        <w:t>拟聘任会计师事务所的基本情况</w:t>
      </w:r>
    </w:p>
    <w:p w14:paraId="316AA2F1">
      <w:pPr>
        <w:adjustRightInd w:val="0"/>
        <w:snapToGrid w:val="0"/>
        <w:spacing w:line="560" w:lineRule="exact"/>
        <w:rPr>
          <w:rFonts w:hint="eastAsia" w:ascii="宋体" w:hAnsi="宋体" w:eastAsia="宋体" w:cs="宋体"/>
          <w:sz w:val="24"/>
          <w:szCs w:val="24"/>
        </w:rPr>
      </w:pPr>
      <w:r>
        <w:rPr>
          <w:rFonts w:hint="eastAsia" w:ascii="宋体" w:hAnsi="宋体" w:eastAsia="宋体" w:cs="宋体"/>
          <w:sz w:val="24"/>
          <w:szCs w:val="24"/>
        </w:rPr>
        <w:t>（一）机构信息</w:t>
      </w:r>
    </w:p>
    <w:p w14:paraId="17FAF1BF">
      <w:pPr>
        <w:pStyle w:val="13"/>
        <w:spacing w:line="560" w:lineRule="exact"/>
        <w:rPr>
          <w:rFonts w:hint="eastAsia" w:hAnsi="宋体"/>
          <w:color w:val="auto"/>
          <w:kern w:val="2"/>
        </w:rPr>
      </w:pPr>
      <w:r>
        <w:rPr>
          <w:rFonts w:hint="eastAsia" w:hAnsi="宋体"/>
          <w:color w:val="auto"/>
          <w:kern w:val="2"/>
        </w:rPr>
        <w:t>1.基本信息</w:t>
      </w:r>
    </w:p>
    <w:tbl>
      <w:tblPr>
        <w:tblStyle w:val="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2198"/>
        <w:gridCol w:w="28"/>
        <w:gridCol w:w="618"/>
        <w:gridCol w:w="1915"/>
        <w:gridCol w:w="1912"/>
      </w:tblGrid>
      <w:tr w14:paraId="62EA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4" w:type="dxa"/>
            <w:vAlign w:val="center"/>
          </w:tcPr>
          <w:p w14:paraId="72285936">
            <w:pPr>
              <w:ind w:left="465" w:hanging="360"/>
              <w:rPr>
                <w:rFonts w:hint="eastAsia" w:ascii="宋体" w:hAnsi="宋体" w:eastAsia="宋体" w:cs="宋体"/>
                <w:szCs w:val="21"/>
              </w:rPr>
            </w:pPr>
            <w:r>
              <w:rPr>
                <w:rFonts w:hint="eastAsia" w:ascii="宋体" w:hAnsi="宋体" w:eastAsia="宋体" w:cs="宋体"/>
                <w:szCs w:val="21"/>
              </w:rPr>
              <w:t>事务所名称</w:t>
            </w:r>
          </w:p>
        </w:tc>
        <w:tc>
          <w:tcPr>
            <w:tcW w:w="6671" w:type="dxa"/>
            <w:gridSpan w:val="5"/>
            <w:vAlign w:val="center"/>
          </w:tcPr>
          <w:p w14:paraId="10F35AB1">
            <w:pPr>
              <w:ind w:left="465" w:hanging="360"/>
              <w:rPr>
                <w:rFonts w:hint="eastAsia" w:ascii="宋体" w:hAnsi="宋体" w:eastAsia="宋体" w:cs="宋体"/>
                <w:szCs w:val="21"/>
              </w:rPr>
            </w:pPr>
            <w:r>
              <w:rPr>
                <w:rFonts w:hint="eastAsia" w:ascii="宋体" w:hAnsi="宋体" w:eastAsia="宋体" w:cs="宋体"/>
                <w:szCs w:val="21"/>
              </w:rPr>
              <w:t>天健会计师事务所（特殊普通合伙）</w:t>
            </w:r>
          </w:p>
        </w:tc>
      </w:tr>
      <w:tr w14:paraId="6BE5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4" w:type="dxa"/>
            <w:vAlign w:val="center"/>
          </w:tcPr>
          <w:p w14:paraId="686CCE16">
            <w:pPr>
              <w:ind w:left="465" w:hanging="360"/>
              <w:rPr>
                <w:rFonts w:hint="eastAsia" w:ascii="宋体" w:hAnsi="宋体" w:eastAsia="宋体" w:cs="宋体"/>
                <w:szCs w:val="21"/>
              </w:rPr>
            </w:pPr>
            <w:r>
              <w:rPr>
                <w:rFonts w:hint="eastAsia" w:ascii="宋体" w:hAnsi="宋体" w:eastAsia="宋体" w:cs="宋体"/>
                <w:szCs w:val="21"/>
              </w:rPr>
              <w:t>成立日期</w:t>
            </w:r>
          </w:p>
        </w:tc>
        <w:tc>
          <w:tcPr>
            <w:tcW w:w="2844" w:type="dxa"/>
            <w:gridSpan w:val="3"/>
            <w:vAlign w:val="center"/>
          </w:tcPr>
          <w:p w14:paraId="312B0486">
            <w:pPr>
              <w:ind w:left="465" w:hanging="360"/>
              <w:rPr>
                <w:rFonts w:hint="eastAsia" w:ascii="宋体" w:hAnsi="宋体" w:eastAsia="宋体" w:cs="宋体"/>
                <w:szCs w:val="21"/>
              </w:rPr>
            </w:pPr>
            <w:r>
              <w:rPr>
                <w:rFonts w:hint="eastAsia" w:ascii="宋体" w:hAnsi="宋体" w:eastAsia="宋体" w:cs="宋体"/>
                <w:szCs w:val="21"/>
              </w:rPr>
              <w:t>2011年7月18日</w:t>
            </w:r>
          </w:p>
        </w:tc>
        <w:tc>
          <w:tcPr>
            <w:tcW w:w="1915" w:type="dxa"/>
            <w:vAlign w:val="center"/>
          </w:tcPr>
          <w:p w14:paraId="5A595D0C">
            <w:pPr>
              <w:ind w:left="465" w:hanging="36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组织形式</w:t>
            </w:r>
          </w:p>
        </w:tc>
        <w:tc>
          <w:tcPr>
            <w:tcW w:w="1912" w:type="dxa"/>
            <w:vAlign w:val="center"/>
          </w:tcPr>
          <w:p w14:paraId="3153836E">
            <w:pPr>
              <w:ind w:left="465" w:hanging="36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特殊普通合伙</w:t>
            </w:r>
          </w:p>
        </w:tc>
      </w:tr>
      <w:tr w14:paraId="3CB5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4" w:type="dxa"/>
            <w:vAlign w:val="center"/>
          </w:tcPr>
          <w:p w14:paraId="6DC03165">
            <w:pPr>
              <w:ind w:left="465" w:hanging="360"/>
              <w:rPr>
                <w:rFonts w:hint="eastAsia" w:ascii="宋体" w:hAnsi="宋体" w:eastAsia="宋体" w:cs="宋体"/>
                <w:szCs w:val="21"/>
              </w:rPr>
            </w:pPr>
            <w:r>
              <w:rPr>
                <w:rFonts w:hint="eastAsia" w:ascii="宋体" w:hAnsi="宋体" w:eastAsia="宋体" w:cs="宋体"/>
                <w:szCs w:val="21"/>
              </w:rPr>
              <w:t>注册地址</w:t>
            </w:r>
          </w:p>
        </w:tc>
        <w:tc>
          <w:tcPr>
            <w:tcW w:w="6671" w:type="dxa"/>
            <w:gridSpan w:val="5"/>
            <w:vAlign w:val="center"/>
          </w:tcPr>
          <w:p w14:paraId="0133D66C">
            <w:pPr>
              <w:ind w:left="465" w:hanging="360"/>
              <w:rPr>
                <w:rFonts w:hint="eastAsia" w:ascii="宋体" w:hAnsi="宋体" w:eastAsia="宋体" w:cs="宋体"/>
                <w:szCs w:val="21"/>
              </w:rPr>
            </w:pPr>
            <w:r>
              <w:rPr>
                <w:rFonts w:hint="eastAsia" w:ascii="宋体" w:hAnsi="宋体" w:eastAsia="宋体" w:cs="宋体"/>
                <w:szCs w:val="21"/>
              </w:rPr>
              <w:t>浙江省杭州市西湖区灵隐街道西溪路128号</w:t>
            </w:r>
          </w:p>
        </w:tc>
      </w:tr>
      <w:tr w14:paraId="643E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4" w:type="dxa"/>
            <w:vAlign w:val="center"/>
          </w:tcPr>
          <w:p w14:paraId="1F1135B9">
            <w:pPr>
              <w:ind w:left="53" w:leftChars="25" w:firstLine="10" w:firstLineChars="5"/>
              <w:rPr>
                <w:rFonts w:hint="eastAsia" w:ascii="宋体" w:hAnsi="宋体" w:eastAsia="宋体" w:cs="宋体"/>
                <w:szCs w:val="21"/>
              </w:rPr>
            </w:pPr>
            <w:r>
              <w:rPr>
                <w:rFonts w:hint="eastAsia" w:ascii="宋体" w:hAnsi="宋体" w:eastAsia="宋体" w:cs="宋体"/>
                <w:szCs w:val="21"/>
              </w:rPr>
              <w:t>首席合伙人</w:t>
            </w:r>
          </w:p>
        </w:tc>
        <w:tc>
          <w:tcPr>
            <w:tcW w:w="2226" w:type="dxa"/>
            <w:gridSpan w:val="2"/>
            <w:vAlign w:val="center"/>
          </w:tcPr>
          <w:p w14:paraId="7246C37C">
            <w:pPr>
              <w:ind w:left="53" w:leftChars="25" w:firstLine="10" w:firstLineChars="5"/>
              <w:rPr>
                <w:rFonts w:hint="eastAsia" w:ascii="宋体" w:hAnsi="宋体" w:eastAsia="宋体" w:cs="宋体"/>
                <w:szCs w:val="21"/>
              </w:rPr>
            </w:pPr>
            <w:r>
              <w:rPr>
                <w:rFonts w:hint="eastAsia" w:ascii="宋体" w:hAnsi="宋体" w:eastAsia="宋体" w:cs="宋体"/>
                <w:szCs w:val="21"/>
              </w:rPr>
              <w:t>钟建国</w:t>
            </w:r>
          </w:p>
        </w:tc>
        <w:tc>
          <w:tcPr>
            <w:tcW w:w="2533" w:type="dxa"/>
            <w:gridSpan w:val="2"/>
            <w:vAlign w:val="center"/>
          </w:tcPr>
          <w:p w14:paraId="1FC65E9D">
            <w:pPr>
              <w:ind w:left="465" w:hanging="360"/>
              <w:rPr>
                <w:rFonts w:hint="eastAsia" w:ascii="宋体" w:hAnsi="宋体" w:eastAsia="宋体" w:cs="宋体"/>
                <w:szCs w:val="21"/>
              </w:rPr>
            </w:pPr>
            <w:r>
              <w:rPr>
                <w:rFonts w:hint="eastAsia" w:ascii="宋体" w:hAnsi="宋体" w:eastAsia="宋体" w:cs="宋体"/>
                <w:szCs w:val="21"/>
              </w:rPr>
              <w:t>上年末合伙人数量</w:t>
            </w:r>
          </w:p>
        </w:tc>
        <w:tc>
          <w:tcPr>
            <w:tcW w:w="1912" w:type="dxa"/>
            <w:vAlign w:val="center"/>
          </w:tcPr>
          <w:p w14:paraId="18287C89">
            <w:pPr>
              <w:ind w:left="465" w:hanging="360"/>
              <w:rPr>
                <w:rFonts w:hint="eastAsia" w:ascii="宋体" w:hAnsi="宋体" w:eastAsia="宋体" w:cs="宋体"/>
                <w:szCs w:val="21"/>
              </w:rPr>
            </w:pPr>
            <w:r>
              <w:rPr>
                <w:rFonts w:hint="eastAsia" w:ascii="宋体" w:hAnsi="宋体" w:eastAsia="宋体" w:cs="宋体"/>
                <w:szCs w:val="21"/>
              </w:rPr>
              <w:t>241人</w:t>
            </w:r>
          </w:p>
        </w:tc>
      </w:tr>
      <w:tr w14:paraId="030D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4" w:type="dxa"/>
            <w:vMerge w:val="restart"/>
            <w:vAlign w:val="center"/>
          </w:tcPr>
          <w:p w14:paraId="4864BDD6">
            <w:pPr>
              <w:ind w:left="53" w:leftChars="25" w:firstLine="10" w:firstLineChars="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上年末执业人员数量</w:t>
            </w:r>
          </w:p>
        </w:tc>
        <w:tc>
          <w:tcPr>
            <w:tcW w:w="4759" w:type="dxa"/>
            <w:gridSpan w:val="4"/>
            <w:vAlign w:val="center"/>
          </w:tcPr>
          <w:p w14:paraId="5BD3A1FE">
            <w:pPr>
              <w:ind w:left="53" w:leftChars="25" w:firstLine="10" w:firstLineChars="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注册会计师</w:t>
            </w:r>
          </w:p>
        </w:tc>
        <w:tc>
          <w:tcPr>
            <w:tcW w:w="1912" w:type="dxa"/>
            <w:vAlign w:val="center"/>
          </w:tcPr>
          <w:p w14:paraId="60FA72A6">
            <w:pPr>
              <w:ind w:left="465" w:hanging="360"/>
              <w:rPr>
                <w:rFonts w:hint="eastAsia" w:ascii="宋体" w:hAnsi="宋体" w:eastAsia="宋体" w:cs="宋体"/>
                <w:szCs w:val="21"/>
              </w:rPr>
            </w:pPr>
            <w:r>
              <w:rPr>
                <w:rFonts w:hint="eastAsia" w:ascii="宋体" w:hAnsi="宋体" w:eastAsia="宋体" w:cs="宋体"/>
                <w:szCs w:val="21"/>
              </w:rPr>
              <w:t>2,356人</w:t>
            </w:r>
          </w:p>
        </w:tc>
      </w:tr>
      <w:tr w14:paraId="0C93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4" w:type="dxa"/>
            <w:vMerge w:val="continue"/>
            <w:vAlign w:val="center"/>
          </w:tcPr>
          <w:p w14:paraId="2E8E9ECF">
            <w:pPr>
              <w:ind w:left="53" w:leftChars="25" w:firstLine="10" w:firstLineChars="5"/>
              <w:rPr>
                <w:rFonts w:hint="eastAsia" w:ascii="宋体" w:hAnsi="宋体" w:eastAsia="宋体" w:cs="宋体"/>
                <w:color w:val="000000" w:themeColor="text1"/>
                <w:szCs w:val="21"/>
                <w14:textFill>
                  <w14:solidFill>
                    <w14:schemeClr w14:val="tx1"/>
                  </w14:solidFill>
                </w14:textFill>
              </w:rPr>
            </w:pPr>
          </w:p>
        </w:tc>
        <w:tc>
          <w:tcPr>
            <w:tcW w:w="4759" w:type="dxa"/>
            <w:gridSpan w:val="4"/>
            <w:vAlign w:val="center"/>
          </w:tcPr>
          <w:p w14:paraId="306F2665">
            <w:pPr>
              <w:ind w:right="-105" w:rightChars="-50" w:firstLine="10" w:firstLineChars="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签署过证券服务业务审计报告的注册会计师</w:t>
            </w:r>
          </w:p>
        </w:tc>
        <w:tc>
          <w:tcPr>
            <w:tcW w:w="1912" w:type="dxa"/>
            <w:vAlign w:val="center"/>
          </w:tcPr>
          <w:p w14:paraId="3320CE34">
            <w:pPr>
              <w:ind w:left="465" w:hanging="360"/>
              <w:rPr>
                <w:rFonts w:hint="eastAsia" w:ascii="宋体" w:hAnsi="宋体" w:eastAsia="宋体" w:cs="宋体"/>
                <w:szCs w:val="21"/>
              </w:rPr>
            </w:pPr>
            <w:r>
              <w:rPr>
                <w:rFonts w:hint="eastAsia" w:ascii="宋体" w:hAnsi="宋体" w:eastAsia="宋体" w:cs="宋体"/>
                <w:szCs w:val="21"/>
              </w:rPr>
              <w:t>904人</w:t>
            </w:r>
          </w:p>
        </w:tc>
      </w:tr>
      <w:tr w14:paraId="5376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4" w:type="dxa"/>
            <w:vMerge w:val="restart"/>
            <w:vAlign w:val="center"/>
          </w:tcPr>
          <w:p w14:paraId="0F0C3E4D">
            <w:pPr>
              <w:ind w:left="53" w:leftChars="25" w:firstLine="10" w:firstLineChars="5"/>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2023年（经审计）</w:t>
            </w:r>
            <w:r>
              <w:rPr>
                <w:rFonts w:hint="eastAsia" w:ascii="宋体" w:hAnsi="宋体" w:eastAsia="宋体" w:cs="宋体"/>
                <w:szCs w:val="21"/>
              </w:rPr>
              <w:t>业务收入</w:t>
            </w:r>
          </w:p>
        </w:tc>
        <w:tc>
          <w:tcPr>
            <w:tcW w:w="2198" w:type="dxa"/>
            <w:vAlign w:val="center"/>
          </w:tcPr>
          <w:p w14:paraId="63BECA31">
            <w:pPr>
              <w:ind w:left="53" w:leftChars="25" w:firstLine="10" w:firstLineChars="5"/>
              <w:rPr>
                <w:rFonts w:hint="eastAsia" w:ascii="宋体" w:hAnsi="宋体" w:eastAsia="宋体" w:cs="宋体"/>
                <w:szCs w:val="21"/>
                <w:highlight w:val="yellow"/>
              </w:rPr>
            </w:pPr>
            <w:r>
              <w:rPr>
                <w:rFonts w:hint="eastAsia" w:ascii="宋体" w:hAnsi="宋体" w:eastAsia="宋体" w:cs="宋体"/>
                <w:szCs w:val="21"/>
              </w:rPr>
              <w:t>业务收入总额</w:t>
            </w:r>
          </w:p>
        </w:tc>
        <w:tc>
          <w:tcPr>
            <w:tcW w:w="4473" w:type="dxa"/>
            <w:gridSpan w:val="4"/>
            <w:vAlign w:val="center"/>
          </w:tcPr>
          <w:p w14:paraId="295F98D0">
            <w:pPr>
              <w:ind w:left="465" w:hanging="360"/>
              <w:rPr>
                <w:rFonts w:hint="eastAsia" w:ascii="宋体" w:hAnsi="宋体" w:eastAsia="宋体" w:cs="宋体"/>
                <w:szCs w:val="21"/>
              </w:rPr>
            </w:pPr>
            <w:r>
              <w:rPr>
                <w:rFonts w:hint="eastAsia" w:ascii="宋体" w:hAnsi="宋体" w:eastAsia="宋体" w:cs="宋体"/>
                <w:szCs w:val="21"/>
              </w:rPr>
              <w:t>34.83亿元</w:t>
            </w:r>
          </w:p>
        </w:tc>
      </w:tr>
      <w:tr w14:paraId="5C4E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4" w:type="dxa"/>
            <w:vMerge w:val="continue"/>
            <w:vAlign w:val="center"/>
          </w:tcPr>
          <w:p w14:paraId="76361718">
            <w:pPr>
              <w:ind w:left="53" w:leftChars="25" w:firstLine="10" w:firstLineChars="5"/>
              <w:rPr>
                <w:rFonts w:hint="eastAsia" w:ascii="宋体" w:hAnsi="宋体" w:eastAsia="宋体" w:cs="宋体"/>
                <w:szCs w:val="21"/>
              </w:rPr>
            </w:pPr>
          </w:p>
        </w:tc>
        <w:tc>
          <w:tcPr>
            <w:tcW w:w="2198" w:type="dxa"/>
            <w:vAlign w:val="center"/>
          </w:tcPr>
          <w:p w14:paraId="1420DBCC">
            <w:pPr>
              <w:ind w:left="53" w:leftChars="25" w:firstLine="10" w:firstLineChars="5"/>
              <w:rPr>
                <w:rFonts w:hint="eastAsia" w:ascii="宋体" w:hAnsi="宋体" w:eastAsia="宋体" w:cs="宋体"/>
                <w:szCs w:val="21"/>
                <w:highlight w:val="yellow"/>
              </w:rPr>
            </w:pPr>
            <w:r>
              <w:rPr>
                <w:rFonts w:hint="eastAsia" w:ascii="宋体" w:hAnsi="宋体" w:eastAsia="宋体" w:cs="宋体"/>
                <w:szCs w:val="21"/>
              </w:rPr>
              <w:t>审计业务收入</w:t>
            </w:r>
          </w:p>
        </w:tc>
        <w:tc>
          <w:tcPr>
            <w:tcW w:w="4473" w:type="dxa"/>
            <w:gridSpan w:val="4"/>
            <w:vAlign w:val="center"/>
          </w:tcPr>
          <w:p w14:paraId="4B9CE020">
            <w:pPr>
              <w:ind w:left="465" w:hanging="360"/>
              <w:rPr>
                <w:rFonts w:hint="eastAsia" w:ascii="宋体" w:hAnsi="宋体" w:eastAsia="宋体" w:cs="宋体"/>
                <w:szCs w:val="21"/>
              </w:rPr>
            </w:pPr>
            <w:r>
              <w:rPr>
                <w:rFonts w:hint="eastAsia" w:ascii="宋体" w:hAnsi="宋体" w:eastAsia="宋体" w:cs="宋体"/>
                <w:szCs w:val="21"/>
              </w:rPr>
              <w:t>30.99亿元</w:t>
            </w:r>
          </w:p>
        </w:tc>
      </w:tr>
      <w:tr w14:paraId="2B23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4" w:type="dxa"/>
            <w:vMerge w:val="continue"/>
            <w:vAlign w:val="center"/>
          </w:tcPr>
          <w:p w14:paraId="5D2FE7CF">
            <w:pPr>
              <w:ind w:left="53" w:leftChars="25" w:firstLine="10" w:firstLineChars="5"/>
              <w:rPr>
                <w:rFonts w:hint="eastAsia" w:ascii="宋体" w:hAnsi="宋体" w:eastAsia="宋体" w:cs="宋体"/>
                <w:szCs w:val="21"/>
              </w:rPr>
            </w:pPr>
          </w:p>
        </w:tc>
        <w:tc>
          <w:tcPr>
            <w:tcW w:w="2198" w:type="dxa"/>
            <w:vAlign w:val="center"/>
          </w:tcPr>
          <w:p w14:paraId="11DCD1C2">
            <w:pPr>
              <w:ind w:left="53" w:leftChars="25" w:firstLine="10" w:firstLineChars="5"/>
              <w:rPr>
                <w:rFonts w:hint="eastAsia" w:ascii="宋体" w:hAnsi="宋体" w:eastAsia="宋体" w:cs="宋体"/>
                <w:szCs w:val="21"/>
              </w:rPr>
            </w:pPr>
            <w:r>
              <w:rPr>
                <w:rFonts w:hint="eastAsia" w:ascii="宋体" w:hAnsi="宋体" w:eastAsia="宋体" w:cs="宋体"/>
                <w:szCs w:val="21"/>
              </w:rPr>
              <w:t>证券业务收入</w:t>
            </w:r>
          </w:p>
        </w:tc>
        <w:tc>
          <w:tcPr>
            <w:tcW w:w="4473" w:type="dxa"/>
            <w:gridSpan w:val="4"/>
            <w:vAlign w:val="center"/>
          </w:tcPr>
          <w:p w14:paraId="5F67C5FC">
            <w:pPr>
              <w:ind w:left="465" w:hanging="360"/>
              <w:rPr>
                <w:rFonts w:hint="eastAsia" w:ascii="宋体" w:hAnsi="宋体" w:eastAsia="宋体" w:cs="宋体"/>
                <w:szCs w:val="21"/>
              </w:rPr>
            </w:pPr>
            <w:r>
              <w:rPr>
                <w:rFonts w:hint="eastAsia" w:ascii="宋体" w:hAnsi="宋体" w:eastAsia="宋体" w:cs="宋体"/>
                <w:szCs w:val="21"/>
              </w:rPr>
              <w:t>18.40亿元</w:t>
            </w:r>
          </w:p>
        </w:tc>
      </w:tr>
      <w:tr w14:paraId="431B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4" w:type="dxa"/>
            <w:vMerge w:val="restart"/>
            <w:vAlign w:val="center"/>
          </w:tcPr>
          <w:p w14:paraId="7F4742AD">
            <w:pPr>
              <w:ind w:left="53" w:leftChars="25" w:firstLine="10" w:firstLineChars="5"/>
              <w:rPr>
                <w:rFonts w:hint="eastAsia" w:ascii="宋体" w:hAnsi="宋体" w:eastAsia="宋体" w:cs="宋体"/>
                <w:szCs w:val="21"/>
              </w:rPr>
            </w:pPr>
            <w:r>
              <w:rPr>
                <w:rFonts w:hint="eastAsia" w:ascii="宋体" w:hAnsi="宋体" w:eastAsia="宋体" w:cs="宋体"/>
                <w:szCs w:val="21"/>
              </w:rPr>
              <w:t>2024年上市公司（含A、B股）审计情况</w:t>
            </w:r>
          </w:p>
        </w:tc>
        <w:tc>
          <w:tcPr>
            <w:tcW w:w="2198" w:type="dxa"/>
            <w:vAlign w:val="center"/>
          </w:tcPr>
          <w:p w14:paraId="6BD5EDDE">
            <w:pPr>
              <w:ind w:left="53" w:leftChars="25" w:firstLine="10" w:firstLineChars="5"/>
              <w:rPr>
                <w:rFonts w:hint="eastAsia" w:ascii="宋体" w:hAnsi="宋体" w:eastAsia="宋体" w:cs="宋体"/>
                <w:szCs w:val="21"/>
              </w:rPr>
            </w:pPr>
            <w:r>
              <w:rPr>
                <w:rFonts w:hint="eastAsia" w:ascii="宋体" w:hAnsi="宋体" w:eastAsia="宋体" w:cs="宋体"/>
                <w:szCs w:val="21"/>
              </w:rPr>
              <w:t>客户家数</w:t>
            </w:r>
          </w:p>
        </w:tc>
        <w:tc>
          <w:tcPr>
            <w:tcW w:w="4473" w:type="dxa"/>
            <w:gridSpan w:val="4"/>
            <w:vAlign w:val="center"/>
          </w:tcPr>
          <w:p w14:paraId="091343C8">
            <w:pPr>
              <w:ind w:left="465" w:hanging="360"/>
              <w:rPr>
                <w:rFonts w:hint="eastAsia" w:ascii="宋体" w:hAnsi="宋体" w:eastAsia="宋体" w:cs="宋体"/>
                <w:szCs w:val="21"/>
              </w:rPr>
            </w:pPr>
            <w:r>
              <w:rPr>
                <w:rFonts w:hint="eastAsia" w:ascii="宋体" w:hAnsi="宋体" w:eastAsia="宋体" w:cs="宋体"/>
                <w:szCs w:val="21"/>
              </w:rPr>
              <w:t>707家</w:t>
            </w:r>
          </w:p>
        </w:tc>
      </w:tr>
      <w:tr w14:paraId="3CFF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4" w:type="dxa"/>
            <w:vMerge w:val="continue"/>
            <w:vAlign w:val="center"/>
          </w:tcPr>
          <w:p w14:paraId="22441CF6">
            <w:pPr>
              <w:ind w:left="53" w:leftChars="25" w:firstLine="10" w:firstLineChars="5"/>
              <w:rPr>
                <w:rFonts w:hint="eastAsia" w:ascii="宋体" w:hAnsi="宋体" w:eastAsia="宋体" w:cs="宋体"/>
                <w:szCs w:val="21"/>
              </w:rPr>
            </w:pPr>
          </w:p>
        </w:tc>
        <w:tc>
          <w:tcPr>
            <w:tcW w:w="2198" w:type="dxa"/>
            <w:vAlign w:val="center"/>
          </w:tcPr>
          <w:p w14:paraId="2A17C430">
            <w:pPr>
              <w:ind w:left="53" w:leftChars="25" w:firstLine="10" w:firstLineChars="5"/>
              <w:rPr>
                <w:rFonts w:hint="eastAsia" w:ascii="宋体" w:hAnsi="宋体" w:eastAsia="宋体" w:cs="宋体"/>
                <w:szCs w:val="21"/>
              </w:rPr>
            </w:pPr>
            <w:r>
              <w:rPr>
                <w:rFonts w:hint="eastAsia" w:ascii="宋体" w:hAnsi="宋体" w:eastAsia="宋体" w:cs="宋体"/>
                <w:szCs w:val="21"/>
              </w:rPr>
              <w:t>审计收费总额</w:t>
            </w:r>
          </w:p>
        </w:tc>
        <w:tc>
          <w:tcPr>
            <w:tcW w:w="4473" w:type="dxa"/>
            <w:gridSpan w:val="4"/>
            <w:vAlign w:val="center"/>
          </w:tcPr>
          <w:p w14:paraId="6CCE2F77">
            <w:pPr>
              <w:ind w:left="465" w:hanging="360"/>
              <w:rPr>
                <w:rFonts w:hint="eastAsia" w:ascii="宋体" w:hAnsi="宋体" w:eastAsia="宋体" w:cs="宋体"/>
                <w:szCs w:val="21"/>
              </w:rPr>
            </w:pPr>
            <w:r>
              <w:rPr>
                <w:rFonts w:hint="eastAsia" w:ascii="宋体" w:hAnsi="宋体" w:eastAsia="宋体" w:cs="宋体"/>
                <w:szCs w:val="21"/>
              </w:rPr>
              <w:t>7.2亿元</w:t>
            </w:r>
          </w:p>
        </w:tc>
      </w:tr>
      <w:tr w14:paraId="6F09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4" w:type="dxa"/>
            <w:vMerge w:val="continue"/>
            <w:vAlign w:val="center"/>
          </w:tcPr>
          <w:p w14:paraId="3D6B5FC4">
            <w:pPr>
              <w:ind w:left="53" w:leftChars="25" w:firstLine="10" w:firstLineChars="5"/>
              <w:rPr>
                <w:rFonts w:hint="eastAsia" w:ascii="宋体" w:hAnsi="宋体" w:eastAsia="宋体" w:cs="宋体"/>
                <w:szCs w:val="21"/>
              </w:rPr>
            </w:pPr>
          </w:p>
        </w:tc>
        <w:tc>
          <w:tcPr>
            <w:tcW w:w="2198" w:type="dxa"/>
            <w:vAlign w:val="center"/>
          </w:tcPr>
          <w:p w14:paraId="5B45B513">
            <w:pPr>
              <w:ind w:left="465" w:hanging="360"/>
              <w:rPr>
                <w:rFonts w:hint="eastAsia" w:ascii="宋体" w:hAnsi="宋体" w:eastAsia="宋体" w:cs="宋体"/>
                <w:szCs w:val="21"/>
              </w:rPr>
            </w:pPr>
            <w:r>
              <w:rPr>
                <w:rFonts w:hint="eastAsia" w:ascii="宋体" w:hAnsi="宋体" w:eastAsia="宋体" w:cs="宋体"/>
                <w:szCs w:val="21"/>
              </w:rPr>
              <w:t>涉及主要行业</w:t>
            </w:r>
          </w:p>
        </w:tc>
        <w:tc>
          <w:tcPr>
            <w:tcW w:w="4473" w:type="dxa"/>
            <w:gridSpan w:val="4"/>
            <w:vAlign w:val="center"/>
          </w:tcPr>
          <w:p w14:paraId="1C406FB3">
            <w:pPr>
              <w:spacing w:line="360" w:lineRule="auto"/>
              <w:ind w:left="34" w:leftChars="16"/>
              <w:rPr>
                <w:rFonts w:hint="eastAsia" w:ascii="宋体" w:hAnsi="宋体" w:eastAsia="宋体" w:cs="宋体"/>
                <w:szCs w:val="21"/>
              </w:rPr>
            </w:pPr>
            <w:r>
              <w:rPr>
                <w:rFonts w:hint="eastAsia" w:ascii="宋体" w:hAnsi="宋体" w:eastAsia="宋体" w:cs="宋体"/>
                <w:szCs w:val="21"/>
              </w:rPr>
              <w:t>制造业，信息传输、软件和信息技术服务业，批发和零售业，水利、环境和公共设施管理业，电力、热力、燃气及水生产和供应业，科学研究和技术服务业，租赁和商务服务业，金融业，房地产业，交通运输、仓储和邮政业，采矿业，农、林、牧、渔业，文化、体育和娱乐业，建筑业，综合，住宿和餐饮业，卫生和社会工作等</w:t>
            </w:r>
          </w:p>
        </w:tc>
      </w:tr>
      <w:tr w14:paraId="6BDE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4" w:type="dxa"/>
            <w:vMerge w:val="continue"/>
            <w:vAlign w:val="center"/>
          </w:tcPr>
          <w:p w14:paraId="67CA5CF5">
            <w:pPr>
              <w:ind w:left="53" w:leftChars="25" w:firstLine="10" w:firstLineChars="5"/>
              <w:rPr>
                <w:rFonts w:hint="eastAsia" w:ascii="宋体" w:hAnsi="宋体" w:eastAsia="宋体" w:cs="宋体"/>
                <w:szCs w:val="21"/>
              </w:rPr>
            </w:pPr>
          </w:p>
        </w:tc>
        <w:tc>
          <w:tcPr>
            <w:tcW w:w="4759" w:type="dxa"/>
            <w:gridSpan w:val="4"/>
            <w:vAlign w:val="center"/>
          </w:tcPr>
          <w:p w14:paraId="595D036F">
            <w:pPr>
              <w:ind w:left="465" w:hanging="36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本公司同行业上市公司审计客户家数</w:t>
            </w:r>
          </w:p>
        </w:tc>
        <w:tc>
          <w:tcPr>
            <w:tcW w:w="1912" w:type="dxa"/>
            <w:vAlign w:val="center"/>
          </w:tcPr>
          <w:p w14:paraId="6059B0C2">
            <w:pPr>
              <w:ind w:left="34" w:leftChars="16"/>
              <w:rPr>
                <w:rFonts w:hint="eastAsia" w:ascii="宋体" w:hAnsi="宋体" w:eastAsia="宋体" w:cs="宋体"/>
                <w:szCs w:val="21"/>
              </w:rPr>
            </w:pPr>
            <w:r>
              <w:rPr>
                <w:rFonts w:hint="eastAsia" w:ascii="宋体" w:hAnsi="宋体" w:eastAsia="宋体" w:cs="宋体"/>
                <w:szCs w:val="21"/>
              </w:rPr>
              <w:t>544</w:t>
            </w:r>
          </w:p>
        </w:tc>
      </w:tr>
    </w:tbl>
    <w:p w14:paraId="76769FCE">
      <w:pPr>
        <w:pStyle w:val="13"/>
        <w:spacing w:line="560" w:lineRule="exact"/>
        <w:rPr>
          <w:rFonts w:hint="eastAsia" w:hAnsi="宋体"/>
          <w:color w:val="auto"/>
          <w:kern w:val="2"/>
        </w:rPr>
      </w:pPr>
      <w:r>
        <w:rPr>
          <w:rFonts w:hint="eastAsia" w:hAnsi="宋体"/>
          <w:color w:val="auto"/>
          <w:kern w:val="2"/>
        </w:rPr>
        <w:t>2.投资者保护能力</w:t>
      </w:r>
    </w:p>
    <w:p w14:paraId="0D43AB84">
      <w:pPr>
        <w:pStyle w:val="13"/>
        <w:spacing w:line="560" w:lineRule="exact"/>
        <w:ind w:firstLine="480" w:firstLineChars="200"/>
        <w:rPr>
          <w:rFonts w:hint="eastAsia" w:hAnsi="宋体"/>
          <w:kern w:val="2"/>
        </w:rPr>
      </w:pPr>
      <w:r>
        <w:rPr>
          <w:rFonts w:hint="eastAsia" w:hAnsi="宋体"/>
          <w:kern w:val="2"/>
        </w:rPr>
        <w:t>天健会计师事务所（特殊普通合伙）具有良好的投资者保护能力，已按照相关法律法规要求计提职业风险基金和购买职业保险。截至2024年末，累计已计提职业风险基金和购买的职业保险累计赔偿限额合计超过2亿元，职业风险基金计提及职业保险购买符合财政部关于《会计师事务所职业风险基金管理办法》等文件的相关规定。</w:t>
      </w:r>
    </w:p>
    <w:p w14:paraId="5DE682D6">
      <w:pPr>
        <w:pStyle w:val="13"/>
        <w:spacing w:line="560" w:lineRule="exact"/>
        <w:ind w:firstLine="480" w:firstLineChars="200"/>
        <w:rPr>
          <w:rFonts w:hint="eastAsia" w:hAnsi="宋体"/>
          <w:kern w:val="2"/>
        </w:rPr>
      </w:pPr>
      <w:bookmarkStart w:id="0" w:name="OLE_LINK2"/>
      <w:r>
        <w:rPr>
          <w:rFonts w:hint="eastAsia" w:hAnsi="宋体"/>
          <w:kern w:val="2"/>
        </w:rPr>
        <w:t>天健近三年存在执业行为相关民事诉讼，在执业行为相关民事诉讼中存在承担民事责任情况。</w:t>
      </w:r>
      <w:bookmarkEnd w:id="0"/>
      <w:r>
        <w:rPr>
          <w:rFonts w:hint="eastAsia" w:hAnsi="宋体"/>
          <w:kern w:val="2"/>
        </w:rPr>
        <w:t>天健近三年因执业行为在相关民事诉讼中被判定需承担民事责任的情况如下：</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488"/>
        <w:gridCol w:w="1276"/>
        <w:gridCol w:w="3246"/>
        <w:gridCol w:w="1600"/>
      </w:tblGrid>
      <w:tr w14:paraId="6B5E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14:paraId="21C8040E">
            <w:pPr>
              <w:spacing w:line="360" w:lineRule="auto"/>
              <w:jc w:val="center"/>
              <w:rPr>
                <w:rFonts w:hint="eastAsia" w:ascii="宋体" w:hAnsi="宋体" w:eastAsia="宋体" w:cs="宋体"/>
                <w:szCs w:val="21"/>
              </w:rPr>
            </w:pPr>
            <w:r>
              <w:rPr>
                <w:rFonts w:hint="eastAsia" w:ascii="宋体" w:hAnsi="宋体" w:eastAsia="宋体" w:cs="宋体"/>
                <w:szCs w:val="21"/>
              </w:rPr>
              <w:t>原告</w:t>
            </w:r>
          </w:p>
        </w:tc>
        <w:tc>
          <w:tcPr>
            <w:tcW w:w="873" w:type="pct"/>
          </w:tcPr>
          <w:p w14:paraId="4D5FB741">
            <w:pPr>
              <w:spacing w:line="360" w:lineRule="auto"/>
              <w:jc w:val="center"/>
              <w:rPr>
                <w:rFonts w:hint="eastAsia" w:ascii="宋体" w:hAnsi="宋体" w:eastAsia="宋体" w:cs="宋体"/>
                <w:szCs w:val="21"/>
              </w:rPr>
            </w:pPr>
            <w:r>
              <w:rPr>
                <w:rFonts w:hint="eastAsia" w:ascii="宋体" w:hAnsi="宋体" w:eastAsia="宋体" w:cs="宋体"/>
                <w:szCs w:val="21"/>
              </w:rPr>
              <w:t>被告</w:t>
            </w:r>
          </w:p>
        </w:tc>
        <w:tc>
          <w:tcPr>
            <w:tcW w:w="749" w:type="pct"/>
          </w:tcPr>
          <w:p w14:paraId="5D975082">
            <w:pPr>
              <w:spacing w:line="360" w:lineRule="auto"/>
              <w:jc w:val="center"/>
              <w:rPr>
                <w:rFonts w:hint="eastAsia" w:ascii="宋体" w:hAnsi="宋体" w:eastAsia="宋体" w:cs="宋体"/>
                <w:szCs w:val="21"/>
              </w:rPr>
            </w:pPr>
            <w:r>
              <w:rPr>
                <w:rFonts w:hint="eastAsia" w:ascii="宋体" w:hAnsi="宋体" w:eastAsia="宋体" w:cs="宋体"/>
                <w:szCs w:val="21"/>
              </w:rPr>
              <w:t>案件时间</w:t>
            </w:r>
          </w:p>
        </w:tc>
        <w:tc>
          <w:tcPr>
            <w:tcW w:w="1905" w:type="pct"/>
          </w:tcPr>
          <w:p w14:paraId="690CF973">
            <w:pPr>
              <w:spacing w:line="360" w:lineRule="auto"/>
              <w:jc w:val="center"/>
              <w:rPr>
                <w:rFonts w:hint="eastAsia" w:ascii="宋体" w:hAnsi="宋体" w:eastAsia="宋体" w:cs="宋体"/>
                <w:szCs w:val="21"/>
              </w:rPr>
            </w:pPr>
            <w:r>
              <w:rPr>
                <w:rFonts w:hint="eastAsia" w:ascii="宋体" w:hAnsi="宋体" w:eastAsia="宋体" w:cs="宋体"/>
                <w:szCs w:val="21"/>
              </w:rPr>
              <w:t>主要案情</w:t>
            </w:r>
          </w:p>
        </w:tc>
        <w:tc>
          <w:tcPr>
            <w:tcW w:w="939" w:type="pct"/>
          </w:tcPr>
          <w:p w14:paraId="654F1A63">
            <w:pPr>
              <w:spacing w:line="360" w:lineRule="auto"/>
              <w:jc w:val="center"/>
              <w:rPr>
                <w:rFonts w:hint="eastAsia" w:ascii="宋体" w:hAnsi="宋体" w:eastAsia="宋体" w:cs="宋体"/>
                <w:szCs w:val="21"/>
              </w:rPr>
            </w:pPr>
            <w:r>
              <w:rPr>
                <w:rFonts w:hint="eastAsia" w:ascii="宋体" w:hAnsi="宋体" w:eastAsia="宋体" w:cs="宋体"/>
                <w:szCs w:val="21"/>
              </w:rPr>
              <w:t>诉讼进展</w:t>
            </w:r>
          </w:p>
        </w:tc>
      </w:tr>
      <w:tr w14:paraId="1586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44A8D280">
            <w:pPr>
              <w:spacing w:line="360" w:lineRule="auto"/>
              <w:jc w:val="left"/>
              <w:rPr>
                <w:rFonts w:hint="eastAsia" w:ascii="宋体" w:hAnsi="宋体" w:eastAsia="宋体" w:cs="宋体"/>
                <w:szCs w:val="21"/>
              </w:rPr>
            </w:pPr>
            <w:r>
              <w:rPr>
                <w:rFonts w:hint="eastAsia" w:ascii="宋体" w:hAnsi="宋体" w:eastAsia="宋体" w:cs="宋体"/>
                <w:szCs w:val="21"/>
              </w:rPr>
              <w:t>投资者</w:t>
            </w:r>
          </w:p>
        </w:tc>
        <w:tc>
          <w:tcPr>
            <w:tcW w:w="873" w:type="pct"/>
            <w:vAlign w:val="center"/>
          </w:tcPr>
          <w:p w14:paraId="73E1CA82">
            <w:pPr>
              <w:spacing w:line="360" w:lineRule="auto"/>
              <w:jc w:val="left"/>
              <w:rPr>
                <w:rFonts w:hint="eastAsia" w:ascii="宋体" w:hAnsi="宋体" w:eastAsia="宋体" w:cs="宋体"/>
                <w:szCs w:val="21"/>
              </w:rPr>
            </w:pPr>
            <w:r>
              <w:rPr>
                <w:rFonts w:hint="eastAsia" w:ascii="宋体" w:hAnsi="宋体" w:eastAsia="宋体" w:cs="宋体"/>
                <w:szCs w:val="21"/>
              </w:rPr>
              <w:t>华仪电气、东海证券、天健</w:t>
            </w:r>
          </w:p>
        </w:tc>
        <w:tc>
          <w:tcPr>
            <w:tcW w:w="749" w:type="pct"/>
            <w:vAlign w:val="center"/>
          </w:tcPr>
          <w:p w14:paraId="62CC05A3">
            <w:pPr>
              <w:spacing w:line="360" w:lineRule="auto"/>
              <w:jc w:val="left"/>
              <w:rPr>
                <w:rFonts w:hint="eastAsia" w:ascii="宋体" w:hAnsi="宋体" w:eastAsia="宋体" w:cs="宋体"/>
                <w:szCs w:val="21"/>
              </w:rPr>
            </w:pPr>
            <w:r>
              <w:rPr>
                <w:rFonts w:hint="eastAsia" w:ascii="宋体" w:hAnsi="宋体" w:eastAsia="宋体" w:cs="宋体"/>
                <w:szCs w:val="21"/>
              </w:rPr>
              <w:t>2024年3月6日</w:t>
            </w:r>
          </w:p>
        </w:tc>
        <w:tc>
          <w:tcPr>
            <w:tcW w:w="1905" w:type="pct"/>
            <w:vAlign w:val="center"/>
          </w:tcPr>
          <w:p w14:paraId="3CD67DD3">
            <w:pPr>
              <w:spacing w:line="360" w:lineRule="auto"/>
              <w:jc w:val="left"/>
              <w:rPr>
                <w:rFonts w:hint="eastAsia" w:ascii="宋体" w:hAnsi="宋体" w:eastAsia="宋体" w:cs="宋体"/>
                <w:szCs w:val="21"/>
              </w:rPr>
            </w:pPr>
            <w:r>
              <w:rPr>
                <w:rFonts w:hint="eastAsia" w:ascii="宋体" w:hAnsi="宋体" w:eastAsia="宋体" w:cs="宋体"/>
                <w:szCs w:val="21"/>
              </w:rPr>
              <w:t>天健作为华仪电气2017年度、2019年度年报审计机构，因华仪电气涉嫌财务造假，在后续证券虚假陈述诉讼案件中被列为共同被告，要求承担连带赔偿责任。</w:t>
            </w:r>
          </w:p>
        </w:tc>
        <w:tc>
          <w:tcPr>
            <w:tcW w:w="939" w:type="pct"/>
            <w:vAlign w:val="center"/>
          </w:tcPr>
          <w:p w14:paraId="26F6D813">
            <w:pPr>
              <w:spacing w:line="360" w:lineRule="auto"/>
              <w:jc w:val="left"/>
              <w:rPr>
                <w:rFonts w:hint="eastAsia" w:ascii="宋体" w:hAnsi="宋体" w:eastAsia="宋体" w:cs="宋体"/>
                <w:szCs w:val="21"/>
              </w:rPr>
            </w:pPr>
            <w:r>
              <w:rPr>
                <w:rFonts w:hint="eastAsia" w:ascii="宋体" w:hAnsi="宋体" w:eastAsia="宋体" w:cs="宋体"/>
                <w:szCs w:val="21"/>
              </w:rPr>
              <w:t>已完结（天健需在5%的范围内与华仪电气承担连带责任，天健已按期履行判决）</w:t>
            </w:r>
          </w:p>
        </w:tc>
      </w:tr>
    </w:tbl>
    <w:p w14:paraId="76906558">
      <w:pPr>
        <w:pStyle w:val="13"/>
        <w:spacing w:line="560" w:lineRule="exact"/>
        <w:ind w:firstLine="480" w:firstLineChars="200"/>
        <w:rPr>
          <w:rFonts w:hint="eastAsia" w:hAnsi="宋体"/>
          <w:color w:val="auto"/>
          <w:kern w:val="2"/>
        </w:rPr>
      </w:pPr>
      <w:r>
        <w:rPr>
          <w:rFonts w:hint="eastAsia" w:hAnsi="宋体"/>
          <w:color w:val="auto"/>
          <w:kern w:val="2"/>
        </w:rPr>
        <w:t>上述案件已完结，且天健已按期履行终审判决，不会对本所履行能力产生任何不利影响。</w:t>
      </w:r>
    </w:p>
    <w:p w14:paraId="1CA709F1">
      <w:pPr>
        <w:pStyle w:val="13"/>
        <w:spacing w:line="560" w:lineRule="exact"/>
        <w:rPr>
          <w:rFonts w:hint="eastAsia" w:hAnsi="宋体"/>
          <w:color w:val="auto"/>
          <w:kern w:val="2"/>
        </w:rPr>
      </w:pPr>
      <w:r>
        <w:rPr>
          <w:rFonts w:hint="eastAsia" w:hAnsi="宋体"/>
          <w:color w:val="auto"/>
          <w:kern w:val="2"/>
        </w:rPr>
        <w:t>3.诚信记录</w:t>
      </w:r>
    </w:p>
    <w:p w14:paraId="248E8ABA">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天健会计师事务所（特殊普通合伙）近三年（2022年1月1日至2024年12月31日）因执业行为受到行政处罚4次、监督管理措施13次、自律监管措施8次，纪律处分2次，未受到刑事处罚。67名从业人员近三年因执业行为受到行政处罚12人次、监督管理措施32人次、自律监管措施24人次、纪律处分13人次，未受到刑事处罚。</w:t>
      </w:r>
    </w:p>
    <w:p w14:paraId="1D667F1C">
      <w:pPr>
        <w:pStyle w:val="13"/>
        <w:spacing w:line="560" w:lineRule="exact"/>
        <w:rPr>
          <w:rFonts w:hint="eastAsia" w:hAnsi="宋体"/>
          <w:color w:val="auto"/>
          <w:kern w:val="2"/>
        </w:rPr>
      </w:pPr>
      <w:r>
        <w:rPr>
          <w:rFonts w:hint="eastAsia" w:hAnsi="宋体"/>
          <w:color w:val="auto"/>
          <w:kern w:val="2"/>
        </w:rPr>
        <w:t>（二）项目信息</w:t>
      </w:r>
    </w:p>
    <w:p w14:paraId="58E76EBE">
      <w:pPr>
        <w:pStyle w:val="13"/>
        <w:spacing w:line="560" w:lineRule="exact"/>
        <w:rPr>
          <w:rFonts w:hint="eastAsia" w:hAnsi="宋体"/>
          <w:color w:val="auto"/>
          <w:kern w:val="2"/>
        </w:rPr>
      </w:pPr>
      <w:r>
        <w:rPr>
          <w:rFonts w:hint="eastAsia" w:hAnsi="宋体"/>
          <w:color w:val="auto"/>
          <w:kern w:val="2"/>
        </w:rPr>
        <w:t>1.基本信息</w:t>
      </w:r>
    </w:p>
    <w:p w14:paraId="55E75F42">
      <w:pPr>
        <w:pStyle w:val="13"/>
        <w:spacing w:line="560" w:lineRule="exact"/>
        <w:ind w:firstLine="480" w:firstLineChars="200"/>
        <w:jc w:val="both"/>
        <w:rPr>
          <w:rFonts w:hint="eastAsia" w:hAnsi="宋体"/>
          <w:kern w:val="2"/>
        </w:rPr>
      </w:pPr>
      <w:r>
        <w:rPr>
          <w:rFonts w:hint="eastAsia" w:hAnsi="宋体"/>
          <w:kern w:val="2"/>
        </w:rPr>
        <w:t>项目合伙人及拟签字注册会计师1：黄巧梅，2000年成为注册会计师，1998年开始从事上市公司审计，2012年开始在天健会所执业，2024年10月开始为本公司提供审计服务；近三年签署或复核了川仪股份、北大医药、重庆啤酒等上市公司审计报告。</w:t>
      </w:r>
    </w:p>
    <w:p w14:paraId="671C06CC">
      <w:pPr>
        <w:pStyle w:val="13"/>
        <w:spacing w:line="560" w:lineRule="exact"/>
        <w:ind w:firstLine="480" w:firstLineChars="200"/>
        <w:jc w:val="both"/>
        <w:rPr>
          <w:rFonts w:hint="eastAsia" w:hAnsi="宋体"/>
          <w:kern w:val="2"/>
        </w:rPr>
      </w:pPr>
      <w:r>
        <w:rPr>
          <w:rFonts w:hint="eastAsia" w:hAnsi="宋体"/>
          <w:kern w:val="2"/>
        </w:rPr>
        <w:t>签字注册会计师2：李小燕，2013年成为注册会计师，2007年开始从事上市公司审计，2013年开始在会所执业，2024年10月开始为本公司提供审计服务；近三年签署了新大正、涪陵榨菜两家上市公司审计报告。</w:t>
      </w:r>
    </w:p>
    <w:p w14:paraId="5DC11300">
      <w:pPr>
        <w:pStyle w:val="13"/>
        <w:spacing w:line="560" w:lineRule="exact"/>
        <w:ind w:firstLine="480" w:firstLineChars="200"/>
        <w:jc w:val="both"/>
        <w:rPr>
          <w:rFonts w:hint="eastAsia" w:hAnsi="宋体"/>
          <w:color w:val="auto"/>
          <w:kern w:val="2"/>
        </w:rPr>
      </w:pPr>
      <w:r>
        <w:rPr>
          <w:rFonts w:hint="eastAsia" w:hAnsi="宋体"/>
          <w:kern w:val="2"/>
        </w:rPr>
        <w:t>项目质量控制复核人：李正卫，2006年成为注册会计师，2004年开始从事上市公司审计，2006年开始在天健会所执业，2024年10月开始为本公司提供审计服务；近三年签署或复核了杭州热点、天普股份、东方电缆等上市公司审计报告。</w:t>
      </w:r>
    </w:p>
    <w:p w14:paraId="1C40016C">
      <w:pPr>
        <w:pStyle w:val="13"/>
        <w:spacing w:line="560" w:lineRule="exact"/>
        <w:rPr>
          <w:rFonts w:hint="eastAsia" w:hAnsi="宋体"/>
          <w:color w:val="auto"/>
          <w:kern w:val="2"/>
        </w:rPr>
      </w:pPr>
      <w:r>
        <w:rPr>
          <w:rFonts w:hint="eastAsia" w:hAnsi="宋体"/>
          <w:color w:val="auto"/>
          <w:kern w:val="2"/>
        </w:rPr>
        <w:t>2.诚信记录</w:t>
      </w:r>
    </w:p>
    <w:p w14:paraId="5A8E344F">
      <w:pPr>
        <w:pStyle w:val="13"/>
        <w:spacing w:line="560" w:lineRule="exact"/>
        <w:ind w:firstLine="480" w:firstLineChars="200"/>
        <w:rPr>
          <w:rFonts w:hint="eastAsia" w:hAnsi="宋体"/>
          <w:color w:val="auto"/>
          <w:kern w:val="2"/>
        </w:rPr>
      </w:pPr>
      <w:r>
        <w:rPr>
          <w:rFonts w:hint="eastAsia" w:hAnsi="宋体"/>
        </w:rPr>
        <w:t>项目合伙人、签字注册会计师、项目质量控制复核人近三年未因执业行为受到刑事处罚，受到证监会及其派出机构、行业主管部门等的行政处罚、监督管理措施，受到证券交易所、行业协会等自律组织的自律监管措施、纪律处分。</w:t>
      </w:r>
    </w:p>
    <w:p w14:paraId="7AEEBA5F">
      <w:pPr>
        <w:pStyle w:val="13"/>
        <w:spacing w:line="560" w:lineRule="exact"/>
        <w:rPr>
          <w:rFonts w:hint="eastAsia" w:hAnsi="宋体"/>
          <w:color w:val="auto"/>
          <w:kern w:val="2"/>
        </w:rPr>
      </w:pPr>
      <w:r>
        <w:rPr>
          <w:rFonts w:hint="eastAsia" w:hAnsi="宋体"/>
          <w:color w:val="auto"/>
          <w:kern w:val="2"/>
        </w:rPr>
        <w:t>3.独立性</w:t>
      </w:r>
    </w:p>
    <w:p w14:paraId="2CABE647">
      <w:pPr>
        <w:pStyle w:val="13"/>
        <w:spacing w:line="560" w:lineRule="exact"/>
        <w:ind w:firstLine="480" w:firstLineChars="200"/>
        <w:rPr>
          <w:rFonts w:hint="eastAsia" w:hAnsi="宋体"/>
          <w:color w:val="auto"/>
          <w:kern w:val="2"/>
        </w:rPr>
      </w:pPr>
      <w:r>
        <w:rPr>
          <w:rFonts w:hint="eastAsia" w:hAnsi="宋体"/>
          <w:color w:val="auto"/>
          <w:kern w:val="2"/>
        </w:rPr>
        <w:t>天健会所及项目合伙人、签字注册会计师、项目质量控制复核人能够在执行本项目审计工作时保持独立性。</w:t>
      </w:r>
    </w:p>
    <w:p w14:paraId="72C268DA">
      <w:pPr>
        <w:pStyle w:val="13"/>
        <w:spacing w:line="560" w:lineRule="exact"/>
        <w:ind w:firstLine="0" w:firstLineChars="0"/>
        <w:rPr>
          <w:rFonts w:hint="eastAsia" w:hAnsi="宋体"/>
          <w:color w:val="auto"/>
          <w:kern w:val="2"/>
        </w:rPr>
      </w:pPr>
      <w:r>
        <w:rPr>
          <w:rFonts w:hint="eastAsia" w:hAnsi="宋体"/>
          <w:color w:val="auto"/>
          <w:kern w:val="2"/>
        </w:rPr>
        <w:t>4.审计收费</w:t>
      </w:r>
    </w:p>
    <w:p w14:paraId="0FB797E5">
      <w:pPr>
        <w:pStyle w:val="13"/>
        <w:spacing w:line="560" w:lineRule="exact"/>
        <w:ind w:firstLine="480" w:firstLineChars="200"/>
        <w:rPr>
          <w:rFonts w:hint="eastAsia" w:hAnsi="宋体"/>
          <w:color w:val="auto"/>
          <w:kern w:val="2"/>
        </w:rPr>
      </w:pPr>
      <w:r>
        <w:rPr>
          <w:rFonts w:hint="eastAsia" w:hAnsi="宋体"/>
          <w:color w:val="auto"/>
          <w:kern w:val="2"/>
        </w:rPr>
        <w:t>公司2024年年报审计费用130万元（含子公司），内控审计费用25万元；2025年度审计费用将根据公司的业务规模、所处行业和会计处理复杂程度等多方面因素，结合年报审计需配备的审计人员情况和投入的工作量由股东大会授权公司管理层与天健会所协商确定，预计和2024年度不会产生较大差异。</w:t>
      </w:r>
    </w:p>
    <w:p w14:paraId="0EC7BFEA">
      <w:pPr>
        <w:adjustRightInd w:val="0"/>
        <w:snapToGrid w:val="0"/>
        <w:spacing w:line="560" w:lineRule="exact"/>
        <w:rPr>
          <w:rFonts w:hint="eastAsia" w:ascii="宋体" w:hAnsi="宋体" w:eastAsia="宋体" w:cs="宋体"/>
          <w:b/>
          <w:bCs/>
          <w:sz w:val="24"/>
          <w:szCs w:val="24"/>
        </w:rPr>
      </w:pPr>
      <w:r>
        <w:rPr>
          <w:rFonts w:hint="eastAsia" w:ascii="宋体" w:hAnsi="宋体" w:eastAsia="宋体" w:cs="宋体"/>
          <w:b/>
          <w:bCs/>
          <w:sz w:val="24"/>
          <w:szCs w:val="24"/>
        </w:rPr>
        <w:t>二、拟续聘会计事务所履行的程序</w:t>
      </w:r>
    </w:p>
    <w:p w14:paraId="74E42568">
      <w:pPr>
        <w:adjustRightInd w:val="0"/>
        <w:snapToGrid w:val="0"/>
        <w:spacing w:line="560" w:lineRule="exact"/>
        <w:rPr>
          <w:rFonts w:hint="eastAsia" w:ascii="宋体" w:hAnsi="宋体" w:eastAsia="宋体" w:cs="宋体"/>
          <w:sz w:val="24"/>
          <w:szCs w:val="24"/>
        </w:rPr>
      </w:pPr>
      <w:r>
        <w:rPr>
          <w:rFonts w:hint="eastAsia" w:ascii="宋体" w:hAnsi="宋体" w:eastAsia="宋体" w:cs="宋体"/>
          <w:sz w:val="24"/>
          <w:szCs w:val="24"/>
        </w:rPr>
        <w:t>（一）审计委员会审议意见</w:t>
      </w:r>
    </w:p>
    <w:p w14:paraId="364E6D81">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审计委员会查阅了天健会所有关资格证照、相关信息和诚信记录，认可天健会所的独立性、专业胜任能力、投资者保护能力。天健会所在担任公司财务报告及内部控制审计机构期间，严格按照国家相关法律法规的规定，遵守职业道德规范，坚持独立、客观、公正的审计原则，严格按照审计准则的规定执行审计工作。公司审计委员会向董事会提议续聘天健会所为公司2025年度财务报告及内部控制的审计机构。</w:t>
      </w:r>
    </w:p>
    <w:p w14:paraId="074EFE79">
      <w:pPr>
        <w:adjustRightInd w:val="0"/>
        <w:snapToGrid w:val="0"/>
        <w:spacing w:line="560" w:lineRule="exact"/>
        <w:rPr>
          <w:rFonts w:hint="eastAsia" w:ascii="宋体" w:hAnsi="宋体" w:eastAsia="宋体" w:cs="宋体"/>
          <w:sz w:val="24"/>
          <w:szCs w:val="24"/>
        </w:rPr>
      </w:pPr>
      <w:r>
        <w:rPr>
          <w:rFonts w:hint="eastAsia" w:ascii="宋体" w:hAnsi="宋体" w:eastAsia="宋体" w:cs="宋体"/>
          <w:sz w:val="24"/>
          <w:szCs w:val="24"/>
        </w:rPr>
        <w:t>（二）董事会的审议和表决情况</w:t>
      </w:r>
    </w:p>
    <w:p w14:paraId="62C68650">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于2025年4月24日召开第四届董事会第十二次会议及第四届监事会第十一次会议，审议通过了《关于续聘会计师事务所的议案》，同意公司续聘天健会计师事务所（特殊普通合伙）为公司2025年度财务报告和内部控制审计机构。</w:t>
      </w:r>
    </w:p>
    <w:p w14:paraId="384CD90A">
      <w:pPr>
        <w:adjustRightInd w:val="0"/>
        <w:snapToGrid w:val="0"/>
        <w:spacing w:line="560" w:lineRule="exact"/>
        <w:rPr>
          <w:rFonts w:hint="eastAsia" w:ascii="宋体" w:hAnsi="宋体" w:eastAsia="宋体" w:cs="宋体"/>
          <w:sz w:val="24"/>
          <w:szCs w:val="24"/>
        </w:rPr>
      </w:pPr>
      <w:r>
        <w:rPr>
          <w:rFonts w:hint="eastAsia" w:ascii="宋体" w:hAnsi="宋体" w:eastAsia="宋体" w:cs="宋体"/>
          <w:sz w:val="24"/>
          <w:szCs w:val="24"/>
        </w:rPr>
        <w:t>（三）生效日期</w:t>
      </w:r>
    </w:p>
    <w:p w14:paraId="530959EA">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本次聘任会计师事务所事项尚需提交公司2024年年度股东会审议，并自公司2024年年度股东会审议通过之日起生效。</w:t>
      </w:r>
    </w:p>
    <w:p w14:paraId="22CAB0E6">
      <w:pPr>
        <w:adjustRightInd w:val="0"/>
        <w:snapToGrid w:val="0"/>
        <w:spacing w:line="5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特此公告。</w:t>
      </w:r>
    </w:p>
    <w:p w14:paraId="352DB276">
      <w:pPr>
        <w:adjustRightInd w:val="0"/>
        <w:snapToGrid w:val="0"/>
        <w:spacing w:line="560" w:lineRule="exact"/>
        <w:ind w:firstLine="480" w:firstLineChars="200"/>
        <w:jc w:val="right"/>
        <w:rPr>
          <w:rFonts w:hint="eastAsia" w:ascii="宋体" w:hAnsi="宋体" w:eastAsia="宋体" w:cs="宋体"/>
          <w:color w:val="000000"/>
          <w:sz w:val="24"/>
          <w:szCs w:val="24"/>
        </w:rPr>
      </w:pPr>
      <w:r>
        <w:rPr>
          <w:rFonts w:hint="eastAsia" w:ascii="宋体" w:hAnsi="宋体" w:eastAsia="宋体" w:cs="宋体"/>
          <w:color w:val="000000"/>
          <w:kern w:val="0"/>
          <w:sz w:val="24"/>
          <w:szCs w:val="24"/>
        </w:rPr>
        <w:t>重庆望变电气（集团）股份有限公司</w:t>
      </w:r>
      <w:r>
        <w:rPr>
          <w:rFonts w:hint="eastAsia" w:ascii="宋体" w:hAnsi="宋体" w:eastAsia="宋体" w:cs="宋体"/>
          <w:color w:val="000000"/>
          <w:sz w:val="24"/>
          <w:szCs w:val="24"/>
        </w:rPr>
        <w:t>董事会</w:t>
      </w:r>
    </w:p>
    <w:p w14:paraId="35242D2A">
      <w:pPr>
        <w:adjustRightInd w:val="0"/>
        <w:snapToGrid w:val="0"/>
        <w:spacing w:line="560" w:lineRule="exact"/>
        <w:ind w:firstLine="480" w:firstLineChars="200"/>
        <w:jc w:val="right"/>
        <w:rPr>
          <w:rFonts w:hint="eastAsia" w:ascii="宋体" w:hAnsi="宋体" w:eastAsia="宋体" w:cs="宋体"/>
          <w:color w:val="000000"/>
          <w:sz w:val="24"/>
          <w:szCs w:val="24"/>
        </w:rPr>
      </w:pPr>
      <w:r>
        <w:rPr>
          <w:rFonts w:hint="eastAsia" w:ascii="宋体" w:hAnsi="宋体" w:eastAsia="宋体" w:cs="宋体"/>
          <w:color w:val="000000"/>
          <w:sz w:val="24"/>
          <w:szCs w:val="24"/>
        </w:rPr>
        <w:t>2025年4月26日</w:t>
      </w:r>
    </w:p>
    <w:p w14:paraId="79BDD8F7">
      <w:pPr>
        <w:adjustRightInd w:val="0"/>
        <w:snapToGrid w:val="0"/>
        <w:spacing w:line="560" w:lineRule="exact"/>
        <w:ind w:firstLine="0" w:firstLineChars="0"/>
        <w:rPr>
          <w:rFonts w:hint="eastAsia" w:ascii="仿宋_GB2312" w:hAnsi="宋体" w:eastAsia="仿宋_GB2312" w:cs="宋体"/>
          <w:kern w:val="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14:paraId="0DF292D9">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9C792"/>
    <w:multiLevelType w:val="singleLevel"/>
    <w:tmpl w:val="7309C792"/>
    <w:lvl w:ilvl="0" w:tentative="0">
      <w:start w:val="1"/>
      <w:numFmt w:val="chineseCounting"/>
      <w:suff w:val="nothing"/>
      <w:lvlText w:val="%1、"/>
      <w:lvlJc w:val="left"/>
      <w:rPr>
        <w:rFonts w:hint="eastAsia"/>
      </w:rPr>
    </w:lvl>
  </w:abstractNum>
  <w:abstractNum w:abstractNumId="1">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1827E2"/>
    <w:rsid w:val="0008555B"/>
    <w:rsid w:val="000B1A1F"/>
    <w:rsid w:val="000C7349"/>
    <w:rsid w:val="00113A09"/>
    <w:rsid w:val="00122817"/>
    <w:rsid w:val="00123266"/>
    <w:rsid w:val="001301B5"/>
    <w:rsid w:val="0014777F"/>
    <w:rsid w:val="00185707"/>
    <w:rsid w:val="00192BD0"/>
    <w:rsid w:val="001A727A"/>
    <w:rsid w:val="001D06CF"/>
    <w:rsid w:val="001F2458"/>
    <w:rsid w:val="00207B64"/>
    <w:rsid w:val="00215499"/>
    <w:rsid w:val="00225FE6"/>
    <w:rsid w:val="00252550"/>
    <w:rsid w:val="00273620"/>
    <w:rsid w:val="002D7525"/>
    <w:rsid w:val="00327E6D"/>
    <w:rsid w:val="0034535F"/>
    <w:rsid w:val="003571E3"/>
    <w:rsid w:val="00391A1B"/>
    <w:rsid w:val="003E205A"/>
    <w:rsid w:val="003E38F1"/>
    <w:rsid w:val="00466DF7"/>
    <w:rsid w:val="004A53BD"/>
    <w:rsid w:val="004A790E"/>
    <w:rsid w:val="004B2D8B"/>
    <w:rsid w:val="004B5841"/>
    <w:rsid w:val="004D041E"/>
    <w:rsid w:val="004D0E8E"/>
    <w:rsid w:val="00522BE2"/>
    <w:rsid w:val="005429C2"/>
    <w:rsid w:val="0055216A"/>
    <w:rsid w:val="005A2954"/>
    <w:rsid w:val="006150E2"/>
    <w:rsid w:val="00617ED4"/>
    <w:rsid w:val="00641F09"/>
    <w:rsid w:val="0066121B"/>
    <w:rsid w:val="006704CD"/>
    <w:rsid w:val="006B118F"/>
    <w:rsid w:val="006D110D"/>
    <w:rsid w:val="006E4DD1"/>
    <w:rsid w:val="006E4E29"/>
    <w:rsid w:val="00704F5A"/>
    <w:rsid w:val="00726F44"/>
    <w:rsid w:val="00787078"/>
    <w:rsid w:val="007B073D"/>
    <w:rsid w:val="007B1916"/>
    <w:rsid w:val="007C3FFA"/>
    <w:rsid w:val="008320FC"/>
    <w:rsid w:val="008F65DD"/>
    <w:rsid w:val="0090186C"/>
    <w:rsid w:val="00915D39"/>
    <w:rsid w:val="00927CFD"/>
    <w:rsid w:val="00947C32"/>
    <w:rsid w:val="00984D32"/>
    <w:rsid w:val="009B47DE"/>
    <w:rsid w:val="009D1A30"/>
    <w:rsid w:val="009E3152"/>
    <w:rsid w:val="00A032FD"/>
    <w:rsid w:val="00A51C23"/>
    <w:rsid w:val="00A576A4"/>
    <w:rsid w:val="00A823F8"/>
    <w:rsid w:val="00AC3419"/>
    <w:rsid w:val="00B05852"/>
    <w:rsid w:val="00B26F75"/>
    <w:rsid w:val="00B31343"/>
    <w:rsid w:val="00BA79DA"/>
    <w:rsid w:val="00BB61B6"/>
    <w:rsid w:val="00BC233A"/>
    <w:rsid w:val="00BF7BDB"/>
    <w:rsid w:val="00C3415D"/>
    <w:rsid w:val="00C47186"/>
    <w:rsid w:val="00C83ADD"/>
    <w:rsid w:val="00D43349"/>
    <w:rsid w:val="00D45861"/>
    <w:rsid w:val="00D46F41"/>
    <w:rsid w:val="00D8189C"/>
    <w:rsid w:val="00DB744D"/>
    <w:rsid w:val="00DD62E6"/>
    <w:rsid w:val="00DF73E8"/>
    <w:rsid w:val="00E25374"/>
    <w:rsid w:val="00E301F1"/>
    <w:rsid w:val="00E558AE"/>
    <w:rsid w:val="00E95F43"/>
    <w:rsid w:val="00EC496E"/>
    <w:rsid w:val="00EE084C"/>
    <w:rsid w:val="00F0268C"/>
    <w:rsid w:val="00F66C92"/>
    <w:rsid w:val="00F670DD"/>
    <w:rsid w:val="00FE6306"/>
    <w:rsid w:val="00FF7741"/>
    <w:rsid w:val="1B5E0433"/>
    <w:rsid w:val="42E17B48"/>
    <w:rsid w:val="45462836"/>
    <w:rsid w:val="4A2B1C67"/>
    <w:rsid w:val="4D3C7F6B"/>
    <w:rsid w:val="5150387B"/>
    <w:rsid w:val="521827E2"/>
    <w:rsid w:val="53E72565"/>
    <w:rsid w:val="54CA7B2B"/>
    <w:rsid w:val="67E60135"/>
    <w:rsid w:val="77D1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9"/>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paragraph" w:customStyle="1" w:styleId="1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4">
    <w:name w:val="页眉 字符"/>
    <w:basedOn w:val="10"/>
    <w:link w:val="5"/>
    <w:qFormat/>
    <w:uiPriority w:val="0"/>
    <w:rPr>
      <w:kern w:val="2"/>
      <w:sz w:val="18"/>
      <w:szCs w:val="18"/>
    </w:rPr>
  </w:style>
  <w:style w:type="character" w:customStyle="1" w:styleId="15">
    <w:name w:val="页脚 字符"/>
    <w:basedOn w:val="10"/>
    <w:link w:val="4"/>
    <w:qFormat/>
    <w:uiPriority w:val="99"/>
    <w:rPr>
      <w:kern w:val="2"/>
      <w:sz w:val="18"/>
      <w:szCs w:val="18"/>
    </w:rPr>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批注框文本 字符"/>
    <w:basedOn w:val="10"/>
    <w:link w:val="3"/>
    <w:qFormat/>
    <w:uiPriority w:val="0"/>
    <w:rPr>
      <w:kern w:val="2"/>
      <w:sz w:val="18"/>
      <w:szCs w:val="18"/>
    </w:rPr>
  </w:style>
  <w:style w:type="character" w:customStyle="1" w:styleId="18">
    <w:name w:val="批注文字 字符"/>
    <w:basedOn w:val="10"/>
    <w:link w:val="2"/>
    <w:qFormat/>
    <w:uiPriority w:val="0"/>
    <w:rPr>
      <w:kern w:val="2"/>
      <w:sz w:val="21"/>
      <w:szCs w:val="22"/>
    </w:rPr>
  </w:style>
  <w:style w:type="character" w:customStyle="1" w:styleId="19">
    <w:name w:val="批注主题 字符"/>
    <w:basedOn w:val="18"/>
    <w:link w:val="7"/>
    <w:qFormat/>
    <w:uiPriority w:val="0"/>
    <w:rPr>
      <w:b/>
      <w:bCs/>
      <w:kern w:val="2"/>
      <w:sz w:val="21"/>
      <w:szCs w:val="22"/>
    </w:rPr>
  </w:style>
  <w:style w:type="paragraph" w:customStyle="1" w:styleId="20">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2124</Words>
  <Characters>2282</Characters>
  <Lines>17</Lines>
  <Paragraphs>4</Paragraphs>
  <TotalTime>23</TotalTime>
  <ScaleCrop>false</ScaleCrop>
  <LinksUpToDate>false</LinksUpToDate>
  <CharactersWithSpaces>2299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2022-05-10T03:26:00Z</dcterms:created>
  <dc:creator>BJB-ZB-03</dc:creator>
  <cp:lastModifiedBy>雯亦</cp:lastModifiedBy>
  <dcterms:modified xsi:type="dcterms:W3CDTF">2025-04-24T06:12:09Z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eyJoZGlkIjoiZTQzZmRmZDMxMjkwMDE2NTk0ZWQ1ZWYwMzRmYjVhNmUiLCJ1c2VySWQiOiI2NDQwNzQxNTQifQ==</vt:lpwstr>
  </property>
  <property fmtid="{D5CDD505-2E9C-101B-9397-08002B2CF9AE}" pid="4" name="ICV">
    <vt:lpwstr>F87A1BA6A18A4DA9AF83F9DD7A7B4AA3_13</vt:lpwstr>
  </property>
</Properties>
</file>