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D44AB">
      <w:pPr>
        <w:pStyle w:val="12"/>
      </w:pPr>
    </w:p>
    <w:p w14:paraId="33163DF9">
      <w:pPr>
        <w:jc w:val="center"/>
        <w:rPr>
          <w:rFonts w:ascii="仿宋" w:hAnsi="仿宋" w:eastAsia="仿宋" w:cs="仿宋"/>
          <w:b/>
          <w:bCs/>
          <w:sz w:val="44"/>
          <w:szCs w:val="44"/>
        </w:rPr>
      </w:pPr>
      <w:r>
        <w:rPr>
          <w:rFonts w:hint="eastAsia" w:ascii="仿宋" w:hAnsi="仿宋" w:eastAsia="仿宋" w:cs="仿宋"/>
          <w:b/>
          <w:bCs/>
          <w:sz w:val="44"/>
          <w:szCs w:val="44"/>
        </w:rPr>
        <w:t>重庆望变电气（集团）股份有限公司</w:t>
      </w:r>
    </w:p>
    <w:p w14:paraId="74340762">
      <w:pPr>
        <w:jc w:val="center"/>
        <w:rPr>
          <w:rFonts w:ascii="黑体" w:hAnsi="黑体" w:eastAsia="仿宋"/>
          <w:b/>
          <w:bCs/>
          <w:color w:val="000000"/>
          <w:sz w:val="36"/>
        </w:rPr>
      </w:pPr>
      <w:r>
        <w:rPr>
          <w:rFonts w:hint="eastAsia" w:ascii="仿宋" w:hAnsi="仿宋" w:eastAsia="仿宋" w:cs="仿宋"/>
          <w:b/>
          <w:bCs/>
          <w:sz w:val="44"/>
          <w:szCs w:val="44"/>
        </w:rPr>
        <w:t>董事会</w:t>
      </w:r>
      <w:r>
        <w:rPr>
          <w:rFonts w:hint="eastAsia" w:ascii="仿宋" w:hAnsi="仿宋" w:eastAsia="仿宋" w:cs="仿宋"/>
          <w:b/>
          <w:bCs/>
          <w:color w:val="000000"/>
          <w:sz w:val="44"/>
          <w:szCs w:val="44"/>
        </w:rPr>
        <w:t>关于202</w:t>
      </w:r>
      <w:r>
        <w:rPr>
          <w:rFonts w:ascii="仿宋" w:hAnsi="仿宋" w:eastAsia="仿宋" w:cs="仿宋"/>
          <w:b/>
          <w:bCs/>
          <w:color w:val="000000"/>
          <w:sz w:val="44"/>
          <w:szCs w:val="44"/>
        </w:rPr>
        <w:t>4</w:t>
      </w:r>
      <w:r>
        <w:rPr>
          <w:rFonts w:hint="eastAsia" w:ascii="仿宋" w:hAnsi="仿宋" w:eastAsia="仿宋" w:cs="仿宋"/>
          <w:b/>
          <w:bCs/>
          <w:color w:val="000000"/>
          <w:sz w:val="44"/>
          <w:szCs w:val="44"/>
        </w:rPr>
        <w:t>年度对会计师事务所履职情况评估报告</w:t>
      </w:r>
    </w:p>
    <w:p w14:paraId="0E49B0DC">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重庆望变电气（集团）股份有限公司（以下简称“公司”）聘请天健会计师事务所（特殊普通合伙）</w:t>
      </w:r>
      <w:bookmarkStart w:id="1" w:name="_GoBack"/>
      <w:bookmarkEnd w:id="1"/>
      <w:r>
        <w:rPr>
          <w:rFonts w:hint="eastAsia" w:ascii="仿宋" w:hAnsi="仿宋" w:eastAsia="仿宋" w:cs="仿宋"/>
          <w:color w:val="000000"/>
          <w:sz w:val="32"/>
          <w:szCs w:val="32"/>
        </w:rPr>
        <w:t>（以下简称“天健会所”）作为公司202</w:t>
      </w:r>
      <w:r>
        <w:rPr>
          <w:rFonts w:ascii="仿宋" w:hAnsi="仿宋" w:eastAsia="仿宋" w:cs="仿宋"/>
          <w:color w:val="000000"/>
          <w:sz w:val="32"/>
          <w:szCs w:val="32"/>
        </w:rPr>
        <w:t>4</w:t>
      </w:r>
      <w:r>
        <w:rPr>
          <w:rFonts w:hint="eastAsia" w:ascii="仿宋" w:hAnsi="仿宋" w:eastAsia="仿宋" w:cs="仿宋"/>
          <w:color w:val="000000"/>
          <w:sz w:val="32"/>
          <w:szCs w:val="32"/>
        </w:rPr>
        <w:t>年度财务及内部控制审计机构。根据相关法律、法规及规章制度的规定，公司对天健会所202</w:t>
      </w:r>
      <w:r>
        <w:rPr>
          <w:rFonts w:ascii="仿宋" w:hAnsi="仿宋" w:eastAsia="仿宋" w:cs="仿宋"/>
          <w:color w:val="000000"/>
          <w:sz w:val="32"/>
          <w:szCs w:val="32"/>
        </w:rPr>
        <w:t>4</w:t>
      </w:r>
      <w:r>
        <w:rPr>
          <w:rFonts w:hint="eastAsia" w:ascii="仿宋" w:hAnsi="仿宋" w:eastAsia="仿宋" w:cs="仿宋"/>
          <w:color w:val="000000"/>
          <w:sz w:val="32"/>
          <w:szCs w:val="32"/>
        </w:rPr>
        <w:t>年度履职情况进行了评估。经评估，公司认为天健会所具备为上市公司提供审计服务的经验、专业胜任能力、投资者保护能力和良好的诚信状况，恪尽职守，遵循独立、客观、公正的执业准则，较好地完成了各项审计工作，具体情况如下：</w:t>
      </w:r>
    </w:p>
    <w:p w14:paraId="5C446CF0">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一、资质条件</w:t>
      </w:r>
    </w:p>
    <w:p w14:paraId="5720C0B5">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天健会所成立于201</w:t>
      </w:r>
      <w:r>
        <w:rPr>
          <w:rFonts w:ascii="仿宋" w:hAnsi="仿宋" w:eastAsia="仿宋" w:cs="仿宋"/>
          <w:color w:val="000000"/>
          <w:sz w:val="32"/>
          <w:szCs w:val="32"/>
        </w:rPr>
        <w:t>1</w:t>
      </w:r>
      <w:r>
        <w:rPr>
          <w:rFonts w:hint="eastAsia" w:ascii="仿宋" w:hAnsi="仿宋" w:eastAsia="仿宋" w:cs="仿宋"/>
          <w:color w:val="000000"/>
          <w:sz w:val="32"/>
          <w:szCs w:val="32"/>
        </w:rPr>
        <w:t>年</w:t>
      </w:r>
      <w:r>
        <w:rPr>
          <w:rFonts w:ascii="仿宋" w:hAnsi="仿宋" w:eastAsia="仿宋" w:cs="仿宋"/>
          <w:color w:val="000000"/>
          <w:sz w:val="32"/>
          <w:szCs w:val="32"/>
        </w:rPr>
        <w:t>7</w:t>
      </w:r>
      <w:r>
        <w:rPr>
          <w:rFonts w:hint="eastAsia" w:ascii="仿宋" w:hAnsi="仿宋" w:eastAsia="仿宋" w:cs="仿宋"/>
          <w:color w:val="000000"/>
          <w:sz w:val="32"/>
          <w:szCs w:val="32"/>
        </w:rPr>
        <w:t>月</w:t>
      </w:r>
      <w:r>
        <w:rPr>
          <w:rFonts w:ascii="仿宋" w:hAnsi="仿宋" w:eastAsia="仿宋" w:cs="仿宋"/>
          <w:color w:val="000000"/>
          <w:sz w:val="32"/>
          <w:szCs w:val="32"/>
        </w:rPr>
        <w:t>18</w:t>
      </w:r>
      <w:r>
        <w:rPr>
          <w:rFonts w:hint="eastAsia" w:ascii="仿宋" w:hAnsi="仿宋" w:eastAsia="仿宋" w:cs="仿宋"/>
          <w:color w:val="000000"/>
          <w:sz w:val="32"/>
          <w:szCs w:val="32"/>
        </w:rPr>
        <w:t>日，组织形式为特殊普通合伙，注册地址为浙江省杭州市西湖区灵隐街道西溪路128号，首席合伙人为钟建国。</w:t>
      </w:r>
    </w:p>
    <w:p w14:paraId="63A3B310">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截至202</w:t>
      </w:r>
      <w:r>
        <w:rPr>
          <w:rFonts w:ascii="仿宋" w:hAnsi="仿宋" w:eastAsia="仿宋" w:cs="仿宋"/>
          <w:color w:val="000000"/>
          <w:sz w:val="32"/>
          <w:szCs w:val="32"/>
        </w:rPr>
        <w:t>4</w:t>
      </w:r>
      <w:r>
        <w:rPr>
          <w:rFonts w:hint="eastAsia" w:ascii="仿宋" w:hAnsi="仿宋" w:eastAsia="仿宋" w:cs="仿宋"/>
          <w:color w:val="000000"/>
          <w:sz w:val="32"/>
          <w:szCs w:val="32"/>
        </w:rPr>
        <w:t>年12月31日，天健会所共有合伙人241人，注册会计师2356人，其中签署过证券服务业务审计报告的注册会计师人数有904人。</w:t>
      </w:r>
    </w:p>
    <w:p w14:paraId="45DFC423">
      <w:pPr>
        <w:pStyle w:val="7"/>
        <w:shd w:val="clear" w:color="auto" w:fill="FFFFFF"/>
        <w:spacing w:before="0" w:after="0" w:line="480" w:lineRule="atLeast"/>
        <w:ind w:firstLine="640"/>
        <w:jc w:val="both"/>
        <w:rPr>
          <w:rFonts w:ascii="仿宋" w:hAnsi="仿宋" w:eastAsia="仿宋" w:cs="仿宋"/>
          <w:color w:val="000000"/>
          <w:kern w:val="2"/>
          <w:sz w:val="32"/>
          <w:szCs w:val="32"/>
        </w:rPr>
      </w:pPr>
      <w:bookmarkStart w:id="0" w:name="_Hlk111825735"/>
      <w:r>
        <w:rPr>
          <w:rFonts w:hint="eastAsia" w:ascii="仿宋" w:hAnsi="仿宋" w:eastAsia="仿宋" w:cs="仿宋"/>
          <w:color w:val="000000"/>
          <w:kern w:val="2"/>
          <w:sz w:val="32"/>
          <w:szCs w:val="32"/>
        </w:rPr>
        <w:t>202</w:t>
      </w:r>
      <w:r>
        <w:rPr>
          <w:rFonts w:ascii="仿宋" w:hAnsi="仿宋" w:eastAsia="仿宋" w:cs="仿宋"/>
          <w:color w:val="000000"/>
          <w:kern w:val="2"/>
          <w:sz w:val="32"/>
          <w:szCs w:val="32"/>
        </w:rPr>
        <w:t>3</w:t>
      </w:r>
      <w:r>
        <w:rPr>
          <w:rFonts w:hint="eastAsia" w:ascii="仿宋" w:hAnsi="仿宋" w:eastAsia="仿宋" w:cs="仿宋"/>
          <w:color w:val="000000"/>
          <w:kern w:val="2"/>
          <w:sz w:val="32"/>
          <w:szCs w:val="32"/>
        </w:rPr>
        <w:t>年度业务总收入：</w:t>
      </w:r>
      <w:r>
        <w:rPr>
          <w:rFonts w:ascii="仿宋" w:hAnsi="仿宋" w:eastAsia="仿宋" w:cs="仿宋"/>
          <w:color w:val="000000"/>
          <w:kern w:val="2"/>
          <w:sz w:val="32"/>
          <w:szCs w:val="32"/>
        </w:rPr>
        <w:t>34.83</w:t>
      </w:r>
      <w:r>
        <w:rPr>
          <w:rFonts w:hint="eastAsia" w:ascii="仿宋" w:hAnsi="仿宋" w:eastAsia="仿宋" w:cs="仿宋"/>
          <w:color w:val="000000"/>
          <w:kern w:val="2"/>
          <w:sz w:val="32"/>
          <w:szCs w:val="32"/>
        </w:rPr>
        <w:t>亿元，202</w:t>
      </w:r>
      <w:r>
        <w:rPr>
          <w:rFonts w:ascii="仿宋" w:hAnsi="仿宋" w:eastAsia="仿宋" w:cs="仿宋"/>
          <w:color w:val="000000"/>
          <w:kern w:val="2"/>
          <w:sz w:val="32"/>
          <w:szCs w:val="32"/>
        </w:rPr>
        <w:t>3</w:t>
      </w:r>
      <w:r>
        <w:rPr>
          <w:rFonts w:hint="eastAsia" w:ascii="仿宋" w:hAnsi="仿宋" w:eastAsia="仿宋" w:cs="仿宋"/>
          <w:color w:val="000000"/>
          <w:kern w:val="2"/>
          <w:sz w:val="32"/>
          <w:szCs w:val="32"/>
        </w:rPr>
        <w:t>年度审计业务收入：</w:t>
      </w:r>
      <w:r>
        <w:rPr>
          <w:rFonts w:ascii="仿宋" w:hAnsi="仿宋" w:eastAsia="仿宋" w:cs="仿宋"/>
          <w:color w:val="000000"/>
          <w:kern w:val="2"/>
          <w:sz w:val="32"/>
          <w:szCs w:val="32"/>
        </w:rPr>
        <w:t>30.99</w:t>
      </w:r>
      <w:r>
        <w:rPr>
          <w:rFonts w:hint="eastAsia" w:ascii="仿宋" w:hAnsi="仿宋" w:eastAsia="仿宋" w:cs="仿宋"/>
          <w:color w:val="000000"/>
          <w:kern w:val="2"/>
          <w:sz w:val="32"/>
          <w:szCs w:val="32"/>
        </w:rPr>
        <w:t>亿元，202</w:t>
      </w:r>
      <w:r>
        <w:rPr>
          <w:rFonts w:ascii="仿宋" w:hAnsi="仿宋" w:eastAsia="仿宋" w:cs="仿宋"/>
          <w:color w:val="000000"/>
          <w:kern w:val="2"/>
          <w:sz w:val="32"/>
          <w:szCs w:val="32"/>
        </w:rPr>
        <w:t>3</w:t>
      </w:r>
      <w:r>
        <w:rPr>
          <w:rFonts w:hint="eastAsia" w:ascii="仿宋" w:hAnsi="仿宋" w:eastAsia="仿宋" w:cs="仿宋"/>
          <w:color w:val="000000"/>
          <w:kern w:val="2"/>
          <w:sz w:val="32"/>
          <w:szCs w:val="32"/>
        </w:rPr>
        <w:t>年度证券业务收入：</w:t>
      </w:r>
      <w:r>
        <w:rPr>
          <w:rFonts w:ascii="仿宋" w:hAnsi="仿宋" w:eastAsia="仿宋" w:cs="仿宋"/>
          <w:color w:val="000000"/>
          <w:kern w:val="2"/>
          <w:sz w:val="32"/>
          <w:szCs w:val="32"/>
        </w:rPr>
        <w:t>18.40</w:t>
      </w:r>
      <w:r>
        <w:rPr>
          <w:rFonts w:hint="eastAsia" w:ascii="仿宋" w:hAnsi="仿宋" w:eastAsia="仿宋" w:cs="仿宋"/>
          <w:color w:val="000000"/>
          <w:kern w:val="2"/>
          <w:sz w:val="32"/>
          <w:szCs w:val="32"/>
        </w:rPr>
        <w:t>亿元，202</w:t>
      </w:r>
      <w:r>
        <w:rPr>
          <w:rFonts w:ascii="仿宋" w:hAnsi="仿宋" w:eastAsia="仿宋" w:cs="仿宋"/>
          <w:color w:val="000000"/>
          <w:kern w:val="2"/>
          <w:sz w:val="32"/>
          <w:szCs w:val="32"/>
        </w:rPr>
        <w:t>3</w:t>
      </w:r>
      <w:r>
        <w:rPr>
          <w:rFonts w:hint="eastAsia" w:ascii="仿宋" w:hAnsi="仿宋" w:eastAsia="仿宋" w:cs="仿宋"/>
          <w:color w:val="000000"/>
          <w:kern w:val="2"/>
          <w:sz w:val="32"/>
          <w:szCs w:val="32"/>
        </w:rPr>
        <w:t>年度上市公司审计客户家数：</w:t>
      </w:r>
      <w:bookmarkEnd w:id="0"/>
      <w:r>
        <w:rPr>
          <w:rFonts w:ascii="仿宋" w:hAnsi="仿宋" w:eastAsia="仿宋" w:cs="仿宋"/>
          <w:color w:val="000000"/>
          <w:kern w:val="2"/>
          <w:sz w:val="32"/>
          <w:szCs w:val="32"/>
        </w:rPr>
        <w:t>675</w:t>
      </w:r>
      <w:r>
        <w:rPr>
          <w:rFonts w:hint="eastAsia" w:ascii="仿宋" w:hAnsi="仿宋" w:eastAsia="仿宋" w:cs="仿宋"/>
          <w:color w:val="000000"/>
          <w:kern w:val="2"/>
          <w:sz w:val="32"/>
          <w:szCs w:val="32"/>
        </w:rPr>
        <w:t>；主要承接制造业、信息传输软件和信息技术服务业、批发和零售业、电力、热力、燃气及水生产和供应业相关行业审计业务公司。</w:t>
      </w:r>
    </w:p>
    <w:p w14:paraId="1BC2283D">
      <w:pPr>
        <w:pStyle w:val="12"/>
        <w:spacing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天健会所在望变电气同行业上市公司的审计客户家数为</w:t>
      </w:r>
      <w:r>
        <w:rPr>
          <w:rFonts w:ascii="仿宋" w:hAnsi="仿宋" w:eastAsia="仿宋" w:cs="仿宋"/>
          <w:kern w:val="2"/>
          <w:sz w:val="32"/>
          <w:szCs w:val="32"/>
        </w:rPr>
        <w:t>513</w:t>
      </w:r>
      <w:r>
        <w:rPr>
          <w:rFonts w:hint="eastAsia" w:ascii="仿宋" w:hAnsi="仿宋" w:eastAsia="仿宋" w:cs="仿宋"/>
          <w:kern w:val="2"/>
          <w:sz w:val="32"/>
          <w:szCs w:val="32"/>
        </w:rPr>
        <w:t>家。</w:t>
      </w:r>
    </w:p>
    <w:p w14:paraId="50C0FE0E">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二、执业记录</w:t>
      </w:r>
    </w:p>
    <w:p w14:paraId="2F1E80EF">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1、基本信息</w:t>
      </w:r>
    </w:p>
    <w:p w14:paraId="6398F1DE">
      <w:pPr>
        <w:pStyle w:val="12"/>
        <w:spacing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项目合伙人及拟签字注册会计师1：黄巧梅，200</w:t>
      </w:r>
      <w:r>
        <w:rPr>
          <w:rFonts w:ascii="仿宋" w:hAnsi="仿宋" w:eastAsia="仿宋" w:cs="仿宋"/>
          <w:kern w:val="2"/>
          <w:sz w:val="32"/>
          <w:szCs w:val="32"/>
        </w:rPr>
        <w:t>0</w:t>
      </w:r>
      <w:r>
        <w:rPr>
          <w:rFonts w:hint="eastAsia" w:ascii="仿宋" w:hAnsi="仿宋" w:eastAsia="仿宋" w:cs="仿宋"/>
          <w:kern w:val="2"/>
          <w:sz w:val="32"/>
          <w:szCs w:val="32"/>
        </w:rPr>
        <w:t>年成为注册会计师，</w:t>
      </w:r>
      <w:r>
        <w:rPr>
          <w:rFonts w:ascii="仿宋" w:hAnsi="仿宋" w:eastAsia="仿宋" w:cs="仿宋"/>
          <w:kern w:val="2"/>
          <w:sz w:val="32"/>
          <w:szCs w:val="32"/>
        </w:rPr>
        <w:t>1998</w:t>
      </w:r>
      <w:r>
        <w:rPr>
          <w:rFonts w:hint="eastAsia" w:ascii="仿宋" w:hAnsi="仿宋" w:eastAsia="仿宋" w:cs="仿宋"/>
          <w:kern w:val="2"/>
          <w:sz w:val="32"/>
          <w:szCs w:val="32"/>
        </w:rPr>
        <w:t>年开始从事上市公司审计，</w:t>
      </w:r>
      <w:r>
        <w:rPr>
          <w:rFonts w:ascii="仿宋" w:hAnsi="仿宋" w:eastAsia="仿宋" w:cs="仿宋"/>
          <w:kern w:val="2"/>
          <w:sz w:val="32"/>
          <w:szCs w:val="32"/>
        </w:rPr>
        <w:t>2012</w:t>
      </w:r>
      <w:r>
        <w:rPr>
          <w:rFonts w:hint="eastAsia" w:ascii="仿宋" w:hAnsi="仿宋" w:eastAsia="仿宋" w:cs="仿宋"/>
          <w:kern w:val="2"/>
          <w:sz w:val="32"/>
          <w:szCs w:val="32"/>
        </w:rPr>
        <w:t>年开始在天健会所执业，2024年10月开始为本公司提供审计服务；近三年签署或复核了川仪股份、北大医药、重庆啤酒等上市公司审计报告。</w:t>
      </w:r>
    </w:p>
    <w:p w14:paraId="7601458B">
      <w:pPr>
        <w:pStyle w:val="12"/>
        <w:spacing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签字注册会计师2：李小燕，2013年成为注册会计师，2007年开始从事上市公司审计，2013年开始在会所执业，2024年10月开始为本公司提供审计服务；近三年签署了新大正、涪陵榨菜两家上市公司审计报告。</w:t>
      </w:r>
    </w:p>
    <w:p w14:paraId="5B1E0F1A">
      <w:pPr>
        <w:pStyle w:val="12"/>
        <w:spacing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项目质量控制复核人：李正卫，2006年成为注册会计师，2004年开始从事上市公司审计，2006年开始在天健会所执业，2024年10月开始为本公司提供审计服务；近三年签署或复核了杭州热点、天普股份、东方电缆等上市公司审计报告。</w:t>
      </w:r>
    </w:p>
    <w:p w14:paraId="7EEEAF1B">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2、独立性与诚信记录情况</w:t>
      </w:r>
    </w:p>
    <w:p w14:paraId="33E689EE">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项目合伙人、签字注册会计师、项目质量控制复核人不存在违反《中国注册会计师职业道德守则》对独立性要求的情形。</w:t>
      </w:r>
    </w:p>
    <w:p w14:paraId="1FC930FD">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项目合伙人、签字注册会计师、项目质量控制复核人近三年未因执业行为受到刑事处罚，受到证监会及其派出机构、行业主管部门等的行政处罚、监督管理措施，受到证券交易所、行业协会等自律组织的自律监管措施、纪律处分。</w:t>
      </w:r>
    </w:p>
    <w:p w14:paraId="2193DD36">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三、质量管理水平</w:t>
      </w:r>
    </w:p>
    <w:p w14:paraId="4BAA06D7">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1、项目咨询</w:t>
      </w:r>
    </w:p>
    <w:p w14:paraId="349F771A">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w:t>
      </w:r>
      <w:r>
        <w:rPr>
          <w:rFonts w:ascii="仿宋" w:hAnsi="仿宋" w:eastAsia="仿宋" w:cs="仿宋"/>
          <w:color w:val="000000"/>
          <w:sz w:val="32"/>
          <w:szCs w:val="32"/>
        </w:rPr>
        <w:t>4</w:t>
      </w:r>
      <w:r>
        <w:rPr>
          <w:rFonts w:hint="eastAsia" w:ascii="仿宋" w:hAnsi="仿宋" w:eastAsia="仿宋" w:cs="仿宋"/>
          <w:color w:val="000000"/>
          <w:sz w:val="32"/>
          <w:szCs w:val="32"/>
        </w:rPr>
        <w:t>年年度审计过程中，天健会所就公司重大会计审计事项与专业技术部及时咨询，为公司提供有效的咨询帮助及可行的解决方案。</w:t>
      </w:r>
    </w:p>
    <w:p w14:paraId="11BFA327">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2、意见分歧解决</w:t>
      </w:r>
    </w:p>
    <w:p w14:paraId="1FA170EB">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天健会所制定了明确的专业意见分歧解决机制。当项目组成员、项目质量复核人或专业技术部成员之间存在未解决的专业意见分歧时，需要咨询专业技术部负责人。在专业意见分歧解决之前不得出具报告。202</w:t>
      </w:r>
      <w:r>
        <w:rPr>
          <w:rFonts w:ascii="仿宋" w:hAnsi="仿宋" w:eastAsia="仿宋" w:cs="仿宋"/>
          <w:color w:val="000000"/>
          <w:sz w:val="32"/>
          <w:szCs w:val="32"/>
        </w:rPr>
        <w:t>4</w:t>
      </w:r>
      <w:r>
        <w:rPr>
          <w:rFonts w:hint="eastAsia" w:ascii="仿宋" w:hAnsi="仿宋" w:eastAsia="仿宋" w:cs="仿宋"/>
          <w:color w:val="000000"/>
          <w:sz w:val="32"/>
          <w:szCs w:val="32"/>
        </w:rPr>
        <w:t>年度审计过程中，天健会所就公司的所有重大会计审计事项达成一致意见，无不能解决的意见分歧。</w:t>
      </w:r>
    </w:p>
    <w:p w14:paraId="18CE6B2A">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3、项目质量复核与检查</w:t>
      </w:r>
    </w:p>
    <w:p w14:paraId="3008F332">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审计过程中，天健会所实施完善的项目质量复核程序，主要包括审计项目组内部复核、独立项目质量复核以及专业技术复核。审计项目组内部复核主要包括对所有工作底稿执行详细复核，以及由经验丰富的审计小组成员执行第二层次复核。进而确保所开展审计工作的充分性、财务报表的公允列报以及审计报告的适当性。天健会所设有质量管理团队，主要聚焦于应对质量风险，优化质量目标，承担事务所和项目层面的质量管理事项。包括事务所层面的质量管理体系建设实施相关工作，以及项目层面的质量复核和督导，识别质量问题及风险，执行根源分析，实现优化和改进。确保项目组在报告签署之前已经按照项目质量管理要求充分、恰当地执行审计程序。</w:t>
      </w:r>
    </w:p>
    <w:p w14:paraId="080D2E48">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4、质量管理缺陷识别与整改</w:t>
      </w:r>
    </w:p>
    <w:p w14:paraId="39C16A1A">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天健会所根据注册会计师职业道德规范和审计准则的有关规定，制定相应的内部管理制度和政策，这些制度和政策构成天健会所完整、全面的质量管理体系。202</w:t>
      </w:r>
      <w:r>
        <w:rPr>
          <w:rFonts w:ascii="仿宋" w:hAnsi="仿宋" w:eastAsia="仿宋" w:cs="仿宋"/>
          <w:color w:val="000000"/>
          <w:sz w:val="32"/>
          <w:szCs w:val="32"/>
        </w:rPr>
        <w:t>4</w:t>
      </w:r>
      <w:r>
        <w:rPr>
          <w:rFonts w:hint="eastAsia" w:ascii="仿宋" w:hAnsi="仿宋" w:eastAsia="仿宋" w:cs="仿宋"/>
          <w:color w:val="000000"/>
          <w:sz w:val="32"/>
          <w:szCs w:val="32"/>
        </w:rPr>
        <w:t>年度审计过程中，天健会所勤勉尽责，质量管理的各项措施得到了有效执行。</w:t>
      </w:r>
    </w:p>
    <w:p w14:paraId="120D06A5">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四、工作方案</w:t>
      </w:r>
    </w:p>
    <w:p w14:paraId="5CF9DD45">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w:t>
      </w:r>
      <w:r>
        <w:rPr>
          <w:rFonts w:ascii="仿宋" w:hAnsi="仿宋" w:eastAsia="仿宋" w:cs="仿宋"/>
          <w:color w:val="000000"/>
          <w:sz w:val="32"/>
          <w:szCs w:val="32"/>
        </w:rPr>
        <w:t>4</w:t>
      </w:r>
      <w:r>
        <w:rPr>
          <w:rFonts w:hint="eastAsia" w:ascii="仿宋" w:hAnsi="仿宋" w:eastAsia="仿宋" w:cs="仿宋"/>
          <w:color w:val="000000"/>
          <w:sz w:val="32"/>
          <w:szCs w:val="32"/>
        </w:rPr>
        <w:t>年度审计过程中，天健会所根据公司的服务需求以及被审计单位的实际情况，制定全面、合理、可操作性强的审计工作方案。审计工作围绕被审计单位的审计重点展开。同时天健会所制定了详细的审计计划与时间安排，包括预审工作、盘点、年报审计工作等，与公司独立董事、审计委员会委员沟通确认后，根据计划安排按时推进审计并提交工作成果，充分满足了公司报告披露时间要求。</w:t>
      </w:r>
    </w:p>
    <w:p w14:paraId="4B735704">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五、人力及其他资源配备</w:t>
      </w:r>
    </w:p>
    <w:p w14:paraId="735192E2">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天健会所配备了专属审计工作团队，核心团队成员均具备多年上市公司、制造行业审计经验，并拥有中国注册会计师等专业资质。项目负责人由资深审计服务合伙人担任。专业配置合理，人数、执业水平和经验等满足项目要求。</w:t>
      </w:r>
    </w:p>
    <w:p w14:paraId="41ECCDA8">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六、信息安全管理</w:t>
      </w:r>
    </w:p>
    <w:p w14:paraId="1C89CB49">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天健会所在业务开始前，与客户就业务约定条款达成一致意见，签订业务约定书，以避免双方对业务的理解产生分歧。天健会所制定了涵盖档案管理、保密制度、突发事件处理等系统性的信息安全控制制度，在制定审计方案和实施审计工作的过程中，也考虑了对敏感信息、保密信息的检查、处理、脱敏和归档管理，并能够有效执行。 </w:t>
      </w:r>
    </w:p>
    <w:p w14:paraId="549EF077">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七、风险承担能力水平</w:t>
      </w:r>
    </w:p>
    <w:p w14:paraId="7DFC6F8E">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天健会所具有良好的投资者保护能力。截至202</w:t>
      </w:r>
      <w:r>
        <w:rPr>
          <w:rFonts w:ascii="仿宋" w:hAnsi="仿宋" w:eastAsia="仿宋" w:cs="仿宋"/>
          <w:color w:val="000000"/>
          <w:sz w:val="32"/>
          <w:szCs w:val="32"/>
        </w:rPr>
        <w:t>4</w:t>
      </w:r>
      <w:r>
        <w:rPr>
          <w:rFonts w:hint="eastAsia" w:ascii="仿宋" w:hAnsi="仿宋" w:eastAsia="仿宋" w:cs="仿宋"/>
          <w:color w:val="000000"/>
          <w:sz w:val="32"/>
          <w:szCs w:val="32"/>
        </w:rPr>
        <w:t>年末，已按照有关法律法规要求投保职业保险，已计提的职业风险基金和已购买的职业保险累计赔偿限额之和超过人民币</w:t>
      </w:r>
      <w:r>
        <w:rPr>
          <w:rFonts w:ascii="仿宋" w:hAnsi="仿宋" w:eastAsia="仿宋" w:cs="仿宋"/>
          <w:color w:val="000000"/>
          <w:sz w:val="32"/>
          <w:szCs w:val="32"/>
        </w:rPr>
        <w:t>2</w:t>
      </w:r>
      <w:r>
        <w:rPr>
          <w:rFonts w:hint="eastAsia" w:ascii="仿宋" w:hAnsi="仿宋" w:eastAsia="仿宋" w:cs="仿宋"/>
          <w:color w:val="000000"/>
          <w:sz w:val="32"/>
          <w:szCs w:val="32"/>
        </w:rPr>
        <w:t>亿元，相关职业保险能够覆盖因审计失败导致的民事赔偿责任。职业风险基金计提及职业保险购买符合财政部关于《会计师事务所职业风险基金管理办法》等文件的相关规定。</w:t>
      </w:r>
    </w:p>
    <w:p w14:paraId="26BC860F">
      <w:pPr>
        <w:ind w:firstLine="960" w:firstLineChars="300"/>
        <w:jc w:val="left"/>
        <w:rPr>
          <w:rFonts w:ascii="仿宋" w:hAnsi="仿宋" w:eastAsia="仿宋" w:cs="仿宋"/>
          <w:color w:val="000000"/>
          <w:sz w:val="32"/>
          <w:szCs w:val="32"/>
        </w:rPr>
      </w:pPr>
    </w:p>
    <w:p w14:paraId="70C19206">
      <w:pPr>
        <w:ind w:firstLine="960" w:firstLineChars="3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重庆望变电气（集团）股份有限公司</w:t>
      </w:r>
    </w:p>
    <w:p w14:paraId="6722FA47">
      <w:pPr>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董事会</w:t>
      </w:r>
    </w:p>
    <w:p w14:paraId="794D7CF4">
      <w:pPr>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202</w:t>
      </w:r>
      <w:r>
        <w:rPr>
          <w:rFonts w:ascii="仿宋" w:hAnsi="仿宋" w:eastAsia="仿宋" w:cs="仿宋"/>
          <w:color w:val="000000"/>
          <w:sz w:val="32"/>
          <w:szCs w:val="32"/>
        </w:rPr>
        <w:t>5</w:t>
      </w:r>
      <w:r>
        <w:rPr>
          <w:rFonts w:hint="eastAsia" w:ascii="仿宋" w:hAnsi="仿宋" w:eastAsia="仿宋" w:cs="仿宋"/>
          <w:color w:val="000000"/>
          <w:sz w:val="32"/>
          <w:szCs w:val="32"/>
        </w:rPr>
        <w:t>年4月2</w:t>
      </w:r>
      <w:r>
        <w:rPr>
          <w:rFonts w:ascii="仿宋" w:hAnsi="仿宋" w:eastAsia="仿宋" w:cs="仿宋"/>
          <w:color w:val="000000"/>
          <w:sz w:val="32"/>
          <w:szCs w:val="32"/>
        </w:rPr>
        <w:t>4</w:t>
      </w:r>
      <w:r>
        <w:rPr>
          <w:rFonts w:hint="eastAsia" w:ascii="仿宋" w:hAnsi="仿宋" w:eastAsia="仿宋" w:cs="仿宋"/>
          <w:color w:val="000000"/>
          <w:sz w:val="32"/>
          <w:szCs w:val="32"/>
        </w:rPr>
        <w:t>日</w:t>
      </w:r>
    </w:p>
    <w:p w14:paraId="7EA5D4C9">
      <w:pPr>
        <w:ind w:firstLine="640" w:firstLineChars="200"/>
        <w:jc w:val="right"/>
        <w:rPr>
          <w:rFonts w:ascii="仿宋" w:hAnsi="仿宋" w:eastAsia="仿宋" w:cs="仿宋"/>
          <w:color w:val="000000"/>
          <w:sz w:val="32"/>
          <w:szCs w:val="32"/>
        </w:rPr>
      </w:pPr>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86643">
    <w:pPr>
      <w:pStyle w:val="6"/>
      <w:pBdr>
        <w:bottom w:val="single" w:color="auto" w:sz="4" w:space="1"/>
      </w:pBdr>
      <w:jc w:val="both"/>
    </w:pPr>
    <w:r>
      <w:rPr>
        <w:rFonts w:hint="eastAsia" w:ascii="方正仿宋_GBK" w:hAnsi="方正仿宋_GBK" w:eastAsia="方正仿宋_GBK" w:cs="方正仿宋_GBK"/>
      </w:rPr>
      <w:t xml:space="preserve"> </w:t>
    </w:r>
    <w:r>
      <w:rPr>
        <w:rFonts w:hint="eastAsia" w:ascii="方正仿宋_GBK" w:hAnsi="方正仿宋_GBK" w:eastAsia="方正仿宋_GBK" w:cs="方正仿宋_GBK"/>
      </w:rPr>
      <w:drawing>
        <wp:inline distT="0" distB="0" distL="114300" distR="114300">
          <wp:extent cx="285750" cy="285750"/>
          <wp:effectExtent l="0" t="0" r="3810" b="3810"/>
          <wp:docPr id="2"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ascii="仿宋" w:hAnsi="仿宋" w:eastAsia="仿宋" w:cs="仿宋"/>
      </w:rPr>
      <w:t>第四届董事会第十二次会议资料</w:t>
    </w:r>
    <w:r>
      <w:rPr>
        <w:rFonts w:hint="eastAsia" w:ascii="方正仿宋_GBK" w:hAnsi="方正仿宋_GBK" w:eastAsia="方正仿宋_GBK" w:cs="方正仿宋_GBK"/>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00172A27"/>
    <w:rsid w:val="00035A82"/>
    <w:rsid w:val="0004248A"/>
    <w:rsid w:val="00064BC1"/>
    <w:rsid w:val="00084588"/>
    <w:rsid w:val="000A771F"/>
    <w:rsid w:val="000C307F"/>
    <w:rsid w:val="00113C96"/>
    <w:rsid w:val="00133FA6"/>
    <w:rsid w:val="00150DF9"/>
    <w:rsid w:val="00172A27"/>
    <w:rsid w:val="00194AAD"/>
    <w:rsid w:val="00194F48"/>
    <w:rsid w:val="001C5A2C"/>
    <w:rsid w:val="0022339B"/>
    <w:rsid w:val="002332CB"/>
    <w:rsid w:val="00294004"/>
    <w:rsid w:val="002B070F"/>
    <w:rsid w:val="002E2B10"/>
    <w:rsid w:val="0038254A"/>
    <w:rsid w:val="003B3724"/>
    <w:rsid w:val="003E3249"/>
    <w:rsid w:val="00413400"/>
    <w:rsid w:val="00432C59"/>
    <w:rsid w:val="0043318A"/>
    <w:rsid w:val="004479B3"/>
    <w:rsid w:val="00457AE6"/>
    <w:rsid w:val="00492707"/>
    <w:rsid w:val="004E7CB0"/>
    <w:rsid w:val="004F39F5"/>
    <w:rsid w:val="0050262F"/>
    <w:rsid w:val="00502931"/>
    <w:rsid w:val="00511EEB"/>
    <w:rsid w:val="00526B9E"/>
    <w:rsid w:val="00537692"/>
    <w:rsid w:val="00540774"/>
    <w:rsid w:val="00562E78"/>
    <w:rsid w:val="00587B09"/>
    <w:rsid w:val="00593E66"/>
    <w:rsid w:val="005944D1"/>
    <w:rsid w:val="005E31B0"/>
    <w:rsid w:val="005F6888"/>
    <w:rsid w:val="00613F41"/>
    <w:rsid w:val="00647553"/>
    <w:rsid w:val="00667F5C"/>
    <w:rsid w:val="006C1775"/>
    <w:rsid w:val="006D50D1"/>
    <w:rsid w:val="007029FB"/>
    <w:rsid w:val="00707624"/>
    <w:rsid w:val="0076412B"/>
    <w:rsid w:val="00767171"/>
    <w:rsid w:val="007A3BCD"/>
    <w:rsid w:val="007B723F"/>
    <w:rsid w:val="007C0099"/>
    <w:rsid w:val="007C3930"/>
    <w:rsid w:val="008027DA"/>
    <w:rsid w:val="008051A0"/>
    <w:rsid w:val="00842A2E"/>
    <w:rsid w:val="00843C5F"/>
    <w:rsid w:val="00874E6F"/>
    <w:rsid w:val="00885B75"/>
    <w:rsid w:val="009154A0"/>
    <w:rsid w:val="009278BC"/>
    <w:rsid w:val="0097432A"/>
    <w:rsid w:val="00994623"/>
    <w:rsid w:val="009C1A76"/>
    <w:rsid w:val="00A26A06"/>
    <w:rsid w:val="00A66693"/>
    <w:rsid w:val="00A82133"/>
    <w:rsid w:val="00AC6055"/>
    <w:rsid w:val="00AC63B3"/>
    <w:rsid w:val="00AF3BA5"/>
    <w:rsid w:val="00BB2970"/>
    <w:rsid w:val="00BD3776"/>
    <w:rsid w:val="00C03671"/>
    <w:rsid w:val="00C32CB5"/>
    <w:rsid w:val="00C44FDD"/>
    <w:rsid w:val="00CE6751"/>
    <w:rsid w:val="00CF4F2E"/>
    <w:rsid w:val="00D37EEF"/>
    <w:rsid w:val="00D759D4"/>
    <w:rsid w:val="00D91FAB"/>
    <w:rsid w:val="00DD2274"/>
    <w:rsid w:val="00E15B2C"/>
    <w:rsid w:val="00E5602B"/>
    <w:rsid w:val="00EB4ECB"/>
    <w:rsid w:val="00EC30DB"/>
    <w:rsid w:val="00EF0499"/>
    <w:rsid w:val="00F526BA"/>
    <w:rsid w:val="00F52EB6"/>
    <w:rsid w:val="00F57162"/>
    <w:rsid w:val="00F62BA2"/>
    <w:rsid w:val="00F94029"/>
    <w:rsid w:val="01DE1773"/>
    <w:rsid w:val="02FD131E"/>
    <w:rsid w:val="0569768E"/>
    <w:rsid w:val="056E11EE"/>
    <w:rsid w:val="0EE54274"/>
    <w:rsid w:val="12CC06D1"/>
    <w:rsid w:val="160F5D4C"/>
    <w:rsid w:val="16215988"/>
    <w:rsid w:val="17FB6C84"/>
    <w:rsid w:val="18C91A0D"/>
    <w:rsid w:val="1A8D2927"/>
    <w:rsid w:val="1ADD50F0"/>
    <w:rsid w:val="1F2974D5"/>
    <w:rsid w:val="20CC02F9"/>
    <w:rsid w:val="247A08AF"/>
    <w:rsid w:val="276D3412"/>
    <w:rsid w:val="28E92912"/>
    <w:rsid w:val="29F8444B"/>
    <w:rsid w:val="2D2061F1"/>
    <w:rsid w:val="31121E7B"/>
    <w:rsid w:val="345D4CD9"/>
    <w:rsid w:val="34DD208B"/>
    <w:rsid w:val="350F368E"/>
    <w:rsid w:val="35643762"/>
    <w:rsid w:val="35CE14CA"/>
    <w:rsid w:val="37B80907"/>
    <w:rsid w:val="38762153"/>
    <w:rsid w:val="3B650E1E"/>
    <w:rsid w:val="40E37C31"/>
    <w:rsid w:val="410F6076"/>
    <w:rsid w:val="44F17878"/>
    <w:rsid w:val="4514559D"/>
    <w:rsid w:val="460D33DD"/>
    <w:rsid w:val="46483B71"/>
    <w:rsid w:val="4AA14BF0"/>
    <w:rsid w:val="4B712B0C"/>
    <w:rsid w:val="529F1549"/>
    <w:rsid w:val="580544D9"/>
    <w:rsid w:val="5A0539D4"/>
    <w:rsid w:val="5E886ABC"/>
    <w:rsid w:val="61D60C85"/>
    <w:rsid w:val="621506E0"/>
    <w:rsid w:val="62456545"/>
    <w:rsid w:val="647D1359"/>
    <w:rsid w:val="6481138B"/>
    <w:rsid w:val="64ED007C"/>
    <w:rsid w:val="67567318"/>
    <w:rsid w:val="676F6005"/>
    <w:rsid w:val="68A75E74"/>
    <w:rsid w:val="6AAA5BF2"/>
    <w:rsid w:val="6B8533DE"/>
    <w:rsid w:val="6C782B79"/>
    <w:rsid w:val="6D2302F0"/>
    <w:rsid w:val="6F103FEE"/>
    <w:rsid w:val="7149564C"/>
    <w:rsid w:val="72E72EE7"/>
    <w:rsid w:val="75F13C48"/>
    <w:rsid w:val="76267AB7"/>
    <w:rsid w:val="78D93FDA"/>
    <w:rsid w:val="78F2500A"/>
    <w:rsid w:val="7A540090"/>
    <w:rsid w:val="7A5F6BF3"/>
    <w:rsid w:val="7B676FF8"/>
    <w:rsid w:val="7D423956"/>
    <w:rsid w:val="7F53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after="100"/>
      <w:jc w:val="left"/>
    </w:pPr>
    <w:rPr>
      <w:rFonts w:ascii="宋体" w:hAnsi="宋体" w:cs="宋体"/>
      <w:kern w:val="0"/>
      <w:sz w:val="24"/>
      <w:szCs w:val="20"/>
    </w:rPr>
  </w:style>
  <w:style w:type="paragraph" w:styleId="8">
    <w:name w:val="annotation subject"/>
    <w:basedOn w:val="3"/>
    <w:next w:val="3"/>
    <w:link w:val="18"/>
    <w:autoRedefine/>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paragraph" w:customStyle="1" w:styleId="12">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3">
    <w:name w:val="页眉 字符"/>
    <w:basedOn w:val="10"/>
    <w:link w:val="6"/>
    <w:autoRedefine/>
    <w:qFormat/>
    <w:uiPriority w:val="99"/>
    <w:rPr>
      <w:rFonts w:ascii="Times New Roman" w:hAnsi="Times New Roman" w:eastAsia="宋体" w:cs="Times New Roman"/>
      <w:sz w:val="18"/>
      <w:szCs w:val="18"/>
    </w:rPr>
  </w:style>
  <w:style w:type="character" w:customStyle="1" w:styleId="14">
    <w:name w:val="页脚 字符"/>
    <w:basedOn w:val="10"/>
    <w:link w:val="5"/>
    <w:autoRedefine/>
    <w:qFormat/>
    <w:uiPriority w:val="99"/>
    <w:rPr>
      <w:rFonts w:ascii="Times New Roman" w:hAnsi="Times New Roman" w:eastAsia="宋体" w:cs="Times New Roman"/>
      <w:sz w:val="18"/>
      <w:szCs w:val="18"/>
    </w:rPr>
  </w:style>
  <w:style w:type="character" w:customStyle="1" w:styleId="15">
    <w:name w:val="批注框文本 字符"/>
    <w:basedOn w:val="10"/>
    <w:link w:val="4"/>
    <w:autoRedefine/>
    <w:semiHidden/>
    <w:qFormat/>
    <w:uiPriority w:val="99"/>
    <w:rPr>
      <w:rFonts w:ascii="Times New Roman" w:hAnsi="Times New Roman" w:eastAsia="宋体" w:cs="Times New Roman"/>
      <w:sz w:val="18"/>
      <w:szCs w:val="18"/>
    </w:rPr>
  </w:style>
  <w:style w:type="paragraph" w:customStyle="1" w:styleId="16">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批注文字 字符"/>
    <w:basedOn w:val="10"/>
    <w:link w:val="3"/>
    <w:autoRedefine/>
    <w:semiHidden/>
    <w:qFormat/>
    <w:uiPriority w:val="99"/>
    <w:rPr>
      <w:rFonts w:ascii="Times New Roman" w:hAnsi="Times New Roman" w:eastAsia="宋体" w:cs="Times New Roman"/>
      <w:kern w:val="2"/>
      <w:sz w:val="21"/>
      <w:szCs w:val="24"/>
    </w:rPr>
  </w:style>
  <w:style w:type="character" w:customStyle="1" w:styleId="18">
    <w:name w:val="批注主题 字符"/>
    <w:basedOn w:val="17"/>
    <w:link w:val="8"/>
    <w:autoRedefine/>
    <w:semiHidden/>
    <w:qFormat/>
    <w:uiPriority w:val="99"/>
    <w:rPr>
      <w:rFonts w:ascii="Times New Roman" w:hAnsi="Times New Roman" w:eastAsia="宋体" w:cs="Times New Roman"/>
      <w:b/>
      <w:bCs/>
      <w:kern w:val="2"/>
      <w:sz w:val="21"/>
      <w:szCs w:val="24"/>
    </w:rPr>
  </w:style>
  <w:style w:type="character" w:customStyle="1" w:styleId="19">
    <w:name w:val="标题 2 字符"/>
    <w:basedOn w:val="10"/>
    <w:link w:val="2"/>
    <w:autoRedefine/>
    <w:qFormat/>
    <w:uiPriority w:val="9"/>
    <w:rPr>
      <w:rFonts w:ascii="宋体" w:hAnsi="宋体" w:eastAsia="宋体" w:cs="宋体"/>
      <w:b/>
      <w:bCs/>
      <w:sz w:val="36"/>
      <w:szCs w:val="36"/>
    </w:rPr>
  </w:style>
  <w:style w:type="paragraph" w:customStyle="1" w:styleId="20">
    <w:name w:val="修订2"/>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2222</Words>
  <Characters>2335</Characters>
  <Lines>17</Lines>
  <Paragraphs>4</Paragraphs>
  <TotalTime>0</TotalTime>
  <ScaleCrop>false</ScaleCrop>
  <LinksUpToDate>false</LinksUpToDate>
  <CharactersWithSpaces>2385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2016-03-09T01:35:00Z</dcterms:created>
  <dc:creator>Administrator</dc:creator>
  <cp:lastModifiedBy>雯亦</cp:lastModifiedBy>
  <dcterms:modified xsi:type="dcterms:W3CDTF">2025-04-25T03:31:49Z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C591B1A96A944F8BA3AB6048BD5C2A49_13</vt:lpwstr>
  </property>
  <property fmtid="{D5CDD505-2E9C-101B-9397-08002B2CF9AE}" pid="4" name="KSOTemplateDocerSaveRecord">
    <vt:lpwstr>eyJoZGlkIjoiZTQzZmRmZDMxMjkwMDE2NTk0ZWQ1ZWYwMzRmYjVhNmUiLCJ1c2VySWQiOiI2NDQwNzQxNTQifQ==</vt:lpwstr>
  </property>
</Properties>
</file>