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B4BE">
      <w:pPr>
        <w:adjustRightInd w:val="0"/>
        <w:snapToGrid w:val="0"/>
        <w:spacing w:line="560" w:lineRule="exact"/>
        <w:jc w:val="left"/>
        <w:rPr>
          <w:rFonts w:hint="default" w:ascii="仿宋" w:hAnsi="仿宋" w:eastAsia="宋体"/>
          <w:sz w:val="30"/>
          <w:szCs w:val="30"/>
          <w:lang w:val="en-US" w:eastAsia="zh-CN"/>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w:t>
      </w:r>
      <w:bookmarkStart w:id="2" w:name="_GoBack"/>
      <w:r>
        <w:rPr>
          <w:rFonts w:hint="eastAsia" w:ascii="宋体" w:hAnsi="宋体"/>
          <w:b/>
          <w:sz w:val="24"/>
          <w:szCs w:val="24"/>
          <w:highlight w:val="none"/>
        </w:rPr>
        <w:t>号：2</w:t>
      </w:r>
      <w:r>
        <w:rPr>
          <w:rFonts w:ascii="宋体" w:hAnsi="宋体"/>
          <w:b/>
          <w:sz w:val="24"/>
          <w:szCs w:val="24"/>
          <w:highlight w:val="none"/>
        </w:rPr>
        <w:t>02</w:t>
      </w:r>
      <w:r>
        <w:rPr>
          <w:rFonts w:hint="eastAsia" w:ascii="宋体" w:hAnsi="宋体"/>
          <w:b/>
          <w:sz w:val="24"/>
          <w:szCs w:val="24"/>
          <w:highlight w:val="none"/>
        </w:rPr>
        <w:t>5</w:t>
      </w:r>
      <w:r>
        <w:rPr>
          <w:rFonts w:ascii="宋体" w:hAnsi="宋体"/>
          <w:b/>
          <w:sz w:val="24"/>
          <w:szCs w:val="24"/>
          <w:highlight w:val="none"/>
        </w:rPr>
        <w:t>-0</w:t>
      </w:r>
      <w:r>
        <w:rPr>
          <w:rFonts w:hint="eastAsia" w:ascii="宋体" w:hAnsi="宋体" w:eastAsia="仿宋_GB2312"/>
          <w:b/>
          <w:sz w:val="24"/>
          <w:szCs w:val="24"/>
          <w:highlight w:val="none"/>
          <w:lang w:val="en-US" w:eastAsia="zh-CN"/>
        </w:rPr>
        <w:t>07</w:t>
      </w:r>
      <w:bookmarkEnd w:id="2"/>
    </w:p>
    <w:p w14:paraId="4E27AC3F">
      <w:pPr>
        <w:spacing w:line="368" w:lineRule="auto"/>
        <w:rPr>
          <w:rFonts w:ascii="Arial"/>
          <w:sz w:val="21"/>
        </w:rPr>
      </w:pPr>
    </w:p>
    <w:p w14:paraId="2944BD55">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7A423FC6">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关于变更会计政策的公告</w:t>
      </w:r>
    </w:p>
    <w:p w14:paraId="70D88D4A">
      <w:pPr>
        <w:spacing w:before="227"/>
      </w:pPr>
    </w:p>
    <w:tbl>
      <w:tblPr>
        <w:tblStyle w:val="6"/>
        <w:tblW w:w="8990"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990"/>
      </w:tblGrid>
      <w:tr w14:paraId="260E8C5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072" w:hRule="atLeast"/>
        </w:trPr>
        <w:tc>
          <w:tcPr>
            <w:tcW w:w="8990" w:type="dxa"/>
            <w:vAlign w:val="top"/>
          </w:tcPr>
          <w:p w14:paraId="482B4CB3">
            <w:pPr>
              <w:spacing w:before="189" w:line="296" w:lineRule="auto"/>
              <w:ind w:left="169" w:right="208" w:firstLine="551"/>
              <w:rPr>
                <w:rFonts w:ascii="楷体" w:hAnsi="楷体" w:eastAsia="楷体" w:cs="楷体"/>
                <w:sz w:val="27"/>
                <w:szCs w:val="27"/>
              </w:rPr>
            </w:pPr>
            <w:r>
              <w:rPr>
                <w:rFonts w:hint="eastAsia" w:ascii="华文仿宋" w:hAnsi="华文仿宋" w:eastAsia="华文仿宋" w:cs="华文仿宋"/>
                <w:spacing w:val="7"/>
                <w:sz w:val="27"/>
                <w:szCs w:val="27"/>
              </w:rPr>
              <w:t>本公司及董事会全体成员保证信息披露内容的真实、准确和完整，</w:t>
            </w:r>
            <w:r>
              <w:rPr>
                <w:rFonts w:hint="eastAsia" w:ascii="华文仿宋" w:hAnsi="华文仿宋" w:eastAsia="华文仿宋" w:cs="华文仿宋"/>
                <w:spacing w:val="16"/>
                <w:sz w:val="27"/>
                <w:szCs w:val="27"/>
              </w:rPr>
              <w:t xml:space="preserve"> </w:t>
            </w:r>
            <w:r>
              <w:rPr>
                <w:rFonts w:hint="eastAsia" w:ascii="华文仿宋" w:hAnsi="华文仿宋" w:eastAsia="华文仿宋" w:cs="华文仿宋"/>
                <w:spacing w:val="9"/>
                <w:sz w:val="27"/>
                <w:szCs w:val="27"/>
              </w:rPr>
              <w:t>没有虚假记载、误导性陈述或重大遗漏。</w:t>
            </w:r>
          </w:p>
        </w:tc>
      </w:tr>
    </w:tbl>
    <w:p w14:paraId="1602E701">
      <w:pPr>
        <w:pStyle w:val="3"/>
        <w:numPr>
          <w:ilvl w:val="0"/>
          <w:numId w:val="0"/>
        </w:numPr>
        <w:spacing w:before="181" w:line="220" w:lineRule="auto"/>
        <w:ind w:leftChars="0"/>
      </w:pPr>
    </w:p>
    <w:p w14:paraId="5E411BB7">
      <w:pPr>
        <w:pStyle w:val="3"/>
        <w:numPr>
          <w:ilvl w:val="0"/>
          <w:numId w:val="1"/>
        </w:numPr>
        <w:spacing w:before="181" w:line="220" w:lineRule="auto"/>
        <w:ind w:left="420" w:leftChars="0" w:hanging="420" w:firstLineChars="0"/>
      </w:pPr>
      <w:r>
        <w:rPr>
          <w:b/>
          <w:bCs/>
          <w:spacing w:val="-4"/>
        </w:rPr>
        <w:t>特别提示：</w:t>
      </w:r>
    </w:p>
    <w:p w14:paraId="42AD483B">
      <w:pPr>
        <w:pStyle w:val="3"/>
        <w:spacing w:before="183" w:line="347" w:lineRule="auto"/>
        <w:ind w:left="83" w:right="524" w:firstLine="481"/>
        <w:rPr>
          <w:rFonts w:hint="eastAsia" w:ascii="宋体" w:hAnsi="宋体" w:eastAsia="宋体" w:cs="宋体"/>
          <w:sz w:val="24"/>
          <w:szCs w:val="24"/>
        </w:rPr>
      </w:pPr>
      <w:r>
        <w:rPr>
          <w:spacing w:val="-3"/>
        </w:rPr>
        <w:t>本</w:t>
      </w:r>
      <w:r>
        <w:rPr>
          <w:rFonts w:hint="eastAsia" w:ascii="宋体" w:hAnsi="宋体" w:eastAsia="宋体" w:cs="宋体"/>
          <w:spacing w:val="-3"/>
          <w:sz w:val="24"/>
          <w:szCs w:val="24"/>
        </w:rPr>
        <w:t>次会计政策变更是根据国家统一的会计制度要求作出的变更，对公司财务</w:t>
      </w:r>
      <w:r>
        <w:rPr>
          <w:rFonts w:hint="eastAsia" w:ascii="宋体" w:hAnsi="宋体" w:eastAsia="宋体" w:cs="宋体"/>
          <w:spacing w:val="-7"/>
          <w:sz w:val="24"/>
          <w:szCs w:val="24"/>
        </w:rPr>
        <w:t>状况、经营成果和现金流量无重大影响，不存在损害公司及全体股东利益的情形。</w:t>
      </w:r>
    </w:p>
    <w:p w14:paraId="5CC5C752">
      <w:pPr>
        <w:pStyle w:val="3"/>
        <w:spacing w:before="119" w:line="219" w:lineRule="auto"/>
        <w:ind w:left="567"/>
        <w:outlineLvl w:val="1"/>
        <w:rPr>
          <w:rFonts w:hint="eastAsia" w:ascii="宋体" w:hAnsi="宋体" w:eastAsia="宋体" w:cs="宋体"/>
          <w:sz w:val="24"/>
          <w:szCs w:val="24"/>
        </w:rPr>
      </w:pPr>
      <w:r>
        <w:rPr>
          <w:rFonts w:hint="eastAsia" w:ascii="宋体" w:hAnsi="宋体" w:eastAsia="宋体" w:cs="宋体"/>
          <w:b/>
          <w:bCs/>
          <w:sz w:val="24"/>
          <w:szCs w:val="24"/>
        </w:rPr>
        <w:t>一、本次会计政策变更概述</w:t>
      </w:r>
    </w:p>
    <w:p w14:paraId="1D401D4A">
      <w:pPr>
        <w:pStyle w:val="3"/>
        <w:spacing w:before="221" w:line="352" w:lineRule="auto"/>
        <w:ind w:left="82" w:right="611" w:firstLine="482"/>
        <w:jc w:val="both"/>
        <w:rPr>
          <w:rFonts w:hint="eastAsia" w:ascii="宋体" w:hAnsi="宋体" w:eastAsia="宋体" w:cs="宋体"/>
          <w:spacing w:val="-6"/>
          <w:sz w:val="24"/>
          <w:szCs w:val="24"/>
        </w:rPr>
      </w:pPr>
      <w:r>
        <w:rPr>
          <w:rFonts w:hint="eastAsia" w:ascii="宋体" w:hAnsi="宋体" w:eastAsia="宋体" w:cs="宋体"/>
          <w:spacing w:val="-7"/>
          <w:sz w:val="24"/>
          <w:szCs w:val="24"/>
        </w:rPr>
        <w:t>财政部于2023年10月25日颁布《企业会计准则解释第17号》（以下简</w:t>
      </w:r>
      <w:r>
        <w:rPr>
          <w:rFonts w:hint="eastAsia" w:ascii="宋体" w:hAnsi="宋体" w:eastAsia="宋体" w:cs="宋体"/>
          <w:spacing w:val="-6"/>
          <w:sz w:val="24"/>
          <w:szCs w:val="24"/>
        </w:rPr>
        <w:t>称</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第17号准则解释</w:t>
      </w:r>
      <w:r>
        <w:rPr>
          <w:rFonts w:hint="eastAsia" w:ascii="宋体" w:hAnsi="宋体" w:eastAsia="宋体" w:cs="宋体"/>
          <w:spacing w:val="-6"/>
          <w:sz w:val="24"/>
          <w:szCs w:val="24"/>
          <w:lang w:eastAsia="zh-CN"/>
        </w:rPr>
        <w:t>”</w:t>
      </w:r>
      <w:r>
        <w:rPr>
          <w:rFonts w:hint="eastAsia" w:ascii="宋体" w:hAnsi="宋体" w:eastAsia="宋体" w:cs="宋体"/>
          <w:spacing w:val="8"/>
          <w:sz w:val="24"/>
          <w:szCs w:val="24"/>
        </w:rPr>
        <w:t>）</w:t>
      </w:r>
      <w:r>
        <w:rPr>
          <w:rFonts w:hint="eastAsia" w:ascii="宋体" w:hAnsi="宋体" w:eastAsia="宋体" w:cs="宋体"/>
          <w:spacing w:val="8"/>
          <w:sz w:val="24"/>
          <w:szCs w:val="24"/>
          <w:lang w:eastAsia="zh-CN"/>
        </w:rPr>
        <w:t>，</w:t>
      </w:r>
      <w:r>
        <w:rPr>
          <w:rFonts w:hint="eastAsia" w:ascii="宋体" w:hAnsi="宋体" w:eastAsia="宋体" w:cs="宋体"/>
          <w:spacing w:val="-6"/>
          <w:sz w:val="24"/>
          <w:szCs w:val="24"/>
        </w:rPr>
        <w:t>并于</w:t>
      </w:r>
      <w:r>
        <w:rPr>
          <w:rFonts w:hint="eastAsia" w:ascii="宋体" w:hAnsi="宋体" w:eastAsia="宋体" w:cs="宋体"/>
          <w:spacing w:val="-55"/>
          <w:sz w:val="24"/>
          <w:szCs w:val="24"/>
        </w:rPr>
        <w:t xml:space="preserve"> </w:t>
      </w:r>
      <w:r>
        <w:rPr>
          <w:rFonts w:hint="eastAsia" w:ascii="宋体" w:hAnsi="宋体" w:eastAsia="宋体" w:cs="宋体"/>
          <w:spacing w:val="-6"/>
          <w:sz w:val="24"/>
          <w:szCs w:val="24"/>
        </w:rPr>
        <w:t>2024年1月1日起生效。</w:t>
      </w:r>
    </w:p>
    <w:p w14:paraId="7D589B37">
      <w:pPr>
        <w:pStyle w:val="3"/>
        <w:spacing w:before="221" w:line="352" w:lineRule="auto"/>
        <w:ind w:left="82" w:right="611" w:firstLine="482"/>
        <w:jc w:val="both"/>
        <w:rPr>
          <w:rFonts w:hint="eastAsia" w:ascii="宋体" w:hAnsi="宋体" w:eastAsia="宋体" w:cs="宋体"/>
          <w:spacing w:val="-6"/>
          <w:sz w:val="24"/>
          <w:szCs w:val="24"/>
        </w:rPr>
      </w:pPr>
      <w:r>
        <w:rPr>
          <w:rFonts w:hint="eastAsia" w:ascii="宋体" w:hAnsi="宋体" w:eastAsia="宋体" w:cs="宋体"/>
          <w:spacing w:val="-7"/>
          <w:sz w:val="24"/>
          <w:szCs w:val="24"/>
        </w:rPr>
        <w:t>财政部于202</w:t>
      </w:r>
      <w:r>
        <w:rPr>
          <w:rFonts w:hint="eastAsia" w:ascii="宋体" w:hAnsi="宋体" w:eastAsia="宋体" w:cs="宋体"/>
          <w:spacing w:val="-7"/>
          <w:sz w:val="24"/>
          <w:szCs w:val="24"/>
          <w:lang w:val="en-US" w:eastAsia="zh-CN"/>
        </w:rPr>
        <w:t>4</w:t>
      </w:r>
      <w:r>
        <w:rPr>
          <w:rFonts w:hint="eastAsia" w:ascii="宋体" w:hAnsi="宋体" w:eastAsia="宋体" w:cs="宋体"/>
          <w:spacing w:val="-7"/>
          <w:sz w:val="24"/>
          <w:szCs w:val="24"/>
        </w:rPr>
        <w:t>年1</w:t>
      </w:r>
      <w:r>
        <w:rPr>
          <w:rFonts w:hint="eastAsia" w:ascii="宋体" w:hAnsi="宋体" w:eastAsia="宋体" w:cs="宋体"/>
          <w:spacing w:val="-7"/>
          <w:sz w:val="24"/>
          <w:szCs w:val="24"/>
          <w:lang w:val="en-US" w:eastAsia="zh-CN"/>
        </w:rPr>
        <w:t>2</w:t>
      </w:r>
      <w:r>
        <w:rPr>
          <w:rFonts w:hint="eastAsia" w:ascii="宋体" w:hAnsi="宋体" w:eastAsia="宋体" w:cs="宋体"/>
          <w:spacing w:val="-7"/>
          <w:sz w:val="24"/>
          <w:szCs w:val="24"/>
        </w:rPr>
        <w:t>月</w:t>
      </w:r>
      <w:r>
        <w:rPr>
          <w:rFonts w:hint="eastAsia" w:ascii="宋体" w:hAnsi="宋体" w:eastAsia="宋体" w:cs="宋体"/>
          <w:spacing w:val="-7"/>
          <w:sz w:val="24"/>
          <w:szCs w:val="24"/>
          <w:lang w:val="en-US" w:eastAsia="zh-CN"/>
        </w:rPr>
        <w:t>31</w:t>
      </w:r>
      <w:r>
        <w:rPr>
          <w:rFonts w:hint="eastAsia" w:ascii="宋体" w:hAnsi="宋体" w:eastAsia="宋体" w:cs="宋体"/>
          <w:spacing w:val="-7"/>
          <w:sz w:val="24"/>
          <w:szCs w:val="24"/>
        </w:rPr>
        <w:t>日</w:t>
      </w:r>
      <w:r>
        <w:rPr>
          <w:rFonts w:hint="eastAsia" w:ascii="宋体" w:hAnsi="宋体" w:eastAsia="宋体" w:cs="宋体"/>
          <w:spacing w:val="-7"/>
          <w:sz w:val="24"/>
          <w:szCs w:val="24"/>
          <w:lang w:val="en-US" w:eastAsia="zh-CN"/>
        </w:rPr>
        <w:t>颁布</w:t>
      </w:r>
      <w:r>
        <w:rPr>
          <w:rFonts w:hint="eastAsia" w:ascii="宋体" w:hAnsi="宋体" w:eastAsia="宋体" w:cs="宋体"/>
          <w:spacing w:val="-7"/>
          <w:sz w:val="24"/>
          <w:szCs w:val="24"/>
        </w:rPr>
        <w:t>《企业会计准则解释第1</w:t>
      </w:r>
      <w:r>
        <w:rPr>
          <w:rFonts w:hint="eastAsia" w:ascii="宋体" w:hAnsi="宋体" w:eastAsia="宋体" w:cs="宋体"/>
          <w:spacing w:val="-7"/>
          <w:sz w:val="24"/>
          <w:szCs w:val="24"/>
          <w:lang w:val="en-US" w:eastAsia="zh-CN"/>
        </w:rPr>
        <w:t>8</w:t>
      </w:r>
      <w:r>
        <w:rPr>
          <w:rFonts w:hint="eastAsia" w:ascii="宋体" w:hAnsi="宋体" w:eastAsia="宋体" w:cs="宋体"/>
          <w:spacing w:val="-7"/>
          <w:sz w:val="24"/>
          <w:szCs w:val="24"/>
        </w:rPr>
        <w:t>号</w:t>
      </w:r>
      <w:r>
        <w:rPr>
          <w:rFonts w:hint="eastAsia" w:cs="宋体"/>
          <w:spacing w:val="-7"/>
          <w:sz w:val="24"/>
          <w:szCs w:val="24"/>
          <w:lang w:eastAsia="zh-CN"/>
        </w:rPr>
        <w:t>》</w:t>
      </w:r>
      <w:r>
        <w:rPr>
          <w:rFonts w:hint="eastAsia" w:ascii="宋体" w:hAnsi="宋体" w:eastAsia="宋体" w:cs="宋体"/>
          <w:spacing w:val="-7"/>
          <w:sz w:val="24"/>
          <w:szCs w:val="24"/>
        </w:rPr>
        <w:t>（以下简</w:t>
      </w:r>
      <w:r>
        <w:rPr>
          <w:rFonts w:hint="eastAsia" w:ascii="宋体" w:hAnsi="宋体" w:eastAsia="宋体" w:cs="宋体"/>
          <w:spacing w:val="-6"/>
          <w:sz w:val="24"/>
          <w:szCs w:val="24"/>
        </w:rPr>
        <w:t>称</w:t>
      </w:r>
      <w:r>
        <w:rPr>
          <w:rFonts w:hint="eastAsia" w:ascii="宋体" w:hAnsi="宋体" w:eastAsia="宋体" w:cs="宋体"/>
          <w:spacing w:val="-6"/>
          <w:sz w:val="24"/>
          <w:szCs w:val="24"/>
          <w:lang w:eastAsia="zh-CN"/>
        </w:rPr>
        <w:t>“</w:t>
      </w:r>
      <w:r>
        <w:rPr>
          <w:rFonts w:hint="eastAsia" w:ascii="宋体" w:hAnsi="宋体" w:eastAsia="宋体" w:cs="宋体"/>
          <w:spacing w:val="-6"/>
          <w:sz w:val="24"/>
          <w:szCs w:val="24"/>
        </w:rPr>
        <w:t>第1</w:t>
      </w: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体" w:hAnsi="宋体" w:eastAsia="宋体" w:cs="宋体"/>
          <w:spacing w:val="-6"/>
          <w:sz w:val="24"/>
          <w:szCs w:val="24"/>
          <w:lang w:eastAsia="zh-CN"/>
        </w:rPr>
        <w:t>”</w:t>
      </w:r>
      <w:r>
        <w:rPr>
          <w:rFonts w:hint="eastAsia" w:ascii="宋体" w:hAnsi="宋体" w:eastAsia="宋体" w:cs="宋体"/>
          <w:spacing w:val="8"/>
          <w:sz w:val="24"/>
          <w:szCs w:val="24"/>
        </w:rPr>
        <w:t>）</w:t>
      </w:r>
      <w:r>
        <w:rPr>
          <w:rFonts w:hint="eastAsia" w:ascii="宋体" w:hAnsi="宋体" w:eastAsia="宋体" w:cs="宋体"/>
          <w:spacing w:val="8"/>
          <w:sz w:val="24"/>
          <w:szCs w:val="24"/>
          <w:lang w:eastAsia="zh-CN"/>
        </w:rPr>
        <w:t>，</w:t>
      </w:r>
      <w:r>
        <w:rPr>
          <w:rFonts w:hint="eastAsia" w:ascii="宋体" w:hAnsi="宋体" w:eastAsia="宋体" w:cs="宋体"/>
          <w:spacing w:val="-6"/>
          <w:sz w:val="24"/>
          <w:szCs w:val="24"/>
        </w:rPr>
        <w:t>并</w:t>
      </w:r>
      <w:r>
        <w:rPr>
          <w:rFonts w:hint="eastAsia" w:ascii="宋体" w:hAnsi="宋体" w:eastAsia="宋体" w:cs="宋体"/>
          <w:spacing w:val="-6"/>
          <w:sz w:val="24"/>
          <w:szCs w:val="24"/>
          <w:lang w:val="en-US" w:eastAsia="zh-CN"/>
        </w:rPr>
        <w:t>2024年12月31日颁布，本解释自颁布之日起施行，允许企业自颁布年度提前执行</w:t>
      </w:r>
      <w:r>
        <w:rPr>
          <w:rFonts w:hint="eastAsia" w:ascii="宋体" w:hAnsi="宋体" w:eastAsia="宋体" w:cs="宋体"/>
          <w:spacing w:val="-6"/>
          <w:sz w:val="24"/>
          <w:szCs w:val="24"/>
        </w:rPr>
        <w:t>。</w:t>
      </w:r>
    </w:p>
    <w:p w14:paraId="2791266C">
      <w:pPr>
        <w:pStyle w:val="3"/>
        <w:spacing w:before="221" w:line="352" w:lineRule="auto"/>
        <w:ind w:left="82" w:right="611" w:firstLine="482"/>
        <w:jc w:val="both"/>
        <w:rPr>
          <w:rFonts w:hint="eastAsia" w:ascii="宋体" w:hAnsi="宋体" w:eastAsia="宋体" w:cs="宋体"/>
          <w:spacing w:val="-3"/>
          <w:sz w:val="24"/>
          <w:szCs w:val="24"/>
        </w:rPr>
      </w:pPr>
      <w:r>
        <w:rPr>
          <w:rFonts w:hint="eastAsia" w:ascii="宋体" w:hAnsi="宋体" w:eastAsia="宋体" w:cs="宋体"/>
          <w:spacing w:val="-6"/>
          <w:sz w:val="24"/>
          <w:szCs w:val="24"/>
        </w:rPr>
        <w:t>公司根据第17号准则解</w:t>
      </w:r>
      <w:r>
        <w:rPr>
          <w:rFonts w:hint="eastAsia" w:ascii="宋体" w:hAnsi="宋体" w:eastAsia="宋体" w:cs="宋体"/>
          <w:spacing w:val="-3"/>
          <w:sz w:val="24"/>
          <w:szCs w:val="24"/>
        </w:rPr>
        <w:t>释</w:t>
      </w:r>
      <w:r>
        <w:rPr>
          <w:rFonts w:hint="eastAsia" w:ascii="宋体" w:hAnsi="宋体" w:eastAsia="宋体" w:cs="宋体"/>
          <w:spacing w:val="-3"/>
          <w:sz w:val="24"/>
          <w:szCs w:val="24"/>
          <w:lang w:val="en-US" w:eastAsia="zh-CN"/>
        </w:rPr>
        <w:t>和</w:t>
      </w:r>
      <w:r>
        <w:rPr>
          <w:rFonts w:hint="eastAsia" w:ascii="宋体" w:hAnsi="宋体" w:eastAsia="宋体" w:cs="宋体"/>
          <w:spacing w:val="-6"/>
          <w:sz w:val="24"/>
          <w:szCs w:val="24"/>
        </w:rPr>
        <w:t>第1</w:t>
      </w:r>
      <w:r>
        <w:rPr>
          <w:rFonts w:hint="eastAsia" w:ascii="宋体" w:hAnsi="宋体" w:eastAsia="宋体" w:cs="宋体"/>
          <w:spacing w:val="-6"/>
          <w:sz w:val="24"/>
          <w:szCs w:val="24"/>
          <w:lang w:val="en-US" w:eastAsia="zh-CN"/>
        </w:rPr>
        <w:t>8</w:t>
      </w:r>
      <w:r>
        <w:rPr>
          <w:rFonts w:hint="eastAsia" w:ascii="宋体" w:hAnsi="宋体" w:eastAsia="宋体" w:cs="宋体"/>
          <w:spacing w:val="-6"/>
          <w:sz w:val="24"/>
          <w:szCs w:val="24"/>
        </w:rPr>
        <w:t>号准则解释</w:t>
      </w:r>
      <w:r>
        <w:rPr>
          <w:rFonts w:hint="eastAsia" w:ascii="宋体" w:hAnsi="宋体" w:eastAsia="宋体" w:cs="宋体"/>
          <w:spacing w:val="-3"/>
          <w:sz w:val="24"/>
          <w:szCs w:val="24"/>
        </w:rPr>
        <w:t>的要求对会计政策进行相应变更。本次会计政策变更是根据法律法规或者国家统一的会计制度的要求进行的，</w:t>
      </w:r>
      <w:bookmarkStart w:id="0" w:name="OLE_LINK2"/>
      <w:r>
        <w:rPr>
          <w:rFonts w:hint="eastAsia" w:cs="宋体"/>
          <w:spacing w:val="-3"/>
          <w:sz w:val="24"/>
          <w:szCs w:val="24"/>
          <w:lang w:val="en-US" w:eastAsia="zh-CN"/>
        </w:rPr>
        <w:t>公司于</w:t>
      </w:r>
      <w:r>
        <w:rPr>
          <w:rFonts w:hint="eastAsia" w:ascii="宋体" w:hAnsi="宋体"/>
          <w:sz w:val="24"/>
          <w:szCs w:val="24"/>
          <w:highlight w:val="none"/>
        </w:rPr>
        <w:t>202</w:t>
      </w:r>
      <w:r>
        <w:rPr>
          <w:rFonts w:hint="eastAsia" w:ascii="宋体" w:hAnsi="宋体"/>
          <w:sz w:val="24"/>
          <w:szCs w:val="24"/>
          <w:highlight w:val="none"/>
          <w:lang w:val="en-US" w:eastAsia="zh-CN"/>
        </w:rPr>
        <w:t>5</w:t>
      </w:r>
      <w:r>
        <w:rPr>
          <w:rFonts w:hint="eastAsia" w:ascii="宋体" w:hAnsi="宋体"/>
          <w:sz w:val="24"/>
          <w:szCs w:val="24"/>
          <w:highlight w:val="none"/>
        </w:rPr>
        <w:t>年</w:t>
      </w:r>
      <w:r>
        <w:rPr>
          <w:rFonts w:hint="eastAsia" w:ascii="宋体" w:hAnsi="宋体"/>
          <w:sz w:val="24"/>
          <w:szCs w:val="24"/>
          <w:highlight w:val="none"/>
          <w:lang w:val="en-US" w:eastAsia="zh-CN"/>
        </w:rPr>
        <w:t>1</w:t>
      </w:r>
      <w:r>
        <w:rPr>
          <w:rFonts w:hint="eastAsia" w:ascii="宋体" w:hAnsi="宋体"/>
          <w:sz w:val="24"/>
          <w:szCs w:val="24"/>
          <w:highlight w:val="none"/>
        </w:rPr>
        <w:t>月</w:t>
      </w:r>
      <w:r>
        <w:rPr>
          <w:rFonts w:hint="eastAsia"/>
          <w:sz w:val="24"/>
          <w:szCs w:val="24"/>
          <w:highlight w:val="none"/>
          <w:lang w:val="en-US" w:eastAsia="zh-CN"/>
        </w:rPr>
        <w:t>2</w:t>
      </w:r>
      <w:r>
        <w:rPr>
          <w:rFonts w:hint="eastAsia" w:ascii="宋体" w:hAnsi="宋体"/>
          <w:sz w:val="24"/>
          <w:szCs w:val="24"/>
          <w:highlight w:val="none"/>
          <w:lang w:val="en-US" w:eastAsia="zh-CN"/>
        </w:rPr>
        <w:t>0</w:t>
      </w:r>
      <w:r>
        <w:rPr>
          <w:rFonts w:hint="eastAsia" w:ascii="宋体" w:hAnsi="宋体"/>
          <w:sz w:val="24"/>
          <w:szCs w:val="24"/>
          <w:highlight w:val="none"/>
        </w:rPr>
        <w:t>日</w:t>
      </w:r>
      <w:r>
        <w:rPr>
          <w:rFonts w:hint="eastAsia"/>
          <w:sz w:val="24"/>
          <w:szCs w:val="24"/>
          <w:highlight w:val="none"/>
          <w:lang w:val="en-US" w:eastAsia="zh-CN"/>
        </w:rPr>
        <w:t>召开第四届董事会第十次会议</w:t>
      </w:r>
      <w:r>
        <w:rPr>
          <w:rFonts w:hint="eastAsia" w:ascii="宋体" w:hAnsi="宋体" w:eastAsia="宋体" w:cs="宋体"/>
          <w:spacing w:val="-3"/>
          <w:sz w:val="24"/>
          <w:szCs w:val="24"/>
        </w:rPr>
        <w:t>审议</w:t>
      </w:r>
      <w:r>
        <w:rPr>
          <w:rFonts w:hint="eastAsia" w:cs="宋体"/>
          <w:spacing w:val="-3"/>
          <w:sz w:val="24"/>
          <w:szCs w:val="24"/>
          <w:lang w:val="en-US" w:eastAsia="zh-CN"/>
        </w:rPr>
        <w:t>通过</w:t>
      </w:r>
      <w:bookmarkEnd w:id="0"/>
      <w:r>
        <w:rPr>
          <w:rFonts w:hint="eastAsia" w:cs="宋体"/>
          <w:spacing w:val="-3"/>
          <w:sz w:val="24"/>
          <w:szCs w:val="24"/>
          <w:lang w:val="en-US" w:eastAsia="zh-CN"/>
        </w:rPr>
        <w:t>了《</w:t>
      </w:r>
      <w:r>
        <w:rPr>
          <w:rFonts w:hint="eastAsia"/>
          <w:spacing w:val="-3"/>
          <w:lang w:eastAsia="zh-CN"/>
        </w:rPr>
        <w:t>关于会计政策变更的议案</w:t>
      </w:r>
      <w:r>
        <w:rPr>
          <w:rFonts w:hint="eastAsia" w:cs="宋体"/>
          <w:spacing w:val="-3"/>
          <w:sz w:val="24"/>
          <w:szCs w:val="24"/>
          <w:lang w:val="en-US" w:eastAsia="zh-CN"/>
        </w:rPr>
        <w:t>》</w:t>
      </w:r>
      <w:r>
        <w:rPr>
          <w:rFonts w:hint="eastAsia" w:ascii="宋体" w:hAnsi="宋体" w:eastAsia="宋体" w:cs="宋体"/>
          <w:spacing w:val="-3"/>
          <w:sz w:val="24"/>
          <w:szCs w:val="24"/>
        </w:rPr>
        <w:t>。</w:t>
      </w:r>
    </w:p>
    <w:p w14:paraId="28E71824">
      <w:pPr>
        <w:pStyle w:val="3"/>
        <w:spacing w:before="221" w:line="352" w:lineRule="auto"/>
        <w:ind w:left="82" w:right="611" w:firstLine="482"/>
        <w:jc w:val="both"/>
        <w:rPr>
          <w:rFonts w:hint="eastAsia" w:ascii="宋体" w:hAnsi="宋体" w:eastAsia="宋体" w:cs="宋体"/>
          <w:sz w:val="24"/>
          <w:szCs w:val="24"/>
        </w:rPr>
      </w:pPr>
      <w:r>
        <w:rPr>
          <w:rFonts w:hint="eastAsia" w:ascii="宋体" w:hAnsi="宋体" w:eastAsia="宋体" w:cs="宋体"/>
          <w:spacing w:val="-3"/>
          <w:sz w:val="24"/>
          <w:szCs w:val="24"/>
        </w:rPr>
        <w:t>现将相关事项</w:t>
      </w:r>
      <w:r>
        <w:rPr>
          <w:rFonts w:hint="eastAsia" w:ascii="宋体" w:hAnsi="宋体" w:eastAsia="宋体" w:cs="宋体"/>
          <w:spacing w:val="-10"/>
          <w:sz w:val="24"/>
          <w:szCs w:val="24"/>
        </w:rPr>
        <w:t>公告如下：</w:t>
      </w:r>
    </w:p>
    <w:p w14:paraId="03194572">
      <w:pPr>
        <w:pStyle w:val="3"/>
        <w:spacing w:before="196" w:line="221" w:lineRule="auto"/>
        <w:ind w:left="570"/>
        <w:rPr>
          <w:rFonts w:hint="eastAsia" w:ascii="宋体" w:hAnsi="宋体" w:eastAsia="宋体" w:cs="宋体"/>
          <w:sz w:val="24"/>
          <w:szCs w:val="24"/>
        </w:rPr>
      </w:pPr>
      <w:r>
        <w:rPr>
          <w:rFonts w:hint="eastAsia" w:ascii="宋体" w:hAnsi="宋体" w:eastAsia="宋体" w:cs="宋体"/>
          <w:spacing w:val="-5"/>
          <w:sz w:val="24"/>
          <w:szCs w:val="24"/>
        </w:rPr>
        <w:t>（一）变更原因</w:t>
      </w:r>
    </w:p>
    <w:p w14:paraId="435596BB">
      <w:pPr>
        <w:pStyle w:val="3"/>
        <w:spacing w:before="182" w:line="351" w:lineRule="auto"/>
        <w:ind w:left="87" w:right="611" w:firstLine="472"/>
        <w:jc w:val="both"/>
        <w:rPr>
          <w:rFonts w:hint="eastAsia" w:ascii="宋体" w:hAnsi="宋体" w:eastAsia="宋体" w:cs="宋体"/>
          <w:sz w:val="24"/>
          <w:szCs w:val="24"/>
        </w:rPr>
      </w:pPr>
      <w:r>
        <w:rPr>
          <w:rFonts w:hint="eastAsia" w:ascii="宋体" w:hAnsi="宋体" w:eastAsia="宋体" w:cs="宋体"/>
          <w:spacing w:val="-5"/>
          <w:sz w:val="24"/>
          <w:szCs w:val="24"/>
        </w:rPr>
        <w:t>2023年10月25日，财政部颁布了第17号准则解释，对“关于流动负债与</w:t>
      </w:r>
      <w:r>
        <w:rPr>
          <w:rFonts w:hint="eastAsia" w:ascii="宋体" w:hAnsi="宋体" w:eastAsia="宋体" w:cs="宋体"/>
          <w:sz w:val="24"/>
          <w:szCs w:val="24"/>
        </w:rPr>
        <w:t xml:space="preserve"> </w:t>
      </w:r>
      <w:r>
        <w:rPr>
          <w:rFonts w:hint="eastAsia" w:ascii="宋体" w:hAnsi="宋体" w:eastAsia="宋体" w:cs="宋体"/>
          <w:spacing w:val="-3"/>
          <w:sz w:val="24"/>
          <w:szCs w:val="24"/>
        </w:rPr>
        <w:t>非流动负债的划分”“关于供应商融资安排的披露”“关于售后租回交易的会计</w:t>
      </w:r>
      <w:r>
        <w:rPr>
          <w:rFonts w:hint="eastAsia" w:ascii="宋体" w:hAnsi="宋体" w:eastAsia="宋体" w:cs="宋体"/>
          <w:spacing w:val="-4"/>
          <w:sz w:val="24"/>
          <w:szCs w:val="24"/>
        </w:rPr>
        <w:t>处理</w:t>
      </w:r>
      <w:r>
        <w:rPr>
          <w:rFonts w:hint="eastAsia" w:ascii="宋体" w:hAnsi="宋体" w:eastAsia="宋体" w:cs="宋体"/>
          <w:spacing w:val="-87"/>
          <w:sz w:val="24"/>
          <w:szCs w:val="24"/>
        </w:rPr>
        <w:t xml:space="preserve"> </w:t>
      </w:r>
      <w:r>
        <w:rPr>
          <w:rFonts w:hint="eastAsia" w:ascii="宋体" w:hAnsi="宋体" w:eastAsia="宋体" w:cs="宋体"/>
          <w:spacing w:val="-4"/>
          <w:sz w:val="24"/>
          <w:szCs w:val="24"/>
        </w:rPr>
        <w:t>”等问题的会计处理进行规范说明。</w:t>
      </w:r>
    </w:p>
    <w:p w14:paraId="7F5368B6">
      <w:pPr>
        <w:pStyle w:val="3"/>
        <w:spacing w:before="182" w:line="351" w:lineRule="auto"/>
        <w:ind w:left="87" w:right="611" w:firstLine="472"/>
        <w:jc w:val="both"/>
        <w:rPr>
          <w:rFonts w:hint="eastAsia" w:ascii="宋体" w:hAnsi="宋体" w:eastAsia="宋体" w:cs="宋体"/>
          <w:sz w:val="24"/>
          <w:szCs w:val="24"/>
        </w:rPr>
      </w:pPr>
      <w:r>
        <w:rPr>
          <w:rFonts w:hint="eastAsia" w:ascii="宋体" w:hAnsi="宋体" w:eastAsia="宋体" w:cs="宋体"/>
          <w:spacing w:val="-5"/>
          <w:sz w:val="24"/>
          <w:szCs w:val="24"/>
        </w:rPr>
        <w:t>2024年12月31日，财政部</w:t>
      </w:r>
      <w:r>
        <w:rPr>
          <w:rFonts w:hint="eastAsia" w:ascii="宋体" w:hAnsi="宋体" w:eastAsia="宋体" w:cs="宋体"/>
          <w:spacing w:val="-5"/>
          <w:sz w:val="24"/>
          <w:szCs w:val="24"/>
          <w:lang w:val="en-US" w:eastAsia="zh-CN"/>
        </w:rPr>
        <w:t>颁布</w:t>
      </w:r>
      <w:r>
        <w:rPr>
          <w:rFonts w:hint="eastAsia" w:ascii="宋体" w:hAnsi="宋体" w:eastAsia="宋体" w:cs="宋体"/>
          <w:spacing w:val="-5"/>
          <w:sz w:val="24"/>
          <w:szCs w:val="24"/>
        </w:rPr>
        <w:t>了第1</w:t>
      </w:r>
      <w:r>
        <w:rPr>
          <w:rFonts w:hint="eastAsia" w:ascii="宋体" w:hAnsi="宋体" w:eastAsia="宋体" w:cs="宋体"/>
          <w:spacing w:val="-5"/>
          <w:sz w:val="24"/>
          <w:szCs w:val="24"/>
          <w:lang w:val="en-US" w:eastAsia="zh-CN"/>
        </w:rPr>
        <w:t>8</w:t>
      </w:r>
      <w:r>
        <w:rPr>
          <w:rFonts w:hint="eastAsia" w:ascii="宋体" w:hAnsi="宋体" w:eastAsia="宋体" w:cs="宋体"/>
          <w:spacing w:val="-5"/>
          <w:sz w:val="24"/>
          <w:szCs w:val="24"/>
        </w:rPr>
        <w:t>号准则解释，对“关于浮动收费法下作为基础项目持有的投资性房地产的后续计量</w:t>
      </w:r>
      <w:r>
        <w:rPr>
          <w:rFonts w:hint="eastAsia" w:ascii="宋体" w:hAnsi="宋体" w:eastAsia="宋体" w:cs="宋体"/>
          <w:spacing w:val="-3"/>
          <w:sz w:val="24"/>
          <w:szCs w:val="24"/>
        </w:rPr>
        <w:t>”“关于不属于单项履约义务的保证类质量保证的会计处理</w:t>
      </w:r>
      <w:r>
        <w:rPr>
          <w:rFonts w:hint="eastAsia" w:ascii="宋体" w:hAnsi="宋体" w:eastAsia="宋体" w:cs="宋体"/>
          <w:spacing w:val="-87"/>
          <w:sz w:val="24"/>
          <w:szCs w:val="24"/>
        </w:rPr>
        <w:t xml:space="preserve"> </w:t>
      </w:r>
      <w:r>
        <w:rPr>
          <w:rFonts w:hint="eastAsia" w:ascii="宋体" w:hAnsi="宋体" w:eastAsia="宋体" w:cs="宋体"/>
          <w:spacing w:val="-4"/>
          <w:sz w:val="24"/>
          <w:szCs w:val="24"/>
        </w:rPr>
        <w:t>”等问题的会计处理进行规范说明。</w:t>
      </w:r>
    </w:p>
    <w:p w14:paraId="3070D96B">
      <w:pPr>
        <w:pStyle w:val="3"/>
        <w:spacing w:before="191" w:line="219" w:lineRule="auto"/>
        <w:ind w:left="570"/>
        <w:rPr>
          <w:rFonts w:hint="eastAsia" w:ascii="宋体" w:hAnsi="宋体" w:eastAsia="宋体" w:cs="宋体"/>
          <w:sz w:val="24"/>
          <w:szCs w:val="24"/>
        </w:rPr>
      </w:pPr>
      <w:r>
        <w:rPr>
          <w:rFonts w:hint="eastAsia" w:ascii="宋体" w:hAnsi="宋体" w:eastAsia="宋体" w:cs="宋体"/>
          <w:spacing w:val="-2"/>
          <w:sz w:val="24"/>
          <w:szCs w:val="24"/>
        </w:rPr>
        <w:t>（二）变更前采用的会计政策</w:t>
      </w:r>
    </w:p>
    <w:p w14:paraId="204CDF00">
      <w:pPr>
        <w:pStyle w:val="3"/>
        <w:spacing w:before="183" w:line="352" w:lineRule="auto"/>
        <w:ind w:left="84" w:right="503" w:firstLine="480"/>
        <w:jc w:val="both"/>
        <w:rPr>
          <w:rFonts w:hint="eastAsia" w:ascii="宋体" w:hAnsi="宋体" w:eastAsia="宋体" w:cs="宋体"/>
          <w:sz w:val="24"/>
          <w:szCs w:val="24"/>
        </w:rPr>
      </w:pPr>
      <w:r>
        <w:rPr>
          <w:rFonts w:hint="eastAsia" w:ascii="宋体" w:hAnsi="宋体" w:eastAsia="宋体" w:cs="宋体"/>
          <w:spacing w:val="-7"/>
          <w:sz w:val="24"/>
          <w:szCs w:val="24"/>
        </w:rPr>
        <w:t>本次会计政策变更前，公司施行财政部</w:t>
      </w:r>
      <w:r>
        <w:rPr>
          <w:rFonts w:hint="eastAsia" w:ascii="宋体" w:hAnsi="宋体" w:eastAsia="宋体" w:cs="宋体"/>
          <w:spacing w:val="-7"/>
          <w:sz w:val="24"/>
          <w:szCs w:val="24"/>
          <w:lang w:eastAsia="zh-CN"/>
        </w:rPr>
        <w:t>颁布</w:t>
      </w:r>
      <w:r>
        <w:rPr>
          <w:rFonts w:hint="eastAsia" w:ascii="宋体" w:hAnsi="宋体" w:eastAsia="宋体" w:cs="宋体"/>
          <w:spacing w:val="-7"/>
          <w:sz w:val="24"/>
          <w:szCs w:val="24"/>
        </w:rPr>
        <w:t>的</w:t>
      </w:r>
      <w:bookmarkStart w:id="1" w:name="OLE_LINK1"/>
      <w:r>
        <w:rPr>
          <w:rFonts w:hint="eastAsia" w:ascii="宋体" w:hAnsi="宋体" w:eastAsia="宋体" w:cs="宋体"/>
          <w:spacing w:val="-7"/>
          <w:sz w:val="24"/>
          <w:szCs w:val="24"/>
        </w:rPr>
        <w:t>《企业会计准则——基本准则》</w:t>
      </w:r>
      <w:r>
        <w:rPr>
          <w:rFonts w:hint="eastAsia" w:ascii="宋体" w:hAnsi="宋体" w:eastAsia="宋体" w:cs="宋体"/>
          <w:spacing w:val="-3"/>
          <w:sz w:val="24"/>
          <w:szCs w:val="24"/>
        </w:rPr>
        <w:t>和</w:t>
      </w:r>
      <w:bookmarkEnd w:id="1"/>
      <w:r>
        <w:rPr>
          <w:rFonts w:hint="eastAsia" w:ascii="宋体" w:hAnsi="宋体" w:eastAsia="宋体" w:cs="宋体"/>
          <w:spacing w:val="-3"/>
          <w:sz w:val="24"/>
          <w:szCs w:val="24"/>
        </w:rPr>
        <w:t>各项具体会计准则、企业会计准则应用指南、企业会计准则解释以及其他相关</w:t>
      </w:r>
      <w:r>
        <w:rPr>
          <w:rFonts w:hint="eastAsia" w:ascii="宋体" w:hAnsi="宋体" w:eastAsia="宋体" w:cs="宋体"/>
          <w:spacing w:val="-10"/>
          <w:sz w:val="24"/>
          <w:szCs w:val="24"/>
        </w:rPr>
        <w:t>规定。</w:t>
      </w:r>
    </w:p>
    <w:p w14:paraId="7DC20231">
      <w:pPr>
        <w:pStyle w:val="3"/>
        <w:spacing w:before="177" w:line="219" w:lineRule="auto"/>
        <w:ind w:left="570"/>
        <w:rPr>
          <w:rFonts w:hint="eastAsia" w:ascii="宋体" w:hAnsi="宋体" w:eastAsia="宋体" w:cs="宋体"/>
          <w:sz w:val="24"/>
          <w:szCs w:val="24"/>
        </w:rPr>
      </w:pPr>
      <w:r>
        <w:rPr>
          <w:rFonts w:hint="eastAsia" w:ascii="宋体" w:hAnsi="宋体" w:eastAsia="宋体" w:cs="宋体"/>
          <w:spacing w:val="-2"/>
          <w:sz w:val="24"/>
          <w:szCs w:val="24"/>
        </w:rPr>
        <w:t>（三）变更后采用的会计政策</w:t>
      </w:r>
    </w:p>
    <w:p w14:paraId="2353D098">
      <w:pPr>
        <w:pStyle w:val="3"/>
        <w:spacing w:before="181" w:line="355" w:lineRule="auto"/>
        <w:ind w:left="24" w:right="59" w:firstLine="488"/>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本次会计政策变更后，公司施行财政部</w:t>
      </w:r>
      <w:r>
        <w:rPr>
          <w:rFonts w:hint="eastAsia" w:cs="宋体"/>
          <w:color w:val="auto"/>
          <w:spacing w:val="-2"/>
          <w:sz w:val="24"/>
          <w:szCs w:val="24"/>
          <w:lang w:val="en-US" w:eastAsia="zh-CN"/>
        </w:rPr>
        <w:t>于</w:t>
      </w:r>
      <w:r>
        <w:rPr>
          <w:rFonts w:hint="eastAsia" w:ascii="宋体" w:hAnsi="宋体" w:eastAsia="宋体" w:cs="宋体"/>
          <w:color w:val="auto"/>
          <w:spacing w:val="-2"/>
          <w:sz w:val="24"/>
          <w:szCs w:val="24"/>
        </w:rPr>
        <w:t>2023年10月25日颁布的第17号准则解释</w:t>
      </w:r>
      <w:r>
        <w:rPr>
          <w:rFonts w:hint="eastAsia" w:ascii="宋体" w:hAnsi="宋体" w:eastAsia="宋体" w:cs="宋体"/>
          <w:color w:val="auto"/>
          <w:spacing w:val="-2"/>
          <w:sz w:val="24"/>
          <w:szCs w:val="24"/>
          <w:lang w:val="en-US" w:eastAsia="zh-CN"/>
        </w:rPr>
        <w:t>及</w:t>
      </w:r>
      <w:r>
        <w:rPr>
          <w:rFonts w:hint="eastAsia" w:ascii="宋体" w:hAnsi="宋体" w:eastAsia="宋体" w:cs="宋体"/>
          <w:color w:val="auto"/>
          <w:spacing w:val="-2"/>
          <w:sz w:val="24"/>
          <w:szCs w:val="24"/>
        </w:rPr>
        <w:t>财政部</w:t>
      </w:r>
      <w:r>
        <w:rPr>
          <w:rFonts w:hint="eastAsia" w:ascii="宋体" w:hAnsi="宋体" w:eastAsia="宋体" w:cs="宋体"/>
          <w:color w:val="auto"/>
          <w:spacing w:val="-2"/>
          <w:sz w:val="24"/>
          <w:szCs w:val="24"/>
          <w:lang w:val="en-US" w:eastAsia="zh-CN"/>
        </w:rPr>
        <w:t>于</w:t>
      </w:r>
      <w:r>
        <w:rPr>
          <w:rFonts w:hint="eastAsia" w:ascii="宋体" w:hAnsi="宋体" w:eastAsia="宋体" w:cs="宋体"/>
          <w:color w:val="auto"/>
          <w:spacing w:val="-2"/>
          <w:sz w:val="24"/>
          <w:szCs w:val="24"/>
        </w:rPr>
        <w:t>202</w:t>
      </w:r>
      <w:r>
        <w:rPr>
          <w:rFonts w:hint="eastAsia" w:ascii="宋体" w:hAnsi="宋体" w:eastAsia="宋体" w:cs="宋体"/>
          <w:color w:val="auto"/>
          <w:spacing w:val="-2"/>
          <w:sz w:val="24"/>
          <w:szCs w:val="24"/>
          <w:lang w:val="en-US" w:eastAsia="zh-CN"/>
        </w:rPr>
        <w:t>4</w:t>
      </w:r>
      <w:r>
        <w:rPr>
          <w:rFonts w:hint="eastAsia" w:ascii="宋体" w:hAnsi="宋体" w:eastAsia="宋体" w:cs="宋体"/>
          <w:color w:val="auto"/>
          <w:spacing w:val="-2"/>
          <w:sz w:val="24"/>
          <w:szCs w:val="24"/>
        </w:rPr>
        <w:t>年</w:t>
      </w:r>
      <w:r>
        <w:rPr>
          <w:rFonts w:hint="eastAsia" w:ascii="宋体" w:hAnsi="宋体" w:eastAsia="宋体" w:cs="宋体"/>
          <w:color w:val="auto"/>
          <w:spacing w:val="-2"/>
          <w:sz w:val="24"/>
          <w:szCs w:val="24"/>
          <w:lang w:val="en-US" w:eastAsia="zh-CN"/>
        </w:rPr>
        <w:t>12</w:t>
      </w:r>
      <w:r>
        <w:rPr>
          <w:rFonts w:hint="eastAsia" w:ascii="宋体" w:hAnsi="宋体" w:eastAsia="宋体" w:cs="宋体"/>
          <w:color w:val="auto"/>
          <w:spacing w:val="-2"/>
          <w:sz w:val="24"/>
          <w:szCs w:val="24"/>
        </w:rPr>
        <w:t>月</w:t>
      </w:r>
      <w:r>
        <w:rPr>
          <w:rFonts w:hint="eastAsia" w:ascii="宋体" w:hAnsi="宋体" w:eastAsia="宋体" w:cs="宋体"/>
          <w:color w:val="auto"/>
          <w:spacing w:val="-2"/>
          <w:sz w:val="24"/>
          <w:szCs w:val="24"/>
          <w:lang w:val="en-US" w:eastAsia="zh-CN"/>
        </w:rPr>
        <w:t>31</w:t>
      </w:r>
      <w:r>
        <w:rPr>
          <w:rFonts w:hint="eastAsia" w:ascii="宋体" w:hAnsi="宋体" w:eastAsia="宋体" w:cs="宋体"/>
          <w:color w:val="auto"/>
          <w:spacing w:val="-2"/>
          <w:sz w:val="24"/>
          <w:szCs w:val="24"/>
        </w:rPr>
        <w:t>日</w:t>
      </w:r>
      <w:r>
        <w:rPr>
          <w:rFonts w:hint="eastAsia" w:ascii="宋体" w:hAnsi="宋体" w:eastAsia="宋体" w:cs="宋体"/>
          <w:color w:val="auto"/>
          <w:spacing w:val="-2"/>
          <w:sz w:val="24"/>
          <w:szCs w:val="24"/>
          <w:lang w:val="en-US" w:eastAsia="zh-CN"/>
        </w:rPr>
        <w:t>颁布</w:t>
      </w:r>
      <w:r>
        <w:rPr>
          <w:rFonts w:hint="eastAsia" w:ascii="宋体" w:hAnsi="宋体" w:eastAsia="宋体" w:cs="宋体"/>
          <w:color w:val="auto"/>
          <w:spacing w:val="-2"/>
          <w:sz w:val="24"/>
          <w:szCs w:val="24"/>
        </w:rPr>
        <w:t>的第1</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号准则解释</w:t>
      </w:r>
      <w:r>
        <w:rPr>
          <w:rFonts w:hint="eastAsia" w:ascii="宋体" w:hAnsi="宋体" w:eastAsia="宋体" w:cs="宋体"/>
          <w:color w:val="auto"/>
          <w:spacing w:val="-2"/>
          <w:sz w:val="24"/>
          <w:szCs w:val="24"/>
          <w:lang w:eastAsia="zh-CN"/>
        </w:rPr>
        <w:t>，</w:t>
      </w:r>
      <w:r>
        <w:rPr>
          <w:rFonts w:hint="eastAsia" w:ascii="宋体" w:hAnsi="宋体" w:eastAsia="宋体" w:cs="宋体"/>
          <w:color w:val="auto"/>
          <w:spacing w:val="-2"/>
          <w:sz w:val="24"/>
          <w:szCs w:val="24"/>
        </w:rPr>
        <w:t>其余未变更部分仍施行财政部前期颁布的</w:t>
      </w:r>
      <w:r>
        <w:rPr>
          <w:rFonts w:hint="eastAsia"/>
          <w:color w:val="auto"/>
          <w:spacing w:val="-2"/>
        </w:rPr>
        <w:t>《企业会计准则——基本准则》和</w:t>
      </w:r>
      <w:r>
        <w:rPr>
          <w:rFonts w:hint="eastAsia" w:ascii="宋体" w:hAnsi="宋体" w:eastAsia="宋体" w:cs="宋体"/>
          <w:color w:val="auto"/>
          <w:spacing w:val="-2"/>
          <w:sz w:val="24"/>
          <w:szCs w:val="24"/>
        </w:rPr>
        <w:t>各项具体会计准则、企业会计准则应用指南、企业会计准则解释及其他相关规定。</w:t>
      </w:r>
    </w:p>
    <w:p w14:paraId="7B6D1744">
      <w:pPr>
        <w:pStyle w:val="3"/>
        <w:spacing w:before="191" w:line="220" w:lineRule="auto"/>
        <w:ind w:left="512"/>
        <w:rPr>
          <w:rFonts w:hint="eastAsia" w:ascii="宋体" w:hAnsi="宋体" w:eastAsia="宋体" w:cs="宋体"/>
          <w:sz w:val="24"/>
          <w:szCs w:val="24"/>
        </w:rPr>
      </w:pPr>
      <w:r>
        <w:rPr>
          <w:rFonts w:hint="eastAsia" w:ascii="宋体" w:hAnsi="宋体" w:eastAsia="宋体" w:cs="宋体"/>
          <w:spacing w:val="-2"/>
          <w:sz w:val="24"/>
          <w:szCs w:val="24"/>
        </w:rPr>
        <w:t>（四）变更日期</w:t>
      </w:r>
    </w:p>
    <w:p w14:paraId="0275D65E">
      <w:pPr>
        <w:pStyle w:val="3"/>
        <w:spacing w:before="181" w:line="355" w:lineRule="auto"/>
        <w:ind w:left="24" w:right="59" w:firstLine="488"/>
        <w:rPr>
          <w:rFonts w:hint="eastAsia" w:ascii="宋体" w:hAnsi="宋体" w:eastAsia="宋体" w:cs="宋体"/>
          <w:color w:val="auto"/>
          <w:sz w:val="24"/>
          <w:szCs w:val="24"/>
        </w:rPr>
      </w:pPr>
      <w:r>
        <w:rPr>
          <w:rFonts w:hint="eastAsia" w:ascii="宋体" w:hAnsi="宋体" w:eastAsia="宋体" w:cs="宋体"/>
          <w:color w:val="auto"/>
          <w:spacing w:val="-2"/>
          <w:sz w:val="24"/>
          <w:szCs w:val="24"/>
        </w:rPr>
        <w:t>公司按照财政部第17号准则解释的要求，结合自身实际情况，对原会计政</w:t>
      </w:r>
      <w:r>
        <w:rPr>
          <w:rFonts w:hint="eastAsia" w:ascii="宋体" w:hAnsi="宋体" w:eastAsia="宋体" w:cs="宋体"/>
          <w:color w:val="auto"/>
          <w:sz w:val="24"/>
          <w:szCs w:val="24"/>
        </w:rPr>
        <w:t xml:space="preserve"> 策作相应变更，并按照</w:t>
      </w:r>
      <w:r>
        <w:rPr>
          <w:rFonts w:hint="eastAsia" w:ascii="宋体" w:hAnsi="宋体" w:eastAsia="宋体" w:cs="宋体"/>
          <w:color w:val="auto"/>
          <w:sz w:val="24"/>
          <w:szCs w:val="24"/>
          <w:lang w:val="en-US" w:eastAsia="zh-CN"/>
        </w:rPr>
        <w:t>财政部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于2024年1月1日</w:t>
      </w:r>
      <w:r>
        <w:rPr>
          <w:rFonts w:hint="eastAsia" w:ascii="宋体" w:hAnsi="宋体" w:eastAsia="宋体" w:cs="宋体"/>
          <w:color w:val="auto"/>
          <w:sz w:val="24"/>
          <w:szCs w:val="24"/>
        </w:rPr>
        <w:t>开始执行。</w:t>
      </w:r>
    </w:p>
    <w:p w14:paraId="67FA2766">
      <w:pPr>
        <w:pStyle w:val="3"/>
        <w:spacing w:before="181" w:line="355" w:lineRule="auto"/>
        <w:ind w:left="24" w:right="59" w:firstLine="488"/>
        <w:rPr>
          <w:rFonts w:hint="eastAsia" w:ascii="宋体" w:hAnsi="宋体" w:eastAsia="宋体" w:cs="宋体"/>
          <w:color w:val="auto"/>
          <w:sz w:val="24"/>
          <w:szCs w:val="24"/>
        </w:rPr>
      </w:pPr>
      <w:r>
        <w:rPr>
          <w:rFonts w:hint="eastAsia" w:ascii="宋体" w:hAnsi="宋体" w:eastAsia="宋体" w:cs="宋体"/>
          <w:color w:val="auto"/>
          <w:spacing w:val="-2"/>
          <w:sz w:val="24"/>
          <w:szCs w:val="24"/>
        </w:rPr>
        <w:t>公司按照财政部第1</w:t>
      </w:r>
      <w:r>
        <w:rPr>
          <w:rFonts w:hint="eastAsia" w:ascii="宋体" w:hAnsi="宋体" w:eastAsia="宋体" w:cs="宋体"/>
          <w:color w:val="auto"/>
          <w:spacing w:val="-2"/>
          <w:sz w:val="24"/>
          <w:szCs w:val="24"/>
          <w:lang w:val="en-US" w:eastAsia="zh-CN"/>
        </w:rPr>
        <w:t>8</w:t>
      </w:r>
      <w:r>
        <w:rPr>
          <w:rFonts w:hint="eastAsia" w:ascii="宋体" w:hAnsi="宋体" w:eastAsia="宋体" w:cs="宋体"/>
          <w:color w:val="auto"/>
          <w:spacing w:val="-2"/>
          <w:sz w:val="24"/>
          <w:szCs w:val="24"/>
        </w:rPr>
        <w:t>号准则解释的要求，结合自身实际情况，对原会计政</w:t>
      </w:r>
      <w:r>
        <w:rPr>
          <w:rFonts w:hint="eastAsia" w:ascii="宋体" w:hAnsi="宋体" w:eastAsia="宋体" w:cs="宋体"/>
          <w:color w:val="auto"/>
          <w:sz w:val="24"/>
          <w:szCs w:val="24"/>
        </w:rPr>
        <w:t xml:space="preserve"> 策作相应变更，并按照</w:t>
      </w:r>
      <w:r>
        <w:rPr>
          <w:rFonts w:hint="eastAsia" w:ascii="宋体" w:hAnsi="宋体" w:eastAsia="宋体" w:cs="宋体"/>
          <w:color w:val="auto"/>
          <w:sz w:val="24"/>
          <w:szCs w:val="24"/>
          <w:lang w:val="en-US" w:eastAsia="zh-CN"/>
        </w:rPr>
        <w:t>财政部</w:t>
      </w:r>
      <w:r>
        <w:rPr>
          <w:rFonts w:hint="eastAsia" w:ascii="宋体" w:hAnsi="宋体" w:eastAsia="宋体" w:cs="宋体"/>
          <w:color w:val="auto"/>
          <w:sz w:val="24"/>
          <w:szCs w:val="24"/>
        </w:rPr>
        <w:t>规定</w:t>
      </w:r>
      <w:r>
        <w:rPr>
          <w:rFonts w:hint="eastAsia" w:ascii="宋体" w:hAnsi="宋体" w:eastAsia="宋体" w:cs="宋体"/>
          <w:color w:val="auto"/>
          <w:sz w:val="24"/>
          <w:szCs w:val="24"/>
          <w:lang w:val="en-US" w:eastAsia="zh-CN"/>
        </w:rPr>
        <w:t>于2024年1月1日</w:t>
      </w:r>
      <w:r>
        <w:rPr>
          <w:rFonts w:hint="eastAsia" w:ascii="宋体" w:hAnsi="宋体" w:eastAsia="宋体" w:cs="宋体"/>
          <w:color w:val="auto"/>
          <w:sz w:val="24"/>
          <w:szCs w:val="24"/>
        </w:rPr>
        <w:t>开始执行。</w:t>
      </w:r>
    </w:p>
    <w:p w14:paraId="16CAF089">
      <w:pPr>
        <w:pStyle w:val="3"/>
        <w:spacing w:before="193" w:line="220" w:lineRule="auto"/>
        <w:ind w:left="512"/>
        <w:rPr>
          <w:rFonts w:hint="eastAsia" w:ascii="宋体" w:hAnsi="宋体" w:eastAsia="宋体" w:cs="宋体"/>
          <w:sz w:val="24"/>
          <w:szCs w:val="24"/>
        </w:rPr>
      </w:pPr>
      <w:r>
        <w:rPr>
          <w:rFonts w:hint="eastAsia" w:ascii="宋体" w:hAnsi="宋体" w:eastAsia="宋体" w:cs="宋体"/>
          <w:spacing w:val="-4"/>
          <w:sz w:val="24"/>
          <w:szCs w:val="24"/>
        </w:rPr>
        <w:t>（五）审批程序</w:t>
      </w:r>
    </w:p>
    <w:p w14:paraId="64AECD70">
      <w:pPr>
        <w:pStyle w:val="3"/>
        <w:spacing w:before="97" w:line="351" w:lineRule="auto"/>
        <w:ind w:left="24" w:right="56" w:firstLine="482"/>
        <w:jc w:val="both"/>
        <w:rPr>
          <w:rFonts w:hint="eastAsia" w:ascii="宋体" w:hAnsi="宋体" w:eastAsia="宋体" w:cs="宋体"/>
          <w:sz w:val="24"/>
          <w:szCs w:val="24"/>
        </w:rPr>
      </w:pPr>
      <w:r>
        <w:rPr>
          <w:rFonts w:hint="eastAsia" w:ascii="宋体" w:hAnsi="宋体" w:eastAsia="宋体" w:cs="宋体"/>
          <w:spacing w:val="-1"/>
          <w:sz w:val="24"/>
          <w:szCs w:val="24"/>
        </w:rPr>
        <w:t>本次会计政策变更是根据法律法规或者国家统一的会计制度的要求进</w:t>
      </w:r>
      <w:r>
        <w:rPr>
          <w:rFonts w:hint="eastAsia" w:ascii="宋体" w:hAnsi="宋体" w:eastAsia="宋体" w:cs="宋体"/>
          <w:spacing w:val="-2"/>
          <w:sz w:val="24"/>
          <w:szCs w:val="24"/>
        </w:rPr>
        <w:t>行的，</w:t>
      </w:r>
      <w:r>
        <w:rPr>
          <w:rFonts w:hint="eastAsia" w:cs="宋体"/>
          <w:spacing w:val="-2"/>
          <w:sz w:val="24"/>
          <w:szCs w:val="24"/>
          <w:lang w:val="en-US" w:eastAsia="zh-CN"/>
        </w:rPr>
        <w:t>已经公司</w:t>
      </w:r>
      <w:r>
        <w:rPr>
          <w:rFonts w:hint="eastAsia"/>
          <w:sz w:val="24"/>
          <w:szCs w:val="24"/>
          <w:highlight w:val="none"/>
          <w:lang w:val="en-US" w:eastAsia="zh-CN"/>
        </w:rPr>
        <w:t>第四届董事会第十次会议</w:t>
      </w:r>
      <w:r>
        <w:rPr>
          <w:rFonts w:hint="eastAsia" w:ascii="宋体" w:hAnsi="宋体" w:eastAsia="宋体" w:cs="宋体"/>
          <w:spacing w:val="-3"/>
          <w:sz w:val="24"/>
          <w:szCs w:val="24"/>
        </w:rPr>
        <w:t>审议</w:t>
      </w:r>
      <w:r>
        <w:rPr>
          <w:rFonts w:hint="eastAsia" w:cs="宋体"/>
          <w:spacing w:val="-3"/>
          <w:sz w:val="24"/>
          <w:szCs w:val="24"/>
          <w:lang w:val="en-US" w:eastAsia="zh-CN"/>
        </w:rPr>
        <w:t>通过</w:t>
      </w:r>
      <w:r>
        <w:rPr>
          <w:rFonts w:hint="eastAsia" w:ascii="宋体" w:hAnsi="宋体" w:eastAsia="宋体" w:cs="宋体"/>
          <w:spacing w:val="-3"/>
          <w:sz w:val="24"/>
          <w:szCs w:val="24"/>
          <w:lang w:eastAsia="zh-CN"/>
        </w:rPr>
        <w:t>，</w:t>
      </w:r>
      <w:r>
        <w:rPr>
          <w:rFonts w:hint="eastAsia" w:ascii="宋体" w:hAnsi="宋体" w:eastAsia="宋体" w:cs="宋体"/>
          <w:spacing w:val="-3"/>
          <w:sz w:val="24"/>
          <w:szCs w:val="24"/>
        </w:rPr>
        <w:t>无需经过股东会审议。</w:t>
      </w:r>
    </w:p>
    <w:p w14:paraId="25EBAF66">
      <w:pPr>
        <w:pStyle w:val="3"/>
        <w:spacing w:before="119" w:line="219" w:lineRule="auto"/>
        <w:ind w:left="509"/>
        <w:outlineLvl w:val="1"/>
        <w:rPr>
          <w:rFonts w:hint="eastAsia" w:ascii="宋体" w:hAnsi="宋体" w:eastAsia="宋体" w:cs="宋体"/>
          <w:sz w:val="24"/>
          <w:szCs w:val="24"/>
        </w:rPr>
      </w:pPr>
      <w:r>
        <w:rPr>
          <w:rFonts w:hint="eastAsia" w:ascii="宋体" w:hAnsi="宋体" w:eastAsia="宋体" w:cs="宋体"/>
          <w:b/>
          <w:bCs/>
          <w:spacing w:val="-1"/>
          <w:sz w:val="24"/>
          <w:szCs w:val="24"/>
        </w:rPr>
        <w:t>二、本次会计政策变更对公司的影响</w:t>
      </w:r>
    </w:p>
    <w:p w14:paraId="69D8D842">
      <w:pPr>
        <w:spacing w:line="560" w:lineRule="exact"/>
        <w:ind w:firstLine="480" w:firstLineChars="20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根据第18号准则解释“关于不属于单项履约义务的保证类质量保证的会计处理”的相关规定和要求，公司对保证类质量保证会计处理进行追溯调整，重述了2024年期初（即2023年度）合并财务报表和母公司财务报表，具体追溯调整影响情况如下：</w:t>
      </w:r>
    </w:p>
    <w:p w14:paraId="3EED4A92">
      <w:pPr>
        <w:pStyle w:val="3"/>
        <w:spacing w:before="97" w:line="351" w:lineRule="auto"/>
        <w:ind w:left="24" w:right="56" w:firstLine="482"/>
        <w:jc w:val="right"/>
        <w:rPr>
          <w:rFonts w:ascii="Times New Roman" w:hAnsi="Times New Roman" w:cs="Times New Roman" w:eastAsiaTheme="minorEastAsia"/>
          <w:spacing w:val="-3"/>
          <w:lang w:eastAsia="zh-CN"/>
        </w:rPr>
      </w:pPr>
      <w:r>
        <w:rPr>
          <w:rFonts w:ascii="Times New Roman" w:hAnsi="Times New Roman" w:cs="Times New Roman" w:eastAsiaTheme="minorEastAsia"/>
          <w:spacing w:val="-3"/>
          <w:lang w:eastAsia="zh-CN"/>
        </w:rPr>
        <w:t>单位：人民币</w:t>
      </w:r>
      <w:r>
        <w:rPr>
          <w:rFonts w:hint="eastAsia" w:ascii="Times New Roman" w:hAnsi="Times New Roman" w:cs="Times New Roman" w:eastAsiaTheme="minorEastAsia"/>
          <w:spacing w:val="-3"/>
          <w:lang w:eastAsia="zh-CN"/>
        </w:rPr>
        <w:t xml:space="preserve"> </w:t>
      </w:r>
      <w:r>
        <w:rPr>
          <w:rFonts w:ascii="Times New Roman" w:hAnsi="Times New Roman" w:cs="Times New Roman" w:eastAsiaTheme="minorEastAsia"/>
          <w:spacing w:val="-3"/>
          <w:lang w:eastAsia="zh-CN"/>
        </w:rPr>
        <w:t>元</w:t>
      </w:r>
    </w:p>
    <w:tbl>
      <w:tblPr>
        <w:tblStyle w:val="4"/>
        <w:tblW w:w="5000" w:type="pct"/>
        <w:tblInd w:w="0" w:type="dxa"/>
        <w:tblLayout w:type="autofit"/>
        <w:tblCellMar>
          <w:top w:w="0" w:type="dxa"/>
          <w:left w:w="108" w:type="dxa"/>
          <w:bottom w:w="0" w:type="dxa"/>
          <w:right w:w="108" w:type="dxa"/>
        </w:tblCellMar>
      </w:tblPr>
      <w:tblGrid>
        <w:gridCol w:w="1956"/>
        <w:gridCol w:w="2349"/>
        <w:gridCol w:w="2485"/>
        <w:gridCol w:w="1821"/>
      </w:tblGrid>
      <w:tr w14:paraId="6CEEAEAF">
        <w:tblPrEx>
          <w:tblCellMar>
            <w:top w:w="0" w:type="dxa"/>
            <w:left w:w="108" w:type="dxa"/>
            <w:bottom w:w="0" w:type="dxa"/>
            <w:right w:w="108" w:type="dxa"/>
          </w:tblCellMar>
        </w:tblPrEx>
        <w:trPr>
          <w:trHeight w:val="397"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3052A0C7">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2023年度（合并）</w:t>
            </w:r>
          </w:p>
        </w:tc>
      </w:tr>
      <w:tr w14:paraId="53C38274">
        <w:tblPrEx>
          <w:tblCellMar>
            <w:top w:w="0" w:type="dxa"/>
            <w:left w:w="108" w:type="dxa"/>
            <w:bottom w:w="0" w:type="dxa"/>
            <w:right w:w="108" w:type="dxa"/>
          </w:tblCellMar>
        </w:tblPrEx>
        <w:trPr>
          <w:trHeight w:val="397"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1BB058DA">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影响的报表项目</w:t>
            </w:r>
          </w:p>
        </w:tc>
        <w:tc>
          <w:tcPr>
            <w:tcW w:w="1364" w:type="pct"/>
            <w:tcBorders>
              <w:top w:val="nil"/>
              <w:left w:val="nil"/>
              <w:bottom w:val="single" w:color="auto" w:sz="4" w:space="0"/>
              <w:right w:val="single" w:color="auto" w:sz="4" w:space="0"/>
            </w:tcBorders>
            <w:shd w:val="clear" w:color="auto" w:fill="auto"/>
            <w:noWrap/>
            <w:vAlign w:val="center"/>
          </w:tcPr>
          <w:p w14:paraId="574D5E9D">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追溯调整前</w:t>
            </w:r>
          </w:p>
        </w:tc>
        <w:tc>
          <w:tcPr>
            <w:tcW w:w="1443" w:type="pct"/>
            <w:tcBorders>
              <w:top w:val="nil"/>
              <w:left w:val="nil"/>
              <w:bottom w:val="single" w:color="auto" w:sz="4" w:space="0"/>
              <w:right w:val="single" w:color="auto" w:sz="4" w:space="0"/>
            </w:tcBorders>
            <w:shd w:val="clear" w:color="auto" w:fill="auto"/>
            <w:noWrap/>
            <w:vAlign w:val="center"/>
          </w:tcPr>
          <w:p w14:paraId="4E338872">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追溯调整后</w:t>
            </w:r>
          </w:p>
        </w:tc>
        <w:tc>
          <w:tcPr>
            <w:tcW w:w="1057" w:type="pct"/>
            <w:tcBorders>
              <w:top w:val="nil"/>
              <w:left w:val="nil"/>
              <w:bottom w:val="single" w:color="auto" w:sz="4" w:space="0"/>
              <w:right w:val="single" w:color="auto" w:sz="4" w:space="0"/>
            </w:tcBorders>
            <w:shd w:val="clear" w:color="auto" w:fill="auto"/>
            <w:noWrap/>
            <w:vAlign w:val="center"/>
          </w:tcPr>
          <w:p w14:paraId="2A066E55">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影响金额</w:t>
            </w:r>
          </w:p>
        </w:tc>
      </w:tr>
      <w:tr w14:paraId="23128D2B">
        <w:tblPrEx>
          <w:tblCellMar>
            <w:top w:w="0" w:type="dxa"/>
            <w:left w:w="108" w:type="dxa"/>
            <w:bottom w:w="0" w:type="dxa"/>
            <w:right w:w="108" w:type="dxa"/>
          </w:tblCellMar>
        </w:tblPrEx>
        <w:trPr>
          <w:trHeight w:val="397"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0E70723D">
            <w:pPr>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营业成本</w:t>
            </w:r>
          </w:p>
        </w:tc>
        <w:tc>
          <w:tcPr>
            <w:tcW w:w="1364" w:type="pct"/>
            <w:tcBorders>
              <w:top w:val="nil"/>
              <w:left w:val="nil"/>
              <w:bottom w:val="single" w:color="auto" w:sz="4" w:space="0"/>
              <w:right w:val="single" w:color="auto" w:sz="4" w:space="0"/>
            </w:tcBorders>
            <w:shd w:val="clear" w:color="auto" w:fill="auto"/>
            <w:noWrap/>
            <w:vAlign w:val="center"/>
          </w:tcPr>
          <w:p w14:paraId="0ADB3653">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2,245,995,214.65</w:t>
            </w:r>
          </w:p>
        </w:tc>
        <w:tc>
          <w:tcPr>
            <w:tcW w:w="1443" w:type="pct"/>
            <w:tcBorders>
              <w:top w:val="nil"/>
              <w:left w:val="nil"/>
              <w:bottom w:val="single" w:color="auto" w:sz="4" w:space="0"/>
              <w:right w:val="single" w:color="auto" w:sz="4" w:space="0"/>
            </w:tcBorders>
            <w:shd w:val="clear" w:color="auto" w:fill="auto"/>
            <w:noWrap/>
            <w:vAlign w:val="center"/>
          </w:tcPr>
          <w:p w14:paraId="16BFCF6B">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2,250,572,644.43</w:t>
            </w:r>
          </w:p>
        </w:tc>
        <w:tc>
          <w:tcPr>
            <w:tcW w:w="1057" w:type="pct"/>
            <w:tcBorders>
              <w:top w:val="nil"/>
              <w:left w:val="nil"/>
              <w:bottom w:val="single" w:color="auto" w:sz="4" w:space="0"/>
              <w:right w:val="single" w:color="auto" w:sz="4" w:space="0"/>
            </w:tcBorders>
            <w:shd w:val="clear" w:color="auto" w:fill="auto"/>
            <w:noWrap/>
            <w:vAlign w:val="center"/>
          </w:tcPr>
          <w:p w14:paraId="5784F75D">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4,577,429.78</w:t>
            </w:r>
          </w:p>
        </w:tc>
      </w:tr>
      <w:tr w14:paraId="71300876">
        <w:tblPrEx>
          <w:tblCellMar>
            <w:top w:w="0" w:type="dxa"/>
            <w:left w:w="108" w:type="dxa"/>
            <w:bottom w:w="0" w:type="dxa"/>
            <w:right w:w="108" w:type="dxa"/>
          </w:tblCellMar>
        </w:tblPrEx>
        <w:trPr>
          <w:trHeight w:val="397"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19BE710E">
            <w:pPr>
              <w:jc w:val="center"/>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销售费用</w:t>
            </w:r>
          </w:p>
        </w:tc>
        <w:tc>
          <w:tcPr>
            <w:tcW w:w="1364" w:type="pct"/>
            <w:tcBorders>
              <w:top w:val="nil"/>
              <w:left w:val="nil"/>
              <w:bottom w:val="single" w:color="auto" w:sz="4" w:space="0"/>
              <w:right w:val="single" w:color="auto" w:sz="4" w:space="0"/>
            </w:tcBorders>
            <w:shd w:val="clear" w:color="auto" w:fill="auto"/>
            <w:noWrap/>
            <w:vAlign w:val="center"/>
          </w:tcPr>
          <w:p w14:paraId="3A03F609">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92,258,288.89</w:t>
            </w:r>
          </w:p>
        </w:tc>
        <w:tc>
          <w:tcPr>
            <w:tcW w:w="1443" w:type="pct"/>
            <w:tcBorders>
              <w:top w:val="nil"/>
              <w:left w:val="nil"/>
              <w:bottom w:val="single" w:color="auto" w:sz="4" w:space="0"/>
              <w:right w:val="single" w:color="auto" w:sz="4" w:space="0"/>
            </w:tcBorders>
            <w:shd w:val="clear" w:color="auto" w:fill="auto"/>
            <w:noWrap/>
            <w:vAlign w:val="center"/>
          </w:tcPr>
          <w:p w14:paraId="450289D7">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87,680,859.11</w:t>
            </w:r>
          </w:p>
        </w:tc>
        <w:tc>
          <w:tcPr>
            <w:tcW w:w="1057" w:type="pct"/>
            <w:tcBorders>
              <w:top w:val="nil"/>
              <w:left w:val="nil"/>
              <w:bottom w:val="single" w:color="auto" w:sz="4" w:space="0"/>
              <w:right w:val="single" w:color="auto" w:sz="4" w:space="0"/>
            </w:tcBorders>
            <w:shd w:val="clear" w:color="auto" w:fill="auto"/>
            <w:noWrap/>
            <w:vAlign w:val="center"/>
          </w:tcPr>
          <w:p w14:paraId="0D6EDD64">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-4,577,429.78</w:t>
            </w:r>
          </w:p>
        </w:tc>
      </w:tr>
    </w:tbl>
    <w:p w14:paraId="5AC18D7A">
      <w:pPr>
        <w:pStyle w:val="3"/>
        <w:spacing w:before="97" w:line="351" w:lineRule="auto"/>
        <w:ind w:right="56"/>
        <w:jc w:val="center"/>
        <w:rPr>
          <w:rFonts w:hint="eastAsia" w:asciiTheme="minorEastAsia" w:hAnsiTheme="minorEastAsia" w:eastAsiaTheme="minorEastAsia" w:cstheme="minorEastAsia"/>
          <w:spacing w:val="-3"/>
          <w:sz w:val="21"/>
          <w:szCs w:val="21"/>
          <w:lang w:eastAsia="zh-CN"/>
        </w:rPr>
      </w:pPr>
    </w:p>
    <w:tbl>
      <w:tblPr>
        <w:tblStyle w:val="4"/>
        <w:tblW w:w="5000" w:type="pct"/>
        <w:tblInd w:w="0" w:type="dxa"/>
        <w:tblLayout w:type="autofit"/>
        <w:tblCellMar>
          <w:top w:w="0" w:type="dxa"/>
          <w:left w:w="108" w:type="dxa"/>
          <w:bottom w:w="0" w:type="dxa"/>
          <w:right w:w="108" w:type="dxa"/>
        </w:tblCellMar>
      </w:tblPr>
      <w:tblGrid>
        <w:gridCol w:w="1956"/>
        <w:gridCol w:w="2349"/>
        <w:gridCol w:w="2485"/>
        <w:gridCol w:w="1821"/>
      </w:tblGrid>
      <w:tr w14:paraId="719861DF">
        <w:tblPrEx>
          <w:tblCellMar>
            <w:top w:w="0" w:type="dxa"/>
            <w:left w:w="108" w:type="dxa"/>
            <w:bottom w:w="0" w:type="dxa"/>
            <w:right w:w="108" w:type="dxa"/>
          </w:tblCellMar>
        </w:tblPrEx>
        <w:trPr>
          <w:trHeight w:val="397"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4E5D6FD7">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2023年度（母公司）</w:t>
            </w:r>
          </w:p>
        </w:tc>
      </w:tr>
      <w:tr w14:paraId="594123F9">
        <w:tblPrEx>
          <w:tblCellMar>
            <w:top w:w="0" w:type="dxa"/>
            <w:left w:w="108" w:type="dxa"/>
            <w:bottom w:w="0" w:type="dxa"/>
            <w:right w:w="108" w:type="dxa"/>
          </w:tblCellMar>
        </w:tblPrEx>
        <w:trPr>
          <w:trHeight w:val="397"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7DEF8EE3">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影响的报表项目</w:t>
            </w:r>
          </w:p>
        </w:tc>
        <w:tc>
          <w:tcPr>
            <w:tcW w:w="1364" w:type="pct"/>
            <w:tcBorders>
              <w:top w:val="nil"/>
              <w:left w:val="nil"/>
              <w:bottom w:val="single" w:color="auto" w:sz="4" w:space="0"/>
              <w:right w:val="single" w:color="auto" w:sz="4" w:space="0"/>
            </w:tcBorders>
            <w:shd w:val="clear" w:color="auto" w:fill="auto"/>
            <w:noWrap/>
            <w:vAlign w:val="center"/>
          </w:tcPr>
          <w:p w14:paraId="6A498370">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追溯调整前</w:t>
            </w:r>
          </w:p>
        </w:tc>
        <w:tc>
          <w:tcPr>
            <w:tcW w:w="1443" w:type="pct"/>
            <w:tcBorders>
              <w:top w:val="nil"/>
              <w:left w:val="nil"/>
              <w:bottom w:val="single" w:color="auto" w:sz="4" w:space="0"/>
              <w:right w:val="single" w:color="auto" w:sz="4" w:space="0"/>
            </w:tcBorders>
            <w:shd w:val="clear" w:color="auto" w:fill="auto"/>
            <w:noWrap/>
            <w:vAlign w:val="center"/>
          </w:tcPr>
          <w:p w14:paraId="21444BF6">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追溯调整后</w:t>
            </w:r>
          </w:p>
        </w:tc>
        <w:tc>
          <w:tcPr>
            <w:tcW w:w="1057" w:type="pct"/>
            <w:tcBorders>
              <w:top w:val="nil"/>
              <w:left w:val="nil"/>
              <w:bottom w:val="single" w:color="auto" w:sz="4" w:space="0"/>
              <w:right w:val="single" w:color="auto" w:sz="4" w:space="0"/>
            </w:tcBorders>
            <w:shd w:val="clear" w:color="auto" w:fill="auto"/>
            <w:noWrap/>
            <w:vAlign w:val="center"/>
          </w:tcPr>
          <w:p w14:paraId="5422E1E6">
            <w:pPr>
              <w:jc w:val="center"/>
              <w:rPr>
                <w:rFonts w:hint="eastAsia" w:asciiTheme="minorEastAsia" w:hAnsiTheme="minorEastAsia" w:eastAsiaTheme="minorEastAsia" w:cstheme="minorEastAsia"/>
                <w:b/>
                <w:bCs/>
                <w:spacing w:val="-3"/>
                <w:sz w:val="21"/>
                <w:szCs w:val="21"/>
              </w:rPr>
            </w:pPr>
            <w:r>
              <w:rPr>
                <w:rFonts w:hint="eastAsia" w:asciiTheme="minorEastAsia" w:hAnsiTheme="minorEastAsia" w:eastAsiaTheme="minorEastAsia" w:cstheme="minorEastAsia"/>
                <w:b/>
                <w:bCs/>
                <w:spacing w:val="-3"/>
                <w:sz w:val="21"/>
                <w:szCs w:val="21"/>
              </w:rPr>
              <w:t>影响金额</w:t>
            </w:r>
          </w:p>
        </w:tc>
      </w:tr>
      <w:tr w14:paraId="25D9B991">
        <w:tblPrEx>
          <w:tblCellMar>
            <w:top w:w="0" w:type="dxa"/>
            <w:left w:w="108" w:type="dxa"/>
            <w:bottom w:w="0" w:type="dxa"/>
            <w:right w:w="108" w:type="dxa"/>
          </w:tblCellMar>
        </w:tblPrEx>
        <w:trPr>
          <w:trHeight w:val="397"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330DE51E">
            <w:pPr>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营业成本</w:t>
            </w:r>
          </w:p>
        </w:tc>
        <w:tc>
          <w:tcPr>
            <w:tcW w:w="1364" w:type="pct"/>
            <w:tcBorders>
              <w:top w:val="nil"/>
              <w:left w:val="nil"/>
              <w:bottom w:val="single" w:color="auto" w:sz="4" w:space="0"/>
              <w:right w:val="single" w:color="auto" w:sz="4" w:space="0"/>
            </w:tcBorders>
            <w:shd w:val="clear" w:color="auto" w:fill="auto"/>
            <w:noWrap/>
            <w:vAlign w:val="center"/>
          </w:tcPr>
          <w:p w14:paraId="371B8BB0">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 xml:space="preserve"> 2,209,503,976.53 </w:t>
            </w:r>
          </w:p>
        </w:tc>
        <w:tc>
          <w:tcPr>
            <w:tcW w:w="1443" w:type="pct"/>
            <w:tcBorders>
              <w:top w:val="nil"/>
              <w:left w:val="nil"/>
              <w:bottom w:val="single" w:color="auto" w:sz="4" w:space="0"/>
              <w:right w:val="single" w:color="auto" w:sz="4" w:space="0"/>
            </w:tcBorders>
            <w:shd w:val="clear" w:color="auto" w:fill="auto"/>
            <w:noWrap/>
            <w:vAlign w:val="center"/>
          </w:tcPr>
          <w:p w14:paraId="36CAA5F8">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 xml:space="preserve"> 2,216,908,329.86 </w:t>
            </w:r>
          </w:p>
        </w:tc>
        <w:tc>
          <w:tcPr>
            <w:tcW w:w="1057" w:type="pct"/>
            <w:tcBorders>
              <w:top w:val="nil"/>
              <w:left w:val="nil"/>
              <w:bottom w:val="single" w:color="auto" w:sz="4" w:space="0"/>
              <w:right w:val="single" w:color="auto" w:sz="4" w:space="0"/>
            </w:tcBorders>
            <w:shd w:val="clear" w:color="auto" w:fill="auto"/>
            <w:noWrap/>
            <w:vAlign w:val="center"/>
          </w:tcPr>
          <w:p w14:paraId="174DFC6E">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7,404,353.33</w:t>
            </w:r>
          </w:p>
        </w:tc>
      </w:tr>
      <w:tr w14:paraId="11B83309">
        <w:tblPrEx>
          <w:tblCellMar>
            <w:top w:w="0" w:type="dxa"/>
            <w:left w:w="108" w:type="dxa"/>
            <w:bottom w:w="0" w:type="dxa"/>
            <w:right w:w="108" w:type="dxa"/>
          </w:tblCellMar>
        </w:tblPrEx>
        <w:trPr>
          <w:trHeight w:val="397" w:hRule="atLeast"/>
        </w:trPr>
        <w:tc>
          <w:tcPr>
            <w:tcW w:w="1136" w:type="pct"/>
            <w:tcBorders>
              <w:top w:val="nil"/>
              <w:left w:val="single" w:color="auto" w:sz="4" w:space="0"/>
              <w:bottom w:val="single" w:color="auto" w:sz="4" w:space="0"/>
              <w:right w:val="single" w:color="auto" w:sz="4" w:space="0"/>
            </w:tcBorders>
            <w:shd w:val="clear" w:color="auto" w:fill="auto"/>
            <w:noWrap/>
            <w:vAlign w:val="center"/>
          </w:tcPr>
          <w:p w14:paraId="2CB0AC98">
            <w:pPr>
              <w:jc w:val="center"/>
              <w:rPr>
                <w:rFonts w:hint="eastAsia" w:asciiTheme="minorEastAsia" w:hAnsiTheme="minorEastAsia" w:eastAsiaTheme="minorEastAsia" w:cstheme="minorEastAsia"/>
                <w:spacing w:val="-2"/>
                <w:sz w:val="21"/>
                <w:szCs w:val="21"/>
              </w:rPr>
            </w:pPr>
            <w:r>
              <w:rPr>
                <w:rFonts w:hint="eastAsia" w:asciiTheme="minorEastAsia" w:hAnsiTheme="minorEastAsia" w:eastAsiaTheme="minorEastAsia" w:cstheme="minorEastAsia"/>
                <w:spacing w:val="-2"/>
                <w:sz w:val="21"/>
                <w:szCs w:val="21"/>
              </w:rPr>
              <w:t>销售费用</w:t>
            </w:r>
          </w:p>
        </w:tc>
        <w:tc>
          <w:tcPr>
            <w:tcW w:w="1364" w:type="pct"/>
            <w:tcBorders>
              <w:top w:val="nil"/>
              <w:left w:val="nil"/>
              <w:bottom w:val="single" w:color="auto" w:sz="4" w:space="0"/>
              <w:right w:val="single" w:color="auto" w:sz="4" w:space="0"/>
            </w:tcBorders>
            <w:shd w:val="clear" w:color="auto" w:fill="auto"/>
            <w:noWrap/>
            <w:vAlign w:val="center"/>
          </w:tcPr>
          <w:p w14:paraId="10DA108C">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 xml:space="preserve"> 88,041,031.71 </w:t>
            </w:r>
          </w:p>
        </w:tc>
        <w:tc>
          <w:tcPr>
            <w:tcW w:w="1443" w:type="pct"/>
            <w:tcBorders>
              <w:top w:val="nil"/>
              <w:left w:val="nil"/>
              <w:bottom w:val="single" w:color="auto" w:sz="4" w:space="0"/>
              <w:right w:val="single" w:color="auto" w:sz="4" w:space="0"/>
            </w:tcBorders>
            <w:shd w:val="clear" w:color="auto" w:fill="auto"/>
            <w:noWrap/>
            <w:vAlign w:val="center"/>
          </w:tcPr>
          <w:p w14:paraId="18B98FB9">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 xml:space="preserve"> 80,636,678.38 </w:t>
            </w:r>
          </w:p>
        </w:tc>
        <w:tc>
          <w:tcPr>
            <w:tcW w:w="1057" w:type="pct"/>
            <w:tcBorders>
              <w:top w:val="nil"/>
              <w:left w:val="nil"/>
              <w:bottom w:val="single" w:color="auto" w:sz="4" w:space="0"/>
              <w:right w:val="single" w:color="auto" w:sz="4" w:space="0"/>
            </w:tcBorders>
            <w:shd w:val="clear" w:color="auto" w:fill="auto"/>
            <w:noWrap/>
            <w:vAlign w:val="center"/>
          </w:tcPr>
          <w:p w14:paraId="21CB5CEA">
            <w:pPr>
              <w:jc w:val="right"/>
              <w:rPr>
                <w:rFonts w:hint="eastAsia" w:asciiTheme="minorEastAsia" w:hAnsiTheme="minorEastAsia" w:eastAsiaTheme="minorEastAsia" w:cstheme="minorEastAsia"/>
                <w:spacing w:val="-3"/>
                <w:sz w:val="21"/>
                <w:szCs w:val="21"/>
              </w:rPr>
            </w:pPr>
            <w:r>
              <w:rPr>
                <w:rFonts w:hint="eastAsia" w:asciiTheme="minorEastAsia" w:hAnsiTheme="minorEastAsia" w:eastAsiaTheme="minorEastAsia" w:cstheme="minorEastAsia"/>
                <w:spacing w:val="-3"/>
                <w:sz w:val="21"/>
                <w:szCs w:val="21"/>
              </w:rPr>
              <w:t>-7,404,353.33</w:t>
            </w:r>
          </w:p>
        </w:tc>
      </w:tr>
    </w:tbl>
    <w:p w14:paraId="628A9252">
      <w:pPr>
        <w:widowControl/>
        <w:snapToGrid w:val="0"/>
        <w:spacing w:line="60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本次会计政策变更是公司根据财政部相关规定和要求进行的变更，变更后的会计政策能够客观、公允地反映公司的财务状况和经营成果，符合相关法律法规的规定和公司实际情况。本次会计政策变更不会对公司财务状况、经营成果和现金流量产生重大影响。</w:t>
      </w:r>
    </w:p>
    <w:p w14:paraId="40796560">
      <w:pPr>
        <w:widowControl/>
        <w:snapToGrid w:val="0"/>
        <w:spacing w:line="600" w:lineRule="exact"/>
        <w:ind w:firstLine="480" w:firstLineChars="200"/>
        <w:rPr>
          <w:rFonts w:hint="eastAsia" w:asciiTheme="minorEastAsia" w:hAnsiTheme="minorEastAsia" w:eastAsiaTheme="minorEastAsia" w:cstheme="minorEastAsia"/>
          <w:color w:val="000000"/>
          <w:sz w:val="24"/>
          <w:szCs w:val="24"/>
        </w:rPr>
      </w:pPr>
    </w:p>
    <w:p w14:paraId="3E89E18C">
      <w:pPr>
        <w:pStyle w:val="3"/>
        <w:spacing w:before="39" w:line="218" w:lineRule="auto"/>
        <w:ind w:left="506"/>
        <w:rPr>
          <w:rFonts w:hint="eastAsia" w:ascii="宋体" w:hAnsi="宋体" w:eastAsia="宋体" w:cs="宋体"/>
          <w:sz w:val="24"/>
          <w:szCs w:val="24"/>
        </w:rPr>
      </w:pPr>
      <w:r>
        <w:rPr>
          <w:rFonts w:hint="eastAsia" w:ascii="宋体" w:hAnsi="宋体" w:eastAsia="宋体" w:cs="宋体"/>
          <w:spacing w:val="-7"/>
          <w:sz w:val="24"/>
          <w:szCs w:val="24"/>
        </w:rPr>
        <w:t>特此公告。</w:t>
      </w:r>
    </w:p>
    <w:p w14:paraId="39954B47">
      <w:pPr>
        <w:pStyle w:val="3"/>
        <w:spacing w:before="269" w:line="347" w:lineRule="auto"/>
        <w:ind w:right="60" w:firstLine="3570" w:firstLineChars="1500"/>
        <w:jc w:val="right"/>
        <w:rPr>
          <w:rFonts w:hint="eastAsia" w:ascii="宋体" w:hAnsi="宋体" w:eastAsia="宋体" w:cs="宋体"/>
          <w:spacing w:val="-1"/>
          <w:sz w:val="24"/>
          <w:szCs w:val="24"/>
        </w:rPr>
      </w:pPr>
      <w:r>
        <w:rPr>
          <w:rFonts w:hint="eastAsia" w:ascii="宋体" w:hAnsi="宋体" w:eastAsia="宋体" w:cs="宋体"/>
          <w:spacing w:val="-1"/>
          <w:sz w:val="24"/>
          <w:szCs w:val="24"/>
          <w:lang w:val="en-US" w:eastAsia="zh-CN"/>
        </w:rPr>
        <w:t>重庆望变电气（集团）股份有限公司</w:t>
      </w:r>
      <w:r>
        <w:rPr>
          <w:rFonts w:hint="eastAsia" w:ascii="宋体" w:hAnsi="宋体" w:eastAsia="宋体" w:cs="宋体"/>
          <w:spacing w:val="-1"/>
          <w:sz w:val="24"/>
          <w:szCs w:val="24"/>
        </w:rPr>
        <w:t>董事会</w:t>
      </w:r>
    </w:p>
    <w:p w14:paraId="0D775A0E">
      <w:pPr>
        <w:pStyle w:val="3"/>
        <w:spacing w:before="269" w:line="347" w:lineRule="auto"/>
        <w:ind w:right="60" w:firstLine="5502" w:firstLineChars="2100"/>
        <w:jc w:val="right"/>
        <w:rPr>
          <w:rFonts w:hint="eastAsia" w:ascii="宋体" w:hAnsi="宋体" w:eastAsia="宋体" w:cs="宋体"/>
          <w:sz w:val="24"/>
          <w:szCs w:val="24"/>
        </w:rPr>
      </w:pPr>
      <w:r>
        <w:rPr>
          <w:rFonts w:hint="eastAsia" w:ascii="宋体" w:hAnsi="宋体" w:eastAsia="宋体" w:cs="宋体"/>
          <w:spacing w:val="11"/>
          <w:sz w:val="24"/>
          <w:szCs w:val="24"/>
        </w:rPr>
        <w:t xml:space="preserve"> </w:t>
      </w:r>
      <w:r>
        <w:rPr>
          <w:rFonts w:hint="eastAsia" w:ascii="宋体" w:hAnsi="宋体" w:eastAsia="宋体" w:cs="宋体"/>
          <w:spacing w:val="-3"/>
          <w:sz w:val="24"/>
          <w:szCs w:val="24"/>
        </w:rPr>
        <w:t>2024年</w:t>
      </w:r>
      <w:r>
        <w:rPr>
          <w:rFonts w:hint="eastAsia" w:ascii="宋体" w:hAnsi="宋体" w:eastAsia="宋体" w:cs="宋体"/>
          <w:spacing w:val="-56"/>
          <w:sz w:val="24"/>
          <w:szCs w:val="24"/>
          <w:lang w:val="en-US" w:eastAsia="zh-CN"/>
        </w:rPr>
        <w:t>1</w:t>
      </w:r>
      <w:r>
        <w:rPr>
          <w:rFonts w:hint="eastAsia" w:cs="宋体"/>
          <w:spacing w:val="-56"/>
          <w:sz w:val="24"/>
          <w:szCs w:val="24"/>
          <w:lang w:val="en-US" w:eastAsia="zh-CN"/>
        </w:rPr>
        <w:t xml:space="preserve"> </w:t>
      </w:r>
      <w:r>
        <w:rPr>
          <w:rFonts w:hint="eastAsia" w:ascii="宋体" w:hAnsi="宋体" w:eastAsia="宋体" w:cs="宋体"/>
          <w:spacing w:val="-3"/>
          <w:sz w:val="24"/>
          <w:szCs w:val="24"/>
        </w:rPr>
        <w:t>月</w:t>
      </w:r>
      <w:r>
        <w:rPr>
          <w:rFonts w:hint="eastAsia" w:cs="宋体"/>
          <w:spacing w:val="-55"/>
          <w:sz w:val="24"/>
          <w:szCs w:val="24"/>
          <w:lang w:val="en-US" w:eastAsia="zh-CN"/>
        </w:rPr>
        <w:t>22</w:t>
      </w:r>
      <w:r>
        <w:rPr>
          <w:rFonts w:hint="eastAsia" w:ascii="宋体" w:hAnsi="宋体" w:eastAsia="宋体" w:cs="宋体"/>
          <w:spacing w:val="-3"/>
          <w:sz w:val="24"/>
          <w:szCs w:val="24"/>
        </w:rPr>
        <w:t>日</w:t>
      </w:r>
    </w:p>
    <w:sectPr>
      <w:pgSz w:w="11905" w:h="16836"/>
      <w:pgMar w:top="1414" w:right="172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6318AA"/>
    <w:multiLevelType w:val="singleLevel"/>
    <w:tmpl w:val="2D6318A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trackRevisions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dlNzQyZmI5OWM5OGM0MjRkNWIyMzRjOTlhMGU0Y2QifQ=="/>
  </w:docVars>
  <w:rsids>
    <w:rsidRoot w:val="00000000"/>
    <w:rsid w:val="084637CD"/>
    <w:rsid w:val="08872B64"/>
    <w:rsid w:val="09514639"/>
    <w:rsid w:val="12F006FD"/>
    <w:rsid w:val="15B00070"/>
    <w:rsid w:val="172F3ADF"/>
    <w:rsid w:val="17D96B2F"/>
    <w:rsid w:val="1A4028E5"/>
    <w:rsid w:val="1C031335"/>
    <w:rsid w:val="2270659C"/>
    <w:rsid w:val="25EE2BC6"/>
    <w:rsid w:val="2767173F"/>
    <w:rsid w:val="276B7666"/>
    <w:rsid w:val="27846663"/>
    <w:rsid w:val="28356CCE"/>
    <w:rsid w:val="2EEB0D06"/>
    <w:rsid w:val="3B025746"/>
    <w:rsid w:val="410E7BC3"/>
    <w:rsid w:val="4465686E"/>
    <w:rsid w:val="4F7C6D3A"/>
    <w:rsid w:val="615573BE"/>
    <w:rsid w:val="63F14697"/>
    <w:rsid w:val="67002493"/>
    <w:rsid w:val="69D81A4D"/>
    <w:rsid w:val="70555BFE"/>
    <w:rsid w:val="740D76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autoRedefine/>
    <w:semiHidden/>
    <w:qFormat/>
    <w:uiPriority w:val="0"/>
    <w:rPr>
      <w:rFonts w:ascii="宋体" w:hAnsi="宋体" w:eastAsia="宋体" w:cs="宋体"/>
      <w:sz w:val="24"/>
      <w:szCs w:val="24"/>
      <w:lang w:val="en-US" w:eastAsia="en-US" w:bidi="ar-SA"/>
    </w:rPr>
  </w:style>
  <w:style w:type="table" w:customStyle="1" w:styleId="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1388</Words>
  <Characters>1631</Characters>
  <TotalTime>1</TotalTime>
  <ScaleCrop>false</ScaleCrop>
  <LinksUpToDate>false</LinksUpToDate>
  <CharactersWithSpaces>1665</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2024-04-24T19:08:00Z</dcterms:created>
  <dc:creator>zhengquan</dc:creator>
  <cp:lastModifiedBy>雯亦</cp:lastModifiedBy>
  <dcterms:modified xsi:type="dcterms:W3CDTF">2025-01-21T07:38:35Z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2024-12-12T18:36:30Z</vt:filetime>
  </property>
  <property fmtid="{D5CDD505-2E9C-101B-9397-08002B2CF9AE}" pid="4" name="KSOProductBuildVer">
    <vt:lpwstr>2052-12.1.0.19770</vt:lpwstr>
  </property>
  <property fmtid="{D5CDD505-2E9C-101B-9397-08002B2CF9AE}" pid="5" name="ICV">
    <vt:lpwstr>A18369F2E1D8424D83AC4DEFE5E925A9_13</vt:lpwstr>
  </property>
  <property fmtid="{D5CDD505-2E9C-101B-9397-08002B2CF9AE}" pid="6" name="KSOTemplateDocerSaveRecord">
    <vt:lpwstr>eyJoZGlkIjoiZTQzZmRmZDMxMjkwMDE2NTk0ZWQ1ZWYwMzRmYjVhNmUiLCJ1c2VySWQiOiI2NDQwNzQxNTQifQ==</vt:lpwstr>
  </property>
</Properties>
</file>