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AF156">
      <w:pPr>
        <w:adjustRightInd w:val="0"/>
        <w:snapToGrid w:val="0"/>
        <w:spacing w:line="560" w:lineRule="exact"/>
        <w:jc w:val="left"/>
        <w:rPr>
          <w:rFonts w:hint="eastAsia" w:ascii="仿宋" w:hAnsi="仿宋" w:eastAsia="宋体"/>
          <w:sz w:val="30"/>
          <w:szCs w:val="30"/>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5-011</w:t>
      </w:r>
    </w:p>
    <w:p w14:paraId="1196D589">
      <w:pPr>
        <w:adjustRightInd w:val="0"/>
        <w:snapToGrid w:val="0"/>
        <w:spacing w:before="156" w:beforeLines="50" w:line="560" w:lineRule="exact"/>
        <w:jc w:val="center"/>
        <w:rPr>
          <w:rFonts w:hint="eastAsia" w:ascii="宋体" w:hAnsi="宋体" w:eastAsia="宋体" w:cs="仿宋_GB2312"/>
          <w:b/>
          <w:bCs/>
          <w:color w:val="FF0000"/>
          <w:sz w:val="36"/>
          <w:szCs w:val="36"/>
        </w:rPr>
      </w:pPr>
      <w:r>
        <w:rPr>
          <w:rFonts w:hint="eastAsia" w:ascii="宋体" w:hAnsi="宋体" w:eastAsia="宋体" w:cs="仿宋_GB2312"/>
          <w:b/>
          <w:bCs/>
          <w:color w:val="FF0000"/>
          <w:sz w:val="36"/>
          <w:szCs w:val="36"/>
        </w:rPr>
        <w:t>重庆望变电气（集团）股份有限公司</w:t>
      </w:r>
    </w:p>
    <w:p w14:paraId="60E5127E">
      <w:pPr>
        <w:adjustRightInd w:val="0"/>
        <w:snapToGrid w:val="0"/>
        <w:spacing w:before="156" w:beforeLines="50" w:line="560" w:lineRule="exact"/>
        <w:jc w:val="center"/>
        <w:rPr>
          <w:rFonts w:hint="eastAsia" w:ascii="仿宋_GB2312" w:hAnsi="仿宋_GB2312" w:eastAsia="宋体" w:cs="仿宋_GB2312"/>
          <w:b/>
          <w:bCs/>
          <w:color w:val="FF0000"/>
          <w:sz w:val="30"/>
          <w:szCs w:val="30"/>
        </w:rPr>
      </w:pPr>
      <w:r>
        <w:rPr>
          <w:rFonts w:hint="eastAsia" w:ascii="宋体" w:hAnsi="宋体" w:eastAsia="宋体" w:cs="仿宋_GB2312"/>
          <w:b/>
          <w:bCs/>
          <w:color w:val="FF0000"/>
          <w:sz w:val="36"/>
          <w:szCs w:val="36"/>
        </w:rPr>
        <w:t>关于2024年限制性股票激励计划预留授予结果公告</w:t>
      </w:r>
    </w:p>
    <w:p w14:paraId="5A37B93E">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eastAsia="宋体"/>
          <w:color w:val="000000"/>
          <w:sz w:val="24"/>
          <w:szCs w:val="24"/>
        </w:rPr>
      </w:pPr>
      <w:r>
        <w:rPr>
          <w:rFonts w:hint="eastAsia" w:ascii="仿宋" w:hAnsi="仿宋" w:eastAsia="仿宋"/>
          <w:color w:val="000000"/>
          <w:sz w:val="24"/>
          <w:szCs w:val="24"/>
        </w:rPr>
        <w:t>本公司董事会及全体董事保证本公告内容不存在任何虚假记载、误导性陈述或者重大遗漏，并对其内容的真实性、准确性和完整性承担法律责任</w:t>
      </w:r>
      <w:r>
        <w:rPr>
          <w:rFonts w:hint="eastAsia" w:ascii="宋体" w:hAnsi="宋体" w:eastAsia="宋体"/>
          <w:color w:val="000000"/>
          <w:sz w:val="24"/>
          <w:szCs w:val="24"/>
        </w:rPr>
        <w:t>。</w:t>
      </w:r>
    </w:p>
    <w:p w14:paraId="1B6AD7EE">
      <w:pPr>
        <w:autoSpaceDE w:val="0"/>
        <w:autoSpaceDN w:val="0"/>
        <w:adjustRightInd w:val="0"/>
        <w:snapToGrid w:val="0"/>
        <w:spacing w:line="560" w:lineRule="exact"/>
        <w:rPr>
          <w:rFonts w:hint="eastAsia" w:ascii="仿宋" w:hAnsi="仿宋" w:eastAsia="仿宋_GB2312"/>
          <w:color w:val="000000"/>
          <w:sz w:val="30"/>
          <w:szCs w:val="30"/>
        </w:rPr>
      </w:pPr>
    </w:p>
    <w:p w14:paraId="5487474C">
      <w:pPr>
        <w:snapToGrid w:val="0"/>
        <w:spacing w:line="560" w:lineRule="exact"/>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重要内容提示：</w:t>
      </w:r>
    </w:p>
    <w:p w14:paraId="48BA641F">
      <w:pPr>
        <w:numPr>
          <w:ilvl w:val="0"/>
          <w:numId w:val="12"/>
        </w:numPr>
        <w:snapToGrid w:val="0"/>
        <w:spacing w:line="5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限制性股票登记日：2025年2月19日</w:t>
      </w:r>
    </w:p>
    <w:p w14:paraId="578CDC1A">
      <w:pPr>
        <w:numPr>
          <w:ilvl w:val="0"/>
          <w:numId w:val="12"/>
        </w:numPr>
        <w:snapToGrid w:val="0"/>
        <w:spacing w:line="5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限制性股票登记数量：58万股</w:t>
      </w:r>
    </w:p>
    <w:p w14:paraId="61613FC9">
      <w:pPr>
        <w:tabs>
          <w:tab w:val="left" w:pos="900"/>
        </w:tabs>
        <w:snapToGrid w:val="0"/>
        <w:spacing w:line="560" w:lineRule="exact"/>
        <w:ind w:firstLine="480" w:firstLineChars="200"/>
        <w:rPr>
          <w:rFonts w:hint="eastAsia" w:asciiTheme="majorEastAsia" w:hAnsiTheme="majorEastAsia" w:eastAsiaTheme="majorEastAsia" w:cstheme="majorEastAsia"/>
          <w:sz w:val="24"/>
          <w:szCs w:val="24"/>
        </w:rPr>
      </w:pPr>
    </w:p>
    <w:p w14:paraId="2A8DC885">
      <w:pPr>
        <w:tabs>
          <w:tab w:val="left" w:pos="900"/>
        </w:tabs>
        <w:snapToGrid w:val="0"/>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中国证券监督管理委员会《上市公司股权激励管理办法》的规定，以及上海证券交易所、中国证券登记结算有限责任公司上海分公司（以下简称“中国结算上海分公司”）的有关要求，重庆望变电气（集团）股份有限公司（以下简称“公司”）于 2025 年2月19日在中国结算上海分公司办理完成公司 2024年限制性股票激励计划(以下简称 “激励计划”)预留授予登记工作，现将有关情况公告如下：</w:t>
      </w:r>
    </w:p>
    <w:p w14:paraId="1B2CCB58">
      <w:pPr>
        <w:snapToGrid w:val="0"/>
        <w:spacing w:line="560" w:lineRule="exac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 xml:space="preserve">    一、限制性股票授予情况</w:t>
      </w:r>
    </w:p>
    <w:p w14:paraId="32509214">
      <w:pPr>
        <w:snapToGrid w:val="0"/>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根据公司2024年第一次临时股东大会的授权，公司于 2025年1月20日召开第四届董事会第十次会议、第四届监事会第九次会议，审议通过了《关于向2024年限制性股票激励计划激励对象授予预留部分限制性股票的议案》，公司薪酬与考核委员会对授予预留部分限制性股票事项发表了同意意见，监事会对预留授予激励对象名单进行核实并发表了核查意见。北京市嘉源律师事务所出具了《关于重庆望变电气（集团）股份有限公司2024年制性股票激励计划预留部分授予事项的法律意见书》。具体内容详见公司于2025年1月22日在上海证券交易所网站（www.sse.com.cn）披露的相关公告。</w:t>
      </w:r>
    </w:p>
    <w:p w14:paraId="69D1EF0B">
      <w:pPr>
        <w:snapToGrid w:val="0"/>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本次限制性股票实际授予情况如下：</w:t>
      </w:r>
    </w:p>
    <w:p w14:paraId="27E5B8B1">
      <w:pPr>
        <w:widowControl/>
        <w:numPr>
          <w:ilvl w:val="0"/>
          <w:numId w:val="13"/>
        </w:numPr>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预留授予日：2025年1月20日</w:t>
      </w:r>
    </w:p>
    <w:p w14:paraId="7C854B1F">
      <w:pPr>
        <w:widowControl/>
        <w:numPr>
          <w:ilvl w:val="0"/>
          <w:numId w:val="13"/>
        </w:numPr>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预留授予数量：58万股</w:t>
      </w:r>
    </w:p>
    <w:p w14:paraId="2C17B362">
      <w:pPr>
        <w:widowControl/>
        <w:numPr>
          <w:ilvl w:val="0"/>
          <w:numId w:val="13"/>
        </w:numPr>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预留授予人数：31人</w:t>
      </w:r>
    </w:p>
    <w:p w14:paraId="45DA7D1A">
      <w:pPr>
        <w:widowControl/>
        <w:numPr>
          <w:ilvl w:val="0"/>
          <w:numId w:val="13"/>
        </w:numPr>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预留授予价格：7.94元/股。</w:t>
      </w:r>
    </w:p>
    <w:p w14:paraId="103A32E6">
      <w:pPr>
        <w:widowControl/>
        <w:numPr>
          <w:ilvl w:val="0"/>
          <w:numId w:val="13"/>
        </w:numPr>
        <w:kinsoku/>
        <w:overflowPunct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股票来源： 公司以集中竞价方式回购的本公司人民币A股普通股股票。</w:t>
      </w:r>
    </w:p>
    <w:p w14:paraId="58A52EEF">
      <w:pPr>
        <w:widowControl/>
        <w:numPr>
          <w:ilvl w:val="0"/>
          <w:numId w:val="13"/>
        </w:numPr>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实际授予数量与拟授予数量的差异说明</w:t>
      </w:r>
    </w:p>
    <w:p w14:paraId="4675D7FE">
      <w:pPr>
        <w:widowControl/>
        <w:numPr>
          <w:ilvl w:val="255"/>
          <w:numId w:val="0"/>
        </w:numPr>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公司董事会确定授予日后，在缴款验资环节有1名激励对象因个人原因自愿放弃其认购获授的全部2万股限制性股票，上述2万股限制性股票将直接调减取消授予。因此，本次限制性股票激励计划预留授予部分的限制性股票实际授予激励对象人数由32人调整为31人，预留授予部分的限制性股票的实际授予数量由60万股调整为58万股。</w:t>
      </w:r>
    </w:p>
    <w:p w14:paraId="237E040D">
      <w:pPr>
        <w:widowControl/>
        <w:numPr>
          <w:ilvl w:val="255"/>
          <w:numId w:val="0"/>
        </w:numPr>
        <w:kinsoku w:val="0"/>
        <w:autoSpaceDE w:val="0"/>
        <w:autoSpaceDN w:val="0"/>
        <w:adjustRightInd w:val="0"/>
        <w:snapToGrid w:val="0"/>
        <w:spacing w:line="56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本次激励对象名单及授予情况：</w:t>
      </w:r>
    </w:p>
    <w:tbl>
      <w:tblPr>
        <w:tblStyle w:val="88"/>
        <w:tblW w:w="50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31"/>
        <w:gridCol w:w="821"/>
        <w:gridCol w:w="1803"/>
        <w:gridCol w:w="1433"/>
        <w:gridCol w:w="1530"/>
        <w:gridCol w:w="1653"/>
      </w:tblGrid>
      <w:tr w14:paraId="1E20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26" w:type="pct"/>
            <w:shd w:val="clear" w:color="auto" w:fill="D8D8D8" w:themeFill="background1" w:themeFillShade="D9"/>
            <w:tcMar>
              <w:top w:w="0" w:type="dxa"/>
              <w:left w:w="0" w:type="dxa"/>
              <w:bottom w:w="0" w:type="dxa"/>
              <w:right w:w="0" w:type="dxa"/>
            </w:tcMar>
            <w:vAlign w:val="center"/>
          </w:tcPr>
          <w:p w14:paraId="4D5C08DA">
            <w:pPr>
              <w:jc w:val="center"/>
              <w:rPr>
                <w:rFonts w:ascii="Times New Roman" w:hAnsi="Times New Roman" w:eastAsia="宋体" w:cs="Times New Roman"/>
                <w:b/>
              </w:rPr>
            </w:pPr>
            <w:r>
              <w:rPr>
                <w:rFonts w:ascii="Times New Roman" w:hAnsi="Times New Roman" w:eastAsia="宋体" w:cs="Times New Roman"/>
                <w:b/>
              </w:rPr>
              <w:t>姓名</w:t>
            </w:r>
          </w:p>
        </w:tc>
        <w:tc>
          <w:tcPr>
            <w:tcW w:w="484" w:type="pct"/>
            <w:shd w:val="clear" w:color="auto" w:fill="D8D8D8" w:themeFill="background1" w:themeFillShade="D9"/>
            <w:tcMar>
              <w:top w:w="0" w:type="dxa"/>
              <w:left w:w="0" w:type="dxa"/>
              <w:bottom w:w="0" w:type="dxa"/>
              <w:right w:w="0" w:type="dxa"/>
            </w:tcMar>
            <w:vAlign w:val="center"/>
          </w:tcPr>
          <w:p w14:paraId="6AA006A4">
            <w:pPr>
              <w:jc w:val="center"/>
              <w:rPr>
                <w:rFonts w:ascii="Times New Roman" w:hAnsi="Times New Roman" w:eastAsia="宋体" w:cs="Times New Roman"/>
                <w:b/>
              </w:rPr>
            </w:pPr>
            <w:r>
              <w:rPr>
                <w:rFonts w:ascii="Times New Roman" w:hAnsi="Times New Roman" w:eastAsia="宋体" w:cs="Times New Roman"/>
                <w:b/>
              </w:rPr>
              <w:t>国籍</w:t>
            </w:r>
          </w:p>
        </w:tc>
        <w:tc>
          <w:tcPr>
            <w:tcW w:w="1063" w:type="pct"/>
            <w:shd w:val="clear" w:color="auto" w:fill="D8D8D8" w:themeFill="background1" w:themeFillShade="D9"/>
            <w:tcMar>
              <w:top w:w="0" w:type="dxa"/>
              <w:left w:w="0" w:type="dxa"/>
              <w:bottom w:w="0" w:type="dxa"/>
              <w:right w:w="0" w:type="dxa"/>
            </w:tcMar>
            <w:vAlign w:val="center"/>
          </w:tcPr>
          <w:p w14:paraId="62350304">
            <w:pPr>
              <w:jc w:val="center"/>
              <w:rPr>
                <w:rFonts w:ascii="Times New Roman" w:hAnsi="Times New Roman" w:eastAsia="宋体" w:cs="Times New Roman"/>
                <w:b/>
              </w:rPr>
            </w:pPr>
            <w:r>
              <w:rPr>
                <w:rFonts w:ascii="Times New Roman" w:hAnsi="Times New Roman" w:eastAsia="宋体" w:cs="Times New Roman"/>
                <w:b/>
              </w:rPr>
              <w:t>职务</w:t>
            </w:r>
          </w:p>
        </w:tc>
        <w:tc>
          <w:tcPr>
            <w:tcW w:w="845" w:type="pct"/>
            <w:shd w:val="clear" w:color="auto" w:fill="D8D8D8" w:themeFill="background1" w:themeFillShade="D9"/>
            <w:tcMar>
              <w:top w:w="0" w:type="dxa"/>
              <w:left w:w="0" w:type="dxa"/>
              <w:bottom w:w="0" w:type="dxa"/>
              <w:right w:w="0" w:type="dxa"/>
            </w:tcMar>
            <w:vAlign w:val="center"/>
          </w:tcPr>
          <w:p w14:paraId="10B13944">
            <w:pPr>
              <w:jc w:val="center"/>
              <w:rPr>
                <w:rFonts w:ascii="Times New Roman" w:hAnsi="Times New Roman" w:eastAsia="宋体" w:cs="Times New Roman"/>
                <w:b/>
              </w:rPr>
            </w:pPr>
            <w:r>
              <w:rPr>
                <w:rFonts w:ascii="Times New Roman" w:hAnsi="Times New Roman" w:eastAsia="宋体" w:cs="Times New Roman"/>
                <w:b/>
              </w:rPr>
              <w:t>获授的限制性股票数量（万股）</w:t>
            </w:r>
          </w:p>
        </w:tc>
        <w:tc>
          <w:tcPr>
            <w:tcW w:w="903" w:type="pct"/>
            <w:shd w:val="clear" w:color="auto" w:fill="D8D8D8" w:themeFill="background1" w:themeFillShade="D9"/>
            <w:tcMar>
              <w:top w:w="0" w:type="dxa"/>
              <w:left w:w="0" w:type="dxa"/>
              <w:bottom w:w="0" w:type="dxa"/>
              <w:right w:w="0" w:type="dxa"/>
            </w:tcMar>
            <w:vAlign w:val="center"/>
          </w:tcPr>
          <w:p w14:paraId="1BB8CAFE">
            <w:pPr>
              <w:jc w:val="center"/>
              <w:rPr>
                <w:rFonts w:ascii="Times New Roman" w:hAnsi="Times New Roman" w:eastAsia="宋体" w:cs="Times New Roman"/>
                <w:b/>
              </w:rPr>
            </w:pPr>
            <w:r>
              <w:rPr>
                <w:rFonts w:ascii="Times New Roman" w:hAnsi="Times New Roman" w:eastAsia="宋体" w:cs="Times New Roman"/>
                <w:b/>
              </w:rPr>
              <w:t>占授予限制性股票总数的比例</w:t>
            </w:r>
          </w:p>
        </w:tc>
        <w:tc>
          <w:tcPr>
            <w:tcW w:w="976" w:type="pct"/>
            <w:shd w:val="clear" w:color="auto" w:fill="D8D8D8" w:themeFill="background1" w:themeFillShade="D9"/>
            <w:tcMar>
              <w:top w:w="0" w:type="dxa"/>
              <w:left w:w="0" w:type="dxa"/>
              <w:bottom w:w="0" w:type="dxa"/>
              <w:right w:w="0" w:type="dxa"/>
            </w:tcMar>
            <w:vAlign w:val="center"/>
          </w:tcPr>
          <w:p w14:paraId="24B9ADFC">
            <w:pPr>
              <w:jc w:val="center"/>
              <w:rPr>
                <w:rFonts w:ascii="Times New Roman" w:hAnsi="Times New Roman" w:eastAsia="宋体" w:cs="Times New Roman"/>
                <w:b/>
              </w:rPr>
            </w:pPr>
            <w:r>
              <w:rPr>
                <w:rFonts w:ascii="Times New Roman" w:hAnsi="Times New Roman" w:eastAsia="宋体" w:cs="Times New Roman"/>
                <w:b/>
              </w:rPr>
              <w:t>占本激励计划公告时股本总额的比例</w:t>
            </w:r>
          </w:p>
        </w:tc>
      </w:tr>
      <w:tr w14:paraId="38D8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74" w:type="pct"/>
            <w:gridSpan w:val="3"/>
            <w:shd w:val="clear" w:color="auto" w:fill="FFFFFF"/>
            <w:tcMar>
              <w:top w:w="0" w:type="dxa"/>
              <w:left w:w="0" w:type="dxa"/>
              <w:bottom w:w="0" w:type="dxa"/>
              <w:right w:w="0" w:type="dxa"/>
            </w:tcMar>
            <w:vAlign w:val="center"/>
          </w:tcPr>
          <w:p w14:paraId="428ECE6E">
            <w:pPr>
              <w:rPr>
                <w:rFonts w:ascii="Times New Roman" w:hAnsi="Times New Roman" w:eastAsia="宋体" w:cs="Times New Roman"/>
                <w:bCs/>
              </w:rPr>
            </w:pPr>
            <w:r>
              <w:rPr>
                <w:rFonts w:ascii="Times New Roman" w:hAnsi="Times New Roman" w:eastAsia="宋体" w:cs="Times New Roman"/>
                <w:bCs/>
              </w:rPr>
              <w:t>董事会认为需要激励的其他人员</w:t>
            </w:r>
          </w:p>
          <w:p w14:paraId="57BF8290">
            <w:pPr>
              <w:rPr>
                <w:rFonts w:ascii="Times New Roman" w:hAnsi="Times New Roman" w:eastAsia="宋体" w:cs="Times New Roman"/>
                <w:bCs/>
              </w:rPr>
            </w:pPr>
            <w:r>
              <w:rPr>
                <w:rFonts w:ascii="Times New Roman" w:hAnsi="Times New Roman" w:eastAsia="宋体" w:cs="Times New Roman"/>
                <w:bCs/>
              </w:rPr>
              <w:t>（</w:t>
            </w:r>
            <w:r>
              <w:rPr>
                <w:rFonts w:hint="eastAsia" w:ascii="Times New Roman" w:hAnsi="Times New Roman" w:eastAsia="宋体" w:cs="Times New Roman"/>
                <w:bCs/>
              </w:rPr>
              <w:t>不超过</w:t>
            </w:r>
            <w:r>
              <w:rPr>
                <w:rFonts w:ascii="Times New Roman" w:hAnsi="Times New Roman" w:eastAsia="宋体" w:cs="Times New Roman"/>
                <w:bCs/>
              </w:rPr>
              <w:t>3</w:t>
            </w:r>
            <w:r>
              <w:rPr>
                <w:rFonts w:hint="eastAsia" w:ascii="Times New Roman" w:hAnsi="Times New Roman" w:eastAsia="宋体" w:cs="Times New Roman"/>
                <w:bCs/>
              </w:rPr>
              <w:t>1</w:t>
            </w:r>
            <w:r>
              <w:rPr>
                <w:rFonts w:ascii="Times New Roman" w:hAnsi="Times New Roman" w:eastAsia="宋体" w:cs="Times New Roman"/>
                <w:bCs/>
              </w:rPr>
              <w:t>人）</w:t>
            </w:r>
          </w:p>
        </w:tc>
        <w:tc>
          <w:tcPr>
            <w:tcW w:w="845" w:type="pct"/>
            <w:shd w:val="clear" w:color="auto" w:fill="FFFFFF"/>
            <w:tcMar>
              <w:top w:w="0" w:type="dxa"/>
              <w:left w:w="0" w:type="dxa"/>
              <w:bottom w:w="0" w:type="dxa"/>
              <w:right w:w="0" w:type="dxa"/>
            </w:tcMar>
            <w:vAlign w:val="center"/>
          </w:tcPr>
          <w:p w14:paraId="2E7E44A2">
            <w:pPr>
              <w:jc w:val="right"/>
              <w:rPr>
                <w:rFonts w:ascii="Times New Roman" w:hAnsi="Times New Roman" w:cs="Times New Roman"/>
                <w:bCs/>
              </w:rPr>
            </w:pPr>
            <w:r>
              <w:rPr>
                <w:rFonts w:hint="eastAsia" w:ascii="Times New Roman" w:hAnsi="Times New Roman" w:cs="Times New Roman"/>
                <w:bCs/>
              </w:rPr>
              <w:t>58</w:t>
            </w:r>
            <w:r>
              <w:rPr>
                <w:rFonts w:ascii="Times New Roman" w:hAnsi="Times New Roman" w:cs="Times New Roman"/>
                <w:bCs/>
              </w:rPr>
              <w:t>.00</w:t>
            </w:r>
          </w:p>
        </w:tc>
        <w:tc>
          <w:tcPr>
            <w:tcW w:w="903" w:type="pct"/>
            <w:shd w:val="clear" w:color="auto" w:fill="FFFFFF"/>
            <w:tcMar>
              <w:top w:w="0" w:type="dxa"/>
              <w:left w:w="0" w:type="dxa"/>
              <w:bottom w:w="0" w:type="dxa"/>
              <w:right w:w="0" w:type="dxa"/>
            </w:tcMar>
            <w:vAlign w:val="center"/>
          </w:tcPr>
          <w:p w14:paraId="036071D8">
            <w:pPr>
              <w:jc w:val="right"/>
              <w:rPr>
                <w:rFonts w:ascii="Times New Roman" w:hAnsi="Times New Roman" w:cs="Times New Roman"/>
                <w:bCs/>
              </w:rPr>
            </w:pPr>
            <w:r>
              <w:rPr>
                <w:rFonts w:ascii="Times New Roman" w:hAnsi="Times New Roman" w:eastAsia="等线" w:cs="Times New Roman"/>
                <w:bCs/>
              </w:rPr>
              <w:t>18.</w:t>
            </w:r>
            <w:r>
              <w:rPr>
                <w:rFonts w:hint="eastAsia" w:ascii="Times New Roman" w:hAnsi="Times New Roman" w:eastAsia="等线" w:cs="Times New Roman"/>
                <w:bCs/>
              </w:rPr>
              <w:t>13</w:t>
            </w:r>
            <w:r>
              <w:rPr>
                <w:rFonts w:ascii="Times New Roman" w:hAnsi="Times New Roman" w:eastAsia="等线" w:cs="Times New Roman"/>
                <w:bCs/>
              </w:rPr>
              <w:t>%</w:t>
            </w:r>
          </w:p>
        </w:tc>
        <w:tc>
          <w:tcPr>
            <w:tcW w:w="976" w:type="pct"/>
            <w:shd w:val="clear" w:color="auto" w:fill="FFFFFF"/>
            <w:tcMar>
              <w:top w:w="0" w:type="dxa"/>
              <w:left w:w="0" w:type="dxa"/>
              <w:bottom w:w="0" w:type="dxa"/>
              <w:right w:w="0" w:type="dxa"/>
            </w:tcMar>
            <w:vAlign w:val="center"/>
          </w:tcPr>
          <w:p w14:paraId="65FF5CA1">
            <w:pPr>
              <w:jc w:val="right"/>
              <w:rPr>
                <w:rFonts w:ascii="Times New Roman" w:hAnsi="Times New Roman" w:cs="Times New Roman"/>
                <w:bCs/>
              </w:rPr>
            </w:pPr>
            <w:r>
              <w:rPr>
                <w:rFonts w:ascii="Times New Roman" w:hAnsi="Times New Roman" w:eastAsia="等线" w:cs="Times New Roman"/>
                <w:bCs/>
              </w:rPr>
              <w:t>0.1</w:t>
            </w:r>
            <w:r>
              <w:rPr>
                <w:rFonts w:hint="eastAsia" w:ascii="Times New Roman" w:hAnsi="Times New Roman" w:eastAsia="等线" w:cs="Times New Roman"/>
                <w:bCs/>
              </w:rPr>
              <w:t>7</w:t>
            </w:r>
            <w:r>
              <w:rPr>
                <w:rFonts w:ascii="Times New Roman" w:hAnsi="Times New Roman" w:eastAsia="等线" w:cs="Times New Roman"/>
                <w:bCs/>
              </w:rPr>
              <w:t>%</w:t>
            </w:r>
          </w:p>
        </w:tc>
      </w:tr>
      <w:tr w14:paraId="25E3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74" w:type="pct"/>
            <w:gridSpan w:val="3"/>
            <w:shd w:val="clear" w:color="auto" w:fill="FFFFFF"/>
            <w:tcMar>
              <w:top w:w="0" w:type="dxa"/>
              <w:left w:w="0" w:type="dxa"/>
              <w:bottom w:w="0" w:type="dxa"/>
              <w:right w:w="0" w:type="dxa"/>
            </w:tcMar>
            <w:vAlign w:val="center"/>
          </w:tcPr>
          <w:p w14:paraId="285DFEC2">
            <w:pPr>
              <w:jc w:val="center"/>
              <w:rPr>
                <w:rFonts w:ascii="Times New Roman" w:hAnsi="Times New Roman" w:eastAsia="宋体" w:cs="Times New Roman"/>
                <w:b/>
              </w:rPr>
            </w:pPr>
            <w:r>
              <w:rPr>
                <w:rFonts w:ascii="Times New Roman" w:hAnsi="Times New Roman" w:eastAsia="宋体" w:cs="Times New Roman"/>
                <w:b/>
              </w:rPr>
              <w:t>合计</w:t>
            </w:r>
          </w:p>
        </w:tc>
        <w:tc>
          <w:tcPr>
            <w:tcW w:w="845" w:type="pct"/>
            <w:shd w:val="clear" w:color="auto" w:fill="FFFFFF"/>
            <w:tcMar>
              <w:top w:w="0" w:type="dxa"/>
              <w:left w:w="0" w:type="dxa"/>
              <w:bottom w:w="0" w:type="dxa"/>
              <w:right w:w="0" w:type="dxa"/>
            </w:tcMar>
            <w:vAlign w:val="center"/>
          </w:tcPr>
          <w:p w14:paraId="29189634">
            <w:pPr>
              <w:jc w:val="right"/>
              <w:rPr>
                <w:rFonts w:ascii="Times New Roman" w:hAnsi="Times New Roman" w:eastAsia="宋体" w:cs="Times New Roman"/>
                <w:b/>
              </w:rPr>
            </w:pPr>
            <w:r>
              <w:rPr>
                <w:rFonts w:hint="eastAsia" w:ascii="Times New Roman" w:hAnsi="Times New Roman" w:cs="Times New Roman"/>
                <w:b/>
              </w:rPr>
              <w:t>58</w:t>
            </w:r>
            <w:r>
              <w:rPr>
                <w:rFonts w:ascii="Times New Roman" w:hAnsi="Times New Roman" w:cs="Times New Roman"/>
                <w:b/>
              </w:rPr>
              <w:t>.00</w:t>
            </w:r>
          </w:p>
        </w:tc>
        <w:tc>
          <w:tcPr>
            <w:tcW w:w="903" w:type="pct"/>
            <w:shd w:val="clear" w:color="auto" w:fill="FFFFFF"/>
            <w:tcMar>
              <w:top w:w="0" w:type="dxa"/>
              <w:left w:w="0" w:type="dxa"/>
              <w:bottom w:w="0" w:type="dxa"/>
              <w:right w:w="0" w:type="dxa"/>
            </w:tcMar>
            <w:vAlign w:val="center"/>
          </w:tcPr>
          <w:p w14:paraId="060D4443">
            <w:pPr>
              <w:jc w:val="right"/>
              <w:rPr>
                <w:rFonts w:ascii="Times New Roman" w:hAnsi="Times New Roman" w:eastAsia="宋体" w:cs="Times New Roman"/>
                <w:b/>
              </w:rPr>
            </w:pPr>
            <w:r>
              <w:rPr>
                <w:rFonts w:ascii="Times New Roman" w:hAnsi="Times New Roman" w:eastAsia="等线" w:cs="Times New Roman"/>
                <w:b/>
                <w:bCs/>
              </w:rPr>
              <w:t>18.</w:t>
            </w:r>
            <w:r>
              <w:rPr>
                <w:rFonts w:hint="eastAsia" w:ascii="Times New Roman" w:hAnsi="Times New Roman" w:eastAsia="等线" w:cs="Times New Roman"/>
                <w:b/>
                <w:bCs/>
              </w:rPr>
              <w:t>13</w:t>
            </w:r>
            <w:r>
              <w:rPr>
                <w:rFonts w:ascii="Times New Roman" w:hAnsi="Times New Roman" w:eastAsia="等线" w:cs="Times New Roman"/>
                <w:b/>
                <w:bCs/>
              </w:rPr>
              <w:t>%</w:t>
            </w:r>
          </w:p>
        </w:tc>
        <w:tc>
          <w:tcPr>
            <w:tcW w:w="976" w:type="pct"/>
            <w:shd w:val="clear" w:color="auto" w:fill="FFFFFF"/>
            <w:tcMar>
              <w:top w:w="0" w:type="dxa"/>
              <w:left w:w="0" w:type="dxa"/>
              <w:bottom w:w="0" w:type="dxa"/>
              <w:right w:w="0" w:type="dxa"/>
            </w:tcMar>
            <w:vAlign w:val="center"/>
          </w:tcPr>
          <w:p w14:paraId="773C629C">
            <w:pPr>
              <w:jc w:val="right"/>
              <w:rPr>
                <w:rFonts w:ascii="Times New Roman" w:hAnsi="Times New Roman" w:eastAsia="宋体" w:cs="Times New Roman"/>
                <w:b/>
              </w:rPr>
            </w:pPr>
            <w:r>
              <w:rPr>
                <w:rFonts w:ascii="Times New Roman" w:hAnsi="Times New Roman" w:eastAsia="等线" w:cs="Times New Roman"/>
                <w:b/>
                <w:bCs/>
              </w:rPr>
              <w:t>0.1</w:t>
            </w:r>
            <w:r>
              <w:rPr>
                <w:rFonts w:hint="eastAsia" w:ascii="Times New Roman" w:hAnsi="Times New Roman" w:eastAsia="等线" w:cs="Times New Roman"/>
                <w:b/>
                <w:bCs/>
              </w:rPr>
              <w:t>7</w:t>
            </w:r>
            <w:r>
              <w:rPr>
                <w:rFonts w:ascii="Times New Roman" w:hAnsi="Times New Roman" w:eastAsia="等线" w:cs="Times New Roman"/>
                <w:b/>
                <w:bCs/>
              </w:rPr>
              <w:t>%</w:t>
            </w:r>
          </w:p>
        </w:tc>
      </w:tr>
    </w:tbl>
    <w:p w14:paraId="44319893">
      <w:pPr>
        <w:snapToGrid w:val="0"/>
        <w:spacing w:line="560" w:lineRule="exact"/>
        <w:rPr>
          <w:rFonts w:hint="eastAsia" w:ascii="仿宋_GB2312" w:hAnsi="宋体" w:eastAsia="仿宋_GB2312"/>
          <w:sz w:val="30"/>
          <w:szCs w:val="30"/>
        </w:rPr>
      </w:pPr>
    </w:p>
    <w:p w14:paraId="5973AF31">
      <w:pPr>
        <w:numPr>
          <w:ilvl w:val="0"/>
          <w:numId w:val="14"/>
        </w:numPr>
        <w:snapToGrid w:val="0"/>
        <w:spacing w:line="5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激励计划的有效期、限售期及解除限售安排情况</w:t>
      </w:r>
    </w:p>
    <w:p w14:paraId="25F7B5C3">
      <w:pPr>
        <w:spacing w:line="56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（1）有效期</w:t>
      </w:r>
    </w:p>
    <w:p w14:paraId="67904B4E">
      <w:pPr>
        <w:spacing w:line="560" w:lineRule="exact"/>
        <w:ind w:firstLine="460" w:firstLineChars="192"/>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pacing w:val="-12"/>
          <w:sz w:val="24"/>
          <w:szCs w:val="24"/>
        </w:rPr>
        <w:t>次</w:t>
      </w:r>
      <w:r>
        <w:rPr>
          <w:rFonts w:hint="eastAsia" w:ascii="宋体" w:hAnsi="宋体" w:eastAsia="宋体" w:cs="宋体"/>
          <w:sz w:val="24"/>
          <w:szCs w:val="24"/>
        </w:rPr>
        <w:t>激励计划有效期自限制性股票首次授予之日起至激励对象获授的限制性股票全部解除限售或回购注销之日止，最长不超过48个月。</w:t>
      </w:r>
    </w:p>
    <w:p w14:paraId="327BEE25">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（2）限售期及解除限售安排</w:t>
      </w:r>
    </w:p>
    <w:p w14:paraId="48535FA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自激励对象获授限制性股票授予之日起12个月内为限售期。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14:paraId="3AE9D0C8">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本计划预留部分限制性股票解除限售期及解除限售权益数量占授予权益总量的比例如下表所示：</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4675"/>
        <w:gridCol w:w="2180"/>
      </w:tblGrid>
      <w:tr w14:paraId="6FD5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D8D8D8" w:themeFill="background1" w:themeFillShade="D9"/>
            <w:vAlign w:val="center"/>
          </w:tcPr>
          <w:p w14:paraId="2AA10612">
            <w:pPr>
              <w:spacing w:line="360" w:lineRule="auto"/>
              <w:jc w:val="center"/>
              <w:rPr>
                <w:rFonts w:hint="eastAsia" w:ascii="宋体" w:hAnsi="宋体" w:eastAsia="宋体" w:cs="宋体"/>
                <w:b/>
                <w:bCs/>
                <w:szCs w:val="21"/>
              </w:rPr>
            </w:pPr>
            <w:r>
              <w:rPr>
                <w:rFonts w:hint="eastAsia" w:ascii="宋体" w:hAnsi="宋体" w:eastAsia="宋体" w:cs="宋体"/>
                <w:b/>
                <w:bCs/>
                <w:szCs w:val="21"/>
              </w:rPr>
              <w:t>解除限售安排</w:t>
            </w:r>
          </w:p>
        </w:tc>
        <w:tc>
          <w:tcPr>
            <w:tcW w:w="4677" w:type="dxa"/>
            <w:shd w:val="clear" w:color="auto" w:fill="D8D8D8" w:themeFill="background1" w:themeFillShade="D9"/>
            <w:vAlign w:val="center"/>
          </w:tcPr>
          <w:p w14:paraId="20AB7D3E">
            <w:pPr>
              <w:spacing w:line="360" w:lineRule="auto"/>
              <w:ind w:firstLine="422"/>
              <w:jc w:val="center"/>
              <w:rPr>
                <w:rFonts w:hint="eastAsia" w:ascii="宋体" w:hAnsi="宋体" w:eastAsia="宋体" w:cs="宋体"/>
                <w:b/>
                <w:bCs/>
                <w:szCs w:val="21"/>
              </w:rPr>
            </w:pPr>
            <w:r>
              <w:rPr>
                <w:rFonts w:hint="eastAsia" w:ascii="宋体" w:hAnsi="宋体" w:eastAsia="宋体" w:cs="宋体"/>
                <w:b/>
                <w:bCs/>
                <w:szCs w:val="21"/>
              </w:rPr>
              <w:t>解除限售时间</w:t>
            </w:r>
          </w:p>
        </w:tc>
        <w:tc>
          <w:tcPr>
            <w:tcW w:w="2181" w:type="dxa"/>
            <w:shd w:val="clear" w:color="auto" w:fill="D8D8D8" w:themeFill="background1" w:themeFillShade="D9"/>
            <w:vAlign w:val="center"/>
          </w:tcPr>
          <w:p w14:paraId="251D6F00">
            <w:pPr>
              <w:spacing w:line="360" w:lineRule="auto"/>
              <w:jc w:val="center"/>
              <w:rPr>
                <w:rFonts w:hint="eastAsia" w:ascii="宋体" w:hAnsi="宋体" w:eastAsia="宋体" w:cs="宋体"/>
                <w:b/>
                <w:bCs/>
                <w:szCs w:val="21"/>
              </w:rPr>
            </w:pPr>
            <w:r>
              <w:rPr>
                <w:rFonts w:hint="eastAsia" w:ascii="宋体" w:hAnsi="宋体" w:eastAsia="宋体" w:cs="宋体"/>
                <w:b/>
                <w:bCs/>
                <w:szCs w:val="21"/>
              </w:rPr>
              <w:t>解除限售权益数量占授予权益总量的比例</w:t>
            </w:r>
          </w:p>
        </w:tc>
      </w:tr>
      <w:tr w14:paraId="71536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14:paraId="17A44EFC">
            <w:pPr>
              <w:spacing w:line="360" w:lineRule="auto"/>
              <w:rPr>
                <w:rFonts w:hint="eastAsia" w:ascii="宋体" w:hAnsi="宋体" w:eastAsia="宋体" w:cs="宋体"/>
                <w:szCs w:val="21"/>
              </w:rPr>
            </w:pPr>
            <w:r>
              <w:rPr>
                <w:rFonts w:hint="eastAsia" w:ascii="宋体" w:hAnsi="宋体" w:eastAsia="宋体" w:cs="宋体"/>
                <w:szCs w:val="21"/>
              </w:rPr>
              <w:t>第一个解除限售期</w:t>
            </w:r>
          </w:p>
        </w:tc>
        <w:tc>
          <w:tcPr>
            <w:tcW w:w="4677" w:type="dxa"/>
            <w:vAlign w:val="center"/>
          </w:tcPr>
          <w:p w14:paraId="16E4E0A3">
            <w:pPr>
              <w:spacing w:line="360" w:lineRule="auto"/>
              <w:rPr>
                <w:rFonts w:hint="eastAsia" w:ascii="宋体" w:hAnsi="宋体" w:eastAsia="宋体" w:cs="宋体"/>
                <w:szCs w:val="21"/>
              </w:rPr>
            </w:pPr>
            <w:r>
              <w:rPr>
                <w:rFonts w:hint="eastAsia" w:ascii="宋体" w:hAnsi="宋体" w:eastAsia="宋体" w:cs="宋体"/>
                <w:szCs w:val="21"/>
              </w:rPr>
              <w:t>自预留授予之日起12个月后的首个交易日至预留授予之日起24个月内的最后一个交易日止</w:t>
            </w:r>
          </w:p>
        </w:tc>
        <w:tc>
          <w:tcPr>
            <w:tcW w:w="2181" w:type="dxa"/>
            <w:vAlign w:val="center"/>
          </w:tcPr>
          <w:p w14:paraId="6FEA97C4">
            <w:pPr>
              <w:spacing w:line="360" w:lineRule="auto"/>
              <w:ind w:firstLine="420"/>
              <w:rPr>
                <w:rFonts w:hint="eastAsia" w:ascii="宋体" w:hAnsi="宋体" w:eastAsia="宋体" w:cs="宋体"/>
                <w:szCs w:val="21"/>
              </w:rPr>
            </w:pPr>
            <w:r>
              <w:rPr>
                <w:rFonts w:hint="eastAsia" w:ascii="宋体" w:hAnsi="宋体" w:eastAsia="宋体" w:cs="宋体"/>
                <w:szCs w:val="21"/>
              </w:rPr>
              <w:t>50%</w:t>
            </w:r>
          </w:p>
        </w:tc>
      </w:tr>
      <w:tr w14:paraId="0F79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14:paraId="071B7C0A">
            <w:pPr>
              <w:spacing w:line="360" w:lineRule="auto"/>
              <w:rPr>
                <w:rFonts w:hint="eastAsia" w:ascii="宋体" w:hAnsi="宋体" w:eastAsia="宋体" w:cs="宋体"/>
                <w:szCs w:val="21"/>
              </w:rPr>
            </w:pPr>
            <w:r>
              <w:rPr>
                <w:rFonts w:hint="eastAsia" w:ascii="宋体" w:hAnsi="宋体" w:eastAsia="宋体" w:cs="宋体"/>
                <w:szCs w:val="21"/>
              </w:rPr>
              <w:t>第二个解除限售期</w:t>
            </w:r>
          </w:p>
        </w:tc>
        <w:tc>
          <w:tcPr>
            <w:tcW w:w="4677" w:type="dxa"/>
            <w:vAlign w:val="center"/>
          </w:tcPr>
          <w:p w14:paraId="5EF6AAA8">
            <w:pPr>
              <w:spacing w:line="360" w:lineRule="auto"/>
              <w:rPr>
                <w:rFonts w:hint="eastAsia" w:ascii="宋体" w:hAnsi="宋体" w:eastAsia="宋体" w:cs="宋体"/>
                <w:szCs w:val="21"/>
              </w:rPr>
            </w:pPr>
            <w:r>
              <w:rPr>
                <w:rFonts w:hint="eastAsia" w:ascii="宋体" w:hAnsi="宋体" w:eastAsia="宋体" w:cs="宋体"/>
                <w:szCs w:val="21"/>
              </w:rPr>
              <w:t>自预留授予之日起24个月后的首个交易日至预留授予之日起36个月内的最后一个交易日止</w:t>
            </w:r>
          </w:p>
        </w:tc>
        <w:tc>
          <w:tcPr>
            <w:tcW w:w="2181" w:type="dxa"/>
            <w:vAlign w:val="center"/>
          </w:tcPr>
          <w:p w14:paraId="1845CCA2">
            <w:pPr>
              <w:spacing w:line="360" w:lineRule="auto"/>
              <w:ind w:firstLine="420"/>
              <w:rPr>
                <w:rFonts w:hint="eastAsia" w:ascii="宋体" w:hAnsi="宋体" w:eastAsia="宋体" w:cs="宋体"/>
                <w:szCs w:val="21"/>
              </w:rPr>
            </w:pPr>
            <w:r>
              <w:rPr>
                <w:rFonts w:hint="eastAsia" w:ascii="宋体" w:hAnsi="宋体" w:eastAsia="宋体" w:cs="宋体"/>
                <w:szCs w:val="21"/>
              </w:rPr>
              <w:t>50%</w:t>
            </w:r>
          </w:p>
        </w:tc>
      </w:tr>
    </w:tbl>
    <w:p w14:paraId="6F6E8F58">
      <w:pPr>
        <w:snapToGrid w:val="0"/>
        <w:spacing w:line="560" w:lineRule="exact"/>
        <w:rPr>
          <w:rFonts w:hint="eastAsia" w:ascii="仿宋_GB2312" w:hAnsi="宋体" w:eastAsia="仿宋_GB2312"/>
          <w:b/>
          <w:sz w:val="30"/>
          <w:szCs w:val="30"/>
        </w:rPr>
      </w:pPr>
    </w:p>
    <w:p w14:paraId="7B9E30AF">
      <w:pPr>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三、限制性股票认购资金的验资情况</w:t>
      </w:r>
    </w:p>
    <w:p w14:paraId="77BBB090">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2025年2月6日天健会计师事务所（特殊普通合伙）出具了《验资报告》（天健验[2025]8-1号）。截至2025年1月21日止，望变电气已收到31名股权激励对象以货币资金缴纳的股票认购款肆佰陆拾万零伍仟贰佰元整（¥4,605,200.00）。</w:t>
      </w:r>
    </w:p>
    <w:p w14:paraId="62BD5F99">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由于本次激励计划授予的股票均系公司从二级市场回购的A股普通股，故公司注册资本未发生变更。</w:t>
      </w:r>
    </w:p>
    <w:p w14:paraId="4886181C">
      <w:pPr>
        <w:snapToGrid w:val="0"/>
        <w:spacing w:line="560" w:lineRule="exact"/>
        <w:ind w:firstLine="482" w:firstLineChars="200"/>
        <w:rPr>
          <w:rFonts w:hint="eastAsia" w:asciiTheme="minorEastAsia" w:hAnsiTheme="minorEastAsia" w:cstheme="minorEastAsia"/>
          <w:b/>
          <w:sz w:val="24"/>
          <w:szCs w:val="24"/>
        </w:rPr>
      </w:pPr>
      <w:r>
        <w:rPr>
          <w:rFonts w:hint="eastAsia" w:asciiTheme="minorEastAsia" w:hAnsiTheme="minorEastAsia" w:cstheme="minorEastAsia"/>
          <w:b/>
          <w:sz w:val="24"/>
          <w:szCs w:val="24"/>
        </w:rPr>
        <w:t>四、限制性股票的登记情况</w:t>
      </w:r>
    </w:p>
    <w:p w14:paraId="4802F855">
      <w:pPr>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激励计划预留授予的限制性股票为58万股，公司已在中国结算上海分公司完成上述股份的预留授予登记工作，并取得中国结算上海分公司出具的《证券变更登记证明》和《过户登记确认书》，本次激励计划预留授予限制性股票登记日为2025年2月19日。</w:t>
      </w:r>
    </w:p>
    <w:p w14:paraId="1BFF2D88">
      <w:pPr>
        <w:snapToGrid w:val="0"/>
        <w:spacing w:line="560" w:lineRule="exact"/>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五、授予前后对公司控股股东的影响</w:t>
      </w:r>
    </w:p>
    <w:p w14:paraId="3BA0FCBD">
      <w:pPr>
        <w:snapToGrid w:val="0"/>
        <w:spacing w:line="560" w:lineRule="exact"/>
        <w:ind w:firstLine="480" w:firstLineChars="200"/>
        <w:rPr>
          <w:rFonts w:hint="eastAsia" w:ascii="仿宋_GB2312" w:hAnsi="宋体" w:eastAsia="仿宋_GB2312"/>
          <w:sz w:val="30"/>
          <w:szCs w:val="30"/>
        </w:rPr>
      </w:pPr>
      <w:r>
        <w:rPr>
          <w:rFonts w:hint="eastAsia" w:ascii="宋体" w:hAnsi="宋体" w:eastAsia="宋体" w:cs="宋体"/>
          <w:sz w:val="24"/>
          <w:szCs w:val="24"/>
        </w:rPr>
        <w:t>本次限制性股票激励计划未导致股本总额发生变动，本次权益授予后不会导致公司控股股东控制权发生变化。</w:t>
      </w:r>
    </w:p>
    <w:p w14:paraId="1791A583">
      <w:pPr>
        <w:snapToGrid w:val="0"/>
        <w:spacing w:line="56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六、股权结构变动情况</w:t>
      </w:r>
    </w:p>
    <w:p w14:paraId="22372829">
      <w:pPr>
        <w:snapToGrid w:val="0"/>
        <w:spacing w:line="560" w:lineRule="exact"/>
        <w:ind w:right="480" w:firstLine="480" w:firstLineChars="200"/>
        <w:rPr>
          <w:rFonts w:hint="eastAsia" w:ascii="宋体" w:hAnsi="宋体" w:eastAsia="宋体" w:cs="宋体"/>
          <w:sz w:val="24"/>
          <w:szCs w:val="24"/>
        </w:rPr>
      </w:pPr>
      <w:r>
        <w:rPr>
          <w:rFonts w:hint="eastAsia" w:ascii="宋体" w:hAnsi="宋体" w:eastAsia="宋体" w:cs="宋体"/>
          <w:sz w:val="24"/>
          <w:szCs w:val="24"/>
        </w:rPr>
        <w:t xml:space="preserve">本次限制性股票授予完成前后，公司股本结构变动情况如下 </w:t>
      </w:r>
    </w:p>
    <w:p w14:paraId="6C662B38">
      <w:pPr>
        <w:snapToGrid w:val="0"/>
        <w:spacing w:line="560" w:lineRule="exact"/>
        <w:ind w:right="480" w:firstLine="480" w:firstLineChars="200"/>
        <w:jc w:val="right"/>
        <w:rPr>
          <w:rFonts w:hint="eastAsia" w:ascii="宋体" w:hAnsi="宋体" w:eastAsia="宋体"/>
          <w:sz w:val="24"/>
          <w:szCs w:val="24"/>
        </w:rPr>
      </w:pPr>
      <w:r>
        <w:rPr>
          <w:rFonts w:hint="eastAsia" w:ascii="宋体" w:hAnsi="宋体" w:eastAsia="宋体"/>
          <w:sz w:val="24"/>
          <w:szCs w:val="24"/>
        </w:rPr>
        <w:t>单位：股</w:t>
      </w:r>
    </w:p>
    <w:tbl>
      <w:tblPr>
        <w:tblStyle w:val="103"/>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00"/>
        <w:gridCol w:w="1773"/>
        <w:gridCol w:w="2165"/>
        <w:gridCol w:w="2174"/>
      </w:tblGrid>
      <w:tr w14:paraId="389B4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jc w:val="center"/>
        </w:trPr>
        <w:tc>
          <w:tcPr>
            <w:tcW w:w="1989" w:type="dxa"/>
            <w:shd w:val="clear" w:color="auto" w:fill="D8D8D8" w:themeFill="background1" w:themeFillShade="D9"/>
          </w:tcPr>
          <w:p w14:paraId="0F4D0209">
            <w:pPr>
              <w:pStyle w:val="102"/>
              <w:spacing w:before="271" w:line="221" w:lineRule="auto"/>
              <w:ind w:left="788"/>
              <w:rPr>
                <w:rFonts w:hint="eastAsia"/>
                <w:sz w:val="21"/>
                <w:szCs w:val="21"/>
              </w:rPr>
            </w:pPr>
            <w:r>
              <w:rPr>
                <w:b/>
                <w:bCs/>
                <w:spacing w:val="-4"/>
                <w:sz w:val="21"/>
                <w:szCs w:val="21"/>
              </w:rPr>
              <w:t>类别</w:t>
            </w:r>
          </w:p>
        </w:tc>
        <w:tc>
          <w:tcPr>
            <w:tcW w:w="1602" w:type="dxa"/>
            <w:shd w:val="clear" w:color="auto" w:fill="D8D8D8" w:themeFill="background1" w:themeFillShade="D9"/>
          </w:tcPr>
          <w:p w14:paraId="1853CACB">
            <w:pPr>
              <w:pStyle w:val="102"/>
              <w:spacing w:before="272" w:line="221" w:lineRule="auto"/>
              <w:ind w:left="486"/>
              <w:rPr>
                <w:rFonts w:hint="eastAsia"/>
                <w:sz w:val="21"/>
                <w:szCs w:val="21"/>
              </w:rPr>
            </w:pPr>
            <w:r>
              <w:rPr>
                <w:b/>
                <w:bCs/>
                <w:spacing w:val="-4"/>
                <w:sz w:val="21"/>
                <w:szCs w:val="21"/>
              </w:rPr>
              <w:t>变动前</w:t>
            </w:r>
          </w:p>
        </w:tc>
        <w:tc>
          <w:tcPr>
            <w:tcW w:w="1957" w:type="dxa"/>
            <w:shd w:val="clear" w:color="auto" w:fill="D8D8D8" w:themeFill="background1" w:themeFillShade="D9"/>
          </w:tcPr>
          <w:p w14:paraId="61979813">
            <w:pPr>
              <w:pStyle w:val="102"/>
              <w:spacing w:before="271" w:line="220" w:lineRule="auto"/>
              <w:ind w:left="561"/>
              <w:rPr>
                <w:rFonts w:hint="eastAsia"/>
                <w:sz w:val="21"/>
                <w:szCs w:val="21"/>
              </w:rPr>
            </w:pPr>
            <w:r>
              <w:rPr>
                <w:b/>
                <w:bCs/>
                <w:spacing w:val="-4"/>
                <w:sz w:val="21"/>
                <w:szCs w:val="21"/>
              </w:rPr>
              <w:t>本次变动</w:t>
            </w:r>
          </w:p>
        </w:tc>
        <w:tc>
          <w:tcPr>
            <w:tcW w:w="1965" w:type="dxa"/>
            <w:shd w:val="clear" w:color="auto" w:fill="D8D8D8" w:themeFill="background1" w:themeFillShade="D9"/>
          </w:tcPr>
          <w:p w14:paraId="0FB1F1F0">
            <w:pPr>
              <w:pStyle w:val="102"/>
              <w:spacing w:before="272" w:line="221" w:lineRule="auto"/>
              <w:ind w:left="667"/>
              <w:rPr>
                <w:rFonts w:hint="eastAsia"/>
                <w:sz w:val="21"/>
                <w:szCs w:val="21"/>
              </w:rPr>
            </w:pPr>
            <w:r>
              <w:rPr>
                <w:b/>
                <w:bCs/>
                <w:spacing w:val="-4"/>
                <w:sz w:val="21"/>
                <w:szCs w:val="21"/>
              </w:rPr>
              <w:t>变动后</w:t>
            </w:r>
          </w:p>
        </w:tc>
      </w:tr>
      <w:tr w14:paraId="476B6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jc w:val="center"/>
        </w:trPr>
        <w:tc>
          <w:tcPr>
            <w:tcW w:w="1989" w:type="dxa"/>
          </w:tcPr>
          <w:p w14:paraId="36FDD78F">
            <w:pPr>
              <w:pStyle w:val="102"/>
              <w:spacing w:before="267" w:line="221" w:lineRule="auto"/>
              <w:ind w:left="116"/>
              <w:rPr>
                <w:rFonts w:hint="eastAsia"/>
                <w:sz w:val="21"/>
                <w:szCs w:val="21"/>
              </w:rPr>
            </w:pPr>
            <w:r>
              <w:rPr>
                <w:spacing w:val="-1"/>
                <w:sz w:val="21"/>
                <w:szCs w:val="21"/>
              </w:rPr>
              <w:t>有限售条件股份</w:t>
            </w:r>
          </w:p>
        </w:tc>
        <w:tc>
          <w:tcPr>
            <w:tcW w:w="1602" w:type="dxa"/>
          </w:tcPr>
          <w:p w14:paraId="434354C7">
            <w:pPr>
              <w:pStyle w:val="102"/>
              <w:spacing w:before="302" w:line="183" w:lineRule="auto"/>
              <w:jc w:val="right"/>
              <w:rPr>
                <w:rFonts w:hint="eastAsia"/>
                <w:sz w:val="21"/>
                <w:szCs w:val="21"/>
              </w:rPr>
            </w:pPr>
            <w:r>
              <w:rPr>
                <w:spacing w:val="-2"/>
                <w:sz w:val="21"/>
                <w:szCs w:val="21"/>
              </w:rPr>
              <w:t>146,461,541</w:t>
            </w:r>
          </w:p>
        </w:tc>
        <w:tc>
          <w:tcPr>
            <w:tcW w:w="1957" w:type="dxa"/>
          </w:tcPr>
          <w:p w14:paraId="0918293E">
            <w:pPr>
              <w:pStyle w:val="102"/>
              <w:spacing w:before="303" w:line="182" w:lineRule="auto"/>
              <w:ind w:left="803"/>
              <w:jc w:val="right"/>
              <w:rPr>
                <w:rFonts w:hint="eastAsia"/>
                <w:sz w:val="21"/>
                <w:szCs w:val="21"/>
              </w:rPr>
            </w:pPr>
            <w:r>
              <w:rPr>
                <w:spacing w:val="-1"/>
                <w:sz w:val="21"/>
                <w:szCs w:val="21"/>
              </w:rPr>
              <w:t>+</w:t>
            </w:r>
            <w:r>
              <w:rPr>
                <w:rFonts w:hint="eastAsia"/>
                <w:spacing w:val="-1"/>
                <w:sz w:val="21"/>
                <w:szCs w:val="21"/>
                <w:lang w:eastAsia="zh-CN"/>
              </w:rPr>
              <w:t>58</w:t>
            </w:r>
            <w:r>
              <w:rPr>
                <w:spacing w:val="-1"/>
                <w:sz w:val="21"/>
                <w:szCs w:val="21"/>
              </w:rPr>
              <w:t>0,000</w:t>
            </w:r>
          </w:p>
        </w:tc>
        <w:tc>
          <w:tcPr>
            <w:tcW w:w="1965" w:type="dxa"/>
          </w:tcPr>
          <w:p w14:paraId="7EF2E5EB">
            <w:pPr>
              <w:pStyle w:val="102"/>
              <w:spacing w:before="305" w:line="183" w:lineRule="auto"/>
              <w:jc w:val="right"/>
              <w:rPr>
                <w:rFonts w:hint="eastAsia"/>
                <w:spacing w:val="-3"/>
                <w:sz w:val="21"/>
                <w:szCs w:val="21"/>
              </w:rPr>
            </w:pPr>
            <w:r>
              <w:rPr>
                <w:rFonts w:hint="eastAsia"/>
                <w:spacing w:val="-3"/>
                <w:sz w:val="21"/>
                <w:szCs w:val="21"/>
              </w:rPr>
              <w:t xml:space="preserve"> 147,041,541 </w:t>
            </w:r>
          </w:p>
        </w:tc>
      </w:tr>
      <w:tr w14:paraId="1FC55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1989" w:type="dxa"/>
          </w:tcPr>
          <w:p w14:paraId="7DD9E9AE">
            <w:pPr>
              <w:pStyle w:val="102"/>
              <w:spacing w:before="269" w:line="221" w:lineRule="auto"/>
              <w:ind w:left="117"/>
              <w:rPr>
                <w:rFonts w:hint="eastAsia"/>
                <w:sz w:val="21"/>
                <w:szCs w:val="21"/>
              </w:rPr>
            </w:pPr>
            <w:r>
              <w:rPr>
                <w:spacing w:val="-1"/>
                <w:sz w:val="21"/>
                <w:szCs w:val="21"/>
              </w:rPr>
              <w:t>无限售条件股份</w:t>
            </w:r>
          </w:p>
        </w:tc>
        <w:tc>
          <w:tcPr>
            <w:tcW w:w="1602" w:type="dxa"/>
          </w:tcPr>
          <w:p w14:paraId="2BE6C261">
            <w:pPr>
              <w:pStyle w:val="102"/>
              <w:spacing w:before="304" w:line="183" w:lineRule="auto"/>
              <w:jc w:val="right"/>
              <w:rPr>
                <w:rFonts w:hint="eastAsia"/>
                <w:sz w:val="21"/>
                <w:szCs w:val="21"/>
              </w:rPr>
            </w:pPr>
            <w:r>
              <w:rPr>
                <w:spacing w:val="-2"/>
                <w:sz w:val="21"/>
                <w:szCs w:val="21"/>
              </w:rPr>
              <w:t>186,705,866</w:t>
            </w:r>
          </w:p>
        </w:tc>
        <w:tc>
          <w:tcPr>
            <w:tcW w:w="1957" w:type="dxa"/>
          </w:tcPr>
          <w:p w14:paraId="4EBBDAFB">
            <w:pPr>
              <w:pStyle w:val="102"/>
              <w:spacing w:before="305" w:line="182" w:lineRule="auto"/>
              <w:ind w:left="801"/>
              <w:jc w:val="right"/>
              <w:rPr>
                <w:rFonts w:hint="eastAsia"/>
                <w:sz w:val="21"/>
                <w:szCs w:val="21"/>
              </w:rPr>
            </w:pPr>
            <w:r>
              <w:rPr>
                <w:spacing w:val="-1"/>
                <w:sz w:val="21"/>
                <w:szCs w:val="21"/>
              </w:rPr>
              <w:t>-</w:t>
            </w:r>
            <w:r>
              <w:rPr>
                <w:rFonts w:hint="eastAsia"/>
                <w:spacing w:val="-1"/>
                <w:sz w:val="21"/>
                <w:szCs w:val="21"/>
                <w:lang w:eastAsia="zh-CN"/>
              </w:rPr>
              <w:t>58</w:t>
            </w:r>
            <w:r>
              <w:rPr>
                <w:spacing w:val="-1"/>
                <w:sz w:val="21"/>
                <w:szCs w:val="21"/>
              </w:rPr>
              <w:t>0,000</w:t>
            </w:r>
          </w:p>
        </w:tc>
        <w:tc>
          <w:tcPr>
            <w:tcW w:w="1965" w:type="dxa"/>
          </w:tcPr>
          <w:p w14:paraId="17CC9D90">
            <w:pPr>
              <w:pStyle w:val="102"/>
              <w:spacing w:before="305" w:line="183" w:lineRule="auto"/>
              <w:jc w:val="right"/>
              <w:rPr>
                <w:rFonts w:hint="eastAsia"/>
                <w:spacing w:val="-3"/>
                <w:sz w:val="21"/>
                <w:szCs w:val="21"/>
              </w:rPr>
            </w:pPr>
            <w:r>
              <w:rPr>
                <w:rFonts w:hint="eastAsia"/>
                <w:spacing w:val="-3"/>
                <w:sz w:val="21"/>
                <w:szCs w:val="21"/>
              </w:rPr>
              <w:t xml:space="preserve"> 186,125,866 </w:t>
            </w:r>
          </w:p>
        </w:tc>
      </w:tr>
      <w:tr w14:paraId="3F21F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989" w:type="dxa"/>
          </w:tcPr>
          <w:p w14:paraId="6FB36750">
            <w:pPr>
              <w:pStyle w:val="102"/>
              <w:spacing w:before="271" w:line="222" w:lineRule="auto"/>
              <w:ind w:left="121"/>
              <w:rPr>
                <w:rFonts w:hint="eastAsia"/>
                <w:sz w:val="21"/>
                <w:szCs w:val="21"/>
              </w:rPr>
            </w:pPr>
            <w:r>
              <w:rPr>
                <w:b/>
                <w:bCs/>
                <w:spacing w:val="-6"/>
                <w:sz w:val="21"/>
                <w:szCs w:val="21"/>
              </w:rPr>
              <w:t>总计</w:t>
            </w:r>
          </w:p>
        </w:tc>
        <w:tc>
          <w:tcPr>
            <w:tcW w:w="1602" w:type="dxa"/>
          </w:tcPr>
          <w:p w14:paraId="508F49B2">
            <w:pPr>
              <w:pStyle w:val="102"/>
              <w:spacing w:before="305" w:line="183" w:lineRule="auto"/>
              <w:jc w:val="right"/>
              <w:rPr>
                <w:rFonts w:hint="eastAsia"/>
                <w:sz w:val="21"/>
                <w:szCs w:val="21"/>
              </w:rPr>
            </w:pPr>
            <w:r>
              <w:rPr>
                <w:b/>
                <w:bCs/>
                <w:spacing w:val="-3"/>
                <w:sz w:val="21"/>
                <w:szCs w:val="21"/>
              </w:rPr>
              <w:t>333,167,407</w:t>
            </w:r>
          </w:p>
        </w:tc>
        <w:tc>
          <w:tcPr>
            <w:tcW w:w="1957" w:type="dxa"/>
          </w:tcPr>
          <w:p w14:paraId="240AFF38">
            <w:pPr>
              <w:pStyle w:val="102"/>
              <w:spacing w:before="306" w:line="182" w:lineRule="auto"/>
              <w:ind w:left="1750"/>
              <w:jc w:val="right"/>
              <w:rPr>
                <w:rFonts w:hint="eastAsia"/>
                <w:sz w:val="21"/>
                <w:szCs w:val="21"/>
              </w:rPr>
            </w:pPr>
            <w:r>
              <w:rPr>
                <w:b/>
                <w:bCs/>
                <w:spacing w:val="-3"/>
                <w:sz w:val="21"/>
                <w:szCs w:val="21"/>
              </w:rPr>
              <w:t>0</w:t>
            </w:r>
          </w:p>
        </w:tc>
        <w:tc>
          <w:tcPr>
            <w:tcW w:w="1965" w:type="dxa"/>
          </w:tcPr>
          <w:p w14:paraId="54EDBABE">
            <w:pPr>
              <w:pStyle w:val="102"/>
              <w:spacing w:before="305" w:line="183" w:lineRule="auto"/>
              <w:jc w:val="right"/>
              <w:rPr>
                <w:rFonts w:hint="eastAsia"/>
                <w:b/>
                <w:bCs/>
                <w:spacing w:val="-3"/>
                <w:sz w:val="21"/>
                <w:szCs w:val="21"/>
              </w:rPr>
            </w:pPr>
            <w:r>
              <w:rPr>
                <w:rFonts w:hint="eastAsia"/>
                <w:b/>
                <w:bCs/>
                <w:spacing w:val="-3"/>
                <w:sz w:val="21"/>
                <w:szCs w:val="21"/>
                <w:lang w:eastAsia="zh-CN"/>
              </w:rPr>
              <w:t xml:space="preserve">333,167,407 </w:t>
            </w:r>
          </w:p>
        </w:tc>
      </w:tr>
    </w:tbl>
    <w:p w14:paraId="47D9469C">
      <w:pPr>
        <w:snapToGrid w:val="0"/>
        <w:spacing w:line="560" w:lineRule="exact"/>
        <w:ind w:firstLine="482" w:firstLineChars="200"/>
        <w:rPr>
          <w:rFonts w:hint="eastAsia" w:ascii="宋体" w:hAnsi="宋体" w:eastAsia="宋体" w:cs="宋体"/>
          <w:b/>
          <w:sz w:val="24"/>
          <w:szCs w:val="24"/>
        </w:rPr>
      </w:pPr>
      <w:bookmarkStart w:id="0" w:name="_GoBack"/>
      <w:bookmarkEnd w:id="0"/>
      <w:r>
        <w:rPr>
          <w:rFonts w:hint="eastAsia" w:ascii="宋体" w:hAnsi="宋体" w:eastAsia="宋体" w:cs="宋体"/>
          <w:b/>
          <w:sz w:val="24"/>
          <w:szCs w:val="24"/>
        </w:rPr>
        <w:t>七、本次授予后对最近一期财务报告的影响</w:t>
      </w:r>
    </w:p>
    <w:p w14:paraId="794CAB1C">
      <w:pPr>
        <w:spacing w:before="156" w:beforeLines="5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公司董事会已确认本次激励计划预留权益授予日为2025年1月20日，授予价格为7.94元/股，基于授予价格的测算，本次激励计划预留授予限制性股票对各期会计成本的影响如下表所示：                  </w:t>
      </w:r>
    </w:p>
    <w:p w14:paraId="08AFF671">
      <w:pPr>
        <w:spacing w:before="156" w:beforeLines="50" w:line="560" w:lineRule="exact"/>
        <w:jc w:val="right"/>
        <w:rPr>
          <w:rFonts w:hint="eastAsia" w:ascii="宋体" w:hAnsi="宋体" w:eastAsia="宋体" w:cs="宋体"/>
          <w:sz w:val="24"/>
          <w:szCs w:val="24"/>
        </w:rPr>
      </w:pPr>
      <w:r>
        <w:rPr>
          <w:rFonts w:hint="eastAsia" w:ascii="宋体" w:hAnsi="宋体" w:eastAsia="宋体" w:cs="宋体"/>
          <w:sz w:val="24"/>
          <w:szCs w:val="24"/>
        </w:rPr>
        <w:t>单位：万股、万元</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2078"/>
        <w:gridCol w:w="1634"/>
        <w:gridCol w:w="1634"/>
        <w:gridCol w:w="1634"/>
      </w:tblGrid>
      <w:tr w14:paraId="680B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3" w:type="pct"/>
            <w:shd w:val="clear" w:color="auto" w:fill="D8D8D8" w:themeFill="background1" w:themeFillShade="D9"/>
            <w:vAlign w:val="center"/>
          </w:tcPr>
          <w:p w14:paraId="338EFE3B">
            <w:pPr>
              <w:spacing w:line="56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预留授予数量</w:t>
            </w:r>
          </w:p>
        </w:tc>
        <w:tc>
          <w:tcPr>
            <w:tcW w:w="1219" w:type="pct"/>
            <w:shd w:val="clear" w:color="auto" w:fill="D8D8D8" w:themeFill="background1" w:themeFillShade="D9"/>
            <w:vAlign w:val="center"/>
          </w:tcPr>
          <w:p w14:paraId="48732AE4">
            <w:pPr>
              <w:spacing w:line="56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预计摊销的总费用</w:t>
            </w:r>
          </w:p>
        </w:tc>
        <w:tc>
          <w:tcPr>
            <w:tcW w:w="958" w:type="pct"/>
            <w:shd w:val="clear" w:color="auto" w:fill="D8D8D8" w:themeFill="background1" w:themeFillShade="D9"/>
            <w:vAlign w:val="center"/>
          </w:tcPr>
          <w:p w14:paraId="582D14DB">
            <w:pPr>
              <w:spacing w:line="56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2025年</w:t>
            </w:r>
          </w:p>
        </w:tc>
        <w:tc>
          <w:tcPr>
            <w:tcW w:w="958" w:type="pct"/>
            <w:shd w:val="clear" w:color="auto" w:fill="D8D8D8" w:themeFill="background1" w:themeFillShade="D9"/>
            <w:vAlign w:val="center"/>
          </w:tcPr>
          <w:p w14:paraId="47EE3534">
            <w:pPr>
              <w:spacing w:line="56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2026年</w:t>
            </w:r>
          </w:p>
        </w:tc>
        <w:tc>
          <w:tcPr>
            <w:tcW w:w="958" w:type="pct"/>
            <w:shd w:val="clear" w:color="auto" w:fill="D8D8D8" w:themeFill="background1" w:themeFillShade="D9"/>
            <w:vAlign w:val="center"/>
          </w:tcPr>
          <w:p w14:paraId="742562CD">
            <w:pPr>
              <w:spacing w:line="560" w:lineRule="exact"/>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2027年</w:t>
            </w:r>
          </w:p>
        </w:tc>
      </w:tr>
      <w:tr w14:paraId="5CA2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03" w:type="pct"/>
            <w:shd w:val="clear" w:color="auto" w:fill="auto"/>
            <w:vAlign w:val="center"/>
          </w:tcPr>
          <w:p w14:paraId="7BFE9016">
            <w:pPr>
              <w:jc w:val="center"/>
              <w:textAlignment w:val="bottom"/>
              <w:rPr>
                <w:rFonts w:hint="default" w:asciiTheme="majorEastAsia" w:hAnsiTheme="majorEastAsia" w:eastAsiaTheme="minorEastAsia" w:cstheme="majorEastAsia"/>
                <w:szCs w:val="21"/>
                <w:lang w:val="en-US" w:eastAsia="zh-CN" w:bidi="ar"/>
              </w:rPr>
            </w:pPr>
            <w:r>
              <w:rPr>
                <w:rFonts w:hint="eastAsia" w:asciiTheme="majorEastAsia" w:hAnsiTheme="majorEastAsia" w:eastAsiaTheme="majorEastAsia" w:cstheme="majorEastAsia"/>
                <w:szCs w:val="21"/>
                <w:lang w:val="en-US" w:eastAsia="zh-CN" w:bidi="ar"/>
              </w:rPr>
              <w:t>58</w:t>
            </w:r>
          </w:p>
        </w:tc>
        <w:tc>
          <w:tcPr>
            <w:tcW w:w="1219" w:type="pct"/>
            <w:shd w:val="clear" w:color="auto" w:fill="auto"/>
            <w:vAlign w:val="center"/>
          </w:tcPr>
          <w:p w14:paraId="17522283">
            <w:pPr>
              <w:jc w:val="center"/>
              <w:textAlignment w:val="bottom"/>
              <w:rPr>
                <w:rFonts w:hint="default" w:asciiTheme="majorEastAsia" w:hAnsiTheme="majorEastAsia" w:eastAsiaTheme="majorEastAsia" w:cstheme="majorEastAsia"/>
                <w:szCs w:val="21"/>
                <w:lang w:val="en-US" w:eastAsia="zh-CN" w:bidi="ar"/>
              </w:rPr>
            </w:pPr>
            <w:r>
              <w:rPr>
                <w:rFonts w:hint="eastAsia" w:asciiTheme="majorEastAsia" w:hAnsiTheme="majorEastAsia" w:eastAsiaTheme="majorEastAsia" w:cstheme="majorEastAsia"/>
                <w:szCs w:val="21"/>
                <w:lang w:val="en-US" w:eastAsia="zh-CN" w:bidi="ar"/>
              </w:rPr>
              <w:t>305.08</w:t>
            </w:r>
          </w:p>
        </w:tc>
        <w:tc>
          <w:tcPr>
            <w:tcW w:w="958" w:type="pct"/>
            <w:shd w:val="clear" w:color="auto" w:fill="auto"/>
            <w:vAlign w:val="center"/>
          </w:tcPr>
          <w:p w14:paraId="0C52C45C">
            <w:pPr>
              <w:jc w:val="center"/>
              <w:textAlignment w:val="bottom"/>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bidi="ar"/>
              </w:rPr>
              <w:t>209.74</w:t>
            </w:r>
          </w:p>
        </w:tc>
        <w:tc>
          <w:tcPr>
            <w:tcW w:w="958" w:type="pct"/>
            <w:shd w:val="clear" w:color="auto" w:fill="auto"/>
            <w:vAlign w:val="center"/>
          </w:tcPr>
          <w:p w14:paraId="2D34A1E7">
            <w:pPr>
              <w:jc w:val="center"/>
              <w:textAlignment w:val="bottom"/>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bidi="ar"/>
              </w:rPr>
              <w:t>88.98</w:t>
            </w:r>
          </w:p>
        </w:tc>
        <w:tc>
          <w:tcPr>
            <w:tcW w:w="958" w:type="pct"/>
            <w:shd w:val="clear" w:color="auto" w:fill="auto"/>
            <w:vAlign w:val="center"/>
          </w:tcPr>
          <w:p w14:paraId="25A7ACEF">
            <w:pPr>
              <w:jc w:val="center"/>
              <w:textAlignment w:val="bottom"/>
              <w:rPr>
                <w:rFonts w:hint="default" w:asciiTheme="majorEastAsia" w:hAnsiTheme="majorEastAsia" w:eastAsiaTheme="majorEastAsia" w:cstheme="majorEastAsia"/>
                <w:szCs w:val="21"/>
                <w:lang w:val="en-US" w:eastAsia="zh-CN" w:bidi="ar"/>
              </w:rPr>
            </w:pPr>
            <w:r>
              <w:rPr>
                <w:rFonts w:hint="eastAsia" w:asciiTheme="majorEastAsia" w:hAnsiTheme="majorEastAsia" w:eastAsiaTheme="majorEastAsia" w:cstheme="majorEastAsia"/>
                <w:szCs w:val="21"/>
                <w:lang w:val="en-US" w:eastAsia="zh-CN" w:bidi="ar"/>
              </w:rPr>
              <w:t>6.36</w:t>
            </w:r>
          </w:p>
        </w:tc>
      </w:tr>
    </w:tbl>
    <w:p w14:paraId="49E5F335">
      <w:pPr>
        <w:spacing w:before="156" w:beforeLines="5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司以目前信息初步估计，限制性股票费用的摊销对有效期内各年净利润有所影响。但同时本次激励计划实施后，将进一步提升员工的凝聚力、团队稳定性，并有效激发管理团队的积极性，从而提高经营效率，给公司带来更高的经营业绩和内在价值。</w:t>
      </w:r>
    </w:p>
    <w:p w14:paraId="245EDF56">
      <w:pPr>
        <w:spacing w:before="156" w:beforeLines="50"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上述成本摊销预测对公司经营成果影响的最终结果将以会计师事务所出具的年度审计报告为准。</w:t>
      </w:r>
    </w:p>
    <w:p w14:paraId="743C3763">
      <w:pPr>
        <w:widowControl/>
        <w:adjustRightInd w:val="0"/>
        <w:snapToGrid w:val="0"/>
        <w:spacing w:line="56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 xml:space="preserve">特此公告。 </w:t>
      </w:r>
    </w:p>
    <w:p w14:paraId="2BD95283">
      <w:pPr>
        <w:pStyle w:val="92"/>
        <w:snapToGrid w:val="0"/>
        <w:spacing w:line="560" w:lineRule="exact"/>
        <w:ind w:firstLine="600" w:firstLineChars="200"/>
        <w:rPr>
          <w:rFonts w:hint="eastAsia" w:ascii="仿宋_GB2312" w:hAnsi="仿宋" w:eastAsia="仿宋_GB2312"/>
          <w:color w:val="auto"/>
          <w:sz w:val="30"/>
          <w:szCs w:val="30"/>
        </w:rPr>
      </w:pPr>
      <w:r>
        <w:rPr>
          <w:rFonts w:hint="eastAsia" w:ascii="仿宋_GB2312" w:hAnsi="仿宋" w:eastAsia="仿宋_GB2312"/>
          <w:color w:val="auto"/>
          <w:sz w:val="30"/>
          <w:szCs w:val="30"/>
        </w:rPr>
        <w:t xml:space="preserve">   </w:t>
      </w:r>
    </w:p>
    <w:p w14:paraId="3A2632B2">
      <w:pPr>
        <w:pStyle w:val="92"/>
        <w:snapToGrid w:val="0"/>
        <w:spacing w:line="560" w:lineRule="exact"/>
        <w:ind w:firstLine="600" w:firstLineChars="200"/>
        <w:jc w:val="right"/>
        <w:rPr>
          <w:rFonts w:hint="eastAsia" w:ascii="仿宋_GB2312" w:hAnsi="仿宋" w:eastAsia="仿宋_GB2312"/>
          <w:color w:val="auto"/>
          <w:sz w:val="30"/>
          <w:szCs w:val="30"/>
        </w:rPr>
      </w:pPr>
    </w:p>
    <w:p w14:paraId="1B8554CB">
      <w:pPr>
        <w:widowControl/>
        <w:adjustRightInd w:val="0"/>
        <w:snapToGrid w:val="0"/>
        <w:spacing w:line="560" w:lineRule="exact"/>
        <w:ind w:firstLine="600" w:firstLineChars="200"/>
        <w:jc w:val="right"/>
        <w:rPr>
          <w:rFonts w:hint="eastAsia" w:ascii="宋体" w:hAnsi="宋体" w:eastAsia="宋体" w:cs="宋体"/>
          <w:bCs/>
          <w:sz w:val="24"/>
          <w:szCs w:val="24"/>
        </w:rPr>
      </w:pPr>
      <w:r>
        <w:rPr>
          <w:rFonts w:hint="eastAsia" w:ascii="仿宋_GB2312" w:hAnsi="仿宋" w:eastAsia="仿宋_GB2312"/>
          <w:sz w:val="30"/>
          <w:szCs w:val="30"/>
        </w:rPr>
        <w:t xml:space="preserve">                   </w:t>
      </w:r>
      <w:r>
        <w:rPr>
          <w:rFonts w:hint="eastAsia" w:ascii="宋体" w:hAnsi="宋体" w:eastAsia="宋体" w:cs="宋体"/>
          <w:bCs/>
          <w:sz w:val="24"/>
          <w:szCs w:val="24"/>
        </w:rPr>
        <w:t>重庆望变电气（集团）股份有限公司董事会</w:t>
      </w:r>
    </w:p>
    <w:p w14:paraId="54E7E46A">
      <w:pPr>
        <w:widowControl/>
        <w:adjustRightInd w:val="0"/>
        <w:snapToGrid w:val="0"/>
        <w:spacing w:line="560" w:lineRule="exact"/>
        <w:ind w:firstLine="480" w:firstLineChars="200"/>
        <w:jc w:val="right"/>
        <w:rPr>
          <w:rFonts w:hint="eastAsia" w:ascii="仿宋_GB2312" w:hAnsi="仿宋" w:eastAsia="仿宋_GB2312"/>
          <w:color w:val="000000"/>
          <w:sz w:val="30"/>
          <w:szCs w:val="30"/>
        </w:rPr>
      </w:pPr>
      <w:r>
        <w:rPr>
          <w:rFonts w:hint="eastAsia" w:ascii="宋体" w:hAnsi="宋体" w:eastAsia="宋体" w:cs="宋体"/>
          <w:bCs/>
          <w:sz w:val="24"/>
          <w:szCs w:val="24"/>
        </w:rPr>
        <w:t>2025年2月21日</w:t>
      </w:r>
    </w:p>
    <w:p w14:paraId="1511A792">
      <w:pPr>
        <w:snapToGrid w:val="0"/>
        <w:spacing w:line="560" w:lineRule="exact"/>
        <w:rPr>
          <w:rFonts w:hint="eastAsia" w:ascii="仿宋_GB2312" w:hAnsi="宋体" w:eastAsia="仿宋_GB2312"/>
          <w:sz w:val="30"/>
          <w:szCs w:val="30"/>
        </w:rPr>
      </w:pPr>
    </w:p>
    <w:p w14:paraId="6D10DA05">
      <w:pPr>
        <w:adjustRightInd w:val="0"/>
        <w:snapToGrid w:val="0"/>
        <w:spacing w:line="560" w:lineRule="exact"/>
        <w:ind w:firstLine="480" w:firstLineChars="200"/>
        <w:jc w:val="right"/>
        <w:rPr>
          <w:rFonts w:hint="eastAsia" w:ascii="宋体" w:hAnsi="宋体" w:eastAsia="宋体"/>
          <w:color w:val="00000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207842"/>
    </w:sdtPr>
    <w:sdtContent>
      <w:p w14:paraId="06E41B07">
        <w:pPr>
          <w:pStyle w:val="55"/>
          <w:jc w:val="center"/>
        </w:pPr>
        <w:r>
          <w:fldChar w:fldCharType="begin"/>
        </w:r>
        <w:r>
          <w:instrText xml:space="preserve">PAGE   \* MERGEFORMAT</w:instrText>
        </w:r>
        <w:r>
          <w:fldChar w:fldCharType="separate"/>
        </w:r>
        <w:r>
          <w:rPr>
            <w:lang w:val="zh-CN"/>
          </w:rPr>
          <w:t>5</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80CC7"/>
    <w:multiLevelType w:val="singleLevel"/>
    <w:tmpl w:val="99F80CC7"/>
    <w:lvl w:ilvl="0" w:tentative="0">
      <w:start w:val="1"/>
      <w:numFmt w:val="chineseCounting"/>
      <w:suff w:val="nothing"/>
      <w:lvlText w:val="（%1）"/>
      <w:lvlJc w:val="left"/>
      <w:rPr>
        <w:rFonts w:hint="eastAsia"/>
      </w:rPr>
    </w:lvl>
  </w:abstractNum>
  <w:abstractNum w:abstractNumId="1">
    <w:nsid w:val="9BF949B9"/>
    <w:multiLevelType w:val="singleLevel"/>
    <w:tmpl w:val="9BF949B9"/>
    <w:lvl w:ilvl="0" w:tentative="0">
      <w:start w:val="2"/>
      <w:numFmt w:val="chineseCounting"/>
      <w:suff w:val="nothing"/>
      <w:lvlText w:val="%1、"/>
      <w:lvlJc w:val="left"/>
      <w:rPr>
        <w:rFonts w:hint="eastAsia"/>
      </w:rPr>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25F15770"/>
    <w:multiLevelType w:val="multilevel"/>
    <w:tmpl w:val="25F15770"/>
    <w:lvl w:ilvl="0" w:tentative="0">
      <w:start w:val="1"/>
      <w:numFmt w:val="koreanDigital2"/>
      <w:pStyle w:val="109"/>
      <w:suff w:val="space"/>
      <w:lvlText w:val="第%1条"/>
      <w:lvlJc w:val="left"/>
      <w:pPr>
        <w:ind w:left="0" w:firstLine="0"/>
      </w:pPr>
      <w:rPr>
        <w:rFonts w:hint="eastAsia" w:ascii="宋体" w:hAnsi="宋体"/>
        <w:b/>
        <w:i w:val="0"/>
        <w:caps/>
        <w:smallCaps w:val="0"/>
        <w:strike w:val="0"/>
        <w:dstrike w:val="0"/>
        <w:vanish w:val="0"/>
        <w:sz w:val="24"/>
        <w:szCs w:val="24"/>
        <w:u w:val="none"/>
        <w:vertAlign w:val="baseline"/>
      </w:rPr>
    </w:lvl>
    <w:lvl w:ilvl="1" w:tentative="0">
      <w:start w:val="1"/>
      <w:numFmt w:val="decimalZero"/>
      <w:pStyle w:val="108"/>
      <w:isLgl/>
      <w:lvlText w:val="%1.%2"/>
      <w:lvlJc w:val="left"/>
      <w:pPr>
        <w:tabs>
          <w:tab w:val="left" w:pos="720"/>
        </w:tabs>
        <w:ind w:left="0" w:firstLine="1440"/>
      </w:pPr>
      <w:rPr>
        <w:rFonts w:hint="default"/>
        <w:b w:val="0"/>
        <w:i w:val="0"/>
        <w:caps w:val="0"/>
        <w:strike w:val="0"/>
        <w:dstrike w:val="0"/>
        <w:vanish w:val="0"/>
        <w:u w:val="none"/>
        <w:vertAlign w:val="baseline"/>
      </w:rPr>
    </w:lvl>
    <w:lvl w:ilvl="2" w:tentative="0">
      <w:start w:val="1"/>
      <w:numFmt w:val="lowerLetter"/>
      <w:pStyle w:val="107"/>
      <w:lvlText w:val="(%3)"/>
      <w:lvlJc w:val="left"/>
      <w:pPr>
        <w:tabs>
          <w:tab w:val="left" w:pos="1440"/>
        </w:tabs>
        <w:ind w:left="0" w:firstLine="720"/>
      </w:pPr>
      <w:rPr>
        <w:rFonts w:hint="default"/>
        <w:b w:val="0"/>
        <w:i w:val="0"/>
        <w:caps w:val="0"/>
        <w:strike w:val="0"/>
        <w:dstrike w:val="0"/>
        <w:vanish w:val="0"/>
        <w:u w:val="none"/>
        <w:vertAlign w:val="baseline"/>
      </w:rPr>
    </w:lvl>
    <w:lvl w:ilvl="3" w:tentative="0">
      <w:start w:val="1"/>
      <w:numFmt w:val="lowerRoman"/>
      <w:lvlText w:val="(%4)"/>
      <w:lvlJc w:val="left"/>
      <w:pPr>
        <w:tabs>
          <w:tab w:val="left" w:pos="2160"/>
        </w:tabs>
        <w:ind w:left="720" w:firstLine="720"/>
      </w:pPr>
      <w:rPr>
        <w:rFonts w:hint="default"/>
        <w:b w:val="0"/>
        <w:i w:val="0"/>
        <w:caps w:val="0"/>
        <w:strike w:val="0"/>
        <w:dstrike w:val="0"/>
        <w:vanish w:val="0"/>
        <w:u w:val="none"/>
        <w:vertAlign w:val="baseline"/>
      </w:rPr>
    </w:lvl>
    <w:lvl w:ilvl="4" w:tentative="0">
      <w:start w:val="1"/>
      <w:numFmt w:val="ordinalText"/>
      <w:suff w:val="space"/>
      <w:lvlText w:val="%5:"/>
      <w:lvlJc w:val="left"/>
      <w:pPr>
        <w:ind w:left="720" w:firstLine="720"/>
      </w:pPr>
      <w:rPr>
        <w:rFonts w:hint="default"/>
        <w:b w:val="0"/>
        <w:i w:val="0"/>
        <w:caps w:val="0"/>
        <w:strike w:val="0"/>
        <w:dstrike w:val="0"/>
        <w:vanish w:val="0"/>
        <w:u w:val="none"/>
        <w:vertAlign w:val="baseline"/>
      </w:rPr>
    </w:lvl>
    <w:lvl w:ilvl="5"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6"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7"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lvl w:ilvl="8" w:tentative="0">
      <w:start w:val="1"/>
      <w:numFmt w:val="none"/>
      <w:lvlText w:val=""/>
      <w:lvlJc w:val="left"/>
      <w:pPr>
        <w:tabs>
          <w:tab w:val="left" w:pos="720"/>
        </w:tabs>
        <w:ind w:left="0" w:firstLine="0"/>
      </w:pPr>
      <w:rPr>
        <w:rFonts w:hint="default"/>
        <w:b w:val="0"/>
        <w:i w:val="0"/>
        <w:caps w:val="0"/>
        <w:strike w:val="0"/>
        <w:dstrike w:val="0"/>
        <w:vanish w:val="0"/>
        <w:u w:val="none"/>
        <w:vertAlign w:val="baseline"/>
      </w:rPr>
    </w:lvl>
  </w:abstractNum>
  <w:abstractNum w:abstractNumId="13">
    <w:nsid w:val="45410161"/>
    <w:multiLevelType w:val="multilevel"/>
    <w:tmpl w:val="45410161"/>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2"/>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521827E2"/>
    <w:rsid w:val="00010BC9"/>
    <w:rsid w:val="00014CE9"/>
    <w:rsid w:val="0003670A"/>
    <w:rsid w:val="000378C7"/>
    <w:rsid w:val="00042D02"/>
    <w:rsid w:val="00064FE8"/>
    <w:rsid w:val="00076EFD"/>
    <w:rsid w:val="0008555B"/>
    <w:rsid w:val="000933D1"/>
    <w:rsid w:val="000A40E4"/>
    <w:rsid w:val="000B1A1F"/>
    <w:rsid w:val="000C53B9"/>
    <w:rsid w:val="000C72A9"/>
    <w:rsid w:val="000D3DA9"/>
    <w:rsid w:val="000D409C"/>
    <w:rsid w:val="00102455"/>
    <w:rsid w:val="00123266"/>
    <w:rsid w:val="001254C4"/>
    <w:rsid w:val="00140439"/>
    <w:rsid w:val="0014777F"/>
    <w:rsid w:val="001507FC"/>
    <w:rsid w:val="0016249D"/>
    <w:rsid w:val="001723E5"/>
    <w:rsid w:val="00190DA2"/>
    <w:rsid w:val="00192BD0"/>
    <w:rsid w:val="001A727A"/>
    <w:rsid w:val="001C1ED6"/>
    <w:rsid w:val="001D06CF"/>
    <w:rsid w:val="001D4E14"/>
    <w:rsid w:val="001D51B9"/>
    <w:rsid w:val="00201DED"/>
    <w:rsid w:val="0020797D"/>
    <w:rsid w:val="00207B64"/>
    <w:rsid w:val="00214E36"/>
    <w:rsid w:val="00225FE6"/>
    <w:rsid w:val="00244231"/>
    <w:rsid w:val="00252550"/>
    <w:rsid w:val="00277255"/>
    <w:rsid w:val="002B229C"/>
    <w:rsid w:val="002E532F"/>
    <w:rsid w:val="002F53E5"/>
    <w:rsid w:val="003112C9"/>
    <w:rsid w:val="003505CE"/>
    <w:rsid w:val="00351429"/>
    <w:rsid w:val="003541EB"/>
    <w:rsid w:val="003571E3"/>
    <w:rsid w:val="00391A1B"/>
    <w:rsid w:val="0039276C"/>
    <w:rsid w:val="003E38F1"/>
    <w:rsid w:val="003F1451"/>
    <w:rsid w:val="004466B8"/>
    <w:rsid w:val="00451E66"/>
    <w:rsid w:val="00464AFC"/>
    <w:rsid w:val="00467390"/>
    <w:rsid w:val="004A21C8"/>
    <w:rsid w:val="004A5BBD"/>
    <w:rsid w:val="004A790E"/>
    <w:rsid w:val="004B5841"/>
    <w:rsid w:val="004B6BDD"/>
    <w:rsid w:val="004D041E"/>
    <w:rsid w:val="004D0E8E"/>
    <w:rsid w:val="004F172D"/>
    <w:rsid w:val="004F6ED8"/>
    <w:rsid w:val="00522BE2"/>
    <w:rsid w:val="00531C12"/>
    <w:rsid w:val="0053579F"/>
    <w:rsid w:val="005429C2"/>
    <w:rsid w:val="0055216A"/>
    <w:rsid w:val="005750AA"/>
    <w:rsid w:val="00575F03"/>
    <w:rsid w:val="005A15BF"/>
    <w:rsid w:val="005A2954"/>
    <w:rsid w:val="005B7B64"/>
    <w:rsid w:val="005F57F9"/>
    <w:rsid w:val="006150E2"/>
    <w:rsid w:val="0063047D"/>
    <w:rsid w:val="00636BAE"/>
    <w:rsid w:val="00655840"/>
    <w:rsid w:val="006704CD"/>
    <w:rsid w:val="00672360"/>
    <w:rsid w:val="00684FFB"/>
    <w:rsid w:val="006906F2"/>
    <w:rsid w:val="006A3328"/>
    <w:rsid w:val="006A773E"/>
    <w:rsid w:val="006B1576"/>
    <w:rsid w:val="006E4DD1"/>
    <w:rsid w:val="006F3EE0"/>
    <w:rsid w:val="007142F2"/>
    <w:rsid w:val="00726F44"/>
    <w:rsid w:val="00732B9D"/>
    <w:rsid w:val="00737063"/>
    <w:rsid w:val="00743FC0"/>
    <w:rsid w:val="0077701D"/>
    <w:rsid w:val="0078004A"/>
    <w:rsid w:val="007821D6"/>
    <w:rsid w:val="007A61FA"/>
    <w:rsid w:val="007B073D"/>
    <w:rsid w:val="007B1916"/>
    <w:rsid w:val="007C3FFA"/>
    <w:rsid w:val="007E572E"/>
    <w:rsid w:val="007F703D"/>
    <w:rsid w:val="007F7EDC"/>
    <w:rsid w:val="008162CF"/>
    <w:rsid w:val="008320FC"/>
    <w:rsid w:val="0084121D"/>
    <w:rsid w:val="0084422E"/>
    <w:rsid w:val="00854FC4"/>
    <w:rsid w:val="00855683"/>
    <w:rsid w:val="00856E6D"/>
    <w:rsid w:val="008627C1"/>
    <w:rsid w:val="008634A7"/>
    <w:rsid w:val="008A5E36"/>
    <w:rsid w:val="008E4B6F"/>
    <w:rsid w:val="008F6EB2"/>
    <w:rsid w:val="0090186C"/>
    <w:rsid w:val="00902203"/>
    <w:rsid w:val="00915D39"/>
    <w:rsid w:val="00923C08"/>
    <w:rsid w:val="00947C32"/>
    <w:rsid w:val="009679A2"/>
    <w:rsid w:val="00992126"/>
    <w:rsid w:val="009B47DE"/>
    <w:rsid w:val="009D1A30"/>
    <w:rsid w:val="009D2542"/>
    <w:rsid w:val="009E3152"/>
    <w:rsid w:val="009E3407"/>
    <w:rsid w:val="00A01CB8"/>
    <w:rsid w:val="00A05D77"/>
    <w:rsid w:val="00A35853"/>
    <w:rsid w:val="00A40BAA"/>
    <w:rsid w:val="00A41695"/>
    <w:rsid w:val="00A51C23"/>
    <w:rsid w:val="00A53142"/>
    <w:rsid w:val="00A5357E"/>
    <w:rsid w:val="00A56C7F"/>
    <w:rsid w:val="00A57119"/>
    <w:rsid w:val="00A81E75"/>
    <w:rsid w:val="00A823F8"/>
    <w:rsid w:val="00A93FB7"/>
    <w:rsid w:val="00AC3419"/>
    <w:rsid w:val="00AD0F45"/>
    <w:rsid w:val="00B016E7"/>
    <w:rsid w:val="00B13254"/>
    <w:rsid w:val="00B3614E"/>
    <w:rsid w:val="00B61EEE"/>
    <w:rsid w:val="00B9137C"/>
    <w:rsid w:val="00B971E4"/>
    <w:rsid w:val="00BA49C4"/>
    <w:rsid w:val="00BB03CC"/>
    <w:rsid w:val="00BB5947"/>
    <w:rsid w:val="00BB61B6"/>
    <w:rsid w:val="00BC233A"/>
    <w:rsid w:val="00BD3997"/>
    <w:rsid w:val="00BE7D13"/>
    <w:rsid w:val="00BF7BDB"/>
    <w:rsid w:val="00C009B6"/>
    <w:rsid w:val="00C013F5"/>
    <w:rsid w:val="00C47186"/>
    <w:rsid w:val="00C55BBD"/>
    <w:rsid w:val="00C56BA2"/>
    <w:rsid w:val="00C73B54"/>
    <w:rsid w:val="00C7508F"/>
    <w:rsid w:val="00CB35C7"/>
    <w:rsid w:val="00CC6AE1"/>
    <w:rsid w:val="00CD08C9"/>
    <w:rsid w:val="00CF4977"/>
    <w:rsid w:val="00D25F85"/>
    <w:rsid w:val="00D4059C"/>
    <w:rsid w:val="00D45861"/>
    <w:rsid w:val="00D46F41"/>
    <w:rsid w:val="00D65BA4"/>
    <w:rsid w:val="00D76D97"/>
    <w:rsid w:val="00D8189C"/>
    <w:rsid w:val="00DB13C5"/>
    <w:rsid w:val="00DB744D"/>
    <w:rsid w:val="00DC6C34"/>
    <w:rsid w:val="00DC78D5"/>
    <w:rsid w:val="00DD62E6"/>
    <w:rsid w:val="00DE6E82"/>
    <w:rsid w:val="00DF73E8"/>
    <w:rsid w:val="00E301F1"/>
    <w:rsid w:val="00E558AE"/>
    <w:rsid w:val="00E667EA"/>
    <w:rsid w:val="00E746B0"/>
    <w:rsid w:val="00E818E9"/>
    <w:rsid w:val="00E82A34"/>
    <w:rsid w:val="00E95F43"/>
    <w:rsid w:val="00E97956"/>
    <w:rsid w:val="00EC496E"/>
    <w:rsid w:val="00EE084C"/>
    <w:rsid w:val="00F0268C"/>
    <w:rsid w:val="00F3599D"/>
    <w:rsid w:val="00F36086"/>
    <w:rsid w:val="00F54E0B"/>
    <w:rsid w:val="00F670DD"/>
    <w:rsid w:val="00F70648"/>
    <w:rsid w:val="00F70E7D"/>
    <w:rsid w:val="00FC17CB"/>
    <w:rsid w:val="00FD0FAD"/>
    <w:rsid w:val="00FE6306"/>
    <w:rsid w:val="00FF7741"/>
    <w:rsid w:val="0272202F"/>
    <w:rsid w:val="03343D40"/>
    <w:rsid w:val="03BC2DDC"/>
    <w:rsid w:val="051D2BD1"/>
    <w:rsid w:val="08317AF9"/>
    <w:rsid w:val="094457B5"/>
    <w:rsid w:val="09D93D68"/>
    <w:rsid w:val="0AB96B89"/>
    <w:rsid w:val="0AF40FFC"/>
    <w:rsid w:val="0B5A614F"/>
    <w:rsid w:val="0BA87C9C"/>
    <w:rsid w:val="0CB64A29"/>
    <w:rsid w:val="0DF129EC"/>
    <w:rsid w:val="0F72351D"/>
    <w:rsid w:val="1346590F"/>
    <w:rsid w:val="13FB01CA"/>
    <w:rsid w:val="14172444"/>
    <w:rsid w:val="16B7079E"/>
    <w:rsid w:val="1A171801"/>
    <w:rsid w:val="1DAB6DD2"/>
    <w:rsid w:val="1DF06EC2"/>
    <w:rsid w:val="200A4F8B"/>
    <w:rsid w:val="219D0DCB"/>
    <w:rsid w:val="224340DA"/>
    <w:rsid w:val="24A216A6"/>
    <w:rsid w:val="27BD77B9"/>
    <w:rsid w:val="28DF4F8C"/>
    <w:rsid w:val="2A6940E5"/>
    <w:rsid w:val="2BBE6134"/>
    <w:rsid w:val="2F9044D2"/>
    <w:rsid w:val="306C01D8"/>
    <w:rsid w:val="30E156D2"/>
    <w:rsid w:val="32D57EA5"/>
    <w:rsid w:val="33051DC0"/>
    <w:rsid w:val="3350577D"/>
    <w:rsid w:val="340E7867"/>
    <w:rsid w:val="35585845"/>
    <w:rsid w:val="35B55AA7"/>
    <w:rsid w:val="36157E17"/>
    <w:rsid w:val="361E1706"/>
    <w:rsid w:val="38BB39B1"/>
    <w:rsid w:val="39882687"/>
    <w:rsid w:val="3A5A39CC"/>
    <w:rsid w:val="3AA458EA"/>
    <w:rsid w:val="3BE61717"/>
    <w:rsid w:val="3F2943D2"/>
    <w:rsid w:val="42132C5D"/>
    <w:rsid w:val="42991A4C"/>
    <w:rsid w:val="42DC0663"/>
    <w:rsid w:val="44D22F34"/>
    <w:rsid w:val="44D46601"/>
    <w:rsid w:val="454B7184"/>
    <w:rsid w:val="46ED5E7D"/>
    <w:rsid w:val="47312A24"/>
    <w:rsid w:val="49FB7A73"/>
    <w:rsid w:val="4A36568F"/>
    <w:rsid w:val="4DD840D9"/>
    <w:rsid w:val="4E2F4A05"/>
    <w:rsid w:val="4E7F373F"/>
    <w:rsid w:val="4E8A006A"/>
    <w:rsid w:val="5150387B"/>
    <w:rsid w:val="521827E2"/>
    <w:rsid w:val="529D4CCA"/>
    <w:rsid w:val="542D006B"/>
    <w:rsid w:val="54CA7B2B"/>
    <w:rsid w:val="54E825DB"/>
    <w:rsid w:val="55CE6B97"/>
    <w:rsid w:val="57B0432B"/>
    <w:rsid w:val="57B1777A"/>
    <w:rsid w:val="59007E53"/>
    <w:rsid w:val="5C4B0760"/>
    <w:rsid w:val="5CE164BE"/>
    <w:rsid w:val="5D261C07"/>
    <w:rsid w:val="61FA1919"/>
    <w:rsid w:val="63C562D2"/>
    <w:rsid w:val="64254C22"/>
    <w:rsid w:val="64380EB6"/>
    <w:rsid w:val="6747227C"/>
    <w:rsid w:val="6843080A"/>
    <w:rsid w:val="69A55478"/>
    <w:rsid w:val="6A823CB0"/>
    <w:rsid w:val="6C89676B"/>
    <w:rsid w:val="6EC21834"/>
    <w:rsid w:val="6F8E647A"/>
    <w:rsid w:val="6FF8393F"/>
    <w:rsid w:val="71374B14"/>
    <w:rsid w:val="714E0CD7"/>
    <w:rsid w:val="71E91A60"/>
    <w:rsid w:val="73DC14A1"/>
    <w:rsid w:val="74383A67"/>
    <w:rsid w:val="74843736"/>
    <w:rsid w:val="75E13877"/>
    <w:rsid w:val="76310FC3"/>
    <w:rsid w:val="7650160A"/>
    <w:rsid w:val="771357EC"/>
    <w:rsid w:val="77D11EA6"/>
    <w:rsid w:val="7C1E2F09"/>
    <w:rsid w:val="7C3E412A"/>
    <w:rsid w:val="7C8B316B"/>
    <w:rsid w:val="7EAF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iPriority="0" w:name="endnote text"/>
    <w:lsdException w:qFormat="1" w:unhideWhenUsed="0" w:uiPriority="0" w:semiHidden="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qFormat="1" w:uiPriority="0" w:name="List Number 2"/>
    <w:lsdException w:qFormat="1" w:uiPriority="0" w:name="List Number 3"/>
    <w:lsdException w:qFormat="1" w:uiPriority="0" w:name="List Number 4"/>
    <w:lsdException w:qFormat="1" w:uiPriority="0" w:name="List Number 5"/>
    <w:lsdException w:qFormat="1" w:unhideWhenUsed="0" w:uiPriority="10" w:semiHidden="0" w:name="Title"/>
    <w:lsdException w:qFormat="1" w:uiPriority="0" w:name="Closing"/>
    <w:lsdException w:qFormat="1" w:uiPriority="0" w:name="Signature"/>
    <w:lsdException w:uiPriority="1" w:name="Default Paragraph Font"/>
    <w:lsdException w:qFormat="1" w:unhideWhenUsed="0" w:uiPriority="0" w:name="Body Text"/>
    <w:lsdException w:qFormat="1" w:uiPriority="0" w:name="Body Text Indent"/>
    <w:lsdException w:qFormat="1" w:uiPriority="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name="Message Header"/>
    <w:lsdException w:qFormat="1" w:unhideWhenUsed="0" w:uiPriority="0" w:semiHidden="0" w:name="Subtitle"/>
    <w:lsdException w:qFormat="1" w:uiPriority="0" w:name="Salutation"/>
    <w:lsdException w:qFormat="1" w:uiPriority="0" w:name="Date"/>
    <w:lsdException w:qFormat="1" w:uiPriority="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iPriority="0" w:name="Plain Text"/>
    <w:lsdException w:qFormat="1" w:uiPriority="0" w:name="E-mail Signature"/>
    <w:lsdException w:qFormat="1" w:uiPriority="99"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5"/>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6"/>
    <w:autoRedefine/>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1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8"/>
    <w:autoRedefine/>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9"/>
    <w:autoRedefine/>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20"/>
    <w:autoRedefine/>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21"/>
    <w:autoRedefine/>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22"/>
    <w:autoRedefine/>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89">
    <w:name w:val="Default Paragraph Font"/>
    <w:semiHidden/>
    <w:unhideWhenUsed/>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7"/>
    <w:autoRedefine/>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0"/>
    <w:pPr>
      <w:ind w:left="100" w:leftChars="400" w:hanging="200" w:hangingChars="200"/>
      <w:contextualSpacing/>
    </w:pPr>
  </w:style>
  <w:style w:type="paragraph" w:styleId="13">
    <w:name w:val="toc 7"/>
    <w:basedOn w:val="1"/>
    <w:next w:val="1"/>
    <w:autoRedefine/>
    <w:semiHidden/>
    <w:unhideWhenUsed/>
    <w:qFormat/>
    <w:uiPriority w:val="0"/>
    <w:pPr>
      <w:ind w:left="2520" w:leftChars="1200"/>
    </w:pPr>
  </w:style>
  <w:style w:type="paragraph" w:styleId="14">
    <w:name w:val="List Number 2"/>
    <w:basedOn w:val="1"/>
    <w:autoRedefine/>
    <w:semiHidden/>
    <w:unhideWhenUsed/>
    <w:qFormat/>
    <w:uiPriority w:val="0"/>
    <w:pPr>
      <w:numPr>
        <w:ilvl w:val="0"/>
        <w:numId w:val="1"/>
      </w:numPr>
      <w:contextualSpacing/>
    </w:pPr>
  </w:style>
  <w:style w:type="paragraph" w:styleId="15">
    <w:name w:val="table of authorities"/>
    <w:basedOn w:val="1"/>
    <w:next w:val="1"/>
    <w:autoRedefine/>
    <w:qFormat/>
    <w:uiPriority w:val="0"/>
    <w:pPr>
      <w:ind w:left="420" w:leftChars="200"/>
    </w:pPr>
  </w:style>
  <w:style w:type="paragraph" w:styleId="16">
    <w:name w:val="Note Heading"/>
    <w:basedOn w:val="1"/>
    <w:next w:val="1"/>
    <w:link w:val="149"/>
    <w:autoRedefine/>
    <w:semiHidden/>
    <w:unhideWhenUsed/>
    <w:qFormat/>
    <w:uiPriority w:val="0"/>
    <w:pPr>
      <w:jc w:val="center"/>
    </w:pPr>
  </w:style>
  <w:style w:type="paragraph" w:styleId="17">
    <w:name w:val="List Bullet 4"/>
    <w:basedOn w:val="1"/>
    <w:autoRedefine/>
    <w:semiHidden/>
    <w:unhideWhenUsed/>
    <w:qFormat/>
    <w:uiPriority w:val="0"/>
    <w:pPr>
      <w:numPr>
        <w:ilvl w:val="0"/>
        <w:numId w:val="2"/>
      </w:numPr>
      <w:contextualSpacing/>
    </w:pPr>
  </w:style>
  <w:style w:type="paragraph" w:styleId="18">
    <w:name w:val="index 8"/>
    <w:basedOn w:val="1"/>
    <w:next w:val="1"/>
    <w:autoRedefine/>
    <w:semiHidden/>
    <w:unhideWhenUsed/>
    <w:qFormat/>
    <w:uiPriority w:val="0"/>
    <w:pPr>
      <w:ind w:left="1400" w:leftChars="1400"/>
    </w:pPr>
  </w:style>
  <w:style w:type="paragraph" w:styleId="19">
    <w:name w:val="E-mail Signature"/>
    <w:basedOn w:val="1"/>
    <w:link w:val="125"/>
    <w:autoRedefine/>
    <w:semiHidden/>
    <w:unhideWhenUsed/>
    <w:qFormat/>
    <w:uiPriority w:val="0"/>
  </w:style>
  <w:style w:type="paragraph" w:styleId="20">
    <w:name w:val="List Number"/>
    <w:basedOn w:val="1"/>
    <w:autoRedefine/>
    <w:semiHidden/>
    <w:unhideWhenUsed/>
    <w:qFormat/>
    <w:uiPriority w:val="0"/>
    <w:pPr>
      <w:numPr>
        <w:ilvl w:val="0"/>
        <w:numId w:val="3"/>
      </w:numPr>
      <w:contextualSpacing/>
    </w:pPr>
  </w:style>
  <w:style w:type="paragraph" w:styleId="21">
    <w:name w:val="Normal Indent"/>
    <w:basedOn w:val="1"/>
    <w:autoRedefine/>
    <w:semiHidden/>
    <w:unhideWhenUsed/>
    <w:qFormat/>
    <w:uiPriority w:val="0"/>
    <w:pPr>
      <w:ind w:firstLine="420" w:firstLineChars="200"/>
    </w:pPr>
  </w:style>
  <w:style w:type="paragraph" w:styleId="22">
    <w:name w:val="caption"/>
    <w:basedOn w:val="1"/>
    <w:next w:val="1"/>
    <w:autoRedefine/>
    <w:semiHidden/>
    <w:unhideWhenUsed/>
    <w:qFormat/>
    <w:uiPriority w:val="0"/>
    <w:rPr>
      <w:rFonts w:eastAsia="黑体" w:asciiTheme="majorHAnsi" w:hAnsiTheme="majorHAnsi" w:cstheme="majorBidi"/>
      <w:sz w:val="20"/>
      <w:szCs w:val="20"/>
    </w:rPr>
  </w:style>
  <w:style w:type="paragraph" w:styleId="23">
    <w:name w:val="index 5"/>
    <w:basedOn w:val="1"/>
    <w:next w:val="1"/>
    <w:autoRedefine/>
    <w:semiHidden/>
    <w:unhideWhenUsed/>
    <w:qFormat/>
    <w:uiPriority w:val="0"/>
    <w:pPr>
      <w:ind w:left="800" w:leftChars="800"/>
    </w:pPr>
  </w:style>
  <w:style w:type="paragraph" w:styleId="24">
    <w:name w:val="List Bullet"/>
    <w:basedOn w:val="1"/>
    <w:autoRedefine/>
    <w:qFormat/>
    <w:uiPriority w:val="0"/>
    <w:pPr>
      <w:numPr>
        <w:ilvl w:val="0"/>
        <w:numId w:val="4"/>
      </w:numPr>
      <w:contextualSpacing/>
    </w:pPr>
  </w:style>
  <w:style w:type="paragraph" w:styleId="25">
    <w:name w:val="envelope address"/>
    <w:basedOn w:val="1"/>
    <w:autoRedefine/>
    <w:semiHidden/>
    <w:unhideWhenUsed/>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6"/>
    <w:autoRedefine/>
    <w:semiHidden/>
    <w:unhideWhenUsed/>
    <w:qFormat/>
    <w:uiPriority w:val="0"/>
    <w:rPr>
      <w:rFonts w:ascii="Microsoft YaHei UI" w:eastAsia="Microsoft YaHei UI"/>
      <w:sz w:val="18"/>
      <w:szCs w:val="18"/>
    </w:rPr>
  </w:style>
  <w:style w:type="paragraph" w:styleId="27">
    <w:name w:val="toa heading"/>
    <w:basedOn w:val="1"/>
    <w:next w:val="1"/>
    <w:autoRedefine/>
    <w:semiHidden/>
    <w:unhideWhenUsed/>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97"/>
    <w:autoRedefine/>
    <w:qFormat/>
    <w:uiPriority w:val="0"/>
    <w:pPr>
      <w:jc w:val="left"/>
    </w:pPr>
  </w:style>
  <w:style w:type="paragraph" w:styleId="29">
    <w:name w:val="index 6"/>
    <w:basedOn w:val="1"/>
    <w:next w:val="1"/>
    <w:autoRedefine/>
    <w:semiHidden/>
    <w:unhideWhenUsed/>
    <w:qFormat/>
    <w:uiPriority w:val="0"/>
    <w:pPr>
      <w:ind w:left="1000" w:leftChars="1000"/>
    </w:pPr>
  </w:style>
  <w:style w:type="paragraph" w:styleId="30">
    <w:name w:val="Salutation"/>
    <w:basedOn w:val="1"/>
    <w:next w:val="1"/>
    <w:link w:val="123"/>
    <w:autoRedefine/>
    <w:semiHidden/>
    <w:unhideWhenUsed/>
    <w:qFormat/>
    <w:uiPriority w:val="0"/>
  </w:style>
  <w:style w:type="paragraph" w:styleId="31">
    <w:name w:val="Body Text 3"/>
    <w:basedOn w:val="1"/>
    <w:link w:val="142"/>
    <w:autoRedefine/>
    <w:semiHidden/>
    <w:unhideWhenUsed/>
    <w:qFormat/>
    <w:uiPriority w:val="0"/>
    <w:pPr>
      <w:spacing w:after="120"/>
    </w:pPr>
    <w:rPr>
      <w:sz w:val="16"/>
      <w:szCs w:val="16"/>
    </w:rPr>
  </w:style>
  <w:style w:type="paragraph" w:styleId="32">
    <w:name w:val="Closing"/>
    <w:basedOn w:val="1"/>
    <w:link w:val="129"/>
    <w:autoRedefine/>
    <w:semiHidden/>
    <w:unhideWhenUsed/>
    <w:qFormat/>
    <w:uiPriority w:val="0"/>
    <w:pPr>
      <w:ind w:left="100" w:leftChars="2100"/>
    </w:pPr>
  </w:style>
  <w:style w:type="paragraph" w:styleId="33">
    <w:name w:val="List Bullet 3"/>
    <w:basedOn w:val="1"/>
    <w:autoRedefine/>
    <w:semiHidden/>
    <w:unhideWhenUsed/>
    <w:qFormat/>
    <w:uiPriority w:val="0"/>
    <w:pPr>
      <w:numPr>
        <w:ilvl w:val="0"/>
        <w:numId w:val="5"/>
      </w:numPr>
      <w:contextualSpacing/>
    </w:pPr>
  </w:style>
  <w:style w:type="paragraph" w:styleId="34">
    <w:name w:val="Body Text"/>
    <w:basedOn w:val="1"/>
    <w:link w:val="143"/>
    <w:autoRedefine/>
    <w:semiHidden/>
    <w:qFormat/>
    <w:uiPriority w:val="0"/>
    <w:pPr>
      <w:spacing w:line="560" w:lineRule="exact"/>
      <w:ind w:firstLine="480" w:firstLineChars="200"/>
    </w:pPr>
    <w:rPr>
      <w:rFonts w:ascii="宋体" w:hAnsi="宋体" w:eastAsia="宋体" w:cs="宋体"/>
      <w:sz w:val="24"/>
      <w:szCs w:val="24"/>
      <w:lang w:eastAsia="en-US"/>
    </w:rPr>
  </w:style>
  <w:style w:type="paragraph" w:styleId="35">
    <w:name w:val="Body Text Indent"/>
    <w:basedOn w:val="1"/>
    <w:link w:val="145"/>
    <w:autoRedefine/>
    <w:semiHidden/>
    <w:unhideWhenUsed/>
    <w:qFormat/>
    <w:uiPriority w:val="0"/>
    <w:pPr>
      <w:spacing w:after="120"/>
      <w:ind w:left="420" w:leftChars="200"/>
    </w:pPr>
  </w:style>
  <w:style w:type="paragraph" w:styleId="36">
    <w:name w:val="List Number 3"/>
    <w:basedOn w:val="1"/>
    <w:autoRedefine/>
    <w:semiHidden/>
    <w:unhideWhenUsed/>
    <w:qFormat/>
    <w:uiPriority w:val="0"/>
    <w:pPr>
      <w:numPr>
        <w:ilvl w:val="0"/>
        <w:numId w:val="6"/>
      </w:numPr>
      <w:contextualSpacing/>
    </w:pPr>
  </w:style>
  <w:style w:type="paragraph" w:styleId="37">
    <w:name w:val="List 2"/>
    <w:basedOn w:val="1"/>
    <w:autoRedefine/>
    <w:semiHidden/>
    <w:unhideWhenUsed/>
    <w:qFormat/>
    <w:uiPriority w:val="0"/>
    <w:pPr>
      <w:ind w:left="100" w:leftChars="200" w:hanging="200" w:hangingChars="200"/>
      <w:contextualSpacing/>
    </w:pPr>
  </w:style>
  <w:style w:type="paragraph" w:styleId="38">
    <w:name w:val="List Continue"/>
    <w:basedOn w:val="1"/>
    <w:autoRedefine/>
    <w:semiHidden/>
    <w:unhideWhenUsed/>
    <w:qFormat/>
    <w:uiPriority w:val="0"/>
    <w:pPr>
      <w:spacing w:after="120"/>
      <w:ind w:left="420" w:leftChars="200"/>
      <w:contextualSpacing/>
    </w:pPr>
  </w:style>
  <w:style w:type="paragraph" w:styleId="39">
    <w:name w:val="Block Text"/>
    <w:basedOn w:val="1"/>
    <w:autoRedefine/>
    <w:semiHidden/>
    <w:unhideWhenUsed/>
    <w:qFormat/>
    <w:uiPriority w:val="0"/>
    <w:pPr>
      <w:spacing w:after="120"/>
      <w:ind w:left="1440" w:leftChars="700" w:right="1440" w:rightChars="700"/>
    </w:pPr>
  </w:style>
  <w:style w:type="paragraph" w:styleId="40">
    <w:name w:val="List Bullet 2"/>
    <w:basedOn w:val="1"/>
    <w:autoRedefine/>
    <w:semiHidden/>
    <w:unhideWhenUsed/>
    <w:qFormat/>
    <w:uiPriority w:val="0"/>
    <w:pPr>
      <w:numPr>
        <w:ilvl w:val="0"/>
        <w:numId w:val="7"/>
      </w:numPr>
      <w:contextualSpacing/>
    </w:pPr>
  </w:style>
  <w:style w:type="paragraph" w:styleId="41">
    <w:name w:val="HTML Address"/>
    <w:basedOn w:val="1"/>
    <w:link w:val="111"/>
    <w:autoRedefine/>
    <w:semiHidden/>
    <w:unhideWhenUsed/>
    <w:qFormat/>
    <w:uiPriority w:val="0"/>
    <w:rPr>
      <w:i/>
      <w:iCs/>
    </w:rPr>
  </w:style>
  <w:style w:type="paragraph" w:styleId="42">
    <w:name w:val="index 4"/>
    <w:basedOn w:val="1"/>
    <w:next w:val="1"/>
    <w:autoRedefine/>
    <w:semiHidden/>
    <w:unhideWhenUsed/>
    <w:qFormat/>
    <w:uiPriority w:val="0"/>
    <w:pPr>
      <w:ind w:left="600" w:leftChars="600"/>
    </w:pPr>
  </w:style>
  <w:style w:type="paragraph" w:styleId="43">
    <w:name w:val="toc 5"/>
    <w:basedOn w:val="1"/>
    <w:next w:val="1"/>
    <w:autoRedefine/>
    <w:semiHidden/>
    <w:unhideWhenUsed/>
    <w:qFormat/>
    <w:uiPriority w:val="0"/>
    <w:pPr>
      <w:ind w:left="1680" w:leftChars="800"/>
    </w:pPr>
  </w:style>
  <w:style w:type="paragraph" w:styleId="44">
    <w:name w:val="toc 3"/>
    <w:basedOn w:val="1"/>
    <w:next w:val="1"/>
    <w:autoRedefine/>
    <w:semiHidden/>
    <w:unhideWhenUsed/>
    <w:qFormat/>
    <w:uiPriority w:val="0"/>
    <w:pPr>
      <w:ind w:left="840" w:leftChars="400"/>
    </w:pPr>
  </w:style>
  <w:style w:type="paragraph" w:styleId="45">
    <w:name w:val="Plain Text"/>
    <w:basedOn w:val="1"/>
    <w:link w:val="124"/>
    <w:autoRedefine/>
    <w:semiHidden/>
    <w:unhideWhenUsed/>
    <w:qFormat/>
    <w:uiPriority w:val="0"/>
    <w:rPr>
      <w:rFonts w:hAnsi="Courier New" w:cs="Courier New" w:asciiTheme="minorEastAsia"/>
    </w:rPr>
  </w:style>
  <w:style w:type="paragraph" w:styleId="46">
    <w:name w:val="List Bullet 5"/>
    <w:basedOn w:val="1"/>
    <w:autoRedefine/>
    <w:semiHidden/>
    <w:unhideWhenUsed/>
    <w:qFormat/>
    <w:uiPriority w:val="0"/>
    <w:pPr>
      <w:numPr>
        <w:ilvl w:val="0"/>
        <w:numId w:val="8"/>
      </w:numPr>
      <w:contextualSpacing/>
    </w:pPr>
  </w:style>
  <w:style w:type="paragraph" w:styleId="47">
    <w:name w:val="List Number 4"/>
    <w:basedOn w:val="1"/>
    <w:autoRedefine/>
    <w:semiHidden/>
    <w:unhideWhenUsed/>
    <w:qFormat/>
    <w:uiPriority w:val="0"/>
    <w:pPr>
      <w:numPr>
        <w:ilvl w:val="0"/>
        <w:numId w:val="9"/>
      </w:numPr>
      <w:contextualSpacing/>
    </w:pPr>
  </w:style>
  <w:style w:type="paragraph" w:styleId="48">
    <w:name w:val="toc 8"/>
    <w:basedOn w:val="1"/>
    <w:next w:val="1"/>
    <w:autoRedefine/>
    <w:semiHidden/>
    <w:unhideWhenUsed/>
    <w:qFormat/>
    <w:uiPriority w:val="0"/>
    <w:pPr>
      <w:ind w:left="2940" w:leftChars="1400"/>
    </w:pPr>
  </w:style>
  <w:style w:type="paragraph" w:styleId="49">
    <w:name w:val="index 3"/>
    <w:basedOn w:val="1"/>
    <w:next w:val="1"/>
    <w:autoRedefine/>
    <w:semiHidden/>
    <w:unhideWhenUsed/>
    <w:qFormat/>
    <w:uiPriority w:val="0"/>
    <w:pPr>
      <w:ind w:left="400" w:leftChars="400"/>
    </w:pPr>
  </w:style>
  <w:style w:type="paragraph" w:styleId="50">
    <w:name w:val="Date"/>
    <w:basedOn w:val="1"/>
    <w:next w:val="1"/>
    <w:link w:val="133"/>
    <w:autoRedefine/>
    <w:semiHidden/>
    <w:unhideWhenUsed/>
    <w:qFormat/>
    <w:uiPriority w:val="0"/>
    <w:pPr>
      <w:ind w:left="100" w:leftChars="2500"/>
    </w:pPr>
  </w:style>
  <w:style w:type="paragraph" w:styleId="51">
    <w:name w:val="Body Text Indent 2"/>
    <w:basedOn w:val="1"/>
    <w:link w:val="147"/>
    <w:autoRedefine/>
    <w:semiHidden/>
    <w:unhideWhenUsed/>
    <w:qFormat/>
    <w:uiPriority w:val="0"/>
    <w:pPr>
      <w:spacing w:after="120" w:line="480" w:lineRule="auto"/>
      <w:ind w:left="420" w:leftChars="200"/>
    </w:pPr>
  </w:style>
  <w:style w:type="paragraph" w:styleId="52">
    <w:name w:val="endnote text"/>
    <w:basedOn w:val="1"/>
    <w:link w:val="135"/>
    <w:autoRedefine/>
    <w:semiHidden/>
    <w:unhideWhenUsed/>
    <w:qFormat/>
    <w:uiPriority w:val="0"/>
    <w:pPr>
      <w:snapToGrid w:val="0"/>
      <w:jc w:val="left"/>
    </w:pPr>
  </w:style>
  <w:style w:type="paragraph" w:styleId="53">
    <w:name w:val="List Continue 5"/>
    <w:basedOn w:val="1"/>
    <w:autoRedefine/>
    <w:qFormat/>
    <w:uiPriority w:val="0"/>
    <w:pPr>
      <w:spacing w:after="120"/>
      <w:ind w:left="2100" w:leftChars="1000"/>
      <w:contextualSpacing/>
    </w:pPr>
  </w:style>
  <w:style w:type="paragraph" w:styleId="54">
    <w:name w:val="Balloon Text"/>
    <w:basedOn w:val="1"/>
    <w:link w:val="96"/>
    <w:autoRedefine/>
    <w:qFormat/>
    <w:uiPriority w:val="0"/>
    <w:rPr>
      <w:sz w:val="18"/>
      <w:szCs w:val="18"/>
    </w:rPr>
  </w:style>
  <w:style w:type="paragraph" w:styleId="55">
    <w:name w:val="footer"/>
    <w:basedOn w:val="1"/>
    <w:link w:val="94"/>
    <w:autoRedefine/>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0"/>
    <w:pPr>
      <w:snapToGrid w:val="0"/>
    </w:pPr>
    <w:rPr>
      <w:rFonts w:asciiTheme="majorHAnsi" w:hAnsiTheme="majorHAnsi" w:eastAsiaTheme="majorEastAsia" w:cstheme="majorBidi"/>
    </w:rPr>
  </w:style>
  <w:style w:type="paragraph" w:styleId="57">
    <w:name w:val="header"/>
    <w:basedOn w:val="1"/>
    <w:link w:val="93"/>
    <w:autoRedefine/>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2"/>
    <w:autoRedefine/>
    <w:semiHidden/>
    <w:unhideWhenUsed/>
    <w:qFormat/>
    <w:uiPriority w:val="0"/>
    <w:pPr>
      <w:ind w:left="100" w:leftChars="2100"/>
    </w:pPr>
  </w:style>
  <w:style w:type="paragraph" w:styleId="59">
    <w:name w:val="toc 1"/>
    <w:basedOn w:val="1"/>
    <w:next w:val="1"/>
    <w:autoRedefine/>
    <w:semiHidden/>
    <w:unhideWhenUsed/>
    <w:qFormat/>
    <w:uiPriority w:val="0"/>
  </w:style>
  <w:style w:type="paragraph" w:styleId="60">
    <w:name w:val="List Continue 4"/>
    <w:basedOn w:val="1"/>
    <w:autoRedefine/>
    <w:qFormat/>
    <w:uiPriority w:val="0"/>
    <w:pPr>
      <w:spacing w:after="120"/>
      <w:ind w:left="1680" w:leftChars="800"/>
      <w:contextualSpacing/>
    </w:pPr>
  </w:style>
  <w:style w:type="paragraph" w:styleId="61">
    <w:name w:val="toc 4"/>
    <w:basedOn w:val="1"/>
    <w:next w:val="1"/>
    <w:autoRedefine/>
    <w:semiHidden/>
    <w:unhideWhenUsed/>
    <w:qFormat/>
    <w:uiPriority w:val="0"/>
    <w:pPr>
      <w:ind w:left="1260" w:leftChars="600"/>
    </w:pPr>
  </w:style>
  <w:style w:type="paragraph" w:styleId="62">
    <w:name w:val="index heading"/>
    <w:basedOn w:val="1"/>
    <w:next w:val="63"/>
    <w:autoRedefine/>
    <w:semiHidden/>
    <w:unhideWhenUsed/>
    <w:qFormat/>
    <w:uiPriority w:val="0"/>
    <w:rPr>
      <w:rFonts w:asciiTheme="majorHAnsi" w:hAnsiTheme="majorHAnsi" w:eastAsiaTheme="majorEastAsia" w:cstheme="majorBidi"/>
      <w:b/>
      <w:bCs/>
    </w:rPr>
  </w:style>
  <w:style w:type="paragraph" w:styleId="63">
    <w:name w:val="index 1"/>
    <w:basedOn w:val="1"/>
    <w:next w:val="1"/>
    <w:autoRedefine/>
    <w:semiHidden/>
    <w:unhideWhenUsed/>
    <w:qFormat/>
    <w:uiPriority w:val="0"/>
  </w:style>
  <w:style w:type="paragraph" w:styleId="64">
    <w:name w:val="Subtitle"/>
    <w:basedOn w:val="1"/>
    <w:next w:val="1"/>
    <w:link w:val="126"/>
    <w:autoRedefine/>
    <w:qFormat/>
    <w:uiPriority w:val="0"/>
    <w:pPr>
      <w:spacing w:before="240" w:after="60" w:line="312" w:lineRule="auto"/>
      <w:jc w:val="center"/>
      <w:outlineLvl w:val="1"/>
    </w:pPr>
    <w:rPr>
      <w:b/>
      <w:bCs/>
      <w:kern w:val="28"/>
      <w:sz w:val="32"/>
      <w:szCs w:val="32"/>
    </w:rPr>
  </w:style>
  <w:style w:type="paragraph" w:styleId="65">
    <w:name w:val="List Number 5"/>
    <w:basedOn w:val="1"/>
    <w:autoRedefine/>
    <w:semiHidden/>
    <w:unhideWhenUsed/>
    <w:qFormat/>
    <w:uiPriority w:val="0"/>
    <w:pPr>
      <w:numPr>
        <w:ilvl w:val="0"/>
        <w:numId w:val="10"/>
      </w:numPr>
      <w:contextualSpacing/>
    </w:pPr>
  </w:style>
  <w:style w:type="paragraph" w:styleId="66">
    <w:name w:val="List"/>
    <w:basedOn w:val="1"/>
    <w:autoRedefine/>
    <w:qFormat/>
    <w:uiPriority w:val="0"/>
    <w:pPr>
      <w:ind w:left="200" w:hanging="200" w:hangingChars="200"/>
      <w:contextualSpacing/>
    </w:pPr>
  </w:style>
  <w:style w:type="paragraph" w:styleId="67">
    <w:name w:val="footnote text"/>
    <w:basedOn w:val="1"/>
    <w:link w:val="128"/>
    <w:autoRedefine/>
    <w:semiHidden/>
    <w:unhideWhenUsed/>
    <w:qFormat/>
    <w:uiPriority w:val="0"/>
    <w:pPr>
      <w:snapToGrid w:val="0"/>
      <w:jc w:val="left"/>
    </w:pPr>
    <w:rPr>
      <w:sz w:val="18"/>
      <w:szCs w:val="18"/>
    </w:rPr>
  </w:style>
  <w:style w:type="paragraph" w:styleId="68">
    <w:name w:val="toc 6"/>
    <w:basedOn w:val="1"/>
    <w:next w:val="1"/>
    <w:autoRedefine/>
    <w:semiHidden/>
    <w:unhideWhenUsed/>
    <w:qFormat/>
    <w:uiPriority w:val="0"/>
    <w:pPr>
      <w:ind w:left="2100" w:leftChars="1000"/>
    </w:pPr>
  </w:style>
  <w:style w:type="paragraph" w:styleId="69">
    <w:name w:val="List 5"/>
    <w:basedOn w:val="1"/>
    <w:autoRedefine/>
    <w:semiHidden/>
    <w:unhideWhenUsed/>
    <w:qFormat/>
    <w:uiPriority w:val="0"/>
    <w:pPr>
      <w:ind w:left="100" w:leftChars="800" w:hanging="200" w:hangingChars="200"/>
      <w:contextualSpacing/>
    </w:pPr>
  </w:style>
  <w:style w:type="paragraph" w:styleId="70">
    <w:name w:val="Body Text Indent 3"/>
    <w:basedOn w:val="1"/>
    <w:link w:val="148"/>
    <w:autoRedefine/>
    <w:semiHidden/>
    <w:unhideWhenUsed/>
    <w:qFormat/>
    <w:uiPriority w:val="0"/>
    <w:pPr>
      <w:spacing w:after="120"/>
      <w:ind w:left="420" w:leftChars="200"/>
    </w:pPr>
    <w:rPr>
      <w:sz w:val="16"/>
      <w:szCs w:val="16"/>
    </w:rPr>
  </w:style>
  <w:style w:type="paragraph" w:styleId="71">
    <w:name w:val="index 7"/>
    <w:basedOn w:val="1"/>
    <w:next w:val="1"/>
    <w:autoRedefine/>
    <w:semiHidden/>
    <w:unhideWhenUsed/>
    <w:qFormat/>
    <w:uiPriority w:val="0"/>
    <w:pPr>
      <w:ind w:left="1200" w:leftChars="1200"/>
    </w:pPr>
  </w:style>
  <w:style w:type="paragraph" w:styleId="72">
    <w:name w:val="index 9"/>
    <w:basedOn w:val="1"/>
    <w:next w:val="1"/>
    <w:autoRedefine/>
    <w:semiHidden/>
    <w:unhideWhenUsed/>
    <w:qFormat/>
    <w:uiPriority w:val="0"/>
    <w:pPr>
      <w:ind w:left="1600" w:leftChars="1600"/>
    </w:pPr>
  </w:style>
  <w:style w:type="paragraph" w:styleId="73">
    <w:name w:val="table of figures"/>
    <w:basedOn w:val="1"/>
    <w:next w:val="1"/>
    <w:autoRedefine/>
    <w:semiHidden/>
    <w:unhideWhenUsed/>
    <w:qFormat/>
    <w:uiPriority w:val="0"/>
    <w:pPr>
      <w:ind w:left="200" w:leftChars="200" w:hanging="200" w:hangingChars="200"/>
    </w:pPr>
  </w:style>
  <w:style w:type="paragraph" w:styleId="74">
    <w:name w:val="toc 2"/>
    <w:basedOn w:val="1"/>
    <w:next w:val="1"/>
    <w:autoRedefine/>
    <w:semiHidden/>
    <w:unhideWhenUsed/>
    <w:qFormat/>
    <w:uiPriority w:val="0"/>
    <w:pPr>
      <w:ind w:left="420" w:leftChars="200"/>
    </w:pPr>
  </w:style>
  <w:style w:type="paragraph" w:styleId="75">
    <w:name w:val="toc 9"/>
    <w:basedOn w:val="1"/>
    <w:next w:val="1"/>
    <w:autoRedefine/>
    <w:semiHidden/>
    <w:unhideWhenUsed/>
    <w:qFormat/>
    <w:uiPriority w:val="0"/>
    <w:pPr>
      <w:ind w:left="3360" w:leftChars="1600"/>
    </w:pPr>
  </w:style>
  <w:style w:type="paragraph" w:styleId="76">
    <w:name w:val="Body Text 2"/>
    <w:basedOn w:val="1"/>
    <w:link w:val="141"/>
    <w:autoRedefine/>
    <w:semiHidden/>
    <w:unhideWhenUsed/>
    <w:qFormat/>
    <w:uiPriority w:val="0"/>
    <w:pPr>
      <w:spacing w:after="120" w:line="480" w:lineRule="auto"/>
    </w:pPr>
  </w:style>
  <w:style w:type="paragraph" w:styleId="77">
    <w:name w:val="List 4"/>
    <w:basedOn w:val="1"/>
    <w:autoRedefine/>
    <w:semiHidden/>
    <w:unhideWhenUsed/>
    <w:qFormat/>
    <w:uiPriority w:val="0"/>
    <w:pPr>
      <w:ind w:left="100" w:leftChars="600" w:hanging="200" w:hangingChars="200"/>
      <w:contextualSpacing/>
    </w:pPr>
  </w:style>
  <w:style w:type="paragraph" w:styleId="78">
    <w:name w:val="List Continue 2"/>
    <w:basedOn w:val="1"/>
    <w:autoRedefine/>
    <w:qFormat/>
    <w:uiPriority w:val="0"/>
    <w:pPr>
      <w:spacing w:after="120"/>
      <w:ind w:left="840" w:leftChars="400"/>
      <w:contextualSpacing/>
    </w:pPr>
  </w:style>
  <w:style w:type="paragraph" w:styleId="79">
    <w:name w:val="Message Header"/>
    <w:basedOn w:val="1"/>
    <w:link w:val="138"/>
    <w:autoRedefine/>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12"/>
    <w:autoRedefine/>
    <w:semiHidden/>
    <w:unhideWhenUsed/>
    <w:qFormat/>
    <w:uiPriority w:val="0"/>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rFonts w:cs="Times New Roman"/>
      <w:kern w:val="0"/>
      <w:sz w:val="24"/>
    </w:rPr>
  </w:style>
  <w:style w:type="paragraph" w:styleId="82">
    <w:name w:val="List Continue 3"/>
    <w:basedOn w:val="1"/>
    <w:autoRedefine/>
    <w:qFormat/>
    <w:uiPriority w:val="0"/>
    <w:pPr>
      <w:spacing w:after="120"/>
      <w:ind w:left="1260" w:leftChars="600"/>
      <w:contextualSpacing/>
    </w:pPr>
  </w:style>
  <w:style w:type="paragraph" w:styleId="83">
    <w:name w:val="index 2"/>
    <w:basedOn w:val="1"/>
    <w:next w:val="1"/>
    <w:autoRedefine/>
    <w:semiHidden/>
    <w:unhideWhenUsed/>
    <w:qFormat/>
    <w:uiPriority w:val="0"/>
    <w:pPr>
      <w:ind w:left="200" w:leftChars="200"/>
    </w:pPr>
  </w:style>
  <w:style w:type="paragraph" w:styleId="84">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85">
    <w:name w:val="annotation subject"/>
    <w:basedOn w:val="28"/>
    <w:next w:val="28"/>
    <w:link w:val="98"/>
    <w:autoRedefine/>
    <w:qFormat/>
    <w:uiPriority w:val="0"/>
    <w:rPr>
      <w:b/>
      <w:bCs/>
    </w:rPr>
  </w:style>
  <w:style w:type="paragraph" w:styleId="86">
    <w:name w:val="Body Text First Indent"/>
    <w:basedOn w:val="34"/>
    <w:link w:val="144"/>
    <w:autoRedefine/>
    <w:semiHidden/>
    <w:unhideWhenUsed/>
    <w:qFormat/>
    <w:uiPriority w:val="0"/>
    <w:pPr>
      <w:spacing w:after="120" w:line="240" w:lineRule="auto"/>
      <w:ind w:firstLine="420" w:firstLineChars="100"/>
    </w:pPr>
    <w:rPr>
      <w:rFonts w:asciiTheme="minorHAnsi" w:hAnsiTheme="minorHAnsi" w:eastAsiaTheme="minorEastAsia" w:cstheme="minorBidi"/>
      <w:sz w:val="21"/>
      <w:szCs w:val="22"/>
      <w:lang w:eastAsia="zh-CN"/>
    </w:rPr>
  </w:style>
  <w:style w:type="paragraph" w:styleId="87">
    <w:name w:val="Body Text First Indent 2"/>
    <w:basedOn w:val="35"/>
    <w:link w:val="146"/>
    <w:autoRedefine/>
    <w:semiHidden/>
    <w:unhideWhenUsed/>
    <w:qFormat/>
    <w:uiPriority w:val="0"/>
    <w:pPr>
      <w:ind w:firstLine="420" w:firstLineChars="200"/>
    </w:pPr>
  </w:style>
  <w:style w:type="character" w:styleId="90">
    <w:name w:val="Hyperlink"/>
    <w:basedOn w:val="89"/>
    <w:autoRedefine/>
    <w:unhideWhenUsed/>
    <w:qFormat/>
    <w:uiPriority w:val="0"/>
    <w:rPr>
      <w:color w:val="0563C1" w:themeColor="hyperlink"/>
      <w:u w:val="single"/>
      <w14:textFill>
        <w14:solidFill>
          <w14:schemeClr w14:val="hlink"/>
        </w14:solidFill>
      </w14:textFill>
    </w:rPr>
  </w:style>
  <w:style w:type="character" w:styleId="91">
    <w:name w:val="annotation reference"/>
    <w:basedOn w:val="89"/>
    <w:autoRedefine/>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眉 字符"/>
    <w:basedOn w:val="89"/>
    <w:link w:val="57"/>
    <w:autoRedefine/>
    <w:qFormat/>
    <w:uiPriority w:val="0"/>
    <w:rPr>
      <w:kern w:val="2"/>
      <w:sz w:val="18"/>
      <w:szCs w:val="18"/>
    </w:rPr>
  </w:style>
  <w:style w:type="character" w:customStyle="1" w:styleId="94">
    <w:name w:val="页脚 字符"/>
    <w:basedOn w:val="89"/>
    <w:link w:val="55"/>
    <w:autoRedefine/>
    <w:qFormat/>
    <w:uiPriority w:val="99"/>
    <w:rPr>
      <w:kern w:val="2"/>
      <w:sz w:val="18"/>
      <w:szCs w:val="18"/>
    </w:rPr>
  </w:style>
  <w:style w:type="paragraph" w:styleId="95">
    <w:name w:val="List Paragraph"/>
    <w:basedOn w:val="1"/>
    <w:autoRedefine/>
    <w:qFormat/>
    <w:uiPriority w:val="34"/>
    <w:pPr>
      <w:ind w:firstLine="420" w:firstLineChars="200"/>
    </w:pPr>
    <w:rPr>
      <w:rFonts w:ascii="Calibri" w:hAnsi="Calibri" w:eastAsia="宋体" w:cs="Times New Roman"/>
    </w:rPr>
  </w:style>
  <w:style w:type="character" w:customStyle="1" w:styleId="96">
    <w:name w:val="批注框文本 字符"/>
    <w:basedOn w:val="89"/>
    <w:link w:val="54"/>
    <w:autoRedefine/>
    <w:qFormat/>
    <w:uiPriority w:val="0"/>
    <w:rPr>
      <w:kern w:val="2"/>
      <w:sz w:val="18"/>
      <w:szCs w:val="18"/>
    </w:rPr>
  </w:style>
  <w:style w:type="character" w:customStyle="1" w:styleId="97">
    <w:name w:val="批注文字 字符"/>
    <w:basedOn w:val="89"/>
    <w:link w:val="28"/>
    <w:autoRedefine/>
    <w:qFormat/>
    <w:uiPriority w:val="0"/>
    <w:rPr>
      <w:rFonts w:asciiTheme="minorHAnsi" w:hAnsiTheme="minorHAnsi" w:eastAsiaTheme="minorEastAsia" w:cstheme="minorBidi"/>
      <w:kern w:val="2"/>
      <w:sz w:val="21"/>
      <w:szCs w:val="22"/>
    </w:rPr>
  </w:style>
  <w:style w:type="character" w:customStyle="1" w:styleId="98">
    <w:name w:val="批注主题 字符"/>
    <w:basedOn w:val="97"/>
    <w:link w:val="85"/>
    <w:autoRedefine/>
    <w:qFormat/>
    <w:uiPriority w:val="0"/>
    <w:rPr>
      <w:rFonts w:asciiTheme="minorHAnsi" w:hAnsiTheme="minorHAnsi" w:eastAsiaTheme="minorEastAsia" w:cstheme="minorBidi"/>
      <w:b/>
      <w:bCs/>
      <w:kern w:val="2"/>
      <w:sz w:val="21"/>
      <w:szCs w:val="22"/>
    </w:rPr>
  </w:style>
  <w:style w:type="paragraph" w:customStyle="1" w:styleId="99">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0">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1">
    <w:name w:val="修订3"/>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02">
    <w:name w:val="Table Text"/>
    <w:basedOn w:val="1"/>
    <w:autoRedefine/>
    <w:semiHidden/>
    <w:qFormat/>
    <w:uiPriority w:val="0"/>
    <w:rPr>
      <w:rFonts w:ascii="宋体" w:hAnsi="宋体" w:eastAsia="宋体" w:cs="宋体"/>
      <w:sz w:val="24"/>
      <w:szCs w:val="24"/>
      <w:lang w:eastAsia="en-US"/>
    </w:rPr>
  </w:style>
  <w:style w:type="table" w:customStyle="1" w:styleId="103">
    <w:name w:val="Table Normal"/>
    <w:autoRedefine/>
    <w:semiHidden/>
    <w:unhideWhenUsed/>
    <w:qFormat/>
    <w:uiPriority w:val="0"/>
    <w:tblPr>
      <w:tblCellMar>
        <w:top w:w="0" w:type="dxa"/>
        <w:left w:w="0" w:type="dxa"/>
        <w:bottom w:w="0" w:type="dxa"/>
        <w:right w:w="0" w:type="dxa"/>
      </w:tblCellMar>
    </w:tblPr>
  </w:style>
  <w:style w:type="paragraph" w:customStyle="1" w:styleId="104">
    <w:name w:val="S标题2"/>
    <w:basedOn w:val="105"/>
    <w:autoRedefine/>
    <w:qFormat/>
    <w:uiPriority w:val="0"/>
    <w:pPr>
      <w:widowControl/>
      <w:spacing w:before="120" w:after="120" w:line="360" w:lineRule="auto"/>
    </w:pPr>
    <w:rPr>
      <w:rFonts w:ascii="Times New Roman" w:hAnsi="Times New Roman"/>
      <w:sz w:val="24"/>
      <w:szCs w:val="32"/>
      <w:lang w:val="zh-CN"/>
    </w:rPr>
  </w:style>
  <w:style w:type="paragraph" w:customStyle="1" w:styleId="105">
    <w:name w:val="002二级标题"/>
    <w:basedOn w:val="106"/>
    <w:autoRedefine/>
    <w:qFormat/>
    <w:uiPriority w:val="0"/>
    <w:pPr>
      <w:pageBreakBefore w:val="0"/>
      <w:spacing w:beforeLines="50" w:afterLines="50"/>
      <w:jc w:val="both"/>
      <w:outlineLvl w:val="1"/>
    </w:pPr>
    <w:rPr>
      <w:sz w:val="30"/>
    </w:rPr>
  </w:style>
  <w:style w:type="paragraph" w:customStyle="1" w:styleId="106">
    <w:name w:val="001一级标题"/>
    <w:basedOn w:val="1"/>
    <w:autoRedefine/>
    <w:qFormat/>
    <w:uiPriority w:val="0"/>
    <w:pPr>
      <w:keepNext/>
      <w:keepLines/>
      <w:pageBreakBefore/>
      <w:spacing w:beforeLines="100" w:afterLines="100"/>
      <w:jc w:val="center"/>
      <w:outlineLvl w:val="0"/>
    </w:pPr>
    <w:rPr>
      <w:rFonts w:ascii="Calibri" w:hAnsi="Calibri"/>
      <w:b/>
      <w:bCs/>
      <w:sz w:val="36"/>
      <w:szCs w:val="28"/>
    </w:rPr>
  </w:style>
  <w:style w:type="paragraph" w:customStyle="1" w:styleId="107">
    <w:name w:val="NYIndenture_L3"/>
    <w:basedOn w:val="108"/>
    <w:next w:val="34"/>
    <w:autoRedefine/>
    <w:qFormat/>
    <w:uiPriority w:val="0"/>
    <w:pPr>
      <w:numPr>
        <w:ilvl w:val="2"/>
      </w:numPr>
      <w:outlineLvl w:val="2"/>
    </w:pPr>
  </w:style>
  <w:style w:type="paragraph" w:customStyle="1" w:styleId="108">
    <w:name w:val="NYIndenture_L2"/>
    <w:basedOn w:val="109"/>
    <w:next w:val="34"/>
    <w:autoRedefine/>
    <w:qFormat/>
    <w:uiPriority w:val="0"/>
    <w:pPr>
      <w:numPr>
        <w:ilvl w:val="1"/>
      </w:numPr>
      <w:jc w:val="left"/>
      <w:outlineLvl w:val="1"/>
    </w:pPr>
  </w:style>
  <w:style w:type="paragraph" w:customStyle="1" w:styleId="109">
    <w:name w:val="NYIndenture_L1"/>
    <w:basedOn w:val="1"/>
    <w:next w:val="34"/>
    <w:autoRedefine/>
    <w:qFormat/>
    <w:uiPriority w:val="0"/>
    <w:pPr>
      <w:widowControl/>
      <w:numPr>
        <w:ilvl w:val="0"/>
        <w:numId w:val="11"/>
      </w:numPr>
      <w:spacing w:after="240"/>
      <w:jc w:val="center"/>
      <w:outlineLvl w:val="0"/>
    </w:pPr>
    <w:rPr>
      <w:kern w:val="0"/>
      <w:sz w:val="24"/>
      <w:szCs w:val="20"/>
      <w:lang w:eastAsia="en-US"/>
    </w:rPr>
  </w:style>
  <w:style w:type="paragraph" w:customStyle="1" w:styleId="110">
    <w:name w:val="修订4"/>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11">
    <w:name w:val="HTML 地址 字符"/>
    <w:basedOn w:val="89"/>
    <w:link w:val="41"/>
    <w:autoRedefine/>
    <w:semiHidden/>
    <w:qFormat/>
    <w:uiPriority w:val="0"/>
    <w:rPr>
      <w:rFonts w:asciiTheme="minorHAnsi" w:hAnsiTheme="minorHAnsi" w:eastAsiaTheme="minorEastAsia" w:cstheme="minorBidi"/>
      <w:i/>
      <w:iCs/>
      <w:kern w:val="2"/>
      <w:sz w:val="21"/>
      <w:szCs w:val="22"/>
    </w:rPr>
  </w:style>
  <w:style w:type="character" w:customStyle="1" w:styleId="112">
    <w:name w:val="HTML 预设格式 字符"/>
    <w:basedOn w:val="89"/>
    <w:link w:val="80"/>
    <w:autoRedefine/>
    <w:semiHidden/>
    <w:qFormat/>
    <w:uiPriority w:val="0"/>
    <w:rPr>
      <w:rFonts w:ascii="Courier New" w:hAnsi="Courier New" w:cs="Courier New" w:eastAsiaTheme="minorEastAsia"/>
      <w:kern w:val="2"/>
    </w:rPr>
  </w:style>
  <w:style w:type="character" w:customStyle="1" w:styleId="113">
    <w:name w:val="标题 1 字符"/>
    <w:basedOn w:val="89"/>
    <w:link w:val="3"/>
    <w:autoRedefine/>
    <w:qFormat/>
    <w:uiPriority w:val="0"/>
    <w:rPr>
      <w:rFonts w:asciiTheme="minorHAnsi" w:hAnsiTheme="minorHAnsi" w:eastAsiaTheme="minorEastAsia" w:cstheme="minorBidi"/>
      <w:b/>
      <w:bCs/>
      <w:kern w:val="44"/>
      <w:sz w:val="44"/>
      <w:szCs w:val="44"/>
    </w:rPr>
  </w:style>
  <w:style w:type="paragraph" w:customStyle="1" w:styleId="114">
    <w:name w:val="TOC 标题1"/>
    <w:basedOn w:val="3"/>
    <w:next w:val="1"/>
    <w:autoRedefine/>
    <w:semiHidden/>
    <w:unhideWhenUsed/>
    <w:qFormat/>
    <w:uiPriority w:val="39"/>
    <w:pPr>
      <w:outlineLvl w:val="9"/>
    </w:pPr>
  </w:style>
  <w:style w:type="character" w:customStyle="1" w:styleId="115">
    <w:name w:val="标题 2 字符"/>
    <w:basedOn w:val="89"/>
    <w:link w:val="4"/>
    <w:autoRedefine/>
    <w:semiHidden/>
    <w:qFormat/>
    <w:uiPriority w:val="0"/>
    <w:rPr>
      <w:rFonts w:asciiTheme="majorHAnsi" w:hAnsiTheme="majorHAnsi" w:eastAsiaTheme="majorEastAsia" w:cstheme="majorBidi"/>
      <w:b/>
      <w:bCs/>
      <w:kern w:val="2"/>
      <w:sz w:val="32"/>
      <w:szCs w:val="32"/>
    </w:rPr>
  </w:style>
  <w:style w:type="character" w:customStyle="1" w:styleId="116">
    <w:name w:val="标题 3 字符"/>
    <w:basedOn w:val="89"/>
    <w:link w:val="5"/>
    <w:autoRedefine/>
    <w:semiHidden/>
    <w:qFormat/>
    <w:uiPriority w:val="0"/>
    <w:rPr>
      <w:rFonts w:asciiTheme="minorHAnsi" w:hAnsiTheme="minorHAnsi" w:eastAsiaTheme="minorEastAsia" w:cstheme="minorBidi"/>
      <w:b/>
      <w:bCs/>
      <w:kern w:val="2"/>
      <w:sz w:val="32"/>
      <w:szCs w:val="32"/>
    </w:rPr>
  </w:style>
  <w:style w:type="character" w:customStyle="1" w:styleId="117">
    <w:name w:val="标题 4 字符"/>
    <w:basedOn w:val="89"/>
    <w:link w:val="6"/>
    <w:autoRedefine/>
    <w:semiHidden/>
    <w:qFormat/>
    <w:uiPriority w:val="0"/>
    <w:rPr>
      <w:rFonts w:asciiTheme="majorHAnsi" w:hAnsiTheme="majorHAnsi" w:eastAsiaTheme="majorEastAsia" w:cstheme="majorBidi"/>
      <w:b/>
      <w:bCs/>
      <w:kern w:val="2"/>
      <w:sz w:val="28"/>
      <w:szCs w:val="28"/>
    </w:rPr>
  </w:style>
  <w:style w:type="character" w:customStyle="1" w:styleId="118">
    <w:name w:val="标题 5 字符"/>
    <w:basedOn w:val="89"/>
    <w:link w:val="7"/>
    <w:autoRedefine/>
    <w:semiHidden/>
    <w:qFormat/>
    <w:uiPriority w:val="0"/>
    <w:rPr>
      <w:rFonts w:asciiTheme="minorHAnsi" w:hAnsiTheme="minorHAnsi" w:eastAsiaTheme="minorEastAsia" w:cstheme="minorBidi"/>
      <w:b/>
      <w:bCs/>
      <w:kern w:val="2"/>
      <w:sz w:val="28"/>
      <w:szCs w:val="28"/>
    </w:rPr>
  </w:style>
  <w:style w:type="character" w:customStyle="1" w:styleId="119">
    <w:name w:val="标题 6 字符"/>
    <w:basedOn w:val="89"/>
    <w:link w:val="8"/>
    <w:autoRedefine/>
    <w:semiHidden/>
    <w:qFormat/>
    <w:uiPriority w:val="0"/>
    <w:rPr>
      <w:rFonts w:asciiTheme="majorHAnsi" w:hAnsiTheme="majorHAnsi" w:eastAsiaTheme="majorEastAsia" w:cstheme="majorBidi"/>
      <w:b/>
      <w:bCs/>
      <w:kern w:val="2"/>
      <w:sz w:val="24"/>
      <w:szCs w:val="24"/>
    </w:rPr>
  </w:style>
  <w:style w:type="character" w:customStyle="1" w:styleId="120">
    <w:name w:val="标题 7 字符"/>
    <w:basedOn w:val="89"/>
    <w:link w:val="9"/>
    <w:autoRedefine/>
    <w:semiHidden/>
    <w:qFormat/>
    <w:uiPriority w:val="0"/>
    <w:rPr>
      <w:rFonts w:asciiTheme="minorHAnsi" w:hAnsiTheme="minorHAnsi" w:eastAsiaTheme="minorEastAsia" w:cstheme="minorBidi"/>
      <w:b/>
      <w:bCs/>
      <w:kern w:val="2"/>
      <w:sz w:val="24"/>
      <w:szCs w:val="24"/>
    </w:rPr>
  </w:style>
  <w:style w:type="character" w:customStyle="1" w:styleId="121">
    <w:name w:val="标题 8 字符"/>
    <w:basedOn w:val="89"/>
    <w:link w:val="10"/>
    <w:autoRedefine/>
    <w:semiHidden/>
    <w:qFormat/>
    <w:uiPriority w:val="0"/>
    <w:rPr>
      <w:rFonts w:asciiTheme="majorHAnsi" w:hAnsiTheme="majorHAnsi" w:eastAsiaTheme="majorEastAsia" w:cstheme="majorBidi"/>
      <w:kern w:val="2"/>
      <w:sz w:val="24"/>
      <w:szCs w:val="24"/>
    </w:rPr>
  </w:style>
  <w:style w:type="character" w:customStyle="1" w:styleId="122">
    <w:name w:val="标题 9 字符"/>
    <w:basedOn w:val="89"/>
    <w:link w:val="11"/>
    <w:autoRedefine/>
    <w:semiHidden/>
    <w:qFormat/>
    <w:uiPriority w:val="0"/>
    <w:rPr>
      <w:rFonts w:asciiTheme="majorHAnsi" w:hAnsiTheme="majorHAnsi" w:eastAsiaTheme="majorEastAsia" w:cstheme="majorBidi"/>
      <w:kern w:val="2"/>
      <w:sz w:val="21"/>
      <w:szCs w:val="21"/>
    </w:rPr>
  </w:style>
  <w:style w:type="character" w:customStyle="1" w:styleId="123">
    <w:name w:val="称呼 字符"/>
    <w:basedOn w:val="89"/>
    <w:link w:val="30"/>
    <w:autoRedefine/>
    <w:semiHidden/>
    <w:qFormat/>
    <w:uiPriority w:val="0"/>
    <w:rPr>
      <w:rFonts w:asciiTheme="minorHAnsi" w:hAnsiTheme="minorHAnsi" w:eastAsiaTheme="minorEastAsia" w:cstheme="minorBidi"/>
      <w:kern w:val="2"/>
      <w:sz w:val="21"/>
      <w:szCs w:val="22"/>
    </w:rPr>
  </w:style>
  <w:style w:type="character" w:customStyle="1" w:styleId="124">
    <w:name w:val="纯文本 字符"/>
    <w:basedOn w:val="89"/>
    <w:link w:val="45"/>
    <w:autoRedefine/>
    <w:semiHidden/>
    <w:qFormat/>
    <w:uiPriority w:val="0"/>
    <w:rPr>
      <w:rFonts w:hAnsi="Courier New" w:cs="Courier New" w:asciiTheme="minorEastAsia" w:eastAsiaTheme="minorEastAsia"/>
      <w:kern w:val="2"/>
      <w:sz w:val="21"/>
      <w:szCs w:val="22"/>
    </w:rPr>
  </w:style>
  <w:style w:type="character" w:customStyle="1" w:styleId="125">
    <w:name w:val="电子邮件签名 字符"/>
    <w:basedOn w:val="89"/>
    <w:link w:val="19"/>
    <w:autoRedefine/>
    <w:semiHidden/>
    <w:qFormat/>
    <w:uiPriority w:val="0"/>
    <w:rPr>
      <w:rFonts w:asciiTheme="minorHAnsi" w:hAnsiTheme="minorHAnsi" w:eastAsiaTheme="minorEastAsia" w:cstheme="minorBidi"/>
      <w:kern w:val="2"/>
      <w:sz w:val="21"/>
      <w:szCs w:val="22"/>
    </w:rPr>
  </w:style>
  <w:style w:type="character" w:customStyle="1" w:styleId="126">
    <w:name w:val="副标题 字符"/>
    <w:basedOn w:val="89"/>
    <w:link w:val="64"/>
    <w:autoRedefine/>
    <w:qFormat/>
    <w:uiPriority w:val="0"/>
    <w:rPr>
      <w:rFonts w:asciiTheme="minorHAnsi" w:hAnsiTheme="minorHAnsi" w:eastAsiaTheme="minorEastAsia" w:cstheme="minorBidi"/>
      <w:b/>
      <w:bCs/>
      <w:kern w:val="28"/>
      <w:sz w:val="32"/>
      <w:szCs w:val="32"/>
    </w:rPr>
  </w:style>
  <w:style w:type="character" w:customStyle="1" w:styleId="127">
    <w:name w:val="宏文本 字符"/>
    <w:basedOn w:val="89"/>
    <w:link w:val="2"/>
    <w:autoRedefine/>
    <w:semiHidden/>
    <w:qFormat/>
    <w:uiPriority w:val="0"/>
    <w:rPr>
      <w:rFonts w:ascii="Courier New" w:hAnsi="Courier New" w:cs="Courier New"/>
      <w:kern w:val="2"/>
      <w:sz w:val="24"/>
      <w:szCs w:val="24"/>
    </w:rPr>
  </w:style>
  <w:style w:type="character" w:customStyle="1" w:styleId="128">
    <w:name w:val="脚注文本 字符"/>
    <w:basedOn w:val="89"/>
    <w:link w:val="67"/>
    <w:autoRedefine/>
    <w:semiHidden/>
    <w:qFormat/>
    <w:uiPriority w:val="0"/>
    <w:rPr>
      <w:rFonts w:asciiTheme="minorHAnsi" w:hAnsiTheme="minorHAnsi" w:eastAsiaTheme="minorEastAsia" w:cstheme="minorBidi"/>
      <w:kern w:val="2"/>
      <w:sz w:val="18"/>
      <w:szCs w:val="18"/>
    </w:rPr>
  </w:style>
  <w:style w:type="character" w:customStyle="1" w:styleId="129">
    <w:name w:val="结束语 字符"/>
    <w:basedOn w:val="89"/>
    <w:link w:val="32"/>
    <w:autoRedefine/>
    <w:semiHidden/>
    <w:qFormat/>
    <w:uiPriority w:val="0"/>
    <w:rPr>
      <w:rFonts w:asciiTheme="minorHAnsi" w:hAnsiTheme="minorHAnsi" w:eastAsiaTheme="minorEastAsia" w:cstheme="minorBidi"/>
      <w:kern w:val="2"/>
      <w:sz w:val="21"/>
      <w:szCs w:val="22"/>
    </w:rPr>
  </w:style>
  <w:style w:type="paragraph" w:styleId="130">
    <w:name w:val="Intense Quote"/>
    <w:basedOn w:val="1"/>
    <w:next w:val="1"/>
    <w:link w:val="131"/>
    <w:autoRedefine/>
    <w:semiHidden/>
    <w:unhideWhenUsed/>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31">
    <w:name w:val="明显引用 字符"/>
    <w:basedOn w:val="89"/>
    <w:link w:val="130"/>
    <w:autoRedefine/>
    <w:semiHidden/>
    <w:qFormat/>
    <w:uiPriority w:val="99"/>
    <w:rPr>
      <w:rFonts w:asciiTheme="minorHAnsi" w:hAnsiTheme="minorHAnsi" w:eastAsiaTheme="minorEastAsia" w:cstheme="minorBidi"/>
      <w:i/>
      <w:iCs/>
      <w:color w:val="5B9BD5" w:themeColor="accent1"/>
      <w:kern w:val="2"/>
      <w:sz w:val="21"/>
      <w:szCs w:val="22"/>
      <w14:textFill>
        <w14:solidFill>
          <w14:schemeClr w14:val="accent1"/>
        </w14:solidFill>
      </w14:textFill>
    </w:rPr>
  </w:style>
  <w:style w:type="character" w:customStyle="1" w:styleId="132">
    <w:name w:val="签名 字符"/>
    <w:basedOn w:val="89"/>
    <w:link w:val="58"/>
    <w:autoRedefine/>
    <w:semiHidden/>
    <w:qFormat/>
    <w:uiPriority w:val="0"/>
    <w:rPr>
      <w:rFonts w:asciiTheme="minorHAnsi" w:hAnsiTheme="minorHAnsi" w:eastAsiaTheme="minorEastAsia" w:cstheme="minorBidi"/>
      <w:kern w:val="2"/>
      <w:sz w:val="21"/>
      <w:szCs w:val="22"/>
    </w:rPr>
  </w:style>
  <w:style w:type="character" w:customStyle="1" w:styleId="133">
    <w:name w:val="日期 字符"/>
    <w:basedOn w:val="89"/>
    <w:link w:val="50"/>
    <w:autoRedefine/>
    <w:semiHidden/>
    <w:qFormat/>
    <w:uiPriority w:val="0"/>
    <w:rPr>
      <w:rFonts w:asciiTheme="minorHAnsi" w:hAnsiTheme="minorHAnsi" w:eastAsiaTheme="minorEastAsia" w:cstheme="minorBidi"/>
      <w:kern w:val="2"/>
      <w:sz w:val="21"/>
      <w:szCs w:val="22"/>
    </w:rPr>
  </w:style>
  <w:style w:type="paragraph" w:customStyle="1" w:styleId="134">
    <w:name w:val="书目1"/>
    <w:basedOn w:val="1"/>
    <w:next w:val="1"/>
    <w:autoRedefine/>
    <w:semiHidden/>
    <w:unhideWhenUsed/>
    <w:qFormat/>
    <w:uiPriority w:val="37"/>
  </w:style>
  <w:style w:type="character" w:customStyle="1" w:styleId="135">
    <w:name w:val="尾注文本 字符"/>
    <w:basedOn w:val="89"/>
    <w:link w:val="52"/>
    <w:autoRedefine/>
    <w:semiHidden/>
    <w:qFormat/>
    <w:uiPriority w:val="0"/>
    <w:rPr>
      <w:rFonts w:asciiTheme="minorHAnsi" w:hAnsiTheme="minorHAnsi" w:eastAsiaTheme="minorEastAsia" w:cstheme="minorBidi"/>
      <w:kern w:val="2"/>
      <w:sz w:val="21"/>
      <w:szCs w:val="22"/>
    </w:rPr>
  </w:style>
  <w:style w:type="character" w:customStyle="1" w:styleId="136">
    <w:name w:val="文档结构图 字符"/>
    <w:basedOn w:val="89"/>
    <w:link w:val="26"/>
    <w:autoRedefine/>
    <w:semiHidden/>
    <w:qFormat/>
    <w:uiPriority w:val="0"/>
    <w:rPr>
      <w:rFonts w:ascii="Microsoft YaHei UI" w:eastAsia="Microsoft YaHei UI" w:hAnsiTheme="minorHAnsi" w:cstheme="minorBidi"/>
      <w:kern w:val="2"/>
      <w:sz w:val="18"/>
      <w:szCs w:val="18"/>
    </w:rPr>
  </w:style>
  <w:style w:type="paragraph" w:styleId="137">
    <w:name w:val="No Spacing"/>
    <w:autoRedefine/>
    <w:semiHidden/>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8">
    <w:name w:val="信息标题 字符"/>
    <w:basedOn w:val="89"/>
    <w:link w:val="79"/>
    <w:autoRedefine/>
    <w:semiHidden/>
    <w:qFormat/>
    <w:uiPriority w:val="0"/>
    <w:rPr>
      <w:rFonts w:asciiTheme="majorHAnsi" w:hAnsiTheme="majorHAnsi" w:eastAsiaTheme="majorEastAsia" w:cstheme="majorBidi"/>
      <w:kern w:val="2"/>
      <w:sz w:val="24"/>
      <w:szCs w:val="24"/>
      <w:shd w:val="pct20" w:color="auto" w:fill="auto"/>
    </w:rPr>
  </w:style>
  <w:style w:type="paragraph" w:styleId="139">
    <w:name w:val="Quote"/>
    <w:basedOn w:val="1"/>
    <w:next w:val="1"/>
    <w:link w:val="140"/>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40">
    <w:name w:val="引用 字符"/>
    <w:basedOn w:val="89"/>
    <w:link w:val="139"/>
    <w:autoRedefine/>
    <w:semiHidden/>
    <w:qFormat/>
    <w:uiPriority w:val="9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41">
    <w:name w:val="正文文本 2 字符"/>
    <w:basedOn w:val="89"/>
    <w:link w:val="76"/>
    <w:autoRedefine/>
    <w:semiHidden/>
    <w:qFormat/>
    <w:uiPriority w:val="0"/>
    <w:rPr>
      <w:rFonts w:asciiTheme="minorHAnsi" w:hAnsiTheme="minorHAnsi" w:eastAsiaTheme="minorEastAsia" w:cstheme="minorBidi"/>
      <w:kern w:val="2"/>
      <w:sz w:val="21"/>
      <w:szCs w:val="22"/>
    </w:rPr>
  </w:style>
  <w:style w:type="character" w:customStyle="1" w:styleId="142">
    <w:name w:val="正文文本 3 字符"/>
    <w:basedOn w:val="89"/>
    <w:link w:val="31"/>
    <w:autoRedefine/>
    <w:semiHidden/>
    <w:qFormat/>
    <w:uiPriority w:val="0"/>
    <w:rPr>
      <w:rFonts w:asciiTheme="minorHAnsi" w:hAnsiTheme="minorHAnsi" w:eastAsiaTheme="minorEastAsia" w:cstheme="minorBidi"/>
      <w:kern w:val="2"/>
      <w:sz w:val="16"/>
      <w:szCs w:val="16"/>
    </w:rPr>
  </w:style>
  <w:style w:type="character" w:customStyle="1" w:styleId="143">
    <w:name w:val="正文文本 字符"/>
    <w:basedOn w:val="89"/>
    <w:link w:val="34"/>
    <w:autoRedefine/>
    <w:semiHidden/>
    <w:qFormat/>
    <w:uiPriority w:val="0"/>
    <w:rPr>
      <w:rFonts w:ascii="宋体" w:hAnsi="宋体" w:cs="宋体"/>
      <w:kern w:val="2"/>
      <w:sz w:val="24"/>
      <w:szCs w:val="24"/>
      <w:lang w:eastAsia="en-US"/>
    </w:rPr>
  </w:style>
  <w:style w:type="character" w:customStyle="1" w:styleId="144">
    <w:name w:val="正文文本首行缩进 字符"/>
    <w:basedOn w:val="143"/>
    <w:link w:val="86"/>
    <w:autoRedefine/>
    <w:semiHidden/>
    <w:qFormat/>
    <w:uiPriority w:val="0"/>
    <w:rPr>
      <w:rFonts w:asciiTheme="minorHAnsi" w:hAnsiTheme="minorHAnsi" w:eastAsiaTheme="minorEastAsia" w:cstheme="minorBidi"/>
      <w:kern w:val="2"/>
      <w:sz w:val="21"/>
      <w:szCs w:val="22"/>
      <w:lang w:eastAsia="en-US"/>
    </w:rPr>
  </w:style>
  <w:style w:type="character" w:customStyle="1" w:styleId="145">
    <w:name w:val="正文文本缩进 字符"/>
    <w:basedOn w:val="89"/>
    <w:link w:val="35"/>
    <w:autoRedefine/>
    <w:semiHidden/>
    <w:qFormat/>
    <w:uiPriority w:val="0"/>
    <w:rPr>
      <w:rFonts w:asciiTheme="minorHAnsi" w:hAnsiTheme="minorHAnsi" w:eastAsiaTheme="minorEastAsia" w:cstheme="minorBidi"/>
      <w:kern w:val="2"/>
      <w:sz w:val="21"/>
      <w:szCs w:val="22"/>
    </w:rPr>
  </w:style>
  <w:style w:type="character" w:customStyle="1" w:styleId="146">
    <w:name w:val="正文文本首行缩进 2 字符"/>
    <w:basedOn w:val="145"/>
    <w:link w:val="87"/>
    <w:autoRedefine/>
    <w:semiHidden/>
    <w:qFormat/>
    <w:uiPriority w:val="0"/>
    <w:rPr>
      <w:rFonts w:asciiTheme="minorHAnsi" w:hAnsiTheme="minorHAnsi" w:eastAsiaTheme="minorEastAsia" w:cstheme="minorBidi"/>
      <w:kern w:val="2"/>
      <w:sz w:val="21"/>
      <w:szCs w:val="22"/>
    </w:rPr>
  </w:style>
  <w:style w:type="character" w:customStyle="1" w:styleId="147">
    <w:name w:val="正文文本缩进 2 字符"/>
    <w:basedOn w:val="89"/>
    <w:link w:val="51"/>
    <w:autoRedefine/>
    <w:semiHidden/>
    <w:qFormat/>
    <w:uiPriority w:val="0"/>
    <w:rPr>
      <w:rFonts w:asciiTheme="minorHAnsi" w:hAnsiTheme="minorHAnsi" w:eastAsiaTheme="minorEastAsia" w:cstheme="minorBidi"/>
      <w:kern w:val="2"/>
      <w:sz w:val="21"/>
      <w:szCs w:val="22"/>
    </w:rPr>
  </w:style>
  <w:style w:type="character" w:customStyle="1" w:styleId="148">
    <w:name w:val="正文文本缩进 3 字符"/>
    <w:basedOn w:val="89"/>
    <w:link w:val="70"/>
    <w:autoRedefine/>
    <w:semiHidden/>
    <w:qFormat/>
    <w:uiPriority w:val="0"/>
    <w:rPr>
      <w:rFonts w:asciiTheme="minorHAnsi" w:hAnsiTheme="minorHAnsi" w:eastAsiaTheme="minorEastAsia" w:cstheme="minorBidi"/>
      <w:kern w:val="2"/>
      <w:sz w:val="16"/>
      <w:szCs w:val="16"/>
    </w:rPr>
  </w:style>
  <w:style w:type="character" w:customStyle="1" w:styleId="149">
    <w:name w:val="注释标题 字符"/>
    <w:basedOn w:val="89"/>
    <w:link w:val="16"/>
    <w:autoRedefine/>
    <w:semiHidden/>
    <w:qFormat/>
    <w:uiPriority w:val="0"/>
    <w:rPr>
      <w:rFonts w:asciiTheme="minorHAnsi" w:hAnsiTheme="minorHAnsi" w:eastAsiaTheme="minorEastAsia" w:cstheme="minorBidi"/>
      <w:kern w:val="2"/>
      <w:sz w:val="21"/>
      <w:szCs w:val="22"/>
    </w:rPr>
  </w:style>
  <w:style w:type="paragraph" w:customStyle="1" w:styleId="150">
    <w:name w:val="修订5"/>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5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2170</Words>
  <Characters>2424</Characters>
  <Lines>18</Lines>
  <Paragraphs>5</Paragraphs>
  <TotalTime>22</TotalTime>
  <ScaleCrop>false</ScaleCrop>
  <LinksUpToDate>false</LinksUpToDate>
  <CharactersWithSpaces>2498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2024-03-21T08:06:00Z</dcterms:created>
  <dc:creator>BJB-ZB-03</dc:creator>
  <cp:lastModifiedBy>雯亦</cp:lastModifiedBy>
  <dcterms:modified xsi:type="dcterms:W3CDTF">2025-02-20T05:23:45Z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3AAAF58FBAAD4920B75843DF7B1B5E79_13</vt:lpwstr>
  </property>
  <property fmtid="{D5CDD505-2E9C-101B-9397-08002B2CF9AE}" pid="4" name="KSOTemplateDocerSaveRecord">
    <vt:lpwstr>eyJoZGlkIjoiZTQzZmRmZDMxMjkwMDE2NTk0ZWQ1ZWYwMzRmYjVhNmUiLCJ1c2VySWQiOiI2NDQwNzQxNTQifQ==</vt:lpwstr>
  </property>
</Properties>
</file>