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6A5BF">
      <w:pPr>
        <w:adjustRightInd w:val="0"/>
        <w:snapToGrid w:val="0"/>
        <w:spacing w:line="560" w:lineRule="exact"/>
        <w:jc w:val="left"/>
        <w:rPr>
          <w:rFonts w:hint="default" w:asciiTheme="majorEastAsia" w:hAnsiTheme="majorEastAsia" w:eastAsia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证券代码：6</w:t>
      </w:r>
      <w:r>
        <w:rPr>
          <w:rFonts w:asciiTheme="majorEastAsia" w:hAnsiTheme="majorEastAsia" w:eastAsiaTheme="majorEastAsia"/>
          <w:b/>
          <w:sz w:val="24"/>
          <w:szCs w:val="24"/>
        </w:rPr>
        <w:t xml:space="preserve">03191 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证券简称：望变电气</w:t>
      </w:r>
      <w:r>
        <w:rPr>
          <w:rFonts w:asciiTheme="majorEastAsia" w:hAnsiTheme="majorEastAsia" w:eastAsiaTheme="majorEastAsia"/>
          <w:b/>
          <w:sz w:val="24"/>
          <w:szCs w:val="24"/>
        </w:rPr>
        <w:t xml:space="preserve">     </w:t>
      </w:r>
      <w:r>
        <w:rPr>
          <w:rFonts w:asciiTheme="majorEastAsia" w:hAnsiTheme="majorEastAsia" w:eastAsiaTheme="majorEastAsia"/>
          <w:b/>
          <w:sz w:val="24"/>
          <w:szCs w:val="24"/>
          <w:highlight w:val="none"/>
        </w:rPr>
        <w:t xml:space="preserve">  </w:t>
      </w: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>公告编号：2</w:t>
      </w:r>
      <w:r>
        <w:rPr>
          <w:rFonts w:asciiTheme="majorEastAsia" w:hAnsiTheme="majorEastAsia" w:eastAsiaTheme="majorEastAsia"/>
          <w:b/>
          <w:sz w:val="24"/>
          <w:szCs w:val="24"/>
          <w:highlight w:val="none"/>
        </w:rPr>
        <w:t>02</w:t>
      </w: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  <w:lang w:val="en-US" w:eastAsia="zh-CN"/>
        </w:rPr>
        <w:t>5-003</w:t>
      </w:r>
    </w:p>
    <w:p w14:paraId="6CE38621">
      <w:pPr>
        <w:adjustRightInd w:val="0"/>
        <w:snapToGrid w:val="0"/>
        <w:spacing w:line="560" w:lineRule="exact"/>
        <w:jc w:val="center"/>
        <w:rPr>
          <w:rFonts w:hint="eastAsia" w:asciiTheme="majorEastAsia" w:hAnsiTheme="majorEastAsia" w:eastAsiaTheme="majorEastAsia"/>
          <w:color w:val="FF0000"/>
          <w:sz w:val="36"/>
          <w:szCs w:val="36"/>
        </w:rPr>
      </w:pPr>
    </w:p>
    <w:p w14:paraId="72338D5E">
      <w:pPr>
        <w:snapToGrid w:val="0"/>
        <w:spacing w:line="560" w:lineRule="exact"/>
        <w:jc w:val="center"/>
        <w:rPr>
          <w:rFonts w:hint="eastAsia" w:asciiTheme="majorEastAsia" w:hAnsiTheme="majorEastAsia" w:eastAsiaTheme="majorEastAsia"/>
          <w:b/>
          <w:color w:val="FF000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FF0000"/>
          <w:sz w:val="36"/>
          <w:szCs w:val="36"/>
        </w:rPr>
        <w:t>重庆望变电气（集团）股份有限公司</w:t>
      </w:r>
    </w:p>
    <w:p w14:paraId="063957A4">
      <w:pPr>
        <w:snapToGrid w:val="0"/>
        <w:spacing w:line="560" w:lineRule="exact"/>
        <w:jc w:val="center"/>
        <w:rPr>
          <w:rFonts w:hint="eastAsia" w:cs="黑体-WinCharSetFFFF-H" w:asciiTheme="majorEastAsia" w:hAnsiTheme="majorEastAsia" w:eastAsiaTheme="majorEastAsia"/>
          <w:b/>
          <w:color w:val="FF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FF0000"/>
          <w:sz w:val="36"/>
          <w:szCs w:val="36"/>
        </w:rPr>
        <w:t>2</w:t>
      </w:r>
      <w:r>
        <w:rPr>
          <w:rFonts w:asciiTheme="majorEastAsia" w:hAnsiTheme="majorEastAsia" w:eastAsiaTheme="majorEastAsia"/>
          <w:b/>
          <w:color w:val="FF0000"/>
          <w:sz w:val="36"/>
          <w:szCs w:val="36"/>
        </w:rPr>
        <w:t>02</w:t>
      </w:r>
      <w:r>
        <w:rPr>
          <w:rFonts w:hint="eastAsia" w:asciiTheme="majorEastAsia" w:hAnsiTheme="majorEastAsia" w:eastAsiaTheme="majorEastAsia"/>
          <w:b/>
          <w:color w:val="FF0000"/>
          <w:sz w:val="36"/>
          <w:szCs w:val="36"/>
        </w:rPr>
        <w:t>4年度业绩预告</w:t>
      </w:r>
    </w:p>
    <w:p w14:paraId="609CAA4D">
      <w:pPr>
        <w:snapToGrid w:val="0"/>
        <w:spacing w:line="560" w:lineRule="exact"/>
        <w:jc w:val="center"/>
        <w:rPr>
          <w:rFonts w:hint="eastAsia" w:ascii="仿宋_GB2312" w:hAnsi="宋体" w:eastAsia="仿宋_GB2312"/>
          <w:color w:val="000000"/>
          <w:sz w:val="30"/>
          <w:szCs w:val="30"/>
        </w:rPr>
      </w:pPr>
    </w:p>
    <w:p w14:paraId="752C6B0A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本公司董事会及全体董事保证本公告内容不存在任何虚假记载、误导性陈述或者重大遗漏，并对其内容的真实性、准确性和完整性承担法律责任。</w:t>
      </w:r>
    </w:p>
    <w:p w14:paraId="027D1248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0"/>
          <w:szCs w:val="30"/>
        </w:rPr>
      </w:pPr>
    </w:p>
    <w:p w14:paraId="67F32C55">
      <w:pPr>
        <w:tabs>
          <w:tab w:val="left" w:pos="567"/>
        </w:tabs>
        <w:spacing w:line="440" w:lineRule="exact"/>
        <w:ind w:left="567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重要内容提示：</w:t>
      </w:r>
    </w:p>
    <w:p w14:paraId="5CF93801">
      <w:pPr>
        <w:pStyle w:val="29"/>
        <w:numPr>
          <w:ilvl w:val="0"/>
          <w:numId w:val="1"/>
        </w:numPr>
        <w:tabs>
          <w:tab w:val="left" w:pos="567"/>
        </w:tabs>
        <w:spacing w:line="560" w:lineRule="exact"/>
        <w:ind w:firstLineChars="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本期业绩预告适用于实现盈利，且净利润与上年同期相比</w:t>
      </w:r>
      <w:r>
        <w:rPr>
          <w:rFonts w:hint="eastAsia" w:ascii="宋体" w:hAnsi="宋体"/>
          <w:sz w:val="24"/>
          <w:szCs w:val="24"/>
        </w:rPr>
        <w:t>下降</w:t>
      </w:r>
      <w:r>
        <w:rPr>
          <w:rFonts w:ascii="宋体" w:hAnsi="宋体"/>
          <w:sz w:val="24"/>
          <w:szCs w:val="24"/>
        </w:rPr>
        <w:t>50%以上。</w:t>
      </w:r>
    </w:p>
    <w:p w14:paraId="1A3D9EA1">
      <w:pPr>
        <w:pStyle w:val="29"/>
        <w:numPr>
          <w:ilvl w:val="0"/>
          <w:numId w:val="1"/>
        </w:numPr>
        <w:tabs>
          <w:tab w:val="left" w:pos="567"/>
        </w:tabs>
        <w:spacing w:line="560" w:lineRule="exact"/>
        <w:ind w:firstLineChars="0"/>
        <w:rPr>
          <w:rFonts w:hint="eastAsia" w:ascii="宋体" w:hAnsi="宋体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重庆望变电气（集团）股份有限公司（以下简称“公司”）</w:t>
      </w:r>
      <w:bookmarkStart w:id="0" w:name="OLE_LINK1"/>
      <w:r>
        <w:rPr>
          <w:rFonts w:ascii="宋体" w:hAnsi="宋体"/>
          <w:sz w:val="24"/>
          <w:szCs w:val="24"/>
        </w:rPr>
        <w:t>预计202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度</w:t>
      </w:r>
      <w:r>
        <w:rPr>
          <w:rFonts w:ascii="宋体" w:hAnsi="宋体"/>
          <w:sz w:val="24"/>
          <w:szCs w:val="24"/>
        </w:rPr>
        <w:t>实现归属于母公司所有者的净利润为</w:t>
      </w:r>
      <w:r>
        <w:rPr>
          <w:rFonts w:hint="eastAsia" w:ascii="宋体" w:hAnsi="宋体"/>
          <w:sz w:val="24"/>
          <w:szCs w:val="24"/>
        </w:rPr>
        <w:t>6,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00</w:t>
      </w:r>
      <w:r>
        <w:rPr>
          <w:rFonts w:ascii="宋体" w:hAnsi="宋体"/>
          <w:sz w:val="24"/>
          <w:szCs w:val="24"/>
        </w:rPr>
        <w:t>万元至</w:t>
      </w:r>
      <w:r>
        <w:rPr>
          <w:rFonts w:hint="eastAsia" w:ascii="宋体" w:hAnsi="宋体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ascii="宋体" w:hAnsi="宋体"/>
          <w:sz w:val="24"/>
          <w:szCs w:val="24"/>
        </w:rPr>
        <w:t>00万元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与上年同期相比</w:t>
      </w:r>
      <w:bookmarkStart w:id="1" w:name="_Hlk124709692"/>
      <w:r>
        <w:rPr>
          <w:rFonts w:hint="eastAsia" w:ascii="宋体" w:hAnsi="宋体"/>
          <w:sz w:val="24"/>
          <w:szCs w:val="24"/>
        </w:rPr>
        <w:t>减少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ascii="宋体" w:hAnsi="宋体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  <w:lang w:val="en-US" w:eastAsia="zh-CN"/>
        </w:rPr>
        <w:t>259</w:t>
      </w:r>
      <w:r>
        <w:rPr>
          <w:rFonts w:ascii="宋体" w:hAnsi="宋体"/>
          <w:sz w:val="24"/>
          <w:szCs w:val="24"/>
        </w:rPr>
        <w:t>万元至</w:t>
      </w:r>
      <w:bookmarkEnd w:id="1"/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ascii="宋体" w:hAnsi="宋体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  <w:lang w:val="en-US" w:eastAsia="zh-CN"/>
        </w:rPr>
        <w:t>259</w:t>
      </w:r>
      <w:r>
        <w:rPr>
          <w:rFonts w:ascii="宋体" w:hAnsi="宋体"/>
          <w:sz w:val="24"/>
          <w:szCs w:val="24"/>
        </w:rPr>
        <w:t>万元，同比</w:t>
      </w:r>
      <w:r>
        <w:rPr>
          <w:rFonts w:hint="eastAsia" w:ascii="宋体" w:hAnsi="宋体"/>
          <w:sz w:val="24"/>
          <w:szCs w:val="24"/>
        </w:rPr>
        <w:t>下降</w:t>
      </w:r>
      <w:bookmarkStart w:id="2" w:name="_Hlk124706502"/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05</w:t>
      </w:r>
      <w:r>
        <w:rPr>
          <w:rFonts w:ascii="宋体" w:hAnsi="宋体"/>
          <w:sz w:val="24"/>
          <w:szCs w:val="24"/>
        </w:rPr>
        <w:t>%到</w:t>
      </w:r>
      <w:bookmarkEnd w:id="2"/>
      <w:bookmarkStart w:id="3" w:name="_Hlk124715927"/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57</w:t>
      </w:r>
      <w:r>
        <w:rPr>
          <w:rFonts w:ascii="宋体" w:hAnsi="宋体"/>
          <w:sz w:val="24"/>
          <w:szCs w:val="24"/>
        </w:rPr>
        <w:t>%</w:t>
      </w:r>
      <w:bookmarkEnd w:id="3"/>
      <w:r>
        <w:rPr>
          <w:rFonts w:ascii="宋体" w:hAnsi="宋体"/>
          <w:sz w:val="24"/>
          <w:szCs w:val="24"/>
        </w:rPr>
        <w:t>。</w:t>
      </w:r>
    </w:p>
    <w:p w14:paraId="20A293A3">
      <w:pPr>
        <w:pStyle w:val="29"/>
        <w:numPr>
          <w:ilvl w:val="0"/>
          <w:numId w:val="1"/>
        </w:numPr>
        <w:tabs>
          <w:tab w:val="left" w:pos="567"/>
        </w:tabs>
        <w:spacing w:line="560" w:lineRule="exact"/>
        <w:ind w:firstLineChars="0"/>
        <w:rPr>
          <w:rFonts w:hint="eastAsia" w:ascii="宋体" w:hAnsi="宋体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预计202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度</w:t>
      </w:r>
      <w:r>
        <w:rPr>
          <w:rFonts w:ascii="宋体" w:hAnsi="宋体"/>
          <w:sz w:val="24"/>
          <w:szCs w:val="24"/>
        </w:rPr>
        <w:t>实现归属于母公司所有者的扣除非经常性损益的净利润为</w:t>
      </w:r>
      <w:bookmarkStart w:id="4" w:name="_Hlk124709733"/>
      <w:bookmarkStart w:id="5" w:name="_Hlk124706518"/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00</w:t>
      </w:r>
      <w:r>
        <w:rPr>
          <w:rFonts w:ascii="宋体" w:hAnsi="宋体"/>
          <w:sz w:val="24"/>
          <w:szCs w:val="24"/>
        </w:rPr>
        <w:t>万元至</w:t>
      </w:r>
      <w:bookmarkEnd w:id="4"/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ascii="宋体" w:hAnsi="宋体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ascii="宋体" w:hAnsi="宋体"/>
          <w:sz w:val="24"/>
          <w:szCs w:val="24"/>
        </w:rPr>
        <w:t>00万元</w:t>
      </w:r>
      <w:bookmarkEnd w:id="5"/>
      <w:r>
        <w:rPr>
          <w:rFonts w:ascii="宋体" w:hAnsi="宋体"/>
          <w:sz w:val="24"/>
          <w:szCs w:val="24"/>
        </w:rPr>
        <w:t>，与上年同期相比</w:t>
      </w:r>
      <w:bookmarkStart w:id="6" w:name="_Hlk124709746"/>
      <w:bookmarkStart w:id="7" w:name="_Hlk124706537"/>
      <w:r>
        <w:rPr>
          <w:rFonts w:hint="eastAsia" w:ascii="宋体" w:hAnsi="宋体"/>
          <w:sz w:val="24"/>
          <w:szCs w:val="24"/>
        </w:rPr>
        <w:t>减少</w:t>
      </w:r>
      <w:r>
        <w:rPr>
          <w:rFonts w:ascii="宋体" w:hAnsi="宋体"/>
          <w:sz w:val="24"/>
          <w:szCs w:val="24"/>
        </w:rPr>
        <w:t>16,</w:t>
      </w:r>
      <w:r>
        <w:rPr>
          <w:rFonts w:hint="eastAsia" w:ascii="宋体" w:hAnsi="宋体"/>
          <w:sz w:val="24"/>
          <w:szCs w:val="24"/>
          <w:lang w:val="en-US" w:eastAsia="zh-CN"/>
        </w:rPr>
        <w:t>613</w:t>
      </w:r>
      <w:r>
        <w:rPr>
          <w:rFonts w:ascii="宋体" w:hAnsi="宋体"/>
          <w:sz w:val="24"/>
          <w:szCs w:val="24"/>
        </w:rPr>
        <w:t>万元到</w:t>
      </w:r>
      <w:bookmarkEnd w:id="6"/>
      <w:r>
        <w:rPr>
          <w:rFonts w:ascii="宋体" w:hAnsi="宋体"/>
          <w:sz w:val="24"/>
          <w:szCs w:val="24"/>
        </w:rPr>
        <w:t>18,</w:t>
      </w:r>
      <w:r>
        <w:rPr>
          <w:rFonts w:hint="eastAsia" w:ascii="宋体" w:hAnsi="宋体"/>
          <w:sz w:val="24"/>
          <w:szCs w:val="24"/>
          <w:lang w:val="en-US" w:eastAsia="zh-CN"/>
        </w:rPr>
        <w:t>613</w:t>
      </w:r>
      <w:r>
        <w:rPr>
          <w:rFonts w:ascii="宋体" w:hAnsi="宋体"/>
          <w:sz w:val="24"/>
          <w:szCs w:val="24"/>
        </w:rPr>
        <w:t>万元</w:t>
      </w:r>
      <w:bookmarkEnd w:id="7"/>
      <w:r>
        <w:rPr>
          <w:rFonts w:ascii="宋体" w:hAnsi="宋体"/>
          <w:sz w:val="24"/>
          <w:szCs w:val="24"/>
        </w:rPr>
        <w:t>，同比</w:t>
      </w:r>
      <w:r>
        <w:rPr>
          <w:rFonts w:hint="eastAsia" w:ascii="宋体" w:hAnsi="宋体"/>
          <w:sz w:val="24"/>
          <w:szCs w:val="24"/>
        </w:rPr>
        <w:t>下降</w:t>
      </w:r>
      <w:r>
        <w:rPr>
          <w:rFonts w:hint="eastAsia" w:ascii="宋体" w:hAnsi="宋体"/>
          <w:sz w:val="24"/>
          <w:szCs w:val="24"/>
          <w:lang w:val="en-US" w:eastAsia="zh-CN"/>
        </w:rPr>
        <w:t>73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79</w:t>
      </w:r>
      <w:r>
        <w:rPr>
          <w:rFonts w:ascii="宋体" w:hAnsi="宋体"/>
          <w:sz w:val="24"/>
          <w:szCs w:val="24"/>
        </w:rPr>
        <w:t>%到</w:t>
      </w:r>
      <w:r>
        <w:rPr>
          <w:rFonts w:hint="eastAsia" w:ascii="宋体" w:hAnsi="宋体"/>
          <w:sz w:val="24"/>
          <w:szCs w:val="24"/>
          <w:lang w:val="en-US" w:eastAsia="zh-CN"/>
        </w:rPr>
        <w:t>82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68</w:t>
      </w:r>
      <w:r>
        <w:rPr>
          <w:rFonts w:ascii="宋体" w:hAnsi="宋体"/>
          <w:sz w:val="24"/>
          <w:szCs w:val="24"/>
        </w:rPr>
        <w:t>%。</w:t>
      </w:r>
    </w:p>
    <w:bookmarkEnd w:id="0"/>
    <w:p w14:paraId="7978C0A7">
      <w:pPr>
        <w:pStyle w:val="29"/>
        <w:tabs>
          <w:tab w:val="left" w:pos="567"/>
        </w:tabs>
        <w:spacing w:line="440" w:lineRule="exact"/>
        <w:ind w:left="987" w:firstLine="0" w:firstLineChars="0"/>
        <w:jc w:val="left"/>
        <w:rPr>
          <w:rFonts w:hint="eastAsia" w:ascii="宋体" w:hAnsi="宋体"/>
          <w:kern w:val="0"/>
          <w:sz w:val="24"/>
          <w:szCs w:val="24"/>
        </w:rPr>
      </w:pPr>
    </w:p>
    <w:p w14:paraId="23496BB7">
      <w:pPr>
        <w:tabs>
          <w:tab w:val="left" w:pos="567"/>
        </w:tabs>
        <w:spacing w:line="440" w:lineRule="exact"/>
        <w:ind w:left="567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一、本期业绩预告情况</w:t>
      </w:r>
    </w:p>
    <w:p w14:paraId="7BB13D30">
      <w:pPr>
        <w:tabs>
          <w:tab w:val="left" w:pos="567"/>
        </w:tabs>
        <w:spacing w:line="440" w:lineRule="exac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</w:t>
      </w:r>
      <w:r>
        <w:rPr>
          <w:rFonts w:ascii="宋体" w:hAnsi="宋体"/>
          <w:sz w:val="24"/>
          <w:szCs w:val="24"/>
        </w:rPr>
        <w:t>业绩预告期间</w:t>
      </w:r>
    </w:p>
    <w:p w14:paraId="243BF9D9">
      <w:pPr>
        <w:tabs>
          <w:tab w:val="left" w:pos="567"/>
        </w:tabs>
        <w:spacing w:line="440" w:lineRule="exact"/>
        <w:ind w:left="567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年1月1日至202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12</w:t>
      </w:r>
      <w:r>
        <w:rPr>
          <w:rFonts w:ascii="宋体" w:hAnsi="宋体"/>
          <w:sz w:val="24"/>
          <w:szCs w:val="24"/>
        </w:rPr>
        <w:t>月3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日</w:t>
      </w:r>
    </w:p>
    <w:p w14:paraId="096D2FE2">
      <w:pPr>
        <w:pStyle w:val="29"/>
        <w:numPr>
          <w:ilvl w:val="0"/>
          <w:numId w:val="2"/>
        </w:numPr>
        <w:tabs>
          <w:tab w:val="left" w:pos="567"/>
        </w:tabs>
        <w:spacing w:line="440" w:lineRule="exact"/>
        <w:ind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业绩预告情况</w:t>
      </w:r>
    </w:p>
    <w:p w14:paraId="7059FA7A">
      <w:pPr>
        <w:pStyle w:val="29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经财务部门初步测算</w:t>
      </w:r>
      <w:r>
        <w:rPr>
          <w:rFonts w:hint="eastAsia" w:ascii="宋体" w:hAnsi="宋体"/>
          <w:sz w:val="24"/>
          <w:szCs w:val="24"/>
        </w:rPr>
        <w:t>，预计2024年度实现归属于母公司所有者的净利润为6,200万元至8,200万元，</w:t>
      </w:r>
      <w:r>
        <w:rPr>
          <w:rFonts w:ascii="宋体" w:hAnsi="宋体"/>
          <w:sz w:val="24"/>
          <w:szCs w:val="24"/>
        </w:rPr>
        <w:t>与上年同期相比</w:t>
      </w:r>
      <w:r>
        <w:rPr>
          <w:rFonts w:hint="eastAsia" w:ascii="宋体" w:hAnsi="宋体"/>
          <w:sz w:val="24"/>
          <w:szCs w:val="24"/>
        </w:rPr>
        <w:t>减少15,259万元至17,259万元</w:t>
      </w:r>
      <w:r>
        <w:rPr>
          <w:rFonts w:ascii="宋体" w:hAnsi="宋体"/>
          <w:sz w:val="24"/>
          <w:szCs w:val="24"/>
        </w:rPr>
        <w:t>，同比</w:t>
      </w:r>
      <w:r>
        <w:rPr>
          <w:rFonts w:hint="eastAsia" w:ascii="宋体" w:hAnsi="宋体"/>
          <w:sz w:val="24"/>
          <w:szCs w:val="24"/>
        </w:rPr>
        <w:t>下降65.0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%到73.57%。预计2024年度实现归属于母公司所有者的扣除非经常性损益的净利润为3,900万元至5,900万元，与上年同期相比减少16,613万元到18,613万元，同比下降73.79%到82.68%。</w:t>
      </w:r>
    </w:p>
    <w:p w14:paraId="2D12BCDF">
      <w:pPr>
        <w:pStyle w:val="29"/>
        <w:numPr>
          <w:ilvl w:val="0"/>
          <w:numId w:val="2"/>
        </w:numPr>
        <w:tabs>
          <w:tab w:val="left" w:pos="567"/>
        </w:tabs>
        <w:spacing w:line="560" w:lineRule="exact"/>
        <w:ind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本次业绩预告未经注册会计师审计。</w:t>
      </w:r>
    </w:p>
    <w:p w14:paraId="19EB1EF7">
      <w:pPr>
        <w:tabs>
          <w:tab w:val="left" w:pos="567"/>
        </w:tabs>
        <w:spacing w:line="440" w:lineRule="exact"/>
        <w:ind w:firstLine="482" w:firstLineChars="20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二、上年同期经营业绩和财务状况</w:t>
      </w:r>
    </w:p>
    <w:p w14:paraId="2560EF57">
      <w:pPr>
        <w:tabs>
          <w:tab w:val="left" w:pos="567"/>
        </w:tabs>
        <w:spacing w:line="5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（一）归属于母公司所有者的净利润为23,458.67万元，归属于母公司所有者的扣除非经常性损益的净利润22,512.62万元。</w:t>
      </w:r>
    </w:p>
    <w:p w14:paraId="0B1D24AD">
      <w:pPr>
        <w:tabs>
          <w:tab w:val="left" w:pos="567"/>
        </w:tabs>
        <w:spacing w:line="5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（二）每股收益：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70</w:t>
      </w:r>
      <w:r>
        <w:rPr>
          <w:rFonts w:ascii="宋体" w:hAnsi="宋体"/>
          <w:sz w:val="24"/>
          <w:szCs w:val="24"/>
        </w:rPr>
        <w:t>元。</w:t>
      </w:r>
    </w:p>
    <w:p w14:paraId="69B97AD2">
      <w:pPr>
        <w:tabs>
          <w:tab w:val="left" w:pos="567"/>
        </w:tabs>
        <w:spacing w:line="440" w:lineRule="exact"/>
        <w:ind w:firstLine="482" w:firstLineChars="20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三、本期业绩</w:t>
      </w:r>
      <w:r>
        <w:rPr>
          <w:rFonts w:hint="eastAsia" w:ascii="宋体" w:hAnsi="宋体"/>
          <w:b/>
          <w:sz w:val="24"/>
          <w:szCs w:val="24"/>
        </w:rPr>
        <w:t>预减</w:t>
      </w:r>
      <w:r>
        <w:rPr>
          <w:rFonts w:ascii="宋体" w:hAnsi="宋体"/>
          <w:b/>
          <w:sz w:val="24"/>
          <w:szCs w:val="24"/>
        </w:rPr>
        <w:t>的主要原因</w:t>
      </w:r>
    </w:p>
    <w:p w14:paraId="0FD887FD">
      <w:pPr>
        <w:tabs>
          <w:tab w:val="left" w:pos="567"/>
        </w:tabs>
        <w:spacing w:line="5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本报告期，</w:t>
      </w:r>
      <w:bookmarkStart w:id="8" w:name="_GoBack"/>
      <w:bookmarkEnd w:id="8"/>
      <w:r>
        <w:rPr>
          <w:rFonts w:hint="eastAsia"/>
          <w:sz w:val="24"/>
          <w:szCs w:val="24"/>
        </w:rPr>
        <w:t>八万吨高端磁性新材料项目全面投产带来取向硅钢销售量增加，由于取向硅钢销售价格处于低位运行，导致本期取向硅钢毛利率下降带来业绩下降。</w:t>
      </w:r>
    </w:p>
    <w:p w14:paraId="512E0608">
      <w:pPr>
        <w:tabs>
          <w:tab w:val="left" w:pos="567"/>
        </w:tabs>
        <w:spacing w:line="440" w:lineRule="exact"/>
        <w:ind w:firstLine="482" w:firstLineChars="20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</w:t>
      </w:r>
      <w:r>
        <w:rPr>
          <w:rFonts w:ascii="宋体" w:hAnsi="宋体"/>
          <w:b/>
          <w:sz w:val="24"/>
          <w:szCs w:val="24"/>
        </w:rPr>
        <w:t>、风险提示</w:t>
      </w:r>
    </w:p>
    <w:p w14:paraId="1C655A68">
      <w:pPr>
        <w:tabs>
          <w:tab w:val="left" w:pos="567"/>
        </w:tabs>
        <w:spacing w:line="560" w:lineRule="exac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本次业绩预告是公司财务部门基于自身专业判断进行的初步测算，未经注册会计师审计。截止目前，公司不存在可能影响本次业绩预告内容准确性的重大不确定性因素。</w:t>
      </w:r>
    </w:p>
    <w:p w14:paraId="7B65755E">
      <w:pPr>
        <w:tabs>
          <w:tab w:val="left" w:pos="567"/>
        </w:tabs>
        <w:spacing w:line="440" w:lineRule="exact"/>
        <w:ind w:firstLine="482" w:firstLineChars="20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</w:t>
      </w:r>
      <w:r>
        <w:rPr>
          <w:rFonts w:ascii="宋体" w:hAnsi="宋体"/>
          <w:b/>
          <w:sz w:val="24"/>
          <w:szCs w:val="24"/>
        </w:rPr>
        <w:t>、其他说明事项</w:t>
      </w:r>
    </w:p>
    <w:p w14:paraId="686C25E6">
      <w:pPr>
        <w:tabs>
          <w:tab w:val="left" w:pos="567"/>
        </w:tabs>
        <w:spacing w:line="560" w:lineRule="exac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以上预告数据仅为初步核算数据，具体财务数据将在公司</w:t>
      </w:r>
      <w:r>
        <w:rPr>
          <w:rFonts w:hint="eastAsia" w:ascii="宋体" w:hAnsi="宋体"/>
          <w:sz w:val="24"/>
          <w:szCs w:val="24"/>
        </w:rPr>
        <w:t>正式披露的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度</w:t>
      </w:r>
      <w:r>
        <w:rPr>
          <w:rFonts w:ascii="宋体" w:hAnsi="宋体"/>
          <w:sz w:val="24"/>
          <w:szCs w:val="24"/>
        </w:rPr>
        <w:t>报告中详细披露。敬请广大投资者谨慎决策，注意投资风险。</w:t>
      </w:r>
    </w:p>
    <w:p w14:paraId="2CEB0917">
      <w:pPr>
        <w:autoSpaceDE w:val="0"/>
        <w:autoSpaceDN w:val="0"/>
        <w:adjustRightInd w:val="0"/>
        <w:spacing w:line="560" w:lineRule="exact"/>
        <w:ind w:firstLine="460" w:firstLineChars="192"/>
        <w:jc w:val="left"/>
        <w:rPr>
          <w:rFonts w:hint="eastAsia" w:cs="宋体-WinCharSetFFFF-H" w:asciiTheme="minorEastAsia" w:hAnsiTheme="minorEastAsia" w:eastAsiaTheme="minorEastAsia"/>
          <w:color w:val="000000"/>
          <w:kern w:val="0"/>
          <w:sz w:val="24"/>
          <w:szCs w:val="24"/>
        </w:rPr>
      </w:pPr>
    </w:p>
    <w:p w14:paraId="507DE5BA">
      <w:pPr>
        <w:autoSpaceDE w:val="0"/>
        <w:autoSpaceDN w:val="0"/>
        <w:adjustRightInd w:val="0"/>
        <w:spacing w:line="560" w:lineRule="exact"/>
        <w:ind w:firstLine="460" w:firstLineChars="192"/>
        <w:jc w:val="left"/>
        <w:rPr>
          <w:rFonts w:hint="eastAsia" w:cs="宋体-WinCharSetFFFF-H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-WinCharSetFFFF-H" w:asciiTheme="minorEastAsia" w:hAnsiTheme="minorEastAsia" w:eastAsiaTheme="minorEastAsia"/>
          <w:color w:val="000000"/>
          <w:kern w:val="0"/>
          <w:sz w:val="24"/>
          <w:szCs w:val="24"/>
        </w:rPr>
        <w:t>特此公告。</w:t>
      </w:r>
    </w:p>
    <w:p w14:paraId="28414145">
      <w:pPr>
        <w:autoSpaceDE w:val="0"/>
        <w:autoSpaceDN w:val="0"/>
        <w:adjustRightInd w:val="0"/>
        <w:spacing w:line="560" w:lineRule="exact"/>
        <w:jc w:val="right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</w:p>
    <w:p w14:paraId="67DAF4EF">
      <w:pPr>
        <w:autoSpaceDE w:val="0"/>
        <w:autoSpaceDN w:val="0"/>
        <w:adjustRightInd w:val="0"/>
        <w:spacing w:line="560" w:lineRule="exact"/>
        <w:jc w:val="right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</w:p>
    <w:p w14:paraId="33492B39">
      <w:pPr>
        <w:autoSpaceDE w:val="0"/>
        <w:autoSpaceDN w:val="0"/>
        <w:adjustRightInd w:val="0"/>
        <w:spacing w:line="560" w:lineRule="exact"/>
        <w:jc w:val="right"/>
        <w:rPr>
          <w:rFonts w:hint="eastAsia" w:cs="宋体-WinCharSetFFFF-H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重庆望变电气（集团）</w:t>
      </w:r>
      <w:r>
        <w:rPr>
          <w:rFonts w:hint="eastAsia" w:cs="宋体-WinCharSetFFFF-H" w:asciiTheme="minorEastAsia" w:hAnsiTheme="minorEastAsia" w:eastAsiaTheme="minorEastAsia"/>
          <w:color w:val="000000"/>
          <w:kern w:val="0"/>
          <w:sz w:val="24"/>
          <w:szCs w:val="24"/>
        </w:rPr>
        <w:t>股份有限公司董事会</w:t>
      </w:r>
    </w:p>
    <w:p w14:paraId="156E1CDC">
      <w:pPr>
        <w:autoSpaceDE w:val="0"/>
        <w:autoSpaceDN w:val="0"/>
        <w:adjustRightInd w:val="0"/>
        <w:spacing w:line="560" w:lineRule="exact"/>
        <w:jc w:val="right"/>
        <w:rPr>
          <w:rFonts w:hint="eastAsia" w:cs="宋体-WinCharSetFFFF-H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cs="宋体-WinCharSetFFFF-H" w:asciiTheme="minorEastAsia" w:hAnsiTheme="minorEastAsia" w:eastAsiaTheme="minorEastAsia"/>
          <w:color w:val="000000"/>
          <w:kern w:val="0"/>
          <w:sz w:val="24"/>
          <w:szCs w:val="24"/>
        </w:rPr>
        <w:t>202</w:t>
      </w:r>
      <w:r>
        <w:rPr>
          <w:rFonts w:hint="eastAsia" w:cs="宋体-WinCharSetFFFF-H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cs="宋体-WinCharSetFFFF-H" w:asciiTheme="minorEastAsia" w:hAnsiTheme="minorEastAsia" w:eastAsiaTheme="minorEastAsia"/>
          <w:color w:val="000000"/>
          <w:kern w:val="0"/>
          <w:sz w:val="24"/>
          <w:szCs w:val="24"/>
        </w:rPr>
        <w:t>年1月</w:t>
      </w:r>
      <w:r>
        <w:rPr>
          <w:rFonts w:cs="宋体-WinCharSetFFFF-H" w:asciiTheme="minorEastAsia" w:hAnsiTheme="minorEastAsia" w:eastAsiaTheme="minorEastAsia"/>
          <w:color w:val="000000"/>
          <w:kern w:val="0"/>
          <w:sz w:val="24"/>
          <w:szCs w:val="24"/>
        </w:rPr>
        <w:t>1</w:t>
      </w:r>
      <w:r>
        <w:rPr>
          <w:rFonts w:hint="eastAsia" w:cs="宋体-WinCharSetFFFF-H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cs="宋体-WinCharSetFFFF-H" w:asciiTheme="minorEastAsia" w:hAnsiTheme="minorEastAsia" w:eastAsiaTheme="minorEastAsia"/>
          <w:color w:val="000000"/>
          <w:kern w:val="0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黑体-WinCharSetFFFF-H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WinCharSetFFFF-H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770079"/>
    </w:sdtPr>
    <w:sdtContent>
      <w:p w14:paraId="3D8E38B6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C160CF"/>
    <w:multiLevelType w:val="multilevel"/>
    <w:tmpl w:val="35C160CF"/>
    <w:lvl w:ilvl="0" w:tentative="0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AC9751F"/>
    <w:multiLevelType w:val="multilevel"/>
    <w:tmpl w:val="6AC9751F"/>
    <w:lvl w:ilvl="0" w:tentative="0">
      <w:start w:val="1"/>
      <w:numFmt w:val="bullet"/>
      <w:lvlText w:val=""/>
      <w:lvlJc w:val="left"/>
      <w:pPr>
        <w:ind w:left="98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5OWYxOTBkNWFmMDlhNTEzNjBjMDFjMjI4MWYyOTYifQ=="/>
    <w:docVar w:name="KSO_WPS_MARK_KEY" w:val="44802625-1500-4e61-a744-51dc88ee1234"/>
  </w:docVars>
  <w:rsids>
    <w:rsidRoot w:val="00BF2ECD"/>
    <w:rsid w:val="00000558"/>
    <w:rsid w:val="00004DD8"/>
    <w:rsid w:val="00005DBE"/>
    <w:rsid w:val="00005DC5"/>
    <w:rsid w:val="0001585B"/>
    <w:rsid w:val="00017440"/>
    <w:rsid w:val="000215DB"/>
    <w:rsid w:val="00032463"/>
    <w:rsid w:val="00035A07"/>
    <w:rsid w:val="000375FD"/>
    <w:rsid w:val="00046E72"/>
    <w:rsid w:val="00063BED"/>
    <w:rsid w:val="00095E4D"/>
    <w:rsid w:val="000A1BF3"/>
    <w:rsid w:val="000A1E26"/>
    <w:rsid w:val="000B07FC"/>
    <w:rsid w:val="000B6044"/>
    <w:rsid w:val="000D08A2"/>
    <w:rsid w:val="000D519F"/>
    <w:rsid w:val="000E3045"/>
    <w:rsid w:val="000E3C59"/>
    <w:rsid w:val="000F2053"/>
    <w:rsid w:val="000F2D46"/>
    <w:rsid w:val="00110C8C"/>
    <w:rsid w:val="00120CF5"/>
    <w:rsid w:val="00126188"/>
    <w:rsid w:val="001368F4"/>
    <w:rsid w:val="00150E21"/>
    <w:rsid w:val="0015611A"/>
    <w:rsid w:val="0016081B"/>
    <w:rsid w:val="0017188D"/>
    <w:rsid w:val="00173E73"/>
    <w:rsid w:val="001824D4"/>
    <w:rsid w:val="00183A01"/>
    <w:rsid w:val="00183E3B"/>
    <w:rsid w:val="00184498"/>
    <w:rsid w:val="001944E0"/>
    <w:rsid w:val="001B40A0"/>
    <w:rsid w:val="001C230D"/>
    <w:rsid w:val="001D37B2"/>
    <w:rsid w:val="001E5089"/>
    <w:rsid w:val="001F7509"/>
    <w:rsid w:val="00204B76"/>
    <w:rsid w:val="002123E8"/>
    <w:rsid w:val="00212929"/>
    <w:rsid w:val="00217B2A"/>
    <w:rsid w:val="0022031A"/>
    <w:rsid w:val="00232660"/>
    <w:rsid w:val="00232B9D"/>
    <w:rsid w:val="0023667A"/>
    <w:rsid w:val="002413B5"/>
    <w:rsid w:val="00247C74"/>
    <w:rsid w:val="002553D7"/>
    <w:rsid w:val="0026156D"/>
    <w:rsid w:val="00264C7F"/>
    <w:rsid w:val="00265D3B"/>
    <w:rsid w:val="00266DA9"/>
    <w:rsid w:val="00281D44"/>
    <w:rsid w:val="00281D93"/>
    <w:rsid w:val="002825FE"/>
    <w:rsid w:val="00284BB0"/>
    <w:rsid w:val="0028586C"/>
    <w:rsid w:val="00285C5D"/>
    <w:rsid w:val="00290CF0"/>
    <w:rsid w:val="00291DB8"/>
    <w:rsid w:val="0029448F"/>
    <w:rsid w:val="002A0E5D"/>
    <w:rsid w:val="002A5CA0"/>
    <w:rsid w:val="002A7749"/>
    <w:rsid w:val="002C189A"/>
    <w:rsid w:val="002C37D3"/>
    <w:rsid w:val="002D3374"/>
    <w:rsid w:val="002E10C1"/>
    <w:rsid w:val="00300216"/>
    <w:rsid w:val="00306D91"/>
    <w:rsid w:val="00311C77"/>
    <w:rsid w:val="00311F57"/>
    <w:rsid w:val="00312996"/>
    <w:rsid w:val="00313A26"/>
    <w:rsid w:val="00316886"/>
    <w:rsid w:val="00316A4F"/>
    <w:rsid w:val="00342D85"/>
    <w:rsid w:val="00344208"/>
    <w:rsid w:val="003459AF"/>
    <w:rsid w:val="003878F3"/>
    <w:rsid w:val="0039442B"/>
    <w:rsid w:val="003A6729"/>
    <w:rsid w:val="003C2296"/>
    <w:rsid w:val="003D41F7"/>
    <w:rsid w:val="003D5483"/>
    <w:rsid w:val="003D57BB"/>
    <w:rsid w:val="003E0DC1"/>
    <w:rsid w:val="003E3B77"/>
    <w:rsid w:val="003E4B0A"/>
    <w:rsid w:val="00400A2D"/>
    <w:rsid w:val="00412966"/>
    <w:rsid w:val="0041687B"/>
    <w:rsid w:val="0043246C"/>
    <w:rsid w:val="00442DC0"/>
    <w:rsid w:val="004430D5"/>
    <w:rsid w:val="00451489"/>
    <w:rsid w:val="00460233"/>
    <w:rsid w:val="00460BFE"/>
    <w:rsid w:val="004612AA"/>
    <w:rsid w:val="00471FF8"/>
    <w:rsid w:val="00477264"/>
    <w:rsid w:val="00483BA3"/>
    <w:rsid w:val="00487DEB"/>
    <w:rsid w:val="00491ECF"/>
    <w:rsid w:val="00496A60"/>
    <w:rsid w:val="004A0178"/>
    <w:rsid w:val="004A3205"/>
    <w:rsid w:val="004B493E"/>
    <w:rsid w:val="004B5DEB"/>
    <w:rsid w:val="004D54A4"/>
    <w:rsid w:val="004D5D81"/>
    <w:rsid w:val="004D6EA6"/>
    <w:rsid w:val="004E2864"/>
    <w:rsid w:val="004E5386"/>
    <w:rsid w:val="00501BA7"/>
    <w:rsid w:val="005372A1"/>
    <w:rsid w:val="00537441"/>
    <w:rsid w:val="00540399"/>
    <w:rsid w:val="005443A9"/>
    <w:rsid w:val="00547519"/>
    <w:rsid w:val="0055059A"/>
    <w:rsid w:val="00557CBA"/>
    <w:rsid w:val="00563B90"/>
    <w:rsid w:val="00566910"/>
    <w:rsid w:val="00566C60"/>
    <w:rsid w:val="00574E1C"/>
    <w:rsid w:val="00582DEF"/>
    <w:rsid w:val="00585F55"/>
    <w:rsid w:val="00594A53"/>
    <w:rsid w:val="005A31C9"/>
    <w:rsid w:val="005B346A"/>
    <w:rsid w:val="005C49B4"/>
    <w:rsid w:val="005C64B8"/>
    <w:rsid w:val="005D019C"/>
    <w:rsid w:val="005E7A22"/>
    <w:rsid w:val="005F150A"/>
    <w:rsid w:val="005F1F26"/>
    <w:rsid w:val="0060240F"/>
    <w:rsid w:val="00603B61"/>
    <w:rsid w:val="00611BEF"/>
    <w:rsid w:val="00612137"/>
    <w:rsid w:val="0062097A"/>
    <w:rsid w:val="00622973"/>
    <w:rsid w:val="00630BD2"/>
    <w:rsid w:val="00631267"/>
    <w:rsid w:val="006323CB"/>
    <w:rsid w:val="00632C04"/>
    <w:rsid w:val="006442FE"/>
    <w:rsid w:val="00651D5C"/>
    <w:rsid w:val="00653E85"/>
    <w:rsid w:val="0065652D"/>
    <w:rsid w:val="00657879"/>
    <w:rsid w:val="00670247"/>
    <w:rsid w:val="00671ED3"/>
    <w:rsid w:val="006754DD"/>
    <w:rsid w:val="00686E15"/>
    <w:rsid w:val="006A206E"/>
    <w:rsid w:val="006A5233"/>
    <w:rsid w:val="006B45CE"/>
    <w:rsid w:val="006B618B"/>
    <w:rsid w:val="006C2CF7"/>
    <w:rsid w:val="006C718B"/>
    <w:rsid w:val="006D2D1B"/>
    <w:rsid w:val="006E2989"/>
    <w:rsid w:val="006F47AA"/>
    <w:rsid w:val="00701284"/>
    <w:rsid w:val="00702498"/>
    <w:rsid w:val="00704085"/>
    <w:rsid w:val="00711EF8"/>
    <w:rsid w:val="00715AE7"/>
    <w:rsid w:val="0071679B"/>
    <w:rsid w:val="007175CC"/>
    <w:rsid w:val="00720340"/>
    <w:rsid w:val="00735469"/>
    <w:rsid w:val="00735A2B"/>
    <w:rsid w:val="00740DE7"/>
    <w:rsid w:val="007438ED"/>
    <w:rsid w:val="00744E73"/>
    <w:rsid w:val="00762F04"/>
    <w:rsid w:val="00763FBD"/>
    <w:rsid w:val="00766DA1"/>
    <w:rsid w:val="007677B7"/>
    <w:rsid w:val="0077027A"/>
    <w:rsid w:val="00773B2C"/>
    <w:rsid w:val="00774E67"/>
    <w:rsid w:val="00774EE2"/>
    <w:rsid w:val="00781166"/>
    <w:rsid w:val="007856CD"/>
    <w:rsid w:val="0079689B"/>
    <w:rsid w:val="007974E9"/>
    <w:rsid w:val="007A5B56"/>
    <w:rsid w:val="007A5E67"/>
    <w:rsid w:val="007B294B"/>
    <w:rsid w:val="007B2E75"/>
    <w:rsid w:val="007C3DFA"/>
    <w:rsid w:val="007C416B"/>
    <w:rsid w:val="007D397B"/>
    <w:rsid w:val="0080295D"/>
    <w:rsid w:val="008149E1"/>
    <w:rsid w:val="0083212F"/>
    <w:rsid w:val="00842D10"/>
    <w:rsid w:val="00844175"/>
    <w:rsid w:val="0084706B"/>
    <w:rsid w:val="00847983"/>
    <w:rsid w:val="008527FA"/>
    <w:rsid w:val="00853838"/>
    <w:rsid w:val="0085726F"/>
    <w:rsid w:val="00857AB8"/>
    <w:rsid w:val="00870AD9"/>
    <w:rsid w:val="008734B5"/>
    <w:rsid w:val="008827E6"/>
    <w:rsid w:val="0088545B"/>
    <w:rsid w:val="008855CB"/>
    <w:rsid w:val="008872C2"/>
    <w:rsid w:val="00895F4B"/>
    <w:rsid w:val="008B6C5F"/>
    <w:rsid w:val="008D0982"/>
    <w:rsid w:val="008D215B"/>
    <w:rsid w:val="008E0308"/>
    <w:rsid w:val="008E2FF0"/>
    <w:rsid w:val="008E31FE"/>
    <w:rsid w:val="008E3B86"/>
    <w:rsid w:val="008E43E4"/>
    <w:rsid w:val="008E4655"/>
    <w:rsid w:val="008F1D0F"/>
    <w:rsid w:val="008F2906"/>
    <w:rsid w:val="008F4F4F"/>
    <w:rsid w:val="009068F8"/>
    <w:rsid w:val="00906C2E"/>
    <w:rsid w:val="00907B52"/>
    <w:rsid w:val="00912802"/>
    <w:rsid w:val="00914827"/>
    <w:rsid w:val="00922DB1"/>
    <w:rsid w:val="00940169"/>
    <w:rsid w:val="00940F22"/>
    <w:rsid w:val="009564A0"/>
    <w:rsid w:val="00962528"/>
    <w:rsid w:val="009750A0"/>
    <w:rsid w:val="0097579E"/>
    <w:rsid w:val="009772BB"/>
    <w:rsid w:val="00982FA1"/>
    <w:rsid w:val="009A54B4"/>
    <w:rsid w:val="009B2C22"/>
    <w:rsid w:val="009B4389"/>
    <w:rsid w:val="009D687C"/>
    <w:rsid w:val="009E0533"/>
    <w:rsid w:val="009F0406"/>
    <w:rsid w:val="009F1258"/>
    <w:rsid w:val="00A00577"/>
    <w:rsid w:val="00A027D7"/>
    <w:rsid w:val="00A050AE"/>
    <w:rsid w:val="00A21F48"/>
    <w:rsid w:val="00A22602"/>
    <w:rsid w:val="00A26B81"/>
    <w:rsid w:val="00A317FA"/>
    <w:rsid w:val="00A40A57"/>
    <w:rsid w:val="00A4156D"/>
    <w:rsid w:val="00A54920"/>
    <w:rsid w:val="00A64991"/>
    <w:rsid w:val="00A849B7"/>
    <w:rsid w:val="00A95E96"/>
    <w:rsid w:val="00AA1DF6"/>
    <w:rsid w:val="00AB0AED"/>
    <w:rsid w:val="00AB0FED"/>
    <w:rsid w:val="00AB23D6"/>
    <w:rsid w:val="00AC0937"/>
    <w:rsid w:val="00AC5AED"/>
    <w:rsid w:val="00AC6182"/>
    <w:rsid w:val="00AD52D4"/>
    <w:rsid w:val="00AE06F3"/>
    <w:rsid w:val="00AE3238"/>
    <w:rsid w:val="00AF43FD"/>
    <w:rsid w:val="00AF4934"/>
    <w:rsid w:val="00B00573"/>
    <w:rsid w:val="00B10BE7"/>
    <w:rsid w:val="00B13567"/>
    <w:rsid w:val="00B14F56"/>
    <w:rsid w:val="00B3338B"/>
    <w:rsid w:val="00B40B95"/>
    <w:rsid w:val="00B5596B"/>
    <w:rsid w:val="00B64496"/>
    <w:rsid w:val="00B66649"/>
    <w:rsid w:val="00B70608"/>
    <w:rsid w:val="00B7166F"/>
    <w:rsid w:val="00B7680C"/>
    <w:rsid w:val="00B85AA8"/>
    <w:rsid w:val="00B93539"/>
    <w:rsid w:val="00B93D18"/>
    <w:rsid w:val="00B95A5B"/>
    <w:rsid w:val="00B97549"/>
    <w:rsid w:val="00BA1AD2"/>
    <w:rsid w:val="00BB2F95"/>
    <w:rsid w:val="00BC6ACB"/>
    <w:rsid w:val="00BD405C"/>
    <w:rsid w:val="00BD6F19"/>
    <w:rsid w:val="00BE0F5C"/>
    <w:rsid w:val="00BE7978"/>
    <w:rsid w:val="00BF2790"/>
    <w:rsid w:val="00BF2ECD"/>
    <w:rsid w:val="00BF380D"/>
    <w:rsid w:val="00C03525"/>
    <w:rsid w:val="00C114FE"/>
    <w:rsid w:val="00C1602F"/>
    <w:rsid w:val="00C21E04"/>
    <w:rsid w:val="00C33BED"/>
    <w:rsid w:val="00C349B5"/>
    <w:rsid w:val="00C37090"/>
    <w:rsid w:val="00C375FE"/>
    <w:rsid w:val="00C4209A"/>
    <w:rsid w:val="00C43A4D"/>
    <w:rsid w:val="00C463FF"/>
    <w:rsid w:val="00C54C3A"/>
    <w:rsid w:val="00C578DC"/>
    <w:rsid w:val="00C65765"/>
    <w:rsid w:val="00C664EA"/>
    <w:rsid w:val="00C720D9"/>
    <w:rsid w:val="00C73153"/>
    <w:rsid w:val="00C75D06"/>
    <w:rsid w:val="00C80904"/>
    <w:rsid w:val="00C872AE"/>
    <w:rsid w:val="00C94957"/>
    <w:rsid w:val="00C9766D"/>
    <w:rsid w:val="00CB2A42"/>
    <w:rsid w:val="00CC117A"/>
    <w:rsid w:val="00CC3276"/>
    <w:rsid w:val="00CD0630"/>
    <w:rsid w:val="00CE188E"/>
    <w:rsid w:val="00CE6A7F"/>
    <w:rsid w:val="00CF23D6"/>
    <w:rsid w:val="00CF401F"/>
    <w:rsid w:val="00D0213B"/>
    <w:rsid w:val="00D04E83"/>
    <w:rsid w:val="00D104D3"/>
    <w:rsid w:val="00D119FF"/>
    <w:rsid w:val="00D14999"/>
    <w:rsid w:val="00D201F3"/>
    <w:rsid w:val="00D23B24"/>
    <w:rsid w:val="00D30A0B"/>
    <w:rsid w:val="00D345CB"/>
    <w:rsid w:val="00D34649"/>
    <w:rsid w:val="00D403F1"/>
    <w:rsid w:val="00D44EFA"/>
    <w:rsid w:val="00D54118"/>
    <w:rsid w:val="00D81F8E"/>
    <w:rsid w:val="00D947BC"/>
    <w:rsid w:val="00DA4EF1"/>
    <w:rsid w:val="00DA6929"/>
    <w:rsid w:val="00DC1362"/>
    <w:rsid w:val="00DC275D"/>
    <w:rsid w:val="00DC5603"/>
    <w:rsid w:val="00DD1D01"/>
    <w:rsid w:val="00DD5D73"/>
    <w:rsid w:val="00E0568B"/>
    <w:rsid w:val="00E1300D"/>
    <w:rsid w:val="00E1352F"/>
    <w:rsid w:val="00E3258D"/>
    <w:rsid w:val="00E40136"/>
    <w:rsid w:val="00E4409E"/>
    <w:rsid w:val="00E54AEE"/>
    <w:rsid w:val="00E56B77"/>
    <w:rsid w:val="00E5757A"/>
    <w:rsid w:val="00E90AB8"/>
    <w:rsid w:val="00E9150F"/>
    <w:rsid w:val="00E96CDA"/>
    <w:rsid w:val="00EA3381"/>
    <w:rsid w:val="00EA4551"/>
    <w:rsid w:val="00EA4A09"/>
    <w:rsid w:val="00EB23B4"/>
    <w:rsid w:val="00EB5AF3"/>
    <w:rsid w:val="00EB7CDE"/>
    <w:rsid w:val="00EC5616"/>
    <w:rsid w:val="00EE3A12"/>
    <w:rsid w:val="00EF2089"/>
    <w:rsid w:val="00EF25C2"/>
    <w:rsid w:val="00EF6737"/>
    <w:rsid w:val="00EF7378"/>
    <w:rsid w:val="00F02E2D"/>
    <w:rsid w:val="00F060F4"/>
    <w:rsid w:val="00F26E9C"/>
    <w:rsid w:val="00F44B74"/>
    <w:rsid w:val="00F50515"/>
    <w:rsid w:val="00F55387"/>
    <w:rsid w:val="00F60B8D"/>
    <w:rsid w:val="00F62284"/>
    <w:rsid w:val="00F63C16"/>
    <w:rsid w:val="00F66EB0"/>
    <w:rsid w:val="00F71163"/>
    <w:rsid w:val="00F811C5"/>
    <w:rsid w:val="00FA36FE"/>
    <w:rsid w:val="00FA7369"/>
    <w:rsid w:val="00FB6249"/>
    <w:rsid w:val="00FC5352"/>
    <w:rsid w:val="00FD3D46"/>
    <w:rsid w:val="00FE51B7"/>
    <w:rsid w:val="00FF0C84"/>
    <w:rsid w:val="00FF2808"/>
    <w:rsid w:val="00FF6F5B"/>
    <w:rsid w:val="03FC0966"/>
    <w:rsid w:val="084762C4"/>
    <w:rsid w:val="0B6D761D"/>
    <w:rsid w:val="0BC414DD"/>
    <w:rsid w:val="0BDE7569"/>
    <w:rsid w:val="0C01717A"/>
    <w:rsid w:val="11F33FEA"/>
    <w:rsid w:val="19E51250"/>
    <w:rsid w:val="26DF22D6"/>
    <w:rsid w:val="28DC7FC2"/>
    <w:rsid w:val="2BB01839"/>
    <w:rsid w:val="2CE22EB0"/>
    <w:rsid w:val="2E6E3399"/>
    <w:rsid w:val="308C1B14"/>
    <w:rsid w:val="31333110"/>
    <w:rsid w:val="31BF6833"/>
    <w:rsid w:val="33C55B21"/>
    <w:rsid w:val="355569F3"/>
    <w:rsid w:val="3C9F7C2D"/>
    <w:rsid w:val="3E7A7912"/>
    <w:rsid w:val="3EC15781"/>
    <w:rsid w:val="423D0592"/>
    <w:rsid w:val="45023AD6"/>
    <w:rsid w:val="4D8928A1"/>
    <w:rsid w:val="50C57353"/>
    <w:rsid w:val="515305D5"/>
    <w:rsid w:val="52975A47"/>
    <w:rsid w:val="57C044A9"/>
    <w:rsid w:val="57C642D6"/>
    <w:rsid w:val="5B8166C7"/>
    <w:rsid w:val="5FEE0DC0"/>
    <w:rsid w:val="60B1035F"/>
    <w:rsid w:val="62656A2B"/>
    <w:rsid w:val="64911E38"/>
    <w:rsid w:val="6493693E"/>
    <w:rsid w:val="695C2061"/>
    <w:rsid w:val="6CD15D39"/>
    <w:rsid w:val="6DCF760B"/>
    <w:rsid w:val="6E792C89"/>
    <w:rsid w:val="71265794"/>
    <w:rsid w:val="712E5C01"/>
    <w:rsid w:val="72404D36"/>
    <w:rsid w:val="73B7523F"/>
    <w:rsid w:val="74156D8F"/>
    <w:rsid w:val="75BD463D"/>
    <w:rsid w:val="787D2F23"/>
    <w:rsid w:val="7A385DDE"/>
    <w:rsid w:val="7A714689"/>
    <w:rsid w:val="7F76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line="415" w:lineRule="auto"/>
      <w:jc w:val="center"/>
      <w:outlineLvl w:val="1"/>
    </w:pPr>
    <w:rPr>
      <w:rFonts w:ascii="黑体" w:hAnsi="黑体" w:eastAsia="黑体" w:cstheme="majorBidi"/>
      <w:b/>
      <w:bCs/>
      <w:sz w:val="30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unhideWhenUsed/>
    <w:qFormat/>
    <w:uiPriority w:val="99"/>
    <w:pPr>
      <w:jc w:val="left"/>
    </w:pPr>
  </w:style>
  <w:style w:type="paragraph" w:styleId="5">
    <w:name w:val="Body Text Indent 2"/>
    <w:basedOn w:val="1"/>
    <w:link w:val="21"/>
    <w:qFormat/>
    <w:uiPriority w:val="0"/>
    <w:pPr>
      <w:spacing w:line="600" w:lineRule="exact"/>
      <w:ind w:firstLine="600" w:firstLineChars="200"/>
    </w:pPr>
    <w:rPr>
      <w:rFonts w:ascii="仿宋_GB2312" w:hAnsi="宋体" w:eastAsia="仿宋_GB2312"/>
      <w:sz w:val="30"/>
      <w:szCs w:val="30"/>
    </w:r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4"/>
    <w:next w:val="4"/>
    <w:link w:val="27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99"/>
    <w:rPr>
      <w:color w:val="0000FF"/>
      <w:u w:val="single"/>
    </w:rPr>
  </w:style>
  <w:style w:type="character" w:styleId="16">
    <w:name w:val="annotation reference"/>
    <w:basedOn w:val="14"/>
    <w:unhideWhenUsed/>
    <w:qFormat/>
    <w:uiPriority w:val="99"/>
    <w:rPr>
      <w:sz w:val="21"/>
      <w:szCs w:val="21"/>
    </w:rPr>
  </w:style>
  <w:style w:type="character" w:customStyle="1" w:styleId="17">
    <w:name w:val="页脚 字符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4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正文文本缩进 2 Char"/>
    <w:basedOn w:val="14"/>
    <w:semiHidden/>
    <w:qFormat/>
    <w:uiPriority w:val="99"/>
    <w:rPr>
      <w:rFonts w:ascii="Calibri" w:hAnsi="Calibri" w:eastAsia="宋体" w:cs="Times New Roman"/>
    </w:rPr>
  </w:style>
  <w:style w:type="character" w:customStyle="1" w:styleId="21">
    <w:name w:val="正文文本缩进 2 字符"/>
    <w:basedOn w:val="14"/>
    <w:link w:val="5"/>
    <w:qFormat/>
    <w:uiPriority w:val="0"/>
    <w:rPr>
      <w:rFonts w:ascii="仿宋_GB2312" w:hAnsi="宋体" w:eastAsia="仿宋_GB2312" w:cs="Times New Roman"/>
      <w:sz w:val="30"/>
      <w:szCs w:val="30"/>
    </w:rPr>
  </w:style>
  <w:style w:type="character" w:customStyle="1" w:styleId="22">
    <w:name w:val="标题 1 字符"/>
    <w:basedOn w:val="14"/>
    <w:link w:val="2"/>
    <w:qFormat/>
    <w:uiPriority w:val="9"/>
    <w:rPr>
      <w:rFonts w:ascii="Calibri" w:hAnsi="Calibri" w:eastAsia="黑体" w:cs="Times New Roman"/>
      <w:b/>
      <w:bCs/>
      <w:kern w:val="44"/>
      <w:sz w:val="36"/>
      <w:szCs w:val="44"/>
    </w:rPr>
  </w:style>
  <w:style w:type="character" w:customStyle="1" w:styleId="23">
    <w:name w:val="标题 2 字符"/>
    <w:basedOn w:val="14"/>
    <w:link w:val="3"/>
    <w:qFormat/>
    <w:uiPriority w:val="9"/>
    <w:rPr>
      <w:rFonts w:ascii="黑体" w:hAnsi="黑体" w:eastAsia="黑体" w:cstheme="majorBidi"/>
      <w:b/>
      <w:bCs/>
      <w:kern w:val="2"/>
      <w:sz w:val="30"/>
      <w:szCs w:val="32"/>
    </w:r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5">
    <w:name w:val="批注框文本 字符"/>
    <w:basedOn w:val="14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批注文字 字符"/>
    <w:basedOn w:val="14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27">
    <w:name w:val="批注主题 字符"/>
    <w:basedOn w:val="26"/>
    <w:link w:val="11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2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B5518-1CE8-4E87-B2D3-2A92AE1D3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836</Words>
  <Characters>1011</Characters>
  <Lines>7</Lines>
  <Paragraphs>2</Paragraphs>
  <TotalTime>328</TotalTime>
  <ScaleCrop>false</ScaleCrop>
  <LinksUpToDate>false</LinksUpToDate>
  <CharactersWithSpaces>1030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2024-07-09T05:09:00Z</dcterms:created>
  <dc:creator>BJB-ZB-03</dc:creator>
  <cp:lastModifiedBy>雯亦</cp:lastModifiedBy>
  <cp:lastPrinted>2022-10-09T11:37:00Z</cp:lastPrinted>
  <dcterms:modified xsi:type="dcterms:W3CDTF">2025-01-16T05:47:11Z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41CA1DDF3B0046E19B17CE480E6623A8_13</vt:lpwstr>
  </property>
  <property fmtid="{D5CDD505-2E9C-101B-9397-08002B2CF9AE}" pid="4" name="KSOTemplateDocerSaveRecord">
    <vt:lpwstr>eyJoZGlkIjoiZTQzZmRmZDMxMjkwMDE2NTk0ZWQ1ZWYwMzRmYjVhNmUiLCJ1c2VySWQiOiI2NDQwNzQxNTQifQ==</vt:lpwstr>
  </property>
</Properties>
</file>