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82487">
      <w:pPr>
        <w:adjustRightInd w:val="0"/>
        <w:snapToGrid w:val="0"/>
        <w:spacing w:line="560" w:lineRule="exact"/>
        <w:jc w:val="left"/>
        <w:rPr>
          <w:rFonts w:hint="default" w:ascii="宋体" w:hAnsi="宋体" w:eastAsia="宋体"/>
          <w:b/>
          <w:sz w:val="24"/>
          <w:szCs w:val="24"/>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w:t>
      </w:r>
      <w:r>
        <w:rPr>
          <w:rFonts w:hint="eastAsia" w:ascii="宋体" w:hAnsi="宋体" w:eastAsia="宋体"/>
          <w:b/>
          <w:sz w:val="24"/>
          <w:szCs w:val="24"/>
          <w:highlight w:val="none"/>
        </w:rPr>
        <w:t>：2</w:t>
      </w:r>
      <w:r>
        <w:rPr>
          <w:rFonts w:ascii="宋体" w:hAnsi="宋体" w:eastAsia="宋体"/>
          <w:b/>
          <w:sz w:val="24"/>
          <w:szCs w:val="24"/>
          <w:highlight w:val="none"/>
        </w:rPr>
        <w:t>024-0</w:t>
      </w:r>
      <w:r>
        <w:rPr>
          <w:rFonts w:hint="eastAsia" w:ascii="宋体" w:hAnsi="宋体" w:eastAsia="宋体"/>
          <w:b/>
          <w:sz w:val="24"/>
          <w:szCs w:val="24"/>
          <w:highlight w:val="none"/>
          <w:lang w:val="en-US" w:eastAsia="zh-CN"/>
        </w:rPr>
        <w:t>77</w:t>
      </w:r>
    </w:p>
    <w:p w14:paraId="14F1A02C">
      <w:pPr>
        <w:adjustRightInd w:val="0"/>
        <w:snapToGrid w:val="0"/>
        <w:spacing w:line="560" w:lineRule="exact"/>
        <w:jc w:val="left"/>
        <w:rPr>
          <w:rFonts w:ascii="仿宋" w:hAnsi="仿宋" w:eastAsia="仿宋_GB2312"/>
          <w:sz w:val="30"/>
          <w:szCs w:val="30"/>
        </w:rPr>
      </w:pPr>
    </w:p>
    <w:p w14:paraId="37EBE820">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7573834D">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关于使用暂时闲置募集资金进行现金管理的公告</w:t>
      </w:r>
      <w:bookmarkStart w:id="0" w:name="_GoBack"/>
      <w:bookmarkEnd w:id="0"/>
    </w:p>
    <w:p w14:paraId="03DB2B05">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14:paraId="113C2700">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p>
    <w:p w14:paraId="4ECDD67E">
      <w:pPr>
        <w:autoSpaceDE w:val="0"/>
        <w:autoSpaceDN w:val="0"/>
        <w:adjustRightInd w:val="0"/>
        <w:snapToGrid w:val="0"/>
        <w:spacing w:line="560" w:lineRule="exact"/>
        <w:rPr>
          <w:rFonts w:ascii="宋体" w:hAnsi="宋体" w:eastAsia="宋体"/>
          <w:color w:val="000000"/>
          <w:sz w:val="24"/>
          <w:szCs w:val="24"/>
        </w:rPr>
      </w:pPr>
    </w:p>
    <w:p w14:paraId="28C4F12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rPr>
        <w:t>重庆望变电气（集团）股份有限公司（以下简称“公司”）于202</w:t>
      </w:r>
      <w:r>
        <w:rPr>
          <w:rFonts w:ascii="宋体" w:hAnsi="宋体" w:eastAsia="宋体"/>
          <w:color w:val="000000"/>
          <w:sz w:val="24"/>
          <w:szCs w:val="24"/>
        </w:rPr>
        <w:t>4</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月2</w:t>
      </w: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日召开了第四届董事会第</w:t>
      </w:r>
      <w:r>
        <w:rPr>
          <w:rFonts w:hint="eastAsia" w:ascii="宋体" w:hAnsi="宋体" w:eastAsia="宋体"/>
          <w:color w:val="000000"/>
          <w:sz w:val="24"/>
          <w:szCs w:val="24"/>
          <w:lang w:val="en-US" w:eastAsia="zh-CN"/>
        </w:rPr>
        <w:t>九</w:t>
      </w:r>
      <w:r>
        <w:rPr>
          <w:rFonts w:hint="eastAsia" w:ascii="宋体" w:hAnsi="宋体" w:eastAsia="宋体"/>
          <w:color w:val="000000"/>
          <w:sz w:val="24"/>
          <w:szCs w:val="24"/>
        </w:rPr>
        <w:t>次会议和第四届监事会第</w:t>
      </w: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次会议，审议通过了《关于使用暂时闲置募集资金进行现金管理的议案》，同意公司使用不超过</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,000万元</w:t>
      </w:r>
      <w:r>
        <w:rPr>
          <w:rFonts w:hint="eastAsia" w:ascii="宋体" w:hAnsi="宋体" w:eastAsia="宋体" w:cs="宋体"/>
          <w:color w:val="000000"/>
          <w:sz w:val="24"/>
          <w:szCs w:val="24"/>
        </w:rPr>
        <w:t>的暂时闲置募集资金进行现金管理，</w:t>
      </w:r>
      <w:r>
        <w:rPr>
          <w:rFonts w:hint="eastAsia" w:ascii="宋体" w:hAnsi="宋体" w:eastAsia="宋体" w:cs="宋体"/>
          <w:sz w:val="24"/>
          <w:szCs w:val="24"/>
          <w:lang w:val="en-US" w:eastAsia="zh-CN"/>
        </w:rPr>
        <w:t>该额度的有效期自2025年1月1日至2025年12月31日止</w:t>
      </w:r>
      <w:r>
        <w:rPr>
          <w:rFonts w:hint="eastAsia" w:ascii="宋体" w:hAnsi="宋体" w:eastAsia="宋体" w:cs="宋体"/>
          <w:sz w:val="24"/>
          <w:szCs w:val="24"/>
        </w:rPr>
        <w:t>，在上述额度</w:t>
      </w:r>
      <w:r>
        <w:rPr>
          <w:rFonts w:hint="eastAsia" w:ascii="宋体" w:hAnsi="宋体" w:eastAsia="宋体" w:cs="宋体"/>
          <w:sz w:val="24"/>
          <w:szCs w:val="24"/>
          <w:lang w:val="en-US" w:eastAsia="zh-CN"/>
        </w:rPr>
        <w:t>及</w:t>
      </w:r>
      <w:r>
        <w:rPr>
          <w:rFonts w:hint="eastAsia" w:ascii="宋体" w:hAnsi="宋体" w:eastAsia="宋体" w:cs="宋体"/>
          <w:sz w:val="24"/>
          <w:szCs w:val="24"/>
        </w:rPr>
        <w:t>有效期限内，公司可循环滚动使用</w:t>
      </w:r>
      <w:r>
        <w:rPr>
          <w:rFonts w:hint="eastAsia" w:ascii="宋体" w:hAnsi="宋体" w:eastAsia="宋体" w:cs="宋体"/>
          <w:color w:val="000000"/>
          <w:sz w:val="24"/>
          <w:szCs w:val="24"/>
        </w:rPr>
        <w:t>，公</w:t>
      </w:r>
      <w:r>
        <w:rPr>
          <w:rFonts w:hint="eastAsia" w:ascii="宋体" w:hAnsi="宋体" w:eastAsia="宋体"/>
          <w:color w:val="000000"/>
          <w:sz w:val="24"/>
          <w:szCs w:val="24"/>
        </w:rPr>
        <w:t>司董事会授权总经理行使投资决策并签署相关合同文件</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该议案无需提交公司股东会审议。</w:t>
      </w:r>
    </w:p>
    <w:p w14:paraId="149C3E2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0"/>
        <w:rPr>
          <w:rFonts w:ascii="宋体" w:hAnsi="宋体" w:eastAsia="宋体"/>
          <w:b/>
          <w:bCs/>
          <w:sz w:val="24"/>
          <w:szCs w:val="24"/>
        </w:rPr>
      </w:pPr>
      <w:r>
        <w:rPr>
          <w:rFonts w:hint="eastAsia" w:ascii="宋体" w:hAnsi="宋体" w:eastAsia="宋体"/>
          <w:b/>
          <w:bCs/>
          <w:sz w:val="24"/>
          <w:szCs w:val="24"/>
        </w:rPr>
        <w:t>一、募集资金基本情况</w:t>
      </w:r>
    </w:p>
    <w:p w14:paraId="01B9675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经中国证券监督管理委员会证监许可[2022]490号文核准，并经上海证券交易所同意，本公司由主承销商中信证券股份有限公司于2022年4月18日向社会公众公开发行普通股（A股）股票83,291,852股，每股面值1元，每股发行价人民币11.86元。截至2022年4月22日止，本公司共募集资金人民币987,841,364.72元，扣除发行费用合计133,279,564.72元，募集资金净额人民币854,561,800.00元。</w:t>
      </w:r>
    </w:p>
    <w:p w14:paraId="4AA4FB9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截止2022年4月22日，本公司上述发行募集的资金已全部到位，业经大华会计师事务所（特殊普通合伙）以“大华验字[2022]000143号”验资报告验证确认。</w:t>
      </w:r>
    </w:p>
    <w:p w14:paraId="5691A11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0"/>
        <w:rPr>
          <w:rFonts w:ascii="宋体" w:hAnsi="宋体" w:eastAsia="宋体"/>
          <w:b/>
          <w:bCs/>
          <w:sz w:val="24"/>
          <w:szCs w:val="24"/>
        </w:rPr>
      </w:pPr>
      <w:r>
        <w:rPr>
          <w:rFonts w:hint="eastAsia" w:ascii="宋体" w:hAnsi="宋体" w:eastAsia="宋体"/>
          <w:b/>
          <w:bCs/>
          <w:sz w:val="24"/>
          <w:szCs w:val="24"/>
        </w:rPr>
        <w:t>二、募集资金管理情况</w:t>
      </w:r>
    </w:p>
    <w:p w14:paraId="2D2BD7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为了规范募集资金的管理和使用，保护投资者权益，本公司依照《中华人民共和国公司法》《中华人民共和国证券法》《上海证券交易所股票上市规则》《上海证券交易所上市公司自律监管指引第1号——规范运作》等法律法规，结合公司实际情况，制定了《重庆望变电气（集团）股份有限公司募集资金管理制度》（以下简称“《管理制度》”），该《管理制度》经本公司2022年第三届第十一次董事会审议通过，并业经本公司2022年第一次临时股东大会表决通过。</w:t>
      </w:r>
    </w:p>
    <w:p w14:paraId="4FBA57A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根据《管理制度》的要求，并结合公司经营需要，本公司分别在招商银行股份有限公司重庆长寿支行（该专户已于2022年6月22日注销）、重庆三峡银行股份有限公司长寿支行、上海浦东发展银行股份有限公司重庆分行、中信银行重庆分行营业部（该专户已于2023年10月13日注销）、中国农业银行股份有限公司重庆长寿支行（该专户已于2023年6月26日注销）、哈尔滨银行股份有限公司重庆分行开设募集资金专项账户。公司与各开户银行、</w:t>
      </w:r>
      <w:r>
        <w:rPr>
          <w:rFonts w:hint="eastAsia" w:ascii="宋体" w:hAnsi="宋体" w:eastAsia="宋体"/>
          <w:sz w:val="24"/>
          <w:szCs w:val="24"/>
          <w:lang w:eastAsia="zh-CN"/>
        </w:rPr>
        <w:t>保荐人</w:t>
      </w:r>
      <w:r>
        <w:rPr>
          <w:rFonts w:hint="eastAsia" w:ascii="宋体" w:hAnsi="宋体" w:eastAsia="宋体"/>
          <w:sz w:val="24"/>
          <w:szCs w:val="24"/>
        </w:rPr>
        <w:t>签署了募集资金三方监管协议，对公开发行股票募集资金的存放和使用情况进行监督。</w:t>
      </w:r>
    </w:p>
    <w:p w14:paraId="605DEF3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0"/>
        <w:rPr>
          <w:rFonts w:ascii="宋体" w:hAnsi="宋体" w:eastAsia="宋体"/>
          <w:b/>
          <w:bCs/>
          <w:sz w:val="24"/>
          <w:szCs w:val="24"/>
        </w:rPr>
      </w:pPr>
      <w:r>
        <w:rPr>
          <w:rFonts w:hint="eastAsia" w:ascii="宋体" w:hAnsi="宋体" w:eastAsia="宋体"/>
          <w:b/>
          <w:bCs/>
          <w:sz w:val="24"/>
          <w:szCs w:val="24"/>
        </w:rPr>
        <w:t>三、募集资金</w:t>
      </w:r>
      <w:r>
        <w:rPr>
          <w:rFonts w:hint="eastAsia" w:ascii="宋体" w:hAnsi="宋体" w:eastAsia="宋体"/>
          <w:b/>
          <w:bCs/>
          <w:sz w:val="24"/>
          <w:szCs w:val="24"/>
          <w:lang w:val="en-US" w:eastAsia="zh-CN"/>
        </w:rPr>
        <w:t>存储</w:t>
      </w:r>
      <w:r>
        <w:rPr>
          <w:rFonts w:hint="eastAsia" w:ascii="宋体" w:hAnsi="宋体" w:eastAsia="宋体"/>
          <w:b/>
          <w:bCs/>
          <w:sz w:val="24"/>
          <w:szCs w:val="24"/>
        </w:rPr>
        <w:t>情况</w:t>
      </w:r>
    </w:p>
    <w:p w14:paraId="54EDD76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公司首次公开发行股票募集资金</w:t>
      </w:r>
      <w:r>
        <w:rPr>
          <w:rFonts w:hint="eastAsia" w:ascii="宋体" w:hAnsi="宋体" w:eastAsia="宋体"/>
          <w:sz w:val="24"/>
          <w:szCs w:val="24"/>
          <w:lang w:val="en-US" w:eastAsia="zh-CN"/>
        </w:rPr>
        <w:t>存储</w:t>
      </w:r>
      <w:r>
        <w:rPr>
          <w:rFonts w:hint="eastAsia" w:ascii="宋体" w:hAnsi="宋体" w:eastAsia="宋体"/>
          <w:sz w:val="24"/>
          <w:szCs w:val="24"/>
        </w:rPr>
        <w:t>情况如下：</w:t>
      </w:r>
    </w:p>
    <w:p w14:paraId="47BB9C32">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right"/>
        <w:textAlignment w:val="auto"/>
        <w:rPr>
          <w:rFonts w:ascii="宋体" w:hAnsi="宋体" w:eastAsia="宋体"/>
          <w:szCs w:val="21"/>
        </w:rPr>
      </w:pPr>
      <w:r>
        <w:rPr>
          <w:rFonts w:hint="eastAsia" w:ascii="宋体" w:hAnsi="宋体" w:eastAsia="宋体"/>
          <w:szCs w:val="21"/>
        </w:rPr>
        <w:t>单位：元</w:t>
      </w:r>
    </w:p>
    <w:tbl>
      <w:tblPr>
        <w:tblStyle w:val="9"/>
        <w:tblpPr w:leftFromText="180" w:rightFromText="180" w:vertAnchor="text" w:horzAnchor="page" w:tblpX="1847" w:tblpY="547"/>
        <w:tblOverlap w:val="never"/>
        <w:tblW w:w="8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633"/>
        <w:gridCol w:w="1612"/>
        <w:gridCol w:w="1550"/>
        <w:gridCol w:w="1281"/>
      </w:tblGrid>
      <w:tr w14:paraId="0E45F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2341" w:type="dxa"/>
            <w:noWrap w:val="0"/>
            <w:vAlign w:val="center"/>
          </w:tcPr>
          <w:p w14:paraId="586D226D">
            <w:pPr>
              <w:keepNext w:val="0"/>
              <w:keepLines w:val="0"/>
              <w:pageBreakBefore w:val="0"/>
              <w:widowControl w:val="0"/>
              <w:kinsoku/>
              <w:wordWrap/>
              <w:overflowPunct/>
              <w:topLinePunct w:val="0"/>
              <w:autoSpaceDE/>
              <w:autoSpaceDN/>
              <w:bidi w:val="0"/>
              <w:snapToGrid w:val="0"/>
              <w:spacing w:after="0" w:line="560" w:lineRule="exact"/>
              <w:ind w:left="0" w:right="0" w:firstLine="0"/>
              <w:jc w:val="center"/>
              <w:textAlignment w:val="auto"/>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银行名称</w:t>
            </w:r>
          </w:p>
        </w:tc>
        <w:tc>
          <w:tcPr>
            <w:tcW w:w="1633" w:type="dxa"/>
            <w:noWrap w:val="0"/>
            <w:vAlign w:val="center"/>
          </w:tcPr>
          <w:p w14:paraId="79B47231">
            <w:pPr>
              <w:keepNext w:val="0"/>
              <w:keepLines w:val="0"/>
              <w:pageBreakBefore w:val="0"/>
              <w:widowControl w:val="0"/>
              <w:kinsoku/>
              <w:wordWrap/>
              <w:overflowPunct/>
              <w:topLinePunct w:val="0"/>
              <w:autoSpaceDE/>
              <w:autoSpaceDN/>
              <w:bidi w:val="0"/>
              <w:snapToGrid w:val="0"/>
              <w:spacing w:after="0" w:line="560" w:lineRule="exact"/>
              <w:ind w:left="0" w:right="0" w:firstLine="0"/>
              <w:jc w:val="center"/>
              <w:textAlignment w:val="auto"/>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账号</w:t>
            </w:r>
          </w:p>
        </w:tc>
        <w:tc>
          <w:tcPr>
            <w:tcW w:w="1612" w:type="dxa"/>
            <w:noWrap w:val="0"/>
            <w:vAlign w:val="center"/>
          </w:tcPr>
          <w:p w14:paraId="4E4911FA">
            <w:pPr>
              <w:keepNext w:val="0"/>
              <w:keepLines w:val="0"/>
              <w:pageBreakBefore w:val="0"/>
              <w:widowControl w:val="0"/>
              <w:kinsoku/>
              <w:wordWrap/>
              <w:overflowPunct/>
              <w:topLinePunct w:val="0"/>
              <w:autoSpaceDE/>
              <w:autoSpaceDN/>
              <w:bidi w:val="0"/>
              <w:snapToGrid w:val="0"/>
              <w:spacing w:after="0" w:line="560" w:lineRule="exact"/>
              <w:ind w:left="0" w:right="0" w:firstLine="0"/>
              <w:jc w:val="center"/>
              <w:textAlignment w:val="auto"/>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初时存放金额</w:t>
            </w:r>
          </w:p>
        </w:tc>
        <w:tc>
          <w:tcPr>
            <w:tcW w:w="1550" w:type="dxa"/>
            <w:noWrap w:val="0"/>
            <w:vAlign w:val="center"/>
          </w:tcPr>
          <w:p w14:paraId="40C40532">
            <w:pPr>
              <w:keepNext w:val="0"/>
              <w:keepLines w:val="0"/>
              <w:pageBreakBefore w:val="0"/>
              <w:widowControl w:val="0"/>
              <w:kinsoku/>
              <w:wordWrap/>
              <w:overflowPunct/>
              <w:topLinePunct w:val="0"/>
              <w:autoSpaceDE/>
              <w:autoSpaceDN/>
              <w:bidi w:val="0"/>
              <w:snapToGrid w:val="0"/>
              <w:spacing w:after="0" w:line="560" w:lineRule="exact"/>
              <w:ind w:left="0" w:right="0" w:firstLine="0"/>
              <w:jc w:val="center"/>
              <w:textAlignment w:val="auto"/>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截止</w:t>
            </w:r>
            <w:r>
              <w:rPr>
                <w:rFonts w:hint="eastAsia" w:ascii="Times New Roman" w:hAnsi="Times New Roman" w:cs="Times New Roman"/>
                <w:b/>
                <w:bCs/>
                <w:color w:val="auto"/>
                <w:kern w:val="0"/>
                <w:sz w:val="21"/>
                <w:szCs w:val="21"/>
                <w:lang w:val="en-US" w:eastAsia="zh-CN"/>
              </w:rPr>
              <w:t>2024年10月31日</w:t>
            </w:r>
            <w:r>
              <w:rPr>
                <w:rFonts w:ascii="Times New Roman" w:hAnsi="Times New Roman" w:cs="Times New Roman"/>
                <w:b/>
                <w:bCs/>
                <w:color w:val="auto"/>
                <w:kern w:val="0"/>
                <w:sz w:val="21"/>
                <w:szCs w:val="21"/>
              </w:rPr>
              <w:t>余额</w:t>
            </w:r>
          </w:p>
        </w:tc>
        <w:tc>
          <w:tcPr>
            <w:tcW w:w="1281" w:type="dxa"/>
            <w:noWrap w:val="0"/>
            <w:vAlign w:val="center"/>
          </w:tcPr>
          <w:p w14:paraId="7B2269EC">
            <w:pPr>
              <w:keepNext w:val="0"/>
              <w:keepLines w:val="0"/>
              <w:pageBreakBefore w:val="0"/>
              <w:widowControl w:val="0"/>
              <w:kinsoku/>
              <w:wordWrap/>
              <w:overflowPunct/>
              <w:topLinePunct w:val="0"/>
              <w:autoSpaceDE/>
              <w:autoSpaceDN/>
              <w:bidi w:val="0"/>
              <w:snapToGrid w:val="0"/>
              <w:spacing w:after="0" w:line="560" w:lineRule="exact"/>
              <w:ind w:left="0" w:right="0" w:firstLine="0"/>
              <w:jc w:val="center"/>
              <w:textAlignment w:val="auto"/>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存储方式</w:t>
            </w:r>
          </w:p>
        </w:tc>
      </w:tr>
      <w:tr w14:paraId="07A10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1" w:type="dxa"/>
            <w:noWrap w:val="0"/>
            <w:vAlign w:val="center"/>
          </w:tcPr>
          <w:p w14:paraId="0FF56A61">
            <w:pPr>
              <w:keepNext w:val="0"/>
              <w:keepLines w:val="0"/>
              <w:pageBreakBefore w:val="0"/>
              <w:widowControl w:val="0"/>
              <w:kinsoku/>
              <w:wordWrap/>
              <w:overflowPunct/>
              <w:topLinePunct w:val="0"/>
              <w:autoSpaceDE/>
              <w:autoSpaceDN/>
              <w:bidi w:val="0"/>
              <w:snapToGrid w:val="0"/>
              <w:spacing w:after="0" w:line="560" w:lineRule="exact"/>
              <w:ind w:left="0" w:right="0" w:firstLine="0"/>
              <w:jc w:val="both"/>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招商银行重庆分行长寿支行</w:t>
            </w:r>
          </w:p>
        </w:tc>
        <w:tc>
          <w:tcPr>
            <w:tcW w:w="1633" w:type="dxa"/>
            <w:noWrap w:val="0"/>
            <w:vAlign w:val="center"/>
          </w:tcPr>
          <w:p w14:paraId="4BB7EB22">
            <w:pPr>
              <w:keepNext w:val="0"/>
              <w:keepLines w:val="0"/>
              <w:pageBreakBefore w:val="0"/>
              <w:widowControl w:val="0"/>
              <w:kinsoku/>
              <w:wordWrap/>
              <w:overflowPunct/>
              <w:topLinePunct w:val="0"/>
              <w:autoSpaceDE/>
              <w:autoSpaceDN/>
              <w:bidi w:val="0"/>
              <w:snapToGrid w:val="0"/>
              <w:spacing w:after="0" w:line="560" w:lineRule="exact"/>
              <w:ind w:left="0" w:right="0" w:firstLine="0"/>
              <w:jc w:val="both"/>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123905910610303</w:t>
            </w:r>
          </w:p>
        </w:tc>
        <w:tc>
          <w:tcPr>
            <w:tcW w:w="1612" w:type="dxa"/>
            <w:noWrap w:val="0"/>
            <w:vAlign w:val="center"/>
          </w:tcPr>
          <w:p w14:paraId="12C9144D">
            <w:pPr>
              <w:keepNext w:val="0"/>
              <w:keepLines w:val="0"/>
              <w:pageBreakBefore w:val="0"/>
              <w:widowControl w:val="0"/>
              <w:kinsoku/>
              <w:wordWrap/>
              <w:overflowPunct/>
              <w:topLinePunct w:val="0"/>
              <w:autoSpaceDE/>
              <w:autoSpaceDN/>
              <w:bidi w:val="0"/>
              <w:snapToGrid w:val="0"/>
              <w:spacing w:after="0" w:line="560" w:lineRule="exact"/>
              <w:ind w:left="0" w:right="0" w:firstLine="0"/>
              <w:jc w:val="right"/>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390,429,100.00</w:t>
            </w:r>
          </w:p>
        </w:tc>
        <w:tc>
          <w:tcPr>
            <w:tcW w:w="1550" w:type="dxa"/>
            <w:noWrap w:val="0"/>
            <w:vAlign w:val="center"/>
          </w:tcPr>
          <w:p w14:paraId="45F55C39">
            <w:pPr>
              <w:keepNext w:val="0"/>
              <w:keepLines w:val="0"/>
              <w:pageBreakBefore w:val="0"/>
              <w:widowControl w:val="0"/>
              <w:kinsoku/>
              <w:wordWrap/>
              <w:overflowPunct/>
              <w:topLinePunct w:val="0"/>
              <w:autoSpaceDE/>
              <w:autoSpaceDN/>
              <w:bidi w:val="0"/>
              <w:snapToGrid w:val="0"/>
              <w:spacing w:after="0" w:line="560" w:lineRule="exact"/>
              <w:ind w:left="0" w:right="0" w:firstLine="0"/>
              <w:jc w:val="right"/>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w:t>
            </w:r>
          </w:p>
        </w:tc>
        <w:tc>
          <w:tcPr>
            <w:tcW w:w="1281" w:type="dxa"/>
            <w:noWrap w:val="0"/>
            <w:vAlign w:val="center"/>
          </w:tcPr>
          <w:p w14:paraId="074BC69D">
            <w:pPr>
              <w:keepNext w:val="0"/>
              <w:keepLines w:val="0"/>
              <w:pageBreakBefore w:val="0"/>
              <w:widowControl w:val="0"/>
              <w:kinsoku/>
              <w:wordWrap/>
              <w:overflowPunct/>
              <w:topLinePunct w:val="0"/>
              <w:autoSpaceDE/>
              <w:autoSpaceDN/>
              <w:bidi w:val="0"/>
              <w:snapToGrid w:val="0"/>
              <w:spacing w:after="0" w:line="560" w:lineRule="exact"/>
              <w:ind w:left="0" w:right="0" w:firstLine="0"/>
              <w:jc w:val="both"/>
              <w:textAlignment w:val="auto"/>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账户已注销</w:t>
            </w:r>
          </w:p>
        </w:tc>
      </w:tr>
      <w:tr w14:paraId="2F8F1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41" w:type="dxa"/>
            <w:noWrap w:val="0"/>
            <w:vAlign w:val="center"/>
          </w:tcPr>
          <w:p w14:paraId="5231406D">
            <w:pPr>
              <w:keepNext w:val="0"/>
              <w:keepLines w:val="0"/>
              <w:pageBreakBefore w:val="0"/>
              <w:widowControl w:val="0"/>
              <w:kinsoku/>
              <w:wordWrap/>
              <w:overflowPunct/>
              <w:topLinePunct w:val="0"/>
              <w:autoSpaceDE/>
              <w:autoSpaceDN/>
              <w:bidi w:val="0"/>
              <w:snapToGrid w:val="0"/>
              <w:spacing w:after="0" w:line="560" w:lineRule="exact"/>
              <w:ind w:left="0" w:right="0" w:firstLine="0"/>
              <w:jc w:val="both"/>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中信银行重庆分行营业部</w:t>
            </w:r>
          </w:p>
        </w:tc>
        <w:tc>
          <w:tcPr>
            <w:tcW w:w="1633" w:type="dxa"/>
            <w:noWrap w:val="0"/>
            <w:vAlign w:val="center"/>
          </w:tcPr>
          <w:p w14:paraId="6464F3BA">
            <w:pPr>
              <w:keepNext w:val="0"/>
              <w:keepLines w:val="0"/>
              <w:pageBreakBefore w:val="0"/>
              <w:widowControl w:val="0"/>
              <w:kinsoku/>
              <w:wordWrap/>
              <w:overflowPunct/>
              <w:topLinePunct w:val="0"/>
              <w:autoSpaceDE/>
              <w:autoSpaceDN/>
              <w:bidi w:val="0"/>
              <w:snapToGrid w:val="0"/>
              <w:spacing w:after="0" w:line="560" w:lineRule="exact"/>
              <w:ind w:left="0" w:right="0" w:firstLine="0"/>
              <w:jc w:val="both"/>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8111201012200530541</w:t>
            </w:r>
          </w:p>
        </w:tc>
        <w:tc>
          <w:tcPr>
            <w:tcW w:w="1612" w:type="dxa"/>
            <w:noWrap w:val="0"/>
            <w:vAlign w:val="center"/>
          </w:tcPr>
          <w:p w14:paraId="0CC21FE7">
            <w:pPr>
              <w:keepNext w:val="0"/>
              <w:keepLines w:val="0"/>
              <w:pageBreakBefore w:val="0"/>
              <w:widowControl w:val="0"/>
              <w:kinsoku/>
              <w:wordWrap/>
              <w:overflowPunct/>
              <w:topLinePunct w:val="0"/>
              <w:autoSpaceDE/>
              <w:autoSpaceDN/>
              <w:bidi w:val="0"/>
              <w:snapToGrid w:val="0"/>
              <w:spacing w:after="0" w:line="560" w:lineRule="exact"/>
              <w:ind w:left="0" w:right="0" w:firstLine="0"/>
              <w:jc w:val="right"/>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128,326,800.00</w:t>
            </w:r>
          </w:p>
        </w:tc>
        <w:tc>
          <w:tcPr>
            <w:tcW w:w="1550" w:type="dxa"/>
            <w:noWrap w:val="0"/>
            <w:vAlign w:val="center"/>
          </w:tcPr>
          <w:p w14:paraId="64A4473D">
            <w:pPr>
              <w:keepNext w:val="0"/>
              <w:keepLines w:val="0"/>
              <w:pageBreakBefore w:val="0"/>
              <w:widowControl w:val="0"/>
              <w:kinsoku/>
              <w:wordWrap/>
              <w:overflowPunct/>
              <w:topLinePunct w:val="0"/>
              <w:autoSpaceDE/>
              <w:autoSpaceDN/>
              <w:bidi w:val="0"/>
              <w:snapToGrid w:val="0"/>
              <w:spacing w:after="0" w:line="560" w:lineRule="exact"/>
              <w:ind w:left="0" w:right="0" w:firstLine="0"/>
              <w:jc w:val="right"/>
              <w:textAlignment w:val="auto"/>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w:t>
            </w:r>
          </w:p>
        </w:tc>
        <w:tc>
          <w:tcPr>
            <w:tcW w:w="1281" w:type="dxa"/>
            <w:noWrap w:val="0"/>
            <w:vAlign w:val="center"/>
          </w:tcPr>
          <w:p w14:paraId="15F671CC">
            <w:pPr>
              <w:keepNext w:val="0"/>
              <w:keepLines w:val="0"/>
              <w:pageBreakBefore w:val="0"/>
              <w:widowControl w:val="0"/>
              <w:kinsoku/>
              <w:wordWrap/>
              <w:overflowPunct/>
              <w:topLinePunct w:val="0"/>
              <w:autoSpaceDE/>
              <w:autoSpaceDN/>
              <w:bidi w:val="0"/>
              <w:snapToGrid w:val="0"/>
              <w:spacing w:after="0" w:line="560" w:lineRule="exact"/>
              <w:ind w:left="0" w:right="0" w:firstLine="0"/>
              <w:jc w:val="both"/>
              <w:textAlignment w:val="auto"/>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账户已注销</w:t>
            </w:r>
          </w:p>
        </w:tc>
      </w:tr>
      <w:tr w14:paraId="18A09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1" w:type="dxa"/>
            <w:noWrap w:val="0"/>
            <w:vAlign w:val="center"/>
          </w:tcPr>
          <w:p w14:paraId="533D2FC6">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重庆三峡银行股份有限公司长寿支行</w:t>
            </w:r>
          </w:p>
        </w:tc>
        <w:tc>
          <w:tcPr>
            <w:tcW w:w="1633" w:type="dxa"/>
            <w:noWrap w:val="0"/>
            <w:vAlign w:val="center"/>
          </w:tcPr>
          <w:p w14:paraId="04C50248">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0153016820000020</w:t>
            </w:r>
          </w:p>
        </w:tc>
        <w:tc>
          <w:tcPr>
            <w:tcW w:w="1612" w:type="dxa"/>
            <w:noWrap w:val="0"/>
            <w:vAlign w:val="center"/>
          </w:tcPr>
          <w:p w14:paraId="524F43CF">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73,305,900.00</w:t>
            </w:r>
          </w:p>
        </w:tc>
        <w:tc>
          <w:tcPr>
            <w:tcW w:w="1550" w:type="dxa"/>
            <w:noWrap w:val="0"/>
            <w:vAlign w:val="center"/>
          </w:tcPr>
          <w:p w14:paraId="75336E74">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Cs w:val="21"/>
              </w:rPr>
              <w:t>24,265,697.33</w:t>
            </w:r>
            <w:r>
              <w:rPr>
                <w:rFonts w:hint="eastAsia" w:ascii="Times New Roman" w:hAnsi="Times New Roman" w:cs="Times New Roman"/>
                <w:color w:val="auto"/>
                <w:kern w:val="0"/>
                <w:sz w:val="21"/>
                <w:szCs w:val="21"/>
              </w:rPr>
              <w:t xml:space="preserve">  </w:t>
            </w:r>
          </w:p>
        </w:tc>
        <w:tc>
          <w:tcPr>
            <w:tcW w:w="1281" w:type="dxa"/>
            <w:noWrap w:val="0"/>
            <w:vAlign w:val="center"/>
          </w:tcPr>
          <w:p w14:paraId="21D3FB85">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活期存款/活期协议存款</w:t>
            </w:r>
          </w:p>
        </w:tc>
      </w:tr>
      <w:tr w14:paraId="015F5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1" w:type="dxa"/>
            <w:noWrap w:val="0"/>
            <w:vAlign w:val="center"/>
          </w:tcPr>
          <w:p w14:paraId="40819278">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浦发银行重庆长寿支行</w:t>
            </w:r>
          </w:p>
        </w:tc>
        <w:tc>
          <w:tcPr>
            <w:tcW w:w="1633" w:type="dxa"/>
            <w:noWrap w:val="0"/>
            <w:vAlign w:val="center"/>
          </w:tcPr>
          <w:p w14:paraId="0975B030">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83260078801700000608</w:t>
            </w:r>
          </w:p>
        </w:tc>
        <w:tc>
          <w:tcPr>
            <w:tcW w:w="1612" w:type="dxa"/>
            <w:noWrap w:val="0"/>
            <w:vAlign w:val="center"/>
          </w:tcPr>
          <w:p w14:paraId="4DB8B30E">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62,500,000.00</w:t>
            </w:r>
          </w:p>
        </w:tc>
        <w:tc>
          <w:tcPr>
            <w:tcW w:w="1550" w:type="dxa"/>
            <w:noWrap w:val="0"/>
            <w:vAlign w:val="center"/>
          </w:tcPr>
          <w:p w14:paraId="58525C4E">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 </w:t>
            </w:r>
            <w:r>
              <w:rPr>
                <w:rFonts w:hint="eastAsia" w:ascii="Times New Roman" w:hAnsi="Times New Roman" w:cs="Times New Roman"/>
                <w:color w:val="auto"/>
                <w:kern w:val="0"/>
                <w:szCs w:val="21"/>
              </w:rPr>
              <w:t>5,812,530.86</w:t>
            </w:r>
            <w:r>
              <w:rPr>
                <w:rFonts w:hint="eastAsia" w:ascii="Times New Roman" w:hAnsi="Times New Roman" w:cs="Times New Roman"/>
                <w:color w:val="auto"/>
                <w:kern w:val="0"/>
                <w:sz w:val="21"/>
                <w:szCs w:val="21"/>
              </w:rPr>
              <w:t xml:space="preserve"> </w:t>
            </w:r>
          </w:p>
        </w:tc>
        <w:tc>
          <w:tcPr>
            <w:tcW w:w="1281" w:type="dxa"/>
            <w:noWrap w:val="0"/>
            <w:vAlign w:val="center"/>
          </w:tcPr>
          <w:p w14:paraId="4DA15378">
            <w:pPr>
              <w:widowControl w:val="0"/>
              <w:snapToGrid w:val="0"/>
              <w:spacing w:after="0" w:line="240" w:lineRule="auto"/>
              <w:ind w:left="0" w:right="0" w:firstLine="0"/>
              <w:jc w:val="both"/>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rPr>
              <w:t>活期存款/活期协议存款</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不含2500万元结构性存款</w:t>
            </w:r>
          </w:p>
        </w:tc>
      </w:tr>
      <w:tr w14:paraId="5C48F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1" w:type="dxa"/>
            <w:noWrap w:val="0"/>
            <w:vAlign w:val="center"/>
          </w:tcPr>
          <w:p w14:paraId="66D38959">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中国农业银行股份有限公司重庆长寿支行</w:t>
            </w:r>
          </w:p>
        </w:tc>
        <w:tc>
          <w:tcPr>
            <w:tcW w:w="1633" w:type="dxa"/>
            <w:noWrap w:val="0"/>
            <w:vAlign w:val="center"/>
          </w:tcPr>
          <w:p w14:paraId="78DE8862">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31130101040017435</w:t>
            </w:r>
          </w:p>
        </w:tc>
        <w:tc>
          <w:tcPr>
            <w:tcW w:w="1612" w:type="dxa"/>
            <w:noWrap w:val="0"/>
            <w:vAlign w:val="center"/>
          </w:tcPr>
          <w:p w14:paraId="5EA3D5AA">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229,864,470.38</w:t>
            </w:r>
          </w:p>
        </w:tc>
        <w:tc>
          <w:tcPr>
            <w:tcW w:w="1550" w:type="dxa"/>
            <w:noWrap w:val="0"/>
            <w:vAlign w:val="center"/>
          </w:tcPr>
          <w:p w14:paraId="1A156072">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w:t>
            </w:r>
          </w:p>
        </w:tc>
        <w:tc>
          <w:tcPr>
            <w:tcW w:w="1281" w:type="dxa"/>
            <w:noWrap w:val="0"/>
            <w:vAlign w:val="center"/>
          </w:tcPr>
          <w:p w14:paraId="1B5C3082">
            <w:pPr>
              <w:widowControl w:val="0"/>
              <w:snapToGrid w:val="0"/>
              <w:spacing w:after="0" w:line="240" w:lineRule="auto"/>
              <w:ind w:left="0" w:right="0" w:firstLine="0"/>
              <w:jc w:val="both"/>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账户已注销</w:t>
            </w:r>
          </w:p>
        </w:tc>
      </w:tr>
      <w:tr w14:paraId="6917A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1" w:type="dxa"/>
            <w:vMerge w:val="restart"/>
            <w:noWrap w:val="0"/>
            <w:vAlign w:val="center"/>
          </w:tcPr>
          <w:p w14:paraId="28168018">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哈尔滨银行股份有限公司重庆分行</w:t>
            </w:r>
          </w:p>
        </w:tc>
        <w:tc>
          <w:tcPr>
            <w:tcW w:w="1633" w:type="dxa"/>
            <w:noWrap w:val="0"/>
            <w:vAlign w:val="center"/>
          </w:tcPr>
          <w:p w14:paraId="27A08B21">
            <w:pPr>
              <w:widowControl w:val="0"/>
              <w:snapToGrid w:val="0"/>
              <w:spacing w:after="0" w:line="240" w:lineRule="auto"/>
              <w:ind w:left="0" w:right="0" w:firstLine="0"/>
              <w:jc w:val="both"/>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18010000001689409</w:t>
            </w:r>
          </w:p>
        </w:tc>
        <w:tc>
          <w:tcPr>
            <w:tcW w:w="1612" w:type="dxa"/>
            <w:noWrap w:val="0"/>
            <w:vAlign w:val="center"/>
          </w:tcPr>
          <w:p w14:paraId="3030F245">
            <w:pPr>
              <w:widowControl w:val="0"/>
              <w:snapToGrid w:val="0"/>
              <w:spacing w:after="0" w:line="240" w:lineRule="auto"/>
              <w:ind w:left="0" w:right="0" w:firstLine="0"/>
              <w:jc w:val="right"/>
              <w:rPr>
                <w:rFonts w:hint="eastAsia"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c>
          <w:tcPr>
            <w:tcW w:w="1550" w:type="dxa"/>
            <w:noWrap w:val="0"/>
            <w:vAlign w:val="center"/>
          </w:tcPr>
          <w:p w14:paraId="1D046E94">
            <w:pPr>
              <w:widowControl w:val="0"/>
              <w:snapToGrid w:val="0"/>
              <w:spacing w:after="0" w:line="240" w:lineRule="auto"/>
              <w:ind w:left="0" w:right="0" w:firstLine="0"/>
              <w:jc w:val="right"/>
              <w:rPr>
                <w:rFonts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 </w:t>
            </w:r>
            <w:r>
              <w:rPr>
                <w:rFonts w:hint="eastAsia" w:ascii="Times New Roman" w:hAnsi="Times New Roman" w:cs="Times New Roman"/>
                <w:color w:val="auto"/>
                <w:kern w:val="0"/>
                <w:szCs w:val="21"/>
                <w:lang w:val="en-US" w:eastAsia="zh-CN"/>
              </w:rPr>
              <w:t>163,177.70</w:t>
            </w:r>
            <w:r>
              <w:rPr>
                <w:rFonts w:hint="eastAsia" w:ascii="Times New Roman" w:hAnsi="Times New Roman" w:cs="Times New Roman"/>
                <w:color w:val="auto"/>
                <w:kern w:val="0"/>
                <w:sz w:val="21"/>
                <w:szCs w:val="21"/>
              </w:rPr>
              <w:t xml:space="preserve"> </w:t>
            </w:r>
          </w:p>
        </w:tc>
        <w:tc>
          <w:tcPr>
            <w:tcW w:w="1281" w:type="dxa"/>
            <w:vMerge w:val="restart"/>
            <w:noWrap w:val="0"/>
            <w:vAlign w:val="center"/>
          </w:tcPr>
          <w:p w14:paraId="448B606D">
            <w:pPr>
              <w:widowControl w:val="0"/>
              <w:snapToGrid w:val="0"/>
              <w:spacing w:after="0" w:line="240" w:lineRule="auto"/>
              <w:ind w:left="0" w:right="0" w:firstLine="0"/>
              <w:jc w:val="both"/>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活期存款/</w:t>
            </w:r>
            <w:r>
              <w:rPr>
                <w:rFonts w:hint="eastAsia" w:ascii="Times New Roman" w:hAnsi="Times New Roman" w:cs="Times New Roman"/>
                <w:color w:val="auto"/>
                <w:kern w:val="0"/>
                <w:sz w:val="21"/>
                <w:szCs w:val="21"/>
              </w:rPr>
              <w:t>活期协议存款</w:t>
            </w:r>
          </w:p>
        </w:tc>
      </w:tr>
      <w:tr w14:paraId="754C6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1" w:type="dxa"/>
            <w:vMerge w:val="continue"/>
            <w:noWrap w:val="0"/>
            <w:vAlign w:val="center"/>
          </w:tcPr>
          <w:p w14:paraId="6DDFF201">
            <w:pPr>
              <w:widowControl w:val="0"/>
              <w:snapToGrid w:val="0"/>
              <w:spacing w:after="0" w:line="240" w:lineRule="auto"/>
              <w:ind w:left="0" w:right="0" w:firstLine="0"/>
              <w:jc w:val="both"/>
              <w:rPr>
                <w:rFonts w:hint="eastAsia" w:ascii="Times New Roman" w:hAnsi="Times New Roman" w:cs="Times New Roman"/>
                <w:color w:val="auto"/>
                <w:kern w:val="0"/>
                <w:sz w:val="21"/>
                <w:szCs w:val="21"/>
              </w:rPr>
            </w:pPr>
          </w:p>
        </w:tc>
        <w:tc>
          <w:tcPr>
            <w:tcW w:w="1633" w:type="dxa"/>
            <w:noWrap w:val="0"/>
            <w:vAlign w:val="center"/>
          </w:tcPr>
          <w:p w14:paraId="1CF28438">
            <w:pPr>
              <w:widowControl w:val="0"/>
              <w:snapToGrid w:val="0"/>
              <w:spacing w:after="0" w:line="240" w:lineRule="auto"/>
              <w:ind w:left="0" w:right="0" w:firstLine="0"/>
              <w:jc w:val="both"/>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18020000000113906（虚拟账号）</w:t>
            </w:r>
          </w:p>
        </w:tc>
        <w:tc>
          <w:tcPr>
            <w:tcW w:w="1612" w:type="dxa"/>
            <w:noWrap w:val="0"/>
            <w:vAlign w:val="center"/>
          </w:tcPr>
          <w:p w14:paraId="7CFA0807">
            <w:pPr>
              <w:widowControl w:val="0"/>
              <w:snapToGrid w:val="0"/>
              <w:spacing w:after="0" w:line="240" w:lineRule="auto"/>
              <w:ind w:left="0" w:right="0" w:firstLine="0"/>
              <w:jc w:val="right"/>
              <w:rPr>
                <w:rFonts w:hint="eastAsia"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c>
          <w:tcPr>
            <w:tcW w:w="1550" w:type="dxa"/>
            <w:noWrap w:val="0"/>
            <w:vAlign w:val="center"/>
          </w:tcPr>
          <w:p w14:paraId="6ED2D323">
            <w:pPr>
              <w:widowControl w:val="0"/>
              <w:snapToGrid w:val="0"/>
              <w:spacing w:after="0" w:line="240" w:lineRule="auto"/>
              <w:ind w:left="0" w:right="0" w:firstLine="0"/>
              <w:jc w:val="right"/>
              <w:rPr>
                <w:rFonts w:hint="default" w:ascii="Times New Roman" w:hAnsi="Times New Roman" w:cs="Times New Roman" w:eastAsiaTheme="minorEastAsia"/>
                <w:color w:val="auto"/>
                <w:kern w:val="0"/>
                <w:sz w:val="21"/>
                <w:szCs w:val="21"/>
                <w:lang w:val="en-US" w:eastAsia="zh-CN"/>
              </w:rPr>
            </w:pPr>
            <w:r>
              <w:rPr>
                <w:rFonts w:hint="eastAsia" w:ascii="Times New Roman" w:hAnsi="Times New Roman" w:cs="Times New Roman"/>
                <w:color w:val="auto"/>
                <w:kern w:val="0"/>
                <w:sz w:val="21"/>
                <w:szCs w:val="21"/>
                <w:lang w:val="en-US" w:eastAsia="zh-CN"/>
              </w:rPr>
              <w:t>80,816,103.32</w:t>
            </w:r>
          </w:p>
        </w:tc>
        <w:tc>
          <w:tcPr>
            <w:tcW w:w="1281" w:type="dxa"/>
            <w:vMerge w:val="continue"/>
            <w:noWrap w:val="0"/>
            <w:vAlign w:val="center"/>
          </w:tcPr>
          <w:p w14:paraId="31BE6A23">
            <w:pPr>
              <w:widowControl w:val="0"/>
              <w:snapToGrid w:val="0"/>
              <w:spacing w:after="0" w:line="240" w:lineRule="auto"/>
              <w:ind w:left="0" w:right="0" w:firstLine="0"/>
              <w:jc w:val="both"/>
              <w:rPr>
                <w:rFonts w:hint="eastAsia" w:ascii="Times New Roman" w:hAnsi="Times New Roman" w:cs="Times New Roman"/>
                <w:color w:val="auto"/>
                <w:kern w:val="0"/>
                <w:sz w:val="21"/>
                <w:szCs w:val="21"/>
              </w:rPr>
            </w:pPr>
          </w:p>
        </w:tc>
      </w:tr>
      <w:tr w14:paraId="636DF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41" w:type="dxa"/>
            <w:noWrap w:val="0"/>
            <w:vAlign w:val="center"/>
          </w:tcPr>
          <w:p w14:paraId="707ADC96">
            <w:pPr>
              <w:widowControl w:val="0"/>
              <w:snapToGrid w:val="0"/>
              <w:spacing w:after="0" w:line="240" w:lineRule="auto"/>
              <w:ind w:left="0" w:right="0" w:firstLine="0"/>
              <w:jc w:val="center"/>
              <w:rPr>
                <w:rFonts w:ascii="Times New Roman" w:hAnsi="Times New Roman" w:cs="Times New Roman"/>
                <w:b/>
                <w:bCs/>
                <w:color w:val="auto"/>
                <w:kern w:val="0"/>
                <w:sz w:val="21"/>
                <w:szCs w:val="21"/>
              </w:rPr>
            </w:pPr>
            <w:r>
              <w:rPr>
                <w:rFonts w:hint="eastAsia" w:ascii="Times New Roman" w:hAnsi="Times New Roman" w:cs="Times New Roman"/>
                <w:b/>
                <w:bCs/>
                <w:color w:val="auto"/>
                <w:kern w:val="0"/>
                <w:sz w:val="21"/>
                <w:szCs w:val="21"/>
              </w:rPr>
              <w:t>合计</w:t>
            </w:r>
          </w:p>
        </w:tc>
        <w:tc>
          <w:tcPr>
            <w:tcW w:w="1633" w:type="dxa"/>
            <w:noWrap w:val="0"/>
            <w:vAlign w:val="center"/>
          </w:tcPr>
          <w:p w14:paraId="47E5752B">
            <w:pPr>
              <w:widowControl w:val="0"/>
              <w:snapToGrid w:val="0"/>
              <w:spacing w:after="0" w:line="240" w:lineRule="auto"/>
              <w:ind w:left="0" w:right="0" w:firstLine="0"/>
              <w:jc w:val="right"/>
              <w:rPr>
                <w:rFonts w:ascii="Times New Roman" w:hAnsi="Times New Roman" w:cs="Times New Roman"/>
                <w:b/>
                <w:bCs/>
                <w:color w:val="auto"/>
                <w:kern w:val="0"/>
                <w:sz w:val="21"/>
                <w:szCs w:val="21"/>
              </w:rPr>
            </w:pPr>
          </w:p>
        </w:tc>
        <w:tc>
          <w:tcPr>
            <w:tcW w:w="1612" w:type="dxa"/>
            <w:noWrap w:val="0"/>
            <w:vAlign w:val="center"/>
          </w:tcPr>
          <w:p w14:paraId="1A20E30A">
            <w:pPr>
              <w:widowControl w:val="0"/>
              <w:snapToGrid w:val="0"/>
              <w:spacing w:after="0" w:line="240" w:lineRule="auto"/>
              <w:ind w:left="0" w:right="0" w:firstLine="0"/>
              <w:jc w:val="right"/>
              <w:rPr>
                <w:rFonts w:ascii="Times New Roman" w:hAnsi="Times New Roman" w:cs="Times New Roman"/>
                <w:b/>
                <w:bCs/>
                <w:color w:val="auto"/>
                <w:kern w:val="0"/>
                <w:sz w:val="21"/>
                <w:szCs w:val="21"/>
              </w:rPr>
            </w:pPr>
            <w:r>
              <w:rPr>
                <w:rFonts w:ascii="Times New Roman" w:hAnsi="Times New Roman" w:cs="Times New Roman"/>
                <w:b/>
                <w:bCs/>
                <w:color w:val="auto"/>
                <w:kern w:val="0"/>
                <w:sz w:val="21"/>
                <w:szCs w:val="21"/>
              </w:rPr>
              <w:t>884,426,270.38</w:t>
            </w:r>
          </w:p>
        </w:tc>
        <w:tc>
          <w:tcPr>
            <w:tcW w:w="1550" w:type="dxa"/>
            <w:noWrap w:val="0"/>
            <w:vAlign w:val="center"/>
          </w:tcPr>
          <w:p w14:paraId="65188A25">
            <w:pPr>
              <w:widowControl w:val="0"/>
              <w:snapToGrid w:val="0"/>
              <w:spacing w:after="0" w:line="240" w:lineRule="auto"/>
              <w:ind w:left="0" w:right="0" w:firstLine="0"/>
              <w:jc w:val="right"/>
              <w:rPr>
                <w:rFonts w:ascii="Times New Roman" w:hAnsi="Times New Roman" w:cs="Times New Roman"/>
                <w:b/>
                <w:bCs/>
                <w:color w:val="auto"/>
                <w:kern w:val="0"/>
                <w:sz w:val="21"/>
                <w:szCs w:val="21"/>
              </w:rPr>
            </w:pPr>
            <w:r>
              <w:rPr>
                <w:rFonts w:hint="eastAsia" w:ascii="Times New Roman" w:hAnsi="Times New Roman" w:cs="Times New Roman"/>
                <w:b/>
                <w:bCs/>
                <w:color w:val="auto"/>
                <w:kern w:val="0"/>
                <w:sz w:val="21"/>
                <w:szCs w:val="21"/>
              </w:rPr>
              <w:t xml:space="preserve">111,057,509.21  </w:t>
            </w:r>
          </w:p>
        </w:tc>
        <w:tc>
          <w:tcPr>
            <w:tcW w:w="1281" w:type="dxa"/>
            <w:noWrap w:val="0"/>
            <w:vAlign w:val="center"/>
          </w:tcPr>
          <w:p w14:paraId="2FEF1FA1">
            <w:pPr>
              <w:widowControl w:val="0"/>
              <w:snapToGrid w:val="0"/>
              <w:spacing w:after="0" w:line="240" w:lineRule="auto"/>
              <w:ind w:left="0" w:right="0" w:firstLine="0"/>
              <w:jc w:val="right"/>
              <w:rPr>
                <w:rFonts w:ascii="Times New Roman" w:hAnsi="Times New Roman" w:cs="Times New Roman"/>
                <w:b/>
                <w:bCs/>
                <w:color w:val="auto"/>
                <w:kern w:val="0"/>
                <w:sz w:val="21"/>
                <w:szCs w:val="21"/>
              </w:rPr>
            </w:pPr>
          </w:p>
        </w:tc>
      </w:tr>
    </w:tbl>
    <w:p w14:paraId="11904903">
      <w:pPr>
        <w:adjustRightInd w:val="0"/>
        <w:snapToGrid w:val="0"/>
        <w:spacing w:line="560" w:lineRule="exact"/>
        <w:ind w:firstLine="0" w:firstLineChars="0"/>
        <w:rPr>
          <w:rFonts w:hint="default" w:ascii="宋体" w:hAnsi="宋体" w:eastAsiaTheme="minorEastAsia"/>
          <w:b w:val="0"/>
          <w:bCs w:val="0"/>
          <w:color w:val="000000"/>
          <w:sz w:val="21"/>
          <w:szCs w:val="21"/>
          <w:lang w:val="en-US" w:eastAsia="zh-CN"/>
        </w:rPr>
      </w:pPr>
      <w:r>
        <w:rPr>
          <w:rFonts w:hint="eastAsia" w:ascii="宋体" w:hAnsi="宋体" w:eastAsia="宋体"/>
          <w:b w:val="0"/>
          <w:bCs w:val="0"/>
          <w:color w:val="000000"/>
          <w:sz w:val="21"/>
          <w:szCs w:val="21"/>
          <w:lang w:val="en-US" w:eastAsia="zh-CN"/>
        </w:rPr>
        <w:t>注：公司与</w:t>
      </w:r>
      <w:r>
        <w:rPr>
          <w:rFonts w:hint="eastAsia" w:ascii="Times New Roman" w:hAnsi="Times New Roman" w:cs="Times New Roman"/>
          <w:b w:val="0"/>
          <w:bCs w:val="0"/>
          <w:color w:val="auto"/>
          <w:kern w:val="0"/>
          <w:sz w:val="21"/>
          <w:szCs w:val="21"/>
        </w:rPr>
        <w:t>哈尔滨银行股份有限公司重庆分行</w:t>
      </w:r>
      <w:r>
        <w:rPr>
          <w:rFonts w:hint="eastAsia" w:ascii="Times New Roman" w:hAnsi="Times New Roman" w:cs="Times New Roman"/>
          <w:b w:val="0"/>
          <w:bCs w:val="0"/>
          <w:color w:val="auto"/>
          <w:kern w:val="0"/>
          <w:sz w:val="21"/>
          <w:szCs w:val="21"/>
          <w:lang w:val="en-US" w:eastAsia="zh-CN"/>
        </w:rPr>
        <w:t>签订募集资金专户（账号</w:t>
      </w:r>
      <w:r>
        <w:rPr>
          <w:rFonts w:hint="eastAsia" w:ascii="Times New Roman" w:hAnsi="Times New Roman" w:cs="Times New Roman"/>
          <w:b w:val="0"/>
          <w:bCs w:val="0"/>
          <w:color w:val="auto"/>
          <w:kern w:val="0"/>
          <w:sz w:val="21"/>
          <w:szCs w:val="21"/>
        </w:rPr>
        <w:t>18010000001689409</w:t>
      </w:r>
      <w:r>
        <w:rPr>
          <w:rFonts w:hint="eastAsia" w:ascii="Times New Roman" w:hAnsi="Times New Roman" w:cs="Times New Roman"/>
          <w:b w:val="0"/>
          <w:bCs w:val="0"/>
          <w:color w:val="auto"/>
          <w:kern w:val="0"/>
          <w:sz w:val="21"/>
          <w:szCs w:val="21"/>
          <w:lang w:val="en-US" w:eastAsia="zh-CN"/>
        </w:rPr>
        <w:t>）存款协议，并开立协定存款虚拟账户（账号18020000000113906），因此募集资金专户账号</w:t>
      </w:r>
      <w:r>
        <w:rPr>
          <w:rFonts w:hint="eastAsia" w:ascii="Times New Roman" w:hAnsi="Times New Roman" w:cs="Times New Roman"/>
          <w:b w:val="0"/>
          <w:bCs w:val="0"/>
          <w:color w:val="auto"/>
          <w:kern w:val="0"/>
          <w:sz w:val="21"/>
          <w:szCs w:val="21"/>
        </w:rPr>
        <w:t>18010000001689409</w:t>
      </w:r>
      <w:r>
        <w:rPr>
          <w:rFonts w:hint="eastAsia" w:ascii="Times New Roman" w:hAnsi="Times New Roman" w:cs="Times New Roman"/>
          <w:b w:val="0"/>
          <w:bCs w:val="0"/>
          <w:color w:val="auto"/>
          <w:kern w:val="0"/>
          <w:sz w:val="21"/>
          <w:szCs w:val="21"/>
          <w:lang w:val="en-US" w:eastAsia="zh-CN"/>
        </w:rPr>
        <w:t>余额在上表中分项列示。</w:t>
      </w:r>
    </w:p>
    <w:p w14:paraId="3BE1D4BE">
      <w:pPr>
        <w:adjustRightInd w:val="0"/>
        <w:snapToGrid w:val="0"/>
        <w:spacing w:line="560" w:lineRule="exact"/>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四、本次使用暂时闲置募集资金进行现金管理的基本情况</w:t>
      </w:r>
    </w:p>
    <w:p w14:paraId="651CA295">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1、投资目的</w:t>
      </w:r>
    </w:p>
    <w:p w14:paraId="127E2622">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由于募投项目建设需要一定周期，公司的募集资金存在暂时闲置的情形。为提高公司闲置募集资金使用效率，在确保日常经营资金需求和资金安全的前提下，公司拟利用闲置募集资金进行现金管理，以增加公司资金收益。</w:t>
      </w:r>
    </w:p>
    <w:p w14:paraId="4838BDA8">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2、资金来源及额度</w:t>
      </w:r>
    </w:p>
    <w:p w14:paraId="43846D98">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公司拟使用合计最高额不超过</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,000万元的暂时闲置募集资金进行现金管理，并于到期后归还至募集资金专用账户。</w:t>
      </w:r>
    </w:p>
    <w:p w14:paraId="0A550A3F">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3、投资范围</w:t>
      </w:r>
    </w:p>
    <w:p w14:paraId="76A14BB5">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为控制风险，公司拟使用暂时闲置募集资金购买安全性高、流动性好、具有合法经营资格的金融机构销售的投资产品（包括协定存款、定期存款、通知存款、大额存单、结构性存款、收益凭证等）。投资产品不得用于质押，公司不得使用上述资金从事以证券投资为目的的投资行为。</w:t>
      </w:r>
    </w:p>
    <w:p w14:paraId="773E556C">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4、投资期限</w:t>
      </w:r>
    </w:p>
    <w:p w14:paraId="37180714">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s="宋体"/>
          <w:sz w:val="24"/>
          <w:szCs w:val="24"/>
          <w:lang w:val="en-US" w:eastAsia="zh-CN"/>
        </w:rPr>
        <w:t>自2025年1月1日至2025年12月31日止</w:t>
      </w:r>
      <w:r>
        <w:rPr>
          <w:rFonts w:hint="eastAsia" w:ascii="宋体" w:hAnsi="宋体" w:eastAsia="宋体" w:cs="宋体"/>
          <w:color w:val="000000"/>
          <w:sz w:val="24"/>
          <w:szCs w:val="24"/>
        </w:rPr>
        <w:t>，</w:t>
      </w:r>
      <w:r>
        <w:rPr>
          <w:rFonts w:hint="eastAsia" w:ascii="宋体" w:hAnsi="宋体" w:eastAsia="宋体"/>
          <w:color w:val="000000"/>
          <w:sz w:val="24"/>
          <w:szCs w:val="24"/>
        </w:rPr>
        <w:t>在上述额度在有效期限内，公司可循环滚动使用。</w:t>
      </w:r>
    </w:p>
    <w:p w14:paraId="2E00E597">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5、实施方式</w:t>
      </w:r>
    </w:p>
    <w:p w14:paraId="5C1B0944">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在上述投资额度和期限范围内，授权总经理行使投资决策并签署相关合同文件，包括但不限于：选择合格的金融机构、投资产品品种、明确投资金额、投资期限、签署合同或协议等。公司财务部门负责具体组织实施，并建立投资台账。</w:t>
      </w:r>
    </w:p>
    <w:p w14:paraId="30DF5B71">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公司购买的现金管理产品不得用于质押，产品专用结算账户不得存放非募集资金或用作其他用途。</w:t>
      </w:r>
    </w:p>
    <w:p w14:paraId="6D5804F5">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6、信息披露</w:t>
      </w:r>
    </w:p>
    <w:p w14:paraId="20B85E4A">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公司将根据《上海证券交易所股票上市规则》《上市公司监管指引第2号—上市公司募集资金管理和使用的监管要求》等相关法规和规范性文件的要求，及时履行信息披露义务。</w:t>
      </w:r>
    </w:p>
    <w:p w14:paraId="3827998B">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7、关联关系说明</w:t>
      </w:r>
    </w:p>
    <w:p w14:paraId="4924EEC4">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公司与拟购买的现金管理产品的发行主体不得存在关联关系。</w:t>
      </w:r>
    </w:p>
    <w:p w14:paraId="722675DA">
      <w:pPr>
        <w:adjustRightInd w:val="0"/>
        <w:snapToGrid w:val="0"/>
        <w:spacing w:line="560" w:lineRule="exact"/>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五、对上市公司的影响</w:t>
      </w:r>
    </w:p>
    <w:p w14:paraId="5638097A">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本次拟使用暂时闲置募集资金进行现金管理是根据公司经营发展和财务状况，在确保公司募投项目所需资金和保证募集资金安全的前提下进行的，履行了必要的法定程序，有助于提高募集资金使用效率，不影响公司主营业务的正常发展，不影响募集资金项目的正常进行，不存在变相改变募集资金用途的行为。</w:t>
      </w:r>
    </w:p>
    <w:p w14:paraId="6BA81CE2">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公司使用部分暂时闲置募集资金进行现金管理有利于提高资金使用效率，能够为公司和股东谋取良好的投资回报。</w:t>
      </w:r>
    </w:p>
    <w:p w14:paraId="474A6B88">
      <w:pPr>
        <w:adjustRightInd w:val="0"/>
        <w:snapToGrid w:val="0"/>
        <w:spacing w:line="560" w:lineRule="exact"/>
        <w:ind w:firstLine="482" w:firstLineChars="200"/>
        <w:rPr>
          <w:rFonts w:hint="eastAsia" w:ascii="宋体" w:hAnsi="宋体" w:eastAsia="宋体"/>
          <w:b/>
          <w:bCs/>
          <w:color w:val="000000"/>
          <w:sz w:val="24"/>
          <w:szCs w:val="24"/>
        </w:rPr>
      </w:pPr>
      <w:r>
        <w:rPr>
          <w:rFonts w:hint="eastAsia" w:ascii="宋体" w:hAnsi="宋体" w:eastAsia="宋体"/>
          <w:b/>
          <w:bCs/>
          <w:color w:val="000000"/>
          <w:sz w:val="24"/>
          <w:szCs w:val="24"/>
        </w:rPr>
        <w:t>六、风险控制措施</w:t>
      </w:r>
    </w:p>
    <w:p w14:paraId="2E58460A">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（一）投资风险</w:t>
      </w:r>
    </w:p>
    <w:p w14:paraId="31E8833F">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尽管公司拟投资安全性高、流动性好的现金管理产品，总体风险可控，但该类产品受货币政策等宏观经济政策的影响较大，公司将根据经济形势以及金融市场的变化适时适量介入，但不排除该项投资收益受到市场波动的影响，存在一定的系统性风险。</w:t>
      </w:r>
    </w:p>
    <w:p w14:paraId="0206171F">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（二）风险控制措施</w:t>
      </w:r>
    </w:p>
    <w:p w14:paraId="131AA4A1">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公司按照决策、执行、监督职能相分离的原则建立健全现金管理的审批和执行程序，确保购买事宜的有效开展和规范运行，确保资金安全。拟采取的具体措施如下：</w:t>
      </w:r>
    </w:p>
    <w:p w14:paraId="13C5B052">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1、公司财务部门相关人员将及时分析和跟踪所投资产品的投向、项目进展情况，如评估发现存在可能影响公司资金安全的风险因素，将及时采取相应的措施，控制投资风险。</w:t>
      </w:r>
    </w:p>
    <w:p w14:paraId="0217757E">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2、公司审计部门负责对资金的使用与保管情况进行审计与监督。</w:t>
      </w:r>
    </w:p>
    <w:p w14:paraId="04A5B0F7">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3、独立董事、监事会有权对资金使用情况进行监督与检查，必要时可以聘请专业机构进行审计。</w:t>
      </w:r>
    </w:p>
    <w:p w14:paraId="58F0A757">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4、公司财务部门必须建立台账对购买的现金管理产品进行管理，建立健全会计账目，做好资金使用的账务核算工作。</w:t>
      </w:r>
    </w:p>
    <w:p w14:paraId="32A0E0C2">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5、公司将依据上海证券交易所的相关规定，履行信息披露义务。</w:t>
      </w:r>
    </w:p>
    <w:p w14:paraId="38176585">
      <w:pPr>
        <w:pStyle w:val="2"/>
        <w:rPr>
          <w:rFonts w:hAnsi="宋体"/>
        </w:rPr>
      </w:pPr>
    </w:p>
    <w:p w14:paraId="15AFD2DB">
      <w:pPr>
        <w:adjustRightInd w:val="0"/>
        <w:snapToGrid w:val="0"/>
        <w:spacing w:line="360" w:lineRule="auto"/>
        <w:ind w:firstLine="482" w:firstLineChars="200"/>
        <w:outlineLvl w:val="0"/>
        <w:rPr>
          <w:rFonts w:ascii="宋体" w:hAnsi="宋体" w:eastAsia="宋体"/>
          <w:b/>
          <w:sz w:val="24"/>
          <w:szCs w:val="24"/>
        </w:rPr>
      </w:pPr>
      <w:r>
        <w:rPr>
          <w:rFonts w:hint="eastAsia" w:ascii="宋体" w:hAnsi="宋体" w:eastAsia="宋体"/>
          <w:b/>
          <w:sz w:val="24"/>
          <w:szCs w:val="24"/>
        </w:rPr>
        <w:t>七、专项意见说明</w:t>
      </w:r>
    </w:p>
    <w:p w14:paraId="2AAE9386">
      <w:pPr>
        <w:adjustRightInd w:val="0"/>
        <w:snapToGrid w:val="0"/>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（一）监事会意见</w:t>
      </w:r>
    </w:p>
    <w:p w14:paraId="32C8791F">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监事会认为：为提高资金使用效率，合理利用闲置募集资金，在确保不变相改变募集资金用途与不影响募集资金投资项目正常运行的情况下，公司拟使用合计最高额不超过</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,000万元的暂时闲置募集资金进行现金管理，使用期限自</w:t>
      </w:r>
      <w:r>
        <w:rPr>
          <w:rFonts w:hint="eastAsia" w:ascii="宋体" w:hAnsi="宋体" w:eastAsia="宋体"/>
          <w:color w:val="000000"/>
          <w:sz w:val="24"/>
          <w:szCs w:val="24"/>
          <w:lang w:val="en-US" w:eastAsia="zh-CN"/>
        </w:rPr>
        <w:t>2025年1月1日</w:t>
      </w:r>
      <w:r>
        <w:rPr>
          <w:rFonts w:hint="eastAsia" w:ascii="宋体" w:hAnsi="宋体" w:eastAsia="宋体"/>
          <w:color w:val="000000"/>
          <w:sz w:val="24"/>
          <w:szCs w:val="24"/>
        </w:rPr>
        <w:t>至2024年12月31日止，在上述额度及有效期限内，公司可循环滚动使用。同意《关于使用暂时闲置募集资金进行现金管理的议案》。</w:t>
      </w:r>
    </w:p>
    <w:p w14:paraId="7291EFDF">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（二）</w:t>
      </w:r>
      <w:r>
        <w:rPr>
          <w:rFonts w:hint="eastAsia" w:ascii="宋体" w:hAnsi="宋体" w:eastAsia="宋体"/>
          <w:color w:val="000000"/>
          <w:sz w:val="24"/>
          <w:szCs w:val="24"/>
          <w:lang w:eastAsia="zh-CN"/>
        </w:rPr>
        <w:t>保荐人</w:t>
      </w:r>
      <w:r>
        <w:rPr>
          <w:rFonts w:hint="eastAsia" w:ascii="宋体" w:hAnsi="宋体" w:eastAsia="宋体"/>
          <w:color w:val="000000"/>
          <w:sz w:val="24"/>
          <w:szCs w:val="24"/>
        </w:rPr>
        <w:t>核查意见</w:t>
      </w:r>
    </w:p>
    <w:p w14:paraId="1D715FED">
      <w:pPr>
        <w:adjustRightInd w:val="0"/>
        <w:snapToGrid w:val="0"/>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经核查，保荐人认为：公司使用暂时闲置募集资金进行现金管理的事项已经公司董事会、监事会审议通过，履行了必要的法律程序。该事项符合《上市公司监管指引第2号——上市公司募集资金管理和使用的监管要求》以及公司《募集资金管理制度》的相关规定，不存在变相改变募集资金用途的情况，不会影响公司募集资金投资项目的正常实施；在不影响募集资金使用的前提下，有利于提高资金使用效率，能够为公司和股东谋取良好的投资回报。保荐人对公司本次使用暂时闲置募集资金进行现金管理的事项无异议。</w:t>
      </w:r>
    </w:p>
    <w:p w14:paraId="6A2D799D">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14:paraId="23E40F0D">
      <w:pPr>
        <w:adjustRightInd w:val="0"/>
        <w:snapToGrid w:val="0"/>
        <w:spacing w:line="560" w:lineRule="exact"/>
        <w:ind w:firstLine="480" w:firstLineChars="200"/>
        <w:rPr>
          <w:rFonts w:ascii="宋体" w:hAnsi="宋体" w:eastAsia="宋体"/>
          <w:color w:val="000000"/>
          <w:sz w:val="24"/>
          <w:szCs w:val="24"/>
        </w:rPr>
      </w:pPr>
    </w:p>
    <w:p w14:paraId="6F75D5EC">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14:paraId="38901D36">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2024</w:t>
      </w: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11</w:t>
      </w:r>
      <w:r>
        <w:rPr>
          <w:rFonts w:hint="eastAsia" w:ascii="宋体" w:hAnsi="宋体" w:eastAsia="宋体"/>
          <w:color w:val="000000"/>
          <w:sz w:val="24"/>
          <w:szCs w:val="24"/>
        </w:rPr>
        <w:t>月2</w:t>
      </w:r>
      <w:r>
        <w:rPr>
          <w:rFonts w:hint="eastAsia" w:ascii="宋体" w:hAnsi="宋体" w:eastAsia="宋体"/>
          <w:color w:val="000000"/>
          <w:sz w:val="24"/>
          <w:szCs w:val="24"/>
          <w:lang w:val="en-US" w:eastAsia="zh-CN"/>
        </w:rPr>
        <w:t>8</w:t>
      </w:r>
      <w:r>
        <w:rPr>
          <w:rFonts w:hint="eastAsia" w:ascii="宋体" w:hAnsi="宋体" w:eastAsia="宋体"/>
          <w:color w:val="000000"/>
          <w:sz w:val="24"/>
          <w:szCs w:val="24"/>
        </w:rPr>
        <w:t>日</w:t>
      </w:r>
    </w:p>
    <w:p w14:paraId="214F62B6">
      <w:pPr>
        <w:adjustRightInd w:val="0"/>
        <w:snapToGrid w:val="0"/>
        <w:spacing w:line="560" w:lineRule="exact"/>
        <w:rPr>
          <w:rFonts w:ascii="宋体" w:hAnsi="宋体" w:eastAsia="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07BBE9DA">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MTYzODhjYTIzN2VlNWE1ZmU0YTU0NTgxMDI4MDMifQ=="/>
  </w:docVars>
  <w:rsids>
    <w:rsidRoot w:val="521827E2"/>
    <w:rsid w:val="000015A1"/>
    <w:rsid w:val="0008555B"/>
    <w:rsid w:val="000857C7"/>
    <w:rsid w:val="000B1A1F"/>
    <w:rsid w:val="000B726B"/>
    <w:rsid w:val="000E46E0"/>
    <w:rsid w:val="00123266"/>
    <w:rsid w:val="00127276"/>
    <w:rsid w:val="00140439"/>
    <w:rsid w:val="0014777F"/>
    <w:rsid w:val="001723E5"/>
    <w:rsid w:val="00192BD0"/>
    <w:rsid w:val="001A727A"/>
    <w:rsid w:val="001A7942"/>
    <w:rsid w:val="001C1AC8"/>
    <w:rsid w:val="001D06CF"/>
    <w:rsid w:val="001D18AD"/>
    <w:rsid w:val="00207B64"/>
    <w:rsid w:val="00225FE6"/>
    <w:rsid w:val="00240088"/>
    <w:rsid w:val="002462D5"/>
    <w:rsid w:val="00252550"/>
    <w:rsid w:val="002D6C0D"/>
    <w:rsid w:val="0032463B"/>
    <w:rsid w:val="00347CA1"/>
    <w:rsid w:val="003571E3"/>
    <w:rsid w:val="00391A1B"/>
    <w:rsid w:val="003D1F6B"/>
    <w:rsid w:val="003E38F1"/>
    <w:rsid w:val="003F1451"/>
    <w:rsid w:val="00425BF0"/>
    <w:rsid w:val="00433901"/>
    <w:rsid w:val="00464AFC"/>
    <w:rsid w:val="00491096"/>
    <w:rsid w:val="004A204F"/>
    <w:rsid w:val="004A790E"/>
    <w:rsid w:val="004B5841"/>
    <w:rsid w:val="004D041E"/>
    <w:rsid w:val="004D0E8E"/>
    <w:rsid w:val="004D4AAB"/>
    <w:rsid w:val="00522BE2"/>
    <w:rsid w:val="005429C2"/>
    <w:rsid w:val="0055216A"/>
    <w:rsid w:val="005704F4"/>
    <w:rsid w:val="005A2954"/>
    <w:rsid w:val="005B7B64"/>
    <w:rsid w:val="005F61E9"/>
    <w:rsid w:val="006150E2"/>
    <w:rsid w:val="00637BC1"/>
    <w:rsid w:val="00646D1E"/>
    <w:rsid w:val="006704CD"/>
    <w:rsid w:val="006E4DD1"/>
    <w:rsid w:val="006F53AF"/>
    <w:rsid w:val="006F5503"/>
    <w:rsid w:val="00701AEA"/>
    <w:rsid w:val="00726F44"/>
    <w:rsid w:val="0077799F"/>
    <w:rsid w:val="00795CF5"/>
    <w:rsid w:val="007A61FA"/>
    <w:rsid w:val="007B073D"/>
    <w:rsid w:val="007B1916"/>
    <w:rsid w:val="007C3FFA"/>
    <w:rsid w:val="00811F4F"/>
    <w:rsid w:val="008320FC"/>
    <w:rsid w:val="00832A0F"/>
    <w:rsid w:val="0084121D"/>
    <w:rsid w:val="008E2655"/>
    <w:rsid w:val="008F3AB1"/>
    <w:rsid w:val="0090186C"/>
    <w:rsid w:val="00906FA1"/>
    <w:rsid w:val="00915D39"/>
    <w:rsid w:val="00923C08"/>
    <w:rsid w:val="00947C32"/>
    <w:rsid w:val="009B47DE"/>
    <w:rsid w:val="009D1A30"/>
    <w:rsid w:val="009E3152"/>
    <w:rsid w:val="009E3407"/>
    <w:rsid w:val="00A059A1"/>
    <w:rsid w:val="00A11663"/>
    <w:rsid w:val="00A11AA1"/>
    <w:rsid w:val="00A15569"/>
    <w:rsid w:val="00A3299E"/>
    <w:rsid w:val="00A41121"/>
    <w:rsid w:val="00A51C23"/>
    <w:rsid w:val="00A823F8"/>
    <w:rsid w:val="00AC22AE"/>
    <w:rsid w:val="00AC3419"/>
    <w:rsid w:val="00AE6C4E"/>
    <w:rsid w:val="00AF36B4"/>
    <w:rsid w:val="00AF6E63"/>
    <w:rsid w:val="00B6730B"/>
    <w:rsid w:val="00B9137C"/>
    <w:rsid w:val="00B950AB"/>
    <w:rsid w:val="00BB61B6"/>
    <w:rsid w:val="00BC233A"/>
    <w:rsid w:val="00BD4D0F"/>
    <w:rsid w:val="00BF7BDB"/>
    <w:rsid w:val="00C13691"/>
    <w:rsid w:val="00C14637"/>
    <w:rsid w:val="00C47186"/>
    <w:rsid w:val="00C76A66"/>
    <w:rsid w:val="00C80E82"/>
    <w:rsid w:val="00CB781A"/>
    <w:rsid w:val="00CD5091"/>
    <w:rsid w:val="00CE1271"/>
    <w:rsid w:val="00D01967"/>
    <w:rsid w:val="00D4059C"/>
    <w:rsid w:val="00D42972"/>
    <w:rsid w:val="00D45861"/>
    <w:rsid w:val="00D46F41"/>
    <w:rsid w:val="00D613FF"/>
    <w:rsid w:val="00D65BA4"/>
    <w:rsid w:val="00D8189C"/>
    <w:rsid w:val="00D96175"/>
    <w:rsid w:val="00DB744D"/>
    <w:rsid w:val="00DD62E6"/>
    <w:rsid w:val="00DF73E8"/>
    <w:rsid w:val="00E301F1"/>
    <w:rsid w:val="00E558AE"/>
    <w:rsid w:val="00E71A70"/>
    <w:rsid w:val="00E95F43"/>
    <w:rsid w:val="00E976BD"/>
    <w:rsid w:val="00EC496E"/>
    <w:rsid w:val="00EE084C"/>
    <w:rsid w:val="00F0268C"/>
    <w:rsid w:val="00F0742F"/>
    <w:rsid w:val="00F229F1"/>
    <w:rsid w:val="00F450F3"/>
    <w:rsid w:val="00F670DD"/>
    <w:rsid w:val="00FA5504"/>
    <w:rsid w:val="00FB78EE"/>
    <w:rsid w:val="00FE6306"/>
    <w:rsid w:val="00FF7741"/>
    <w:rsid w:val="01103098"/>
    <w:rsid w:val="05247BE4"/>
    <w:rsid w:val="0F4E621F"/>
    <w:rsid w:val="11405265"/>
    <w:rsid w:val="12B405C2"/>
    <w:rsid w:val="12F56C57"/>
    <w:rsid w:val="15B50403"/>
    <w:rsid w:val="19660E9D"/>
    <w:rsid w:val="19A44770"/>
    <w:rsid w:val="1E581FEF"/>
    <w:rsid w:val="1FE74C8E"/>
    <w:rsid w:val="21B374E9"/>
    <w:rsid w:val="22091C70"/>
    <w:rsid w:val="22BD192C"/>
    <w:rsid w:val="22F05680"/>
    <w:rsid w:val="23165EFA"/>
    <w:rsid w:val="23937963"/>
    <w:rsid w:val="258465FA"/>
    <w:rsid w:val="267207F2"/>
    <w:rsid w:val="2916738A"/>
    <w:rsid w:val="2DB497F8"/>
    <w:rsid w:val="3085722D"/>
    <w:rsid w:val="31CD42F6"/>
    <w:rsid w:val="342F295E"/>
    <w:rsid w:val="35897B61"/>
    <w:rsid w:val="37AC63E6"/>
    <w:rsid w:val="3EF00E78"/>
    <w:rsid w:val="3F7F54F7"/>
    <w:rsid w:val="417A619E"/>
    <w:rsid w:val="4795557D"/>
    <w:rsid w:val="49307E26"/>
    <w:rsid w:val="4C751098"/>
    <w:rsid w:val="5150387B"/>
    <w:rsid w:val="521827E2"/>
    <w:rsid w:val="52932FE4"/>
    <w:rsid w:val="5344568C"/>
    <w:rsid w:val="54CA7B2B"/>
    <w:rsid w:val="55147AE8"/>
    <w:rsid w:val="63D972B3"/>
    <w:rsid w:val="65DE0270"/>
    <w:rsid w:val="6E9414F4"/>
    <w:rsid w:val="6FFF471A"/>
    <w:rsid w:val="738726DB"/>
    <w:rsid w:val="74E044A9"/>
    <w:rsid w:val="77D11EA6"/>
    <w:rsid w:val="7CA750A8"/>
    <w:rsid w:val="7D6D9934"/>
    <w:rsid w:val="7E78641A"/>
    <w:rsid w:val="B7FF91EE"/>
    <w:rsid w:val="BAF79ADF"/>
    <w:rsid w:val="D2BDCC50"/>
    <w:rsid w:val="F7BE7F37"/>
    <w:rsid w:val="FC57C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7"/>
    <w:autoRedefine/>
    <w:qFormat/>
    <w:uiPriority w:val="0"/>
    <w:pPr>
      <w:jc w:val="left"/>
    </w:pPr>
  </w:style>
  <w:style w:type="paragraph" w:styleId="4">
    <w:name w:val="Balloon Text"/>
    <w:basedOn w:val="1"/>
    <w:link w:val="16"/>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3"/>
    <w:next w:val="3"/>
    <w:link w:val="18"/>
    <w:autoRedefine/>
    <w:qFormat/>
    <w:uiPriority w:val="0"/>
    <w:rPr>
      <w:b/>
      <w:bCs/>
    </w:r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character" w:customStyle="1" w:styleId="13">
    <w:name w:val="页眉 字符"/>
    <w:basedOn w:val="10"/>
    <w:link w:val="6"/>
    <w:autoRedefine/>
    <w:qFormat/>
    <w:uiPriority w:val="0"/>
    <w:rPr>
      <w:kern w:val="2"/>
      <w:sz w:val="18"/>
      <w:szCs w:val="18"/>
    </w:rPr>
  </w:style>
  <w:style w:type="character" w:customStyle="1" w:styleId="14">
    <w:name w:val="页脚 字符"/>
    <w:basedOn w:val="10"/>
    <w:link w:val="5"/>
    <w:autoRedefine/>
    <w:qFormat/>
    <w:uiPriority w:val="99"/>
    <w:rPr>
      <w:kern w:val="2"/>
      <w:sz w:val="18"/>
      <w:szCs w:val="18"/>
    </w:rPr>
  </w:style>
  <w:style w:type="paragraph" w:styleId="15">
    <w:name w:val="List Paragraph"/>
    <w:basedOn w:val="1"/>
    <w:autoRedefine/>
    <w:qFormat/>
    <w:uiPriority w:val="34"/>
    <w:pPr>
      <w:ind w:firstLine="420" w:firstLineChars="200"/>
    </w:pPr>
    <w:rPr>
      <w:rFonts w:ascii="Calibri" w:hAnsi="Calibri" w:eastAsia="宋体" w:cs="Times New Roman"/>
    </w:rPr>
  </w:style>
  <w:style w:type="character" w:customStyle="1" w:styleId="16">
    <w:name w:val="批注框文本 字符"/>
    <w:basedOn w:val="10"/>
    <w:link w:val="4"/>
    <w:autoRedefine/>
    <w:qFormat/>
    <w:uiPriority w:val="0"/>
    <w:rPr>
      <w:kern w:val="2"/>
      <w:sz w:val="18"/>
      <w:szCs w:val="18"/>
    </w:rPr>
  </w:style>
  <w:style w:type="character" w:customStyle="1" w:styleId="17">
    <w:name w:val="批注文字 字符"/>
    <w:basedOn w:val="10"/>
    <w:link w:val="3"/>
    <w:autoRedefine/>
    <w:qFormat/>
    <w:uiPriority w:val="0"/>
    <w:rPr>
      <w:kern w:val="2"/>
      <w:sz w:val="21"/>
      <w:szCs w:val="22"/>
    </w:rPr>
  </w:style>
  <w:style w:type="character" w:customStyle="1" w:styleId="18">
    <w:name w:val="批注主题 字符"/>
    <w:basedOn w:val="17"/>
    <w:link w:val="8"/>
    <w:autoRedefine/>
    <w:qFormat/>
    <w:uiPriority w:val="0"/>
    <w:rPr>
      <w:b/>
      <w:bCs/>
      <w:kern w:val="2"/>
      <w:sz w:val="21"/>
      <w:szCs w:val="22"/>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3012</Words>
  <Characters>3478</Characters>
  <Lines>24</Lines>
  <Paragraphs>6</Paragraphs>
  <TotalTime>19</TotalTime>
  <ScaleCrop>false</ScaleCrop>
  <LinksUpToDate>false</LinksUpToDate>
  <CharactersWithSpaces>3502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2024-04-17T11:44:00Z</dcterms:created>
  <dc:creator>BJB-ZB-03</dc:creator>
  <cp:lastModifiedBy>雯亦</cp:lastModifiedBy>
  <dcterms:modified xsi:type="dcterms:W3CDTF">2024-11-27T10:23:13Z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B05D16EAF3FC4EE8800B9FFB9F7B0500_13</vt:lpwstr>
  </property>
</Properties>
</file>