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45A49">
      <w:pPr>
        <w:adjustRightInd w:val="0"/>
        <w:snapToGrid w:val="0"/>
        <w:spacing w:line="560" w:lineRule="exact"/>
        <w:jc w:val="left"/>
        <w:rPr>
          <w:rFonts w:hint="default" w:ascii="Times New Roman" w:hAnsi="Times New Roman" w:eastAsia="宋体" w:cs="Times New Roman"/>
          <w:bCs/>
          <w:sz w:val="24"/>
          <w:szCs w:val="24"/>
          <w:lang w:val="en-US" w:eastAsia="zh-CN"/>
        </w:rPr>
      </w:pPr>
      <w:r>
        <w:rPr>
          <w:rFonts w:ascii="Times New Roman" w:hAnsi="Times New Roman" w:eastAsia="宋体" w:cs="Times New Roman"/>
          <w:bCs/>
          <w:sz w:val="24"/>
          <w:szCs w:val="24"/>
        </w:rPr>
        <w:t>证券代码：603191</w:t>
      </w:r>
      <w:r>
        <w:rPr>
          <w:rFonts w:hint="eastAsia" w:ascii="Times New Roman" w:hAnsi="Times New Roman" w:eastAsia="宋体" w:cs="Times New Roman"/>
          <w:bCs/>
          <w:sz w:val="24"/>
          <w:szCs w:val="24"/>
        </w:rPr>
        <w:t xml:space="preserve">        </w:t>
      </w:r>
      <w:r>
        <w:rPr>
          <w:rFonts w:ascii="Times New Roman" w:hAnsi="Times New Roman" w:eastAsia="宋体" w:cs="Times New Roman"/>
          <w:bCs/>
          <w:sz w:val="24"/>
          <w:szCs w:val="24"/>
        </w:rPr>
        <w:t>证券简称：望变电气</w:t>
      </w:r>
      <w:r>
        <w:rPr>
          <w:rFonts w:hint="eastAsia" w:ascii="Times New Roman" w:hAnsi="Times New Roman" w:eastAsia="宋体" w:cs="Times New Roman"/>
          <w:bCs/>
          <w:sz w:val="24"/>
          <w:szCs w:val="24"/>
        </w:rPr>
        <w:t xml:space="preserve">       </w:t>
      </w:r>
      <w:r>
        <w:rPr>
          <w:rFonts w:ascii="Times New Roman" w:hAnsi="Times New Roman" w:eastAsia="宋体" w:cs="Times New Roman"/>
          <w:bCs/>
          <w:sz w:val="24"/>
          <w:szCs w:val="24"/>
        </w:rPr>
        <w:t>公告编号：2024-</w:t>
      </w:r>
      <w:r>
        <w:rPr>
          <w:rFonts w:ascii="Times New Roman" w:hAnsi="Times New Roman" w:eastAsia="宋体" w:cs="Times New Roman"/>
          <w:bCs/>
          <w:sz w:val="24"/>
          <w:szCs w:val="24"/>
          <w:highlight w:val="none"/>
        </w:rPr>
        <w:t>0</w:t>
      </w:r>
      <w:r>
        <w:rPr>
          <w:rFonts w:hint="eastAsia" w:ascii="Times New Roman" w:hAnsi="Times New Roman" w:eastAsia="宋体" w:cs="Times New Roman"/>
          <w:bCs/>
          <w:sz w:val="24"/>
          <w:szCs w:val="24"/>
          <w:highlight w:val="none"/>
          <w:lang w:val="en-US" w:eastAsia="zh-CN"/>
        </w:rPr>
        <w:t>74</w:t>
      </w:r>
    </w:p>
    <w:p w14:paraId="2B76C965">
      <w:pPr>
        <w:adjustRightInd w:val="0"/>
        <w:snapToGrid w:val="0"/>
        <w:spacing w:line="560" w:lineRule="exact"/>
        <w:jc w:val="left"/>
        <w:rPr>
          <w:rFonts w:ascii="Times New Roman" w:hAnsi="Times New Roman" w:eastAsia="仿宋_GB2312" w:cs="Times New Roman"/>
          <w:sz w:val="30"/>
          <w:szCs w:val="30"/>
        </w:rPr>
      </w:pPr>
    </w:p>
    <w:p w14:paraId="298A51B3">
      <w:pPr>
        <w:adjustRightInd w:val="0"/>
        <w:snapToGrid w:val="0"/>
        <w:spacing w:before="156" w:beforeLines="50" w:line="560" w:lineRule="exact"/>
        <w:jc w:val="center"/>
        <w:rPr>
          <w:rFonts w:ascii="Times New Roman" w:hAnsi="Times New Roman" w:eastAsia="宋体" w:cs="Times New Roman"/>
          <w:b/>
          <w:bCs/>
          <w:color w:val="FF0000"/>
          <w:sz w:val="36"/>
          <w:szCs w:val="36"/>
        </w:rPr>
      </w:pPr>
      <w:r>
        <w:rPr>
          <w:rFonts w:ascii="Times New Roman" w:hAnsi="Times New Roman" w:eastAsia="宋体" w:cs="Times New Roman"/>
          <w:b/>
          <w:bCs/>
          <w:color w:val="FF0000"/>
          <w:sz w:val="36"/>
          <w:szCs w:val="36"/>
        </w:rPr>
        <w:t>重庆望变电气（集团）股份有限公司</w:t>
      </w:r>
    </w:p>
    <w:p w14:paraId="26666577">
      <w:pPr>
        <w:adjustRightInd w:val="0"/>
        <w:snapToGrid w:val="0"/>
        <w:spacing w:before="156" w:beforeLines="50" w:line="560" w:lineRule="exact"/>
        <w:jc w:val="center"/>
        <w:rPr>
          <w:rFonts w:ascii="Times New Roman" w:hAnsi="Times New Roman" w:eastAsia="宋体" w:cs="Times New Roman"/>
          <w:b/>
          <w:bCs/>
          <w:color w:val="FF0000"/>
          <w:sz w:val="36"/>
          <w:szCs w:val="36"/>
        </w:rPr>
      </w:pPr>
      <w:r>
        <w:rPr>
          <w:rFonts w:ascii="Times New Roman" w:hAnsi="Times New Roman" w:eastAsia="宋体" w:cs="Times New Roman"/>
          <w:b/>
          <w:bCs/>
          <w:color w:val="FF0000"/>
          <w:sz w:val="36"/>
          <w:szCs w:val="36"/>
        </w:rPr>
        <w:t>关于重庆</w:t>
      </w:r>
      <w:r>
        <w:rPr>
          <w:rFonts w:hint="eastAsia" w:ascii="Times New Roman" w:hAnsi="Times New Roman" w:eastAsia="宋体" w:cs="Times New Roman"/>
          <w:b/>
          <w:bCs/>
          <w:color w:val="FF0000"/>
          <w:sz w:val="36"/>
          <w:szCs w:val="36"/>
        </w:rPr>
        <w:t>证监局</w:t>
      </w:r>
      <w:r>
        <w:rPr>
          <w:rFonts w:ascii="Times New Roman" w:hAnsi="Times New Roman" w:eastAsia="宋体" w:cs="Times New Roman"/>
          <w:b/>
          <w:bCs/>
          <w:color w:val="FF0000"/>
          <w:sz w:val="36"/>
          <w:szCs w:val="36"/>
        </w:rPr>
        <w:t>对</w:t>
      </w:r>
      <w:r>
        <w:rPr>
          <w:rFonts w:hint="eastAsia" w:ascii="Times New Roman" w:hAnsi="Times New Roman" w:eastAsia="宋体" w:cs="Times New Roman"/>
          <w:b/>
          <w:bCs/>
          <w:color w:val="FF0000"/>
          <w:sz w:val="36"/>
          <w:szCs w:val="36"/>
        </w:rPr>
        <w:t>公司采取</w:t>
      </w:r>
      <w:r>
        <w:rPr>
          <w:rFonts w:ascii="Times New Roman" w:hAnsi="Times New Roman" w:eastAsia="宋体" w:cs="Times New Roman"/>
          <w:b/>
          <w:bCs/>
          <w:color w:val="FF0000"/>
          <w:sz w:val="36"/>
          <w:szCs w:val="36"/>
        </w:rPr>
        <w:t>责令</w:t>
      </w:r>
      <w:r>
        <w:rPr>
          <w:rFonts w:hint="eastAsia" w:ascii="Times New Roman" w:hAnsi="Times New Roman" w:eastAsia="宋体" w:cs="Times New Roman"/>
          <w:b/>
          <w:bCs/>
          <w:color w:val="FF0000"/>
          <w:sz w:val="36"/>
          <w:szCs w:val="36"/>
        </w:rPr>
        <w:t>改正行政监管措施</w:t>
      </w:r>
      <w:r>
        <w:rPr>
          <w:rFonts w:ascii="Times New Roman" w:hAnsi="Times New Roman" w:eastAsia="宋体" w:cs="Times New Roman"/>
          <w:b/>
          <w:bCs/>
          <w:color w:val="FF0000"/>
          <w:sz w:val="36"/>
          <w:szCs w:val="36"/>
        </w:rPr>
        <w:t>整改</w:t>
      </w:r>
      <w:r>
        <w:rPr>
          <w:rFonts w:hint="eastAsia" w:ascii="Times New Roman" w:hAnsi="Times New Roman" w:eastAsia="宋体" w:cs="Times New Roman"/>
          <w:b/>
          <w:bCs/>
          <w:color w:val="FF0000"/>
          <w:sz w:val="36"/>
          <w:szCs w:val="36"/>
        </w:rPr>
        <w:t>报告的</w:t>
      </w:r>
      <w:r>
        <w:rPr>
          <w:rFonts w:ascii="Times New Roman" w:hAnsi="Times New Roman" w:eastAsia="宋体" w:cs="Times New Roman"/>
          <w:b/>
          <w:bCs/>
          <w:color w:val="FF0000"/>
          <w:sz w:val="36"/>
          <w:szCs w:val="36"/>
        </w:rPr>
        <w:t>公告</w:t>
      </w:r>
    </w:p>
    <w:p w14:paraId="6B086AE8">
      <w:pPr>
        <w:adjustRightInd w:val="0"/>
        <w:snapToGrid w:val="0"/>
        <w:spacing w:before="156" w:beforeLines="50" w:line="560" w:lineRule="exact"/>
        <w:jc w:val="center"/>
        <w:rPr>
          <w:rFonts w:ascii="Times New Roman" w:hAnsi="Times New Roman" w:eastAsia="仿宋_GB2312" w:cs="Times New Roman"/>
          <w:b/>
          <w:bCs/>
          <w:color w:val="FF0000"/>
          <w:sz w:val="30"/>
          <w:szCs w:val="30"/>
        </w:rPr>
      </w:pPr>
    </w:p>
    <w:p w14:paraId="6FA4D967">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本公司董事会及全体董事保证本公告内容不存在任何虚假记载、误导性陈述或者重大遗漏，并对其内容的真实性、准确性和完整性承担法律责任。</w:t>
      </w:r>
    </w:p>
    <w:p w14:paraId="61A29776">
      <w:pPr>
        <w:autoSpaceDE w:val="0"/>
        <w:autoSpaceDN w:val="0"/>
        <w:adjustRightInd w:val="0"/>
        <w:snapToGrid w:val="0"/>
        <w:spacing w:line="560" w:lineRule="exact"/>
        <w:rPr>
          <w:rFonts w:ascii="Times New Roman" w:hAnsi="Times New Roman" w:eastAsia="宋体" w:cs="Times New Roman"/>
          <w:color w:val="000000"/>
          <w:sz w:val="24"/>
          <w:szCs w:val="24"/>
        </w:rPr>
      </w:pPr>
    </w:p>
    <w:p w14:paraId="3AAF8369">
      <w:pPr>
        <w:pStyle w:val="3"/>
        <w:spacing w:before="184" w:line="360" w:lineRule="auto"/>
        <w:ind w:left="23" w:firstLine="480"/>
        <w:rPr>
          <w:rFonts w:hint="eastAsia"/>
          <w:lang w:eastAsia="zh-CN"/>
        </w:rPr>
      </w:pPr>
      <w:r>
        <w:rPr>
          <w:rFonts w:hint="eastAsia"/>
          <w:spacing w:val="-6"/>
          <w:lang w:eastAsia="zh-CN"/>
        </w:rPr>
        <w:t>重庆望变电气（集团）股份有限公司（以下简称“公司”）于2024年11月1日收到中国证券监督管理委员会重庆监管局（以下简称“重庆证监局”）下发的《关于对重庆望变电气（集团）股份有限公司采取责令改正措施的决定》（[2024]34号)(以下简称《决定书》），重庆证监局决定对公司采取责令改正的行政监管措施，并要求公司对《决定书》指出的问题进行整改。</w:t>
      </w:r>
      <w:r>
        <w:rPr>
          <w:rFonts w:hint="eastAsia"/>
          <w:spacing w:val="-5"/>
          <w:lang w:eastAsia="zh-CN"/>
        </w:rPr>
        <w:t>具体内容详见公司于2024年11月2日</w:t>
      </w:r>
      <w:r>
        <w:rPr>
          <w:rFonts w:hint="eastAsia"/>
          <w:spacing w:val="-3"/>
          <w:lang w:eastAsia="zh-CN"/>
        </w:rPr>
        <w:t>披露的《</w:t>
      </w:r>
      <w:r>
        <w:rPr>
          <w:rFonts w:hint="eastAsia"/>
          <w:spacing w:val="-6"/>
          <w:lang w:eastAsia="zh-CN"/>
        </w:rPr>
        <w:t>重庆望变电气（集团）股份有限公司</w:t>
      </w:r>
      <w:r>
        <w:rPr>
          <w:rFonts w:hint="eastAsia"/>
          <w:spacing w:val="-3"/>
          <w:lang w:eastAsia="zh-CN"/>
        </w:rPr>
        <w:t>关于收到中国证券监督管理委员会重庆监管局行政监管措施决定书的公告</w:t>
      </w:r>
      <w:r>
        <w:rPr>
          <w:rFonts w:hint="eastAsia"/>
          <w:spacing w:val="-9"/>
          <w:lang w:eastAsia="zh-CN"/>
        </w:rPr>
        <w:t>》（公告编号：2024-066）。</w:t>
      </w:r>
    </w:p>
    <w:p w14:paraId="619A340E">
      <w:pPr>
        <w:widowControl/>
        <w:spacing w:line="360" w:lineRule="auto"/>
        <w:ind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公司收到</w:t>
      </w:r>
      <w:r>
        <w:rPr>
          <w:rFonts w:hint="eastAsia" w:cs="宋体"/>
          <w:spacing w:val="-5"/>
          <w:sz w:val="24"/>
          <w:szCs w:val="24"/>
        </w:rPr>
        <w:t>《</w:t>
      </w:r>
      <w:r>
        <w:rPr>
          <w:rFonts w:hint="eastAsia" w:ascii="宋体" w:hAnsi="宋体" w:eastAsia="宋体" w:cs="宋体"/>
          <w:spacing w:val="-5"/>
          <w:sz w:val="24"/>
          <w:szCs w:val="24"/>
        </w:rPr>
        <w:t>决定书</w:t>
      </w:r>
      <w:r>
        <w:rPr>
          <w:rFonts w:hint="eastAsia" w:cs="宋体"/>
          <w:spacing w:val="-5"/>
          <w:sz w:val="24"/>
          <w:szCs w:val="24"/>
        </w:rPr>
        <w:t>》</w:t>
      </w:r>
      <w:r>
        <w:rPr>
          <w:rFonts w:hint="eastAsia" w:ascii="宋体" w:hAnsi="宋体" w:eastAsia="宋体" w:cs="宋体"/>
          <w:spacing w:val="-6"/>
          <w:sz w:val="24"/>
          <w:szCs w:val="24"/>
        </w:rPr>
        <w:t>后，董事会和管理层高度重视，召集相关部门和人员对《决定书》中涉及的问题进行了全面梳理和针对性的分析讨论，根据相关法律法规、规范性文件及公司各项管理制度的规定和要求，结合公司实际情况，按照《决定书》的要求积极进行整改。</w:t>
      </w:r>
    </w:p>
    <w:p w14:paraId="0E79AB25">
      <w:pPr>
        <w:widowControl/>
        <w:spacing w:line="360" w:lineRule="auto"/>
        <w:ind w:firstLine="456" w:firstLineChars="200"/>
        <w:rPr>
          <w:rFonts w:hint="eastAsia" w:ascii="宋体" w:hAnsi="宋体" w:eastAsia="宋体" w:cs="宋体"/>
          <w:spacing w:val="-6"/>
          <w:sz w:val="24"/>
          <w:szCs w:val="24"/>
        </w:rPr>
      </w:pPr>
      <w:r>
        <w:rPr>
          <w:rFonts w:hint="eastAsia" w:ascii="宋体" w:hAnsi="宋体" w:eastAsia="宋体" w:cs="宋体"/>
          <w:spacing w:val="-6"/>
          <w:sz w:val="24"/>
          <w:szCs w:val="24"/>
        </w:rPr>
        <w:t>2024年11月26日，公司召开第四届董事会第九次会议、第四届监事会第八次会议，审议通过了</w:t>
      </w:r>
      <w:bookmarkStart w:id="0" w:name="_GoBack"/>
      <w:bookmarkEnd w:id="0"/>
      <w:r>
        <w:rPr>
          <w:rFonts w:hint="eastAsia" w:ascii="宋体" w:hAnsi="宋体" w:eastAsia="宋体" w:cs="宋体"/>
          <w:spacing w:val="-6"/>
          <w:sz w:val="24"/>
          <w:szCs w:val="24"/>
        </w:rPr>
        <w:t>《关于重庆证监局对公司采取责令改正行政监管措施整改报告的议案》，现将整改措施及完成情况说明如下：</w:t>
      </w:r>
    </w:p>
    <w:p w14:paraId="1533A2CC">
      <w:pPr>
        <w:pStyle w:val="3"/>
        <w:spacing w:before="34" w:line="360" w:lineRule="auto"/>
        <w:ind w:left="23" w:right="62" w:firstLine="483"/>
        <w:rPr>
          <w:rFonts w:hint="eastAsia"/>
          <w:b/>
          <w:bCs/>
          <w:spacing w:val="1"/>
          <w:lang w:eastAsia="zh-CN"/>
        </w:rPr>
      </w:pPr>
      <w:r>
        <w:rPr>
          <w:rFonts w:hint="eastAsia"/>
          <w:b/>
          <w:bCs/>
          <w:spacing w:val="1"/>
          <w:lang w:eastAsia="zh-CN"/>
        </w:rPr>
        <w:t>一、事项描述</w:t>
      </w:r>
    </w:p>
    <w:p w14:paraId="061CDDEA">
      <w:pPr>
        <w:pStyle w:val="3"/>
        <w:spacing w:before="34" w:line="360" w:lineRule="auto"/>
        <w:ind w:left="23" w:right="62" w:firstLine="483"/>
        <w:rPr>
          <w:rFonts w:hint="eastAsia"/>
          <w:spacing w:val="1"/>
          <w:lang w:eastAsia="zh-CN"/>
        </w:rPr>
      </w:pPr>
      <w:r>
        <w:rPr>
          <w:rFonts w:hint="eastAsia"/>
          <w:spacing w:val="1"/>
          <w:lang w:eastAsia="zh-CN"/>
        </w:rPr>
        <w:t>公司首次公开发行募集资金投资项目之一“智能成套电气设备产业基地建设项目”(以下简称“智能成套项目”)建设的办公楼未按计划用于智能成套项目，而是供公司管理总部办公使用，与《首次公开发行股份招股说明书》披露不一致，也未履行相应的变更程序。上述行为违反了《上市公司信息披露管理办法》第三条和《上市公司监管指引第2号--上市公司募集资金管理和使用的监管要求(2022年修订)》第六条的有关规定。</w:t>
      </w:r>
    </w:p>
    <w:p w14:paraId="62E25484">
      <w:pPr>
        <w:spacing w:line="360" w:lineRule="auto"/>
        <w:ind w:firstLine="481"/>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二、整改措施</w:t>
      </w:r>
    </w:p>
    <w:p w14:paraId="461C028D">
      <w:pPr>
        <w:pStyle w:val="3"/>
        <w:spacing w:before="34" w:line="360" w:lineRule="auto"/>
        <w:ind w:left="23" w:right="62" w:firstLine="483"/>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针对上述问题，公司高度重视</w:t>
      </w:r>
      <w:r>
        <w:rPr>
          <w:rFonts w:hint="eastAsia" w:ascii="宋体" w:hAnsi="宋体" w:eastAsia="宋体" w:cs="宋体"/>
          <w:spacing w:val="1"/>
          <w:sz w:val="24"/>
          <w:szCs w:val="24"/>
          <w:lang w:val="en-US" w:eastAsia="zh-CN"/>
        </w:rPr>
        <w:t>并</w:t>
      </w:r>
      <w:r>
        <w:rPr>
          <w:rFonts w:hint="eastAsia" w:ascii="宋体" w:hAnsi="宋体" w:eastAsia="宋体" w:cs="宋体"/>
          <w:spacing w:val="1"/>
          <w:sz w:val="24"/>
          <w:szCs w:val="24"/>
          <w:lang w:eastAsia="zh-CN"/>
        </w:rPr>
        <w:t>进行</w:t>
      </w:r>
      <w:r>
        <w:rPr>
          <w:rFonts w:hint="eastAsia" w:ascii="宋体" w:hAnsi="宋体" w:eastAsia="宋体" w:cs="宋体"/>
          <w:spacing w:val="1"/>
          <w:sz w:val="24"/>
          <w:szCs w:val="24"/>
          <w:lang w:val="en-US" w:eastAsia="zh-CN"/>
        </w:rPr>
        <w:t>了</w:t>
      </w:r>
      <w:r>
        <w:rPr>
          <w:rFonts w:hint="eastAsia" w:ascii="宋体" w:hAnsi="宋体" w:eastAsia="宋体" w:cs="宋体"/>
          <w:spacing w:val="1"/>
          <w:sz w:val="24"/>
          <w:szCs w:val="24"/>
          <w:lang w:eastAsia="zh-CN"/>
        </w:rPr>
        <w:t>积极整改，具体措施如下：</w:t>
      </w:r>
    </w:p>
    <w:p w14:paraId="3B9AA494">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（一）募集资金管理和使用专项学习</w:t>
      </w:r>
    </w:p>
    <w:p w14:paraId="36A894F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公司已组织</w:t>
      </w:r>
      <w:r>
        <w:rPr>
          <w:rFonts w:hint="eastAsia" w:ascii="宋体" w:hAnsi="宋体" w:eastAsia="宋体" w:cs="宋体"/>
          <w:sz w:val="24"/>
          <w:szCs w:val="24"/>
          <w:lang w:val="en-US" w:eastAsia="zh-CN"/>
        </w:rPr>
        <w:t>公司</w:t>
      </w:r>
      <w:r>
        <w:rPr>
          <w:rFonts w:hint="eastAsia" w:ascii="宋体" w:hAnsi="宋体" w:eastAsia="宋体" w:cs="宋体"/>
          <w:sz w:val="24"/>
          <w:szCs w:val="24"/>
          <w:lang w:eastAsia="zh-CN"/>
        </w:rPr>
        <w:t>控股股东、公司董事、监事、高级管理人员以及涉及募集资金使用相关岗位人员（主要包括财务部、董事会办公室</w:t>
      </w:r>
      <w:r>
        <w:rPr>
          <w:rFonts w:hint="eastAsia" w:ascii="宋体" w:hAnsi="宋体" w:eastAsia="宋体" w:cs="宋体"/>
          <w:sz w:val="24"/>
          <w:szCs w:val="24"/>
          <w:lang w:val="en-US" w:eastAsia="zh-CN"/>
        </w:rPr>
        <w:t>/证券部</w:t>
      </w:r>
      <w:r>
        <w:rPr>
          <w:rFonts w:hint="eastAsia" w:ascii="宋体" w:hAnsi="宋体" w:eastAsia="宋体" w:cs="宋体"/>
          <w:sz w:val="24"/>
          <w:szCs w:val="24"/>
          <w:lang w:eastAsia="zh-CN"/>
        </w:rPr>
        <w:t>以及相关建设部门等）认真学习《上市公司监管指引第2号——上市公司募集资金管理和使用的监管要求》《上市公司信息披露管理办法》</w:t>
      </w:r>
      <w:r>
        <w:rPr>
          <w:rFonts w:hint="eastAsia" w:ascii="宋体" w:hAnsi="宋体" w:eastAsia="宋体" w:cs="宋体"/>
          <w:sz w:val="24"/>
          <w:szCs w:val="24"/>
          <w:lang w:val="en-US" w:eastAsia="zh-CN"/>
        </w:rPr>
        <w:t>等法律法规和规范性文件，</w:t>
      </w:r>
      <w:r>
        <w:rPr>
          <w:rFonts w:hint="eastAsia" w:ascii="宋体" w:hAnsi="宋体" w:eastAsia="宋体" w:cs="宋体"/>
          <w:sz w:val="24"/>
          <w:szCs w:val="24"/>
          <w:lang w:eastAsia="zh-CN"/>
        </w:rPr>
        <w:t>以及《公司章程》《募集资金管理制度》等</w:t>
      </w:r>
      <w:r>
        <w:rPr>
          <w:rFonts w:hint="eastAsia" w:ascii="宋体" w:hAnsi="宋体" w:eastAsia="宋体" w:cs="宋体"/>
          <w:sz w:val="24"/>
          <w:szCs w:val="24"/>
          <w:lang w:val="en-US" w:eastAsia="zh-CN"/>
        </w:rPr>
        <w:t>公司内部管理</w:t>
      </w:r>
      <w:r>
        <w:rPr>
          <w:rFonts w:hint="eastAsia" w:ascii="宋体" w:hAnsi="宋体" w:eastAsia="宋体" w:cs="宋体"/>
          <w:sz w:val="24"/>
          <w:szCs w:val="24"/>
          <w:lang w:eastAsia="zh-CN"/>
        </w:rPr>
        <w:t>制度，强调募集资金管理和使用的规范性，提升募集资金使用方面的合规意识，提升公司规范运作水平和信息披露质量，避免此类事件再次发生。</w:t>
      </w:r>
    </w:p>
    <w:p w14:paraId="7C66867D">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（二）智能成套项目整改方案</w:t>
      </w:r>
    </w:p>
    <w:p w14:paraId="0442584F">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sz w:val="24"/>
          <w:szCs w:val="24"/>
          <w:lang w:eastAsia="zh-CN"/>
        </w:rPr>
        <w:t>为提高公司资产使用效率、提高集团管理总部职能人员集中办公效率，进而提升公司整体效益，结合公司</w:t>
      </w:r>
      <w:r>
        <w:rPr>
          <w:rFonts w:hint="eastAsia" w:ascii="宋体" w:hAnsi="宋体" w:eastAsia="宋体" w:cs="宋体"/>
          <w:sz w:val="24"/>
          <w:szCs w:val="24"/>
          <w:lang w:val="en-US" w:eastAsia="zh-CN"/>
        </w:rPr>
        <w:t>智能成套</w:t>
      </w:r>
      <w:r>
        <w:rPr>
          <w:rFonts w:hint="eastAsia" w:ascii="宋体" w:hAnsi="宋体" w:eastAsia="宋体" w:cs="宋体"/>
          <w:sz w:val="24"/>
          <w:szCs w:val="24"/>
          <w:lang w:eastAsia="zh-CN"/>
        </w:rPr>
        <w:t>项目及生产场地现有布局，公司拟将智能成套项目</w:t>
      </w:r>
      <w:r>
        <w:rPr>
          <w:rFonts w:hint="eastAsia" w:ascii="宋体" w:hAnsi="宋体" w:eastAsia="宋体" w:cs="宋体"/>
          <w:sz w:val="24"/>
          <w:szCs w:val="24"/>
          <w:lang w:val="en-US" w:eastAsia="zh-CN"/>
        </w:rPr>
        <w:t>所投建</w:t>
      </w:r>
      <w:r>
        <w:rPr>
          <w:rFonts w:hint="eastAsia" w:ascii="宋体" w:hAnsi="宋体" w:eastAsia="宋体" w:cs="宋体"/>
          <w:sz w:val="24"/>
          <w:szCs w:val="24"/>
          <w:lang w:eastAsia="zh-CN"/>
        </w:rPr>
        <w:t>的6,263.34㎡办公</w:t>
      </w:r>
      <w:r>
        <w:rPr>
          <w:rFonts w:hint="eastAsia" w:ascii="宋体" w:hAnsi="宋体" w:eastAsia="宋体" w:cs="宋体"/>
          <w:sz w:val="24"/>
          <w:szCs w:val="24"/>
          <w:lang w:val="en-US" w:eastAsia="zh-CN"/>
        </w:rPr>
        <w:t>楼</w:t>
      </w:r>
      <w:r>
        <w:rPr>
          <w:rFonts w:hint="eastAsia" w:ascii="宋体" w:hAnsi="宋体" w:eastAsia="宋体" w:cs="宋体"/>
          <w:sz w:val="24"/>
          <w:szCs w:val="24"/>
          <w:lang w:eastAsia="zh-CN"/>
        </w:rPr>
        <w:t>永久调整为公司集团管理总部人员使用，</w:t>
      </w:r>
      <w:r>
        <w:rPr>
          <w:rFonts w:hint="eastAsia" w:ascii="宋体" w:hAnsi="宋体" w:eastAsia="宋体" w:cs="宋体"/>
          <w:bCs/>
          <w:sz w:val="24"/>
          <w:szCs w:val="24"/>
          <w:lang w:eastAsia="zh-CN"/>
        </w:rPr>
        <w:t>在</w:t>
      </w:r>
      <w:r>
        <w:rPr>
          <w:rFonts w:hint="eastAsia" w:ascii="宋体" w:hAnsi="宋体" w:eastAsia="宋体" w:cs="宋体"/>
          <w:bCs/>
          <w:sz w:val="24"/>
          <w:szCs w:val="24"/>
          <w:lang w:val="en-US" w:eastAsia="zh-CN"/>
        </w:rPr>
        <w:t>提交公司</w:t>
      </w:r>
      <w:r>
        <w:rPr>
          <w:rFonts w:hint="eastAsia" w:ascii="宋体" w:hAnsi="宋体" w:eastAsia="宋体" w:cs="宋体"/>
          <w:bCs/>
          <w:sz w:val="24"/>
          <w:szCs w:val="24"/>
          <w:lang w:eastAsia="zh-CN"/>
        </w:rPr>
        <w:t>董事会</w:t>
      </w:r>
      <w:r>
        <w:rPr>
          <w:rFonts w:hint="eastAsia" w:ascii="宋体" w:hAnsi="宋体" w:eastAsia="宋体" w:cs="宋体"/>
          <w:bCs/>
          <w:sz w:val="24"/>
          <w:szCs w:val="24"/>
          <w:lang w:val="en-US" w:eastAsia="zh-CN"/>
        </w:rPr>
        <w:t>和监事会</w:t>
      </w:r>
      <w:r>
        <w:rPr>
          <w:rFonts w:hint="eastAsia" w:ascii="宋体" w:hAnsi="宋体" w:eastAsia="宋体" w:cs="宋体"/>
          <w:bCs/>
          <w:sz w:val="24"/>
          <w:szCs w:val="24"/>
          <w:lang w:eastAsia="zh-CN"/>
        </w:rPr>
        <w:t>审议通过后提交公司股东会审议，</w:t>
      </w:r>
      <w:r>
        <w:rPr>
          <w:rFonts w:hint="eastAsia" w:ascii="宋体" w:hAnsi="宋体" w:eastAsia="宋体" w:cs="宋体"/>
          <w:bCs/>
          <w:sz w:val="24"/>
          <w:szCs w:val="24"/>
          <w:lang w:val="en-US" w:eastAsia="zh-CN"/>
        </w:rPr>
        <w:t>以及进行相关信息披露</w:t>
      </w:r>
      <w:r>
        <w:rPr>
          <w:rFonts w:hint="eastAsia" w:ascii="宋体" w:hAnsi="宋体" w:eastAsia="宋体" w:cs="宋体"/>
          <w:sz w:val="24"/>
          <w:szCs w:val="24"/>
          <w:lang w:eastAsia="zh-CN"/>
        </w:rPr>
        <w:t>。公司后续将根据智能成套项目业务及人员增长情况，妥善安排智能成套项目相关人员的办公场地。</w:t>
      </w:r>
    </w:p>
    <w:p w14:paraId="4588BA5C">
      <w:pPr>
        <w:spacing w:line="360" w:lineRule="auto"/>
        <w:ind w:firstLine="482" w:firstLineChars="200"/>
        <w:rPr>
          <w:rFonts w:ascii="宋体" w:hAnsi="宋体" w:eastAsia="宋体" w:cs="宋体"/>
          <w:b/>
          <w:bCs w:val="0"/>
          <w:sz w:val="24"/>
          <w:szCs w:val="24"/>
          <w:lang w:eastAsia="zh-CN"/>
        </w:rPr>
      </w:pPr>
      <w:r>
        <w:rPr>
          <w:rFonts w:hint="eastAsia" w:ascii="宋体" w:hAnsi="宋体" w:eastAsia="宋体" w:cs="宋体"/>
          <w:b/>
          <w:bCs w:val="0"/>
          <w:sz w:val="24"/>
          <w:szCs w:val="24"/>
          <w:lang w:eastAsia="zh-CN"/>
        </w:rPr>
        <w:t>（三）整改责任人/部门</w:t>
      </w:r>
    </w:p>
    <w:p w14:paraId="00427B96">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lang w:eastAsia="zh-CN"/>
        </w:rPr>
        <w:t>董事长、董事会办公室/证券部</w:t>
      </w:r>
    </w:p>
    <w:p w14:paraId="30BA961E">
      <w:pPr>
        <w:spacing w:line="360" w:lineRule="auto"/>
        <w:ind w:firstLine="480"/>
        <w:rPr>
          <w:rFonts w:ascii="宋体" w:hAnsi="宋体" w:eastAsia="宋体" w:cs="宋体"/>
          <w:b/>
          <w:bCs w:val="0"/>
          <w:sz w:val="24"/>
          <w:szCs w:val="24"/>
          <w:lang w:eastAsia="zh-CN"/>
        </w:rPr>
      </w:pPr>
      <w:r>
        <w:rPr>
          <w:rFonts w:hint="eastAsia" w:ascii="宋体" w:hAnsi="宋体" w:eastAsia="宋体" w:cs="宋体"/>
          <w:b/>
          <w:bCs w:val="0"/>
          <w:sz w:val="24"/>
          <w:szCs w:val="24"/>
          <w:lang w:eastAsia="zh-CN"/>
        </w:rPr>
        <w:t>（四）整改期限</w:t>
      </w:r>
    </w:p>
    <w:p w14:paraId="118BD567">
      <w:pPr>
        <w:spacing w:line="360" w:lineRule="auto"/>
        <w:ind w:firstLine="480"/>
        <w:rPr>
          <w:rFonts w:hint="eastAsia" w:ascii="宋体" w:hAnsi="宋体" w:eastAsia="宋体" w:cs="宋体"/>
          <w:bCs/>
          <w:sz w:val="24"/>
          <w:szCs w:val="24"/>
          <w:lang w:eastAsia="zh-CN"/>
        </w:rPr>
      </w:pPr>
      <w:r>
        <w:rPr>
          <w:rFonts w:hint="eastAsia" w:ascii="宋体" w:hAnsi="宋体" w:eastAsia="宋体" w:cs="宋体"/>
          <w:bCs/>
          <w:sz w:val="24"/>
          <w:szCs w:val="24"/>
          <w:lang w:eastAsia="zh-CN"/>
        </w:rPr>
        <w:t>公司已组织相关岗位人员进行了专项学习，智能成套项目用途调整的整改将于公司股东会审议通过相关议案时完成，后续将保持持续规范运作。</w:t>
      </w:r>
    </w:p>
    <w:p w14:paraId="1E938FD0">
      <w:pPr>
        <w:spacing w:line="360" w:lineRule="auto"/>
        <w:ind w:firstLine="480"/>
        <w:rPr>
          <w:rFonts w:ascii="Times New Roman Regular" w:hAnsi="Times New Roman Regular" w:cs="Times New Roman Regular"/>
          <w:b/>
          <w:sz w:val="24"/>
          <w:szCs w:val="24"/>
        </w:rPr>
      </w:pPr>
      <w:r>
        <w:rPr>
          <w:rFonts w:hint="eastAsia" w:ascii="Times New Roman Regular" w:hAnsi="Times New Roman Regular" w:cs="Times New Roman Regular"/>
          <w:b/>
          <w:sz w:val="24"/>
          <w:szCs w:val="24"/>
        </w:rPr>
        <w:t>三、公司总结及持续整改计划</w:t>
      </w:r>
    </w:p>
    <w:p w14:paraId="25A39837">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次重庆证监局对公司进行的现场检查，对于进一步提高公司治理水平、强化规范募集资金管理和使用等起到了重要的推动作用。公司将以此次整改为契机，进一步加强董事、监事、高级管理人员及关键岗位人员对证券法律法规的学习，督促其继续忠实、勤勉地履行职责，切实完善公司治理，健全内部控制制度并严格落实，不断提高规范运作水平，促进公司规范、健康、可持续发展，切实维护公司及广大投资者的利益。</w:t>
      </w:r>
    </w:p>
    <w:p w14:paraId="207722FB">
      <w:pPr>
        <w:pStyle w:val="3"/>
        <w:spacing w:before="78" w:line="360" w:lineRule="auto"/>
        <w:ind w:left="503"/>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pacing w:val="-8"/>
          <w:lang w:eastAsia="zh-CN"/>
        </w:rPr>
        <w:t>特此公告。</w:t>
      </w:r>
    </w:p>
    <w:p w14:paraId="4CE2B785">
      <w:pPr>
        <w:adjustRightInd w:val="0"/>
        <w:snapToGrid w:val="0"/>
        <w:spacing w:line="360" w:lineRule="auto"/>
        <w:ind w:firstLine="480" w:firstLineChars="200"/>
        <w:rPr>
          <w:rFonts w:hint="eastAsia" w:asciiTheme="majorEastAsia" w:hAnsiTheme="majorEastAsia" w:eastAsiaTheme="majorEastAsia" w:cstheme="majorEastAsia"/>
          <w:color w:val="000000"/>
          <w:sz w:val="24"/>
          <w:szCs w:val="24"/>
        </w:rPr>
      </w:pPr>
    </w:p>
    <w:p w14:paraId="165CBB2E">
      <w:pPr>
        <w:adjustRightInd w:val="0"/>
        <w:snapToGrid w:val="0"/>
        <w:spacing w:line="360" w:lineRule="auto"/>
        <w:ind w:firstLine="480" w:firstLineChars="200"/>
        <w:jc w:val="righ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重庆望变电气（集团）</w:t>
      </w:r>
      <w:r>
        <w:rPr>
          <w:rFonts w:hint="eastAsia" w:asciiTheme="majorEastAsia" w:hAnsiTheme="majorEastAsia" w:eastAsiaTheme="majorEastAsia" w:cstheme="majorEastAsia"/>
          <w:color w:val="000000"/>
          <w:sz w:val="24"/>
          <w:szCs w:val="24"/>
        </w:rPr>
        <w:t>股份有限公司董事会</w:t>
      </w:r>
    </w:p>
    <w:p w14:paraId="426C0F91">
      <w:pPr>
        <w:adjustRightInd w:val="0"/>
        <w:snapToGrid w:val="0"/>
        <w:spacing w:line="360" w:lineRule="auto"/>
        <w:ind w:firstLine="480" w:firstLineChars="200"/>
        <w:jc w:val="righ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2024年11月28日</w:t>
      </w:r>
    </w:p>
    <w:p w14:paraId="60A1237F">
      <w:pPr>
        <w:adjustRightInd w:val="0"/>
        <w:snapToGrid w:val="0"/>
        <w:spacing w:line="560" w:lineRule="exact"/>
        <w:ind w:firstLine="480" w:firstLineChars="200"/>
        <w:rPr>
          <w:rFonts w:ascii="Times New Roman" w:hAnsi="Times New Roman" w:eastAsia="宋体" w:cs="Times New Roman"/>
          <w:kern w:val="0"/>
          <w:sz w:val="24"/>
          <w:szCs w:val="24"/>
        </w:rPr>
      </w:pPr>
    </w:p>
    <w:p w14:paraId="3745EA6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583ADBA1">
        <w:pPr>
          <w:pStyle w:val="5"/>
          <w:jc w:val="center"/>
        </w:pPr>
        <w:r>
          <w:fldChar w:fldCharType="begin"/>
        </w:r>
        <w:r>
          <w:instrText xml:space="preserve">PAGE   \* MERGEFORMAT</w:instrText>
        </w:r>
        <w:r>
          <w:fldChar w:fldCharType="separate"/>
        </w:r>
        <w:r>
          <w:rPr>
            <w:lang w:val="zh-CN"/>
          </w:rPr>
          <w:t>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015A1"/>
    <w:rsid w:val="00007E28"/>
    <w:rsid w:val="000565D1"/>
    <w:rsid w:val="0008555B"/>
    <w:rsid w:val="000857C7"/>
    <w:rsid w:val="0009608F"/>
    <w:rsid w:val="000A1C86"/>
    <w:rsid w:val="000A7515"/>
    <w:rsid w:val="000A7B4D"/>
    <w:rsid w:val="000B1A1F"/>
    <w:rsid w:val="000C22DE"/>
    <w:rsid w:val="000E49B8"/>
    <w:rsid w:val="00123266"/>
    <w:rsid w:val="00127276"/>
    <w:rsid w:val="00140439"/>
    <w:rsid w:val="00140B9E"/>
    <w:rsid w:val="0014777F"/>
    <w:rsid w:val="001723E5"/>
    <w:rsid w:val="00192BD0"/>
    <w:rsid w:val="0019396F"/>
    <w:rsid w:val="001A727A"/>
    <w:rsid w:val="001A7942"/>
    <w:rsid w:val="001C0BDC"/>
    <w:rsid w:val="001D06CF"/>
    <w:rsid w:val="00207B64"/>
    <w:rsid w:val="002251BE"/>
    <w:rsid w:val="00225FE6"/>
    <w:rsid w:val="00227720"/>
    <w:rsid w:val="00237B9F"/>
    <w:rsid w:val="002424CF"/>
    <w:rsid w:val="00252550"/>
    <w:rsid w:val="00265DF3"/>
    <w:rsid w:val="002D6C0D"/>
    <w:rsid w:val="002E7DAE"/>
    <w:rsid w:val="002F0C9B"/>
    <w:rsid w:val="0032463B"/>
    <w:rsid w:val="003571E3"/>
    <w:rsid w:val="0036040D"/>
    <w:rsid w:val="00391A1B"/>
    <w:rsid w:val="00394395"/>
    <w:rsid w:val="003B6291"/>
    <w:rsid w:val="003E1591"/>
    <w:rsid w:val="003E38F1"/>
    <w:rsid w:val="003E43DB"/>
    <w:rsid w:val="003F1451"/>
    <w:rsid w:val="003F4CA5"/>
    <w:rsid w:val="00404221"/>
    <w:rsid w:val="00425BF0"/>
    <w:rsid w:val="00433901"/>
    <w:rsid w:val="00442777"/>
    <w:rsid w:val="00464AFC"/>
    <w:rsid w:val="004675A1"/>
    <w:rsid w:val="00491096"/>
    <w:rsid w:val="004A204F"/>
    <w:rsid w:val="004A3B08"/>
    <w:rsid w:val="004A72F5"/>
    <w:rsid w:val="004A790E"/>
    <w:rsid w:val="004B11CD"/>
    <w:rsid w:val="004B5841"/>
    <w:rsid w:val="004D041E"/>
    <w:rsid w:val="004D0E8E"/>
    <w:rsid w:val="004D4195"/>
    <w:rsid w:val="005079B8"/>
    <w:rsid w:val="00513C7A"/>
    <w:rsid w:val="00522BE2"/>
    <w:rsid w:val="005429C2"/>
    <w:rsid w:val="0055216A"/>
    <w:rsid w:val="00571712"/>
    <w:rsid w:val="005A0F7F"/>
    <w:rsid w:val="005A2954"/>
    <w:rsid w:val="005B7B64"/>
    <w:rsid w:val="006150E2"/>
    <w:rsid w:val="00637BC1"/>
    <w:rsid w:val="00646D1E"/>
    <w:rsid w:val="00665EB4"/>
    <w:rsid w:val="006678F9"/>
    <w:rsid w:val="006704CD"/>
    <w:rsid w:val="0068179D"/>
    <w:rsid w:val="00685C65"/>
    <w:rsid w:val="006E4DD1"/>
    <w:rsid w:val="006E64F0"/>
    <w:rsid w:val="006F53AF"/>
    <w:rsid w:val="00701AEA"/>
    <w:rsid w:val="00712936"/>
    <w:rsid w:val="00726F44"/>
    <w:rsid w:val="007305B1"/>
    <w:rsid w:val="00752357"/>
    <w:rsid w:val="00755C3D"/>
    <w:rsid w:val="0077799F"/>
    <w:rsid w:val="00795CF5"/>
    <w:rsid w:val="007A3A1D"/>
    <w:rsid w:val="007A61FA"/>
    <w:rsid w:val="007B073D"/>
    <w:rsid w:val="007B1916"/>
    <w:rsid w:val="007C3FFA"/>
    <w:rsid w:val="007C6F14"/>
    <w:rsid w:val="007F6915"/>
    <w:rsid w:val="008320FC"/>
    <w:rsid w:val="008401FB"/>
    <w:rsid w:val="0084121D"/>
    <w:rsid w:val="00855CBA"/>
    <w:rsid w:val="00872A59"/>
    <w:rsid w:val="00886CCD"/>
    <w:rsid w:val="008C53E7"/>
    <w:rsid w:val="008E100D"/>
    <w:rsid w:val="008E2655"/>
    <w:rsid w:val="008E4A66"/>
    <w:rsid w:val="009014AA"/>
    <w:rsid w:val="0090186C"/>
    <w:rsid w:val="00905CD3"/>
    <w:rsid w:val="00915D39"/>
    <w:rsid w:val="00923C08"/>
    <w:rsid w:val="00947C32"/>
    <w:rsid w:val="009700CD"/>
    <w:rsid w:val="009773E8"/>
    <w:rsid w:val="00984373"/>
    <w:rsid w:val="0098723C"/>
    <w:rsid w:val="009923C5"/>
    <w:rsid w:val="009A0B19"/>
    <w:rsid w:val="009B47DE"/>
    <w:rsid w:val="009C2B72"/>
    <w:rsid w:val="009D1A30"/>
    <w:rsid w:val="009D427C"/>
    <w:rsid w:val="009E3152"/>
    <w:rsid w:val="009E3407"/>
    <w:rsid w:val="00A04ACE"/>
    <w:rsid w:val="00A059A1"/>
    <w:rsid w:val="00A078A9"/>
    <w:rsid w:val="00A106CC"/>
    <w:rsid w:val="00A15569"/>
    <w:rsid w:val="00A3206C"/>
    <w:rsid w:val="00A370B2"/>
    <w:rsid w:val="00A41121"/>
    <w:rsid w:val="00A51C23"/>
    <w:rsid w:val="00A76B87"/>
    <w:rsid w:val="00A823F8"/>
    <w:rsid w:val="00A917FF"/>
    <w:rsid w:val="00AB2B96"/>
    <w:rsid w:val="00AC3419"/>
    <w:rsid w:val="00AD581F"/>
    <w:rsid w:val="00AF6E63"/>
    <w:rsid w:val="00B055A6"/>
    <w:rsid w:val="00B11E7E"/>
    <w:rsid w:val="00B35BB5"/>
    <w:rsid w:val="00B6730B"/>
    <w:rsid w:val="00B9137C"/>
    <w:rsid w:val="00B950AB"/>
    <w:rsid w:val="00BB61B6"/>
    <w:rsid w:val="00BC233A"/>
    <w:rsid w:val="00BC3776"/>
    <w:rsid w:val="00BD25C1"/>
    <w:rsid w:val="00BD4D0F"/>
    <w:rsid w:val="00BE011D"/>
    <w:rsid w:val="00BE4CBC"/>
    <w:rsid w:val="00BE4EFA"/>
    <w:rsid w:val="00BE5ABC"/>
    <w:rsid w:val="00BF7BDB"/>
    <w:rsid w:val="00C13691"/>
    <w:rsid w:val="00C33F7B"/>
    <w:rsid w:val="00C47186"/>
    <w:rsid w:val="00C67FD6"/>
    <w:rsid w:val="00C76A66"/>
    <w:rsid w:val="00C92A59"/>
    <w:rsid w:val="00C970AE"/>
    <w:rsid w:val="00CA1688"/>
    <w:rsid w:val="00CB58B2"/>
    <w:rsid w:val="00CB781A"/>
    <w:rsid w:val="00CD5091"/>
    <w:rsid w:val="00D17468"/>
    <w:rsid w:val="00D20821"/>
    <w:rsid w:val="00D4059C"/>
    <w:rsid w:val="00D41250"/>
    <w:rsid w:val="00D45861"/>
    <w:rsid w:val="00D46F41"/>
    <w:rsid w:val="00D613FF"/>
    <w:rsid w:val="00D63BB9"/>
    <w:rsid w:val="00D65BA4"/>
    <w:rsid w:val="00D67CA6"/>
    <w:rsid w:val="00D8189C"/>
    <w:rsid w:val="00DA6213"/>
    <w:rsid w:val="00DB744D"/>
    <w:rsid w:val="00DC0C91"/>
    <w:rsid w:val="00DC31F3"/>
    <w:rsid w:val="00DD5D61"/>
    <w:rsid w:val="00DD62E6"/>
    <w:rsid w:val="00DE481A"/>
    <w:rsid w:val="00DF3192"/>
    <w:rsid w:val="00DF6AC3"/>
    <w:rsid w:val="00DF73E8"/>
    <w:rsid w:val="00E03BCD"/>
    <w:rsid w:val="00E12632"/>
    <w:rsid w:val="00E1367C"/>
    <w:rsid w:val="00E301F1"/>
    <w:rsid w:val="00E45C41"/>
    <w:rsid w:val="00E53D43"/>
    <w:rsid w:val="00E558AE"/>
    <w:rsid w:val="00E60A72"/>
    <w:rsid w:val="00E77815"/>
    <w:rsid w:val="00E95F43"/>
    <w:rsid w:val="00EA59EE"/>
    <w:rsid w:val="00EB1D3E"/>
    <w:rsid w:val="00EB4C2B"/>
    <w:rsid w:val="00EC0CCF"/>
    <w:rsid w:val="00EC496E"/>
    <w:rsid w:val="00ED05AF"/>
    <w:rsid w:val="00EE084C"/>
    <w:rsid w:val="00F0268C"/>
    <w:rsid w:val="00F0742F"/>
    <w:rsid w:val="00F229F1"/>
    <w:rsid w:val="00F450F3"/>
    <w:rsid w:val="00F61A7B"/>
    <w:rsid w:val="00F670DD"/>
    <w:rsid w:val="00FC1833"/>
    <w:rsid w:val="00FD66ED"/>
    <w:rsid w:val="00FE6306"/>
    <w:rsid w:val="00FF3EA0"/>
    <w:rsid w:val="00FF7741"/>
    <w:rsid w:val="03860931"/>
    <w:rsid w:val="04100944"/>
    <w:rsid w:val="06056EA0"/>
    <w:rsid w:val="06FC4E45"/>
    <w:rsid w:val="08E22254"/>
    <w:rsid w:val="098D7D5C"/>
    <w:rsid w:val="0B4D059A"/>
    <w:rsid w:val="0C17088B"/>
    <w:rsid w:val="0D2016D6"/>
    <w:rsid w:val="100A1203"/>
    <w:rsid w:val="10583F02"/>
    <w:rsid w:val="14750277"/>
    <w:rsid w:val="17640487"/>
    <w:rsid w:val="19405189"/>
    <w:rsid w:val="195113E8"/>
    <w:rsid w:val="1B8D41D9"/>
    <w:rsid w:val="1F044F32"/>
    <w:rsid w:val="20B00A53"/>
    <w:rsid w:val="21F041BB"/>
    <w:rsid w:val="2341560E"/>
    <w:rsid w:val="2398593D"/>
    <w:rsid w:val="25E42F4C"/>
    <w:rsid w:val="26501867"/>
    <w:rsid w:val="2AEE316F"/>
    <w:rsid w:val="2B3A4294"/>
    <w:rsid w:val="30D84FA4"/>
    <w:rsid w:val="32B0063D"/>
    <w:rsid w:val="352E1F3E"/>
    <w:rsid w:val="35D22DC1"/>
    <w:rsid w:val="379B1039"/>
    <w:rsid w:val="388727CC"/>
    <w:rsid w:val="3B6649BC"/>
    <w:rsid w:val="3E331A34"/>
    <w:rsid w:val="3ED22960"/>
    <w:rsid w:val="410C1F6F"/>
    <w:rsid w:val="43902B28"/>
    <w:rsid w:val="443D49E5"/>
    <w:rsid w:val="44C85FCB"/>
    <w:rsid w:val="44E2699F"/>
    <w:rsid w:val="4512047F"/>
    <w:rsid w:val="47B0374E"/>
    <w:rsid w:val="49836455"/>
    <w:rsid w:val="4984282A"/>
    <w:rsid w:val="4A802155"/>
    <w:rsid w:val="4B526B56"/>
    <w:rsid w:val="4E346A13"/>
    <w:rsid w:val="4F773B1F"/>
    <w:rsid w:val="511E0023"/>
    <w:rsid w:val="5150387B"/>
    <w:rsid w:val="521827E2"/>
    <w:rsid w:val="539E1492"/>
    <w:rsid w:val="54AE55F2"/>
    <w:rsid w:val="54CA7B2B"/>
    <w:rsid w:val="569025B7"/>
    <w:rsid w:val="5C3D37F6"/>
    <w:rsid w:val="635C21C8"/>
    <w:rsid w:val="66E539EB"/>
    <w:rsid w:val="68B34579"/>
    <w:rsid w:val="6A6C62AD"/>
    <w:rsid w:val="6A937B2C"/>
    <w:rsid w:val="6D711AC2"/>
    <w:rsid w:val="7153734A"/>
    <w:rsid w:val="72592739"/>
    <w:rsid w:val="72640AD5"/>
    <w:rsid w:val="72F755BC"/>
    <w:rsid w:val="75016695"/>
    <w:rsid w:val="75320423"/>
    <w:rsid w:val="76983471"/>
    <w:rsid w:val="76C612C5"/>
    <w:rsid w:val="77D11EA6"/>
    <w:rsid w:val="77E1549F"/>
    <w:rsid w:val="789E0D97"/>
    <w:rsid w:val="7BB03862"/>
    <w:rsid w:val="7E885062"/>
    <w:rsid w:val="7EAC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8"/>
    <w:autoRedefine/>
    <w:qFormat/>
    <w:uiPriority w:val="0"/>
    <w:pPr>
      <w:jc w:val="left"/>
    </w:pPr>
  </w:style>
  <w:style w:type="paragraph" w:styleId="3">
    <w:name w:val="Body Text"/>
    <w:basedOn w:val="1"/>
    <w:autoRedefine/>
    <w:semiHidden/>
    <w:qFormat/>
    <w:uiPriority w:val="0"/>
    <w:rPr>
      <w:rFonts w:ascii="宋体" w:hAnsi="宋体" w:eastAsia="宋体" w:cs="宋体"/>
      <w:sz w:val="24"/>
      <w:szCs w:val="24"/>
      <w:lang w:eastAsia="en-US"/>
    </w:rPr>
  </w:style>
  <w:style w:type="paragraph" w:styleId="4">
    <w:name w:val="Balloon Text"/>
    <w:basedOn w:val="1"/>
    <w:link w:val="17"/>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paragraph" w:styleId="8">
    <w:name w:val="annotation subject"/>
    <w:basedOn w:val="2"/>
    <w:next w:val="2"/>
    <w:link w:val="19"/>
    <w:autoRedefine/>
    <w:qFormat/>
    <w:uiPriority w:val="0"/>
    <w:rPr>
      <w:b/>
      <w:bCs/>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0"/>
    <w:rPr>
      <w:color w:val="0563C1" w:themeColor="hyperlink"/>
      <w:u w:val="single"/>
      <w14:textFill>
        <w14:solidFill>
          <w14:schemeClr w14:val="hlink"/>
        </w14:solidFill>
      </w14:textFill>
    </w:rPr>
  </w:style>
  <w:style w:type="character" w:styleId="13">
    <w:name w:val="annotation reference"/>
    <w:basedOn w:val="11"/>
    <w:autoRedefine/>
    <w:qFormat/>
    <w:uiPriority w:val="0"/>
    <w:rPr>
      <w:sz w:val="21"/>
      <w:szCs w:val="21"/>
    </w:rPr>
  </w:style>
  <w:style w:type="character" w:customStyle="1" w:styleId="14">
    <w:name w:val="页眉 字符"/>
    <w:basedOn w:val="11"/>
    <w:link w:val="6"/>
    <w:autoRedefine/>
    <w:qFormat/>
    <w:uiPriority w:val="0"/>
    <w:rPr>
      <w:kern w:val="2"/>
      <w:sz w:val="18"/>
      <w:szCs w:val="18"/>
    </w:rPr>
  </w:style>
  <w:style w:type="character" w:customStyle="1" w:styleId="15">
    <w:name w:val="页脚 字符"/>
    <w:basedOn w:val="11"/>
    <w:link w:val="5"/>
    <w:autoRedefine/>
    <w:qFormat/>
    <w:uiPriority w:val="99"/>
    <w:rPr>
      <w:kern w:val="2"/>
      <w:sz w:val="18"/>
      <w:szCs w:val="18"/>
    </w:rPr>
  </w:style>
  <w:style w:type="paragraph" w:styleId="16">
    <w:name w:val="List Paragraph"/>
    <w:basedOn w:val="1"/>
    <w:autoRedefine/>
    <w:qFormat/>
    <w:uiPriority w:val="34"/>
    <w:pPr>
      <w:ind w:firstLine="420" w:firstLineChars="200"/>
    </w:pPr>
    <w:rPr>
      <w:rFonts w:ascii="Calibri" w:hAnsi="Calibri" w:eastAsia="宋体" w:cs="Times New Roman"/>
    </w:rPr>
  </w:style>
  <w:style w:type="character" w:customStyle="1" w:styleId="17">
    <w:name w:val="批注框文本 字符"/>
    <w:basedOn w:val="11"/>
    <w:link w:val="4"/>
    <w:autoRedefine/>
    <w:qFormat/>
    <w:uiPriority w:val="0"/>
    <w:rPr>
      <w:kern w:val="2"/>
      <w:sz w:val="18"/>
      <w:szCs w:val="18"/>
    </w:rPr>
  </w:style>
  <w:style w:type="character" w:customStyle="1" w:styleId="18">
    <w:name w:val="批注文字 字符"/>
    <w:basedOn w:val="11"/>
    <w:link w:val="2"/>
    <w:autoRedefine/>
    <w:qFormat/>
    <w:uiPriority w:val="0"/>
    <w:rPr>
      <w:kern w:val="2"/>
      <w:sz w:val="21"/>
      <w:szCs w:val="22"/>
    </w:rPr>
  </w:style>
  <w:style w:type="character" w:customStyle="1" w:styleId="19">
    <w:name w:val="批注主题 字符"/>
    <w:basedOn w:val="18"/>
    <w:link w:val="8"/>
    <w:autoRedefine/>
    <w:qFormat/>
    <w:uiPriority w:val="0"/>
    <w:rPr>
      <w:b/>
      <w:bCs/>
      <w:kern w:val="2"/>
      <w:sz w:val="21"/>
      <w:szCs w:val="22"/>
    </w:rPr>
  </w:style>
  <w:style w:type="paragraph" w:customStyle="1" w:styleId="20">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3">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1549</Words>
  <Characters>1606</Characters>
  <Lines>18</Lines>
  <Paragraphs>5</Paragraphs>
  <TotalTime>2</TotalTime>
  <ScaleCrop>false</ScaleCrop>
  <LinksUpToDate>false</LinksUpToDate>
  <CharactersWithSpaces>1621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2024-08-02T02:27:00Z</dcterms:created>
  <dc:creator>BJB-ZB-03</dc:creator>
  <cp:lastModifiedBy>雯亦</cp:lastModifiedBy>
  <dcterms:modified xsi:type="dcterms:W3CDTF">2024-11-27T10:14:23Z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B716582C1DF8478484D5FDDDBE36E76D_13</vt:lpwstr>
  </property>
</Properties>
</file>