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3DB7E">
      <w:pPr>
        <w:adjustRightInd w:val="0"/>
        <w:snapToGrid w:val="0"/>
        <w:spacing w:line="560" w:lineRule="exact"/>
        <w:ind w:firstLine="420" w:firstLineChars="0"/>
        <w:jc w:val="left"/>
        <w:rPr>
          <w:rFonts w:hint="default" w:ascii="宋体" w:hAnsi="宋体" w:eastAsia="宋体"/>
          <w:b/>
          <w:color w:val="auto"/>
          <w:sz w:val="24"/>
          <w:szCs w:val="24"/>
          <w:lang w:val="en-US" w:eastAsia="zh-CN"/>
        </w:rPr>
      </w:pPr>
      <w:r>
        <w:rPr>
          <w:rFonts w:hint="eastAsia" w:ascii="宋体" w:hAnsi="宋体"/>
          <w:b/>
          <w:color w:val="auto"/>
          <w:sz w:val="24"/>
          <w:szCs w:val="24"/>
        </w:rPr>
        <w:t>证券代码：</w:t>
      </w:r>
      <w:r>
        <w:rPr>
          <w:rFonts w:ascii="宋体" w:hAnsi="宋体"/>
          <w:b/>
          <w:color w:val="auto"/>
          <w:sz w:val="24"/>
          <w:szCs w:val="24"/>
        </w:rPr>
        <w:t xml:space="preserve">603191        </w:t>
      </w:r>
      <w:r>
        <w:rPr>
          <w:rFonts w:hint="eastAsia" w:ascii="宋体" w:hAnsi="宋体"/>
          <w:b/>
          <w:color w:val="auto"/>
          <w:sz w:val="24"/>
          <w:szCs w:val="24"/>
        </w:rPr>
        <w:t xml:space="preserve">证券简称：望变电气 </w:t>
      </w:r>
      <w:r>
        <w:rPr>
          <w:rFonts w:ascii="宋体" w:hAnsi="宋体"/>
          <w:b/>
          <w:color w:val="auto"/>
          <w:sz w:val="24"/>
          <w:szCs w:val="24"/>
        </w:rPr>
        <w:t xml:space="preserve">       </w:t>
      </w:r>
      <w:r>
        <w:rPr>
          <w:rFonts w:hint="eastAsia" w:ascii="宋体" w:hAnsi="宋体"/>
          <w:b/>
          <w:color w:val="auto"/>
          <w:sz w:val="24"/>
          <w:szCs w:val="24"/>
        </w:rPr>
        <w:t>公告编号</w:t>
      </w:r>
      <w:r>
        <w:rPr>
          <w:rFonts w:hint="eastAsia" w:ascii="宋体" w:hAnsi="宋体"/>
          <w:b/>
          <w:color w:val="auto"/>
          <w:sz w:val="24"/>
          <w:szCs w:val="24"/>
          <w:highlight w:val="none"/>
        </w:rPr>
        <w:t>：2</w:t>
      </w:r>
      <w:r>
        <w:rPr>
          <w:rFonts w:ascii="宋体" w:hAnsi="宋体"/>
          <w:b/>
          <w:color w:val="auto"/>
          <w:sz w:val="24"/>
          <w:szCs w:val="24"/>
          <w:highlight w:val="none"/>
        </w:rPr>
        <w:t>02</w:t>
      </w:r>
      <w:r>
        <w:rPr>
          <w:rFonts w:hint="eastAsia" w:ascii="宋体" w:hAnsi="宋体"/>
          <w:b/>
          <w:color w:val="auto"/>
          <w:sz w:val="24"/>
          <w:szCs w:val="24"/>
          <w:highlight w:val="none"/>
        </w:rPr>
        <w:t>4</w:t>
      </w:r>
      <w:r>
        <w:rPr>
          <w:rFonts w:ascii="宋体" w:hAnsi="宋体"/>
          <w:b/>
          <w:color w:val="auto"/>
          <w:sz w:val="24"/>
          <w:szCs w:val="24"/>
          <w:highlight w:val="none"/>
        </w:rPr>
        <w:t>-0</w:t>
      </w:r>
      <w:r>
        <w:rPr>
          <w:rFonts w:hint="eastAsia" w:ascii="宋体" w:hAnsi="宋体"/>
          <w:b/>
          <w:color w:val="auto"/>
          <w:sz w:val="24"/>
          <w:szCs w:val="24"/>
          <w:highlight w:val="none"/>
          <w:lang w:val="en-US" w:eastAsia="zh-CN"/>
        </w:rPr>
        <w:t>75</w:t>
      </w:r>
    </w:p>
    <w:p w14:paraId="3CCB20DF">
      <w:pPr>
        <w:adjustRightInd w:val="0"/>
        <w:snapToGrid w:val="0"/>
        <w:spacing w:line="560" w:lineRule="exact"/>
        <w:jc w:val="left"/>
        <w:rPr>
          <w:rFonts w:ascii="仿宋" w:hAnsi="仿宋" w:eastAsia="仿宋_GB2312"/>
          <w:color w:val="auto"/>
          <w:sz w:val="30"/>
          <w:szCs w:val="30"/>
        </w:rPr>
      </w:pPr>
    </w:p>
    <w:p w14:paraId="44EEC80E">
      <w:pPr>
        <w:adjustRightInd w:val="0"/>
        <w:snapToGrid w:val="0"/>
        <w:spacing w:before="156" w:beforeLines="50" w:line="560" w:lineRule="exact"/>
        <w:jc w:val="center"/>
        <w:rPr>
          <w:rFonts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780A05D8">
      <w:pPr>
        <w:adjustRightInd w:val="0"/>
        <w:snapToGrid w:val="0"/>
        <w:spacing w:before="156" w:beforeLines="50" w:line="560" w:lineRule="exact"/>
        <w:jc w:val="center"/>
        <w:rPr>
          <w:rFonts w:ascii="宋体" w:hAnsi="宋体" w:cs="仿宋_GB2312"/>
          <w:b/>
          <w:bCs/>
          <w:color w:val="FF0000"/>
          <w:sz w:val="36"/>
          <w:szCs w:val="36"/>
        </w:rPr>
      </w:pPr>
      <w:r>
        <w:rPr>
          <w:rFonts w:hint="eastAsia" w:ascii="宋体" w:hAnsi="宋体" w:cs="仿宋_GB2312"/>
          <w:b/>
          <w:bCs/>
          <w:color w:val="FF0000"/>
          <w:sz w:val="36"/>
          <w:szCs w:val="36"/>
        </w:rPr>
        <w:t>关于预计202</w:t>
      </w:r>
      <w:r>
        <w:rPr>
          <w:rFonts w:hint="eastAsia" w:ascii="宋体" w:hAnsi="宋体" w:cs="仿宋_GB2312"/>
          <w:b/>
          <w:bCs/>
          <w:color w:val="FF0000"/>
          <w:sz w:val="36"/>
          <w:szCs w:val="36"/>
          <w:lang w:val="en-US" w:eastAsia="zh-CN"/>
        </w:rPr>
        <w:t>5</w:t>
      </w:r>
      <w:r>
        <w:rPr>
          <w:rFonts w:hint="eastAsia" w:ascii="宋体" w:hAnsi="宋体" w:cs="仿宋_GB2312"/>
          <w:b/>
          <w:bCs/>
          <w:color w:val="FF0000"/>
          <w:sz w:val="36"/>
          <w:szCs w:val="36"/>
        </w:rPr>
        <w:t>年度对子公司新增担保额度的公告</w:t>
      </w:r>
    </w:p>
    <w:p w14:paraId="214FEFBE">
      <w:pPr>
        <w:adjustRightInd w:val="0"/>
        <w:snapToGrid w:val="0"/>
        <w:spacing w:before="156" w:beforeLines="50" w:line="560" w:lineRule="exact"/>
        <w:jc w:val="center"/>
        <w:rPr>
          <w:rFonts w:ascii="仿宋_GB2312" w:hAnsi="仿宋_GB2312" w:eastAsia="仿宋_GB2312" w:cs="仿宋_GB2312"/>
          <w:b/>
          <w:bCs/>
          <w:color w:val="auto"/>
          <w:sz w:val="30"/>
          <w:szCs w:val="30"/>
        </w:rPr>
      </w:pPr>
    </w:p>
    <w:p w14:paraId="514E957D">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color w:val="auto"/>
          <w:sz w:val="24"/>
          <w:szCs w:val="24"/>
        </w:rPr>
      </w:pPr>
      <w:r>
        <w:rPr>
          <w:rFonts w:hint="eastAsia" w:ascii="仿宋" w:hAnsi="仿宋" w:eastAsia="仿宋"/>
          <w:color w:val="auto"/>
          <w:sz w:val="24"/>
          <w:szCs w:val="24"/>
        </w:rPr>
        <w:t>本公司董事会及全体董事保证本公告内容不存在任何虚假记载、误导性陈述或者重大遗漏，并对其内容的真实性、准确性和完整性承担法律责任</w:t>
      </w:r>
      <w:r>
        <w:rPr>
          <w:rFonts w:hint="eastAsia" w:ascii="宋体" w:hAnsi="宋体"/>
          <w:color w:val="auto"/>
          <w:sz w:val="24"/>
          <w:szCs w:val="24"/>
        </w:rPr>
        <w:t>。</w:t>
      </w:r>
    </w:p>
    <w:p w14:paraId="3D697BAC">
      <w:pPr>
        <w:adjustRightInd w:val="0"/>
        <w:snapToGrid w:val="0"/>
        <w:spacing w:line="560" w:lineRule="exact"/>
        <w:rPr>
          <w:rFonts w:ascii="宋体" w:hAnsi="宋体" w:cs="宋体"/>
          <w:color w:val="auto"/>
          <w:sz w:val="24"/>
          <w:szCs w:val="24"/>
        </w:rPr>
      </w:pPr>
    </w:p>
    <w:p w14:paraId="0A667766">
      <w:pPr>
        <w:adjustRightInd w:val="0"/>
        <w:snapToGrid w:val="0"/>
        <w:spacing w:line="560" w:lineRule="exact"/>
        <w:rPr>
          <w:rFonts w:ascii="宋体" w:hAnsi="宋体" w:cs="宋体"/>
          <w:b/>
          <w:color w:val="auto"/>
          <w:sz w:val="24"/>
          <w:szCs w:val="24"/>
        </w:rPr>
      </w:pPr>
      <w:r>
        <w:rPr>
          <w:rFonts w:hint="eastAsia" w:ascii="宋体" w:hAnsi="宋体" w:cs="宋体"/>
          <w:b/>
          <w:color w:val="auto"/>
          <w:sz w:val="24"/>
          <w:szCs w:val="24"/>
        </w:rPr>
        <w:t>重要内容提示：</w:t>
      </w:r>
    </w:p>
    <w:p w14:paraId="26F7A0CC">
      <w:pPr>
        <w:pStyle w:val="25"/>
        <w:numPr>
          <w:ilvl w:val="0"/>
          <w:numId w:val="2"/>
        </w:numPr>
        <w:rPr>
          <w:rFonts w:hint="eastAsia" w:ascii="宋体" w:hAnsi="宋体" w:eastAsia="宋体" w:cs="宋体"/>
          <w:color w:val="auto"/>
          <w:sz w:val="24"/>
          <w:szCs w:val="24"/>
        </w:rPr>
      </w:pPr>
      <w:r>
        <w:rPr>
          <w:rFonts w:hint="eastAsia" w:ascii="宋体" w:hAnsi="宋体" w:eastAsia="宋体" w:cs="宋体"/>
          <w:color w:val="auto"/>
          <w:sz w:val="24"/>
          <w:szCs w:val="24"/>
        </w:rPr>
        <w:t>被担保人：全资子公司重庆惠泽电器有限公司（以下简称“惠泽电器”）和黔南望江变压器有限公司（以下简称“黔南望江”）</w:t>
      </w:r>
      <w:r>
        <w:rPr>
          <w:rFonts w:hint="eastAsia" w:ascii="宋体" w:hAnsi="宋体" w:eastAsia="宋体" w:cs="宋体"/>
          <w:color w:val="auto"/>
          <w:sz w:val="24"/>
          <w:szCs w:val="24"/>
          <w:lang w:val="en-US" w:eastAsia="zh-CN"/>
        </w:rPr>
        <w:t>及</w:t>
      </w:r>
      <w:r>
        <w:rPr>
          <w:rFonts w:hint="eastAsia" w:ascii="宋体" w:hAnsi="宋体" w:cs="宋体"/>
          <w:color w:val="auto"/>
          <w:sz w:val="24"/>
          <w:szCs w:val="24"/>
          <w:lang w:val="en-US" w:eastAsia="zh-CN"/>
        </w:rPr>
        <w:t>控股子公司</w:t>
      </w:r>
      <w:r>
        <w:rPr>
          <w:rFonts w:hint="eastAsia" w:ascii="宋体" w:hAnsi="宋体" w:eastAsia="宋体" w:cs="宋体"/>
          <w:color w:val="000000"/>
          <w:kern w:val="0"/>
          <w:sz w:val="24"/>
          <w:szCs w:val="24"/>
          <w:highlight w:val="none"/>
          <w:lang w:val="en-US" w:eastAsia="zh-CN"/>
        </w:rPr>
        <w:t>云南变压器电气股份有限公司（以下简称“云变电气”）</w:t>
      </w:r>
    </w:p>
    <w:p w14:paraId="2BC54D0E">
      <w:pPr>
        <w:pStyle w:val="25"/>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本次担保金额：公司同意202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年度为惠泽电器向银行等金融机构申请综合授信或借款提供新增额度不超过1亿元人民币（或等值外币）的担保；</w:t>
      </w:r>
      <w:r>
        <w:rPr>
          <w:rFonts w:hint="eastAsia" w:ascii="宋体" w:hAnsi="宋体" w:cs="宋体"/>
          <w:color w:val="auto"/>
          <w:sz w:val="24"/>
          <w:szCs w:val="24"/>
          <w:lang w:val="en-US" w:eastAsia="zh-CN"/>
        </w:rPr>
        <w:t>同意</w:t>
      </w:r>
      <w:r>
        <w:rPr>
          <w:rFonts w:hint="eastAsia" w:ascii="宋体" w:hAnsi="宋体" w:eastAsia="宋体" w:cs="宋体"/>
          <w:color w:val="auto"/>
          <w:sz w:val="24"/>
          <w:szCs w:val="24"/>
        </w:rPr>
        <w:t>2025年度为黔南望江向银行等金融机构申请综合授信或借款提供新增额度不超过2亿元人民币（或等值外币）的担保；</w:t>
      </w:r>
      <w:r>
        <w:rPr>
          <w:rFonts w:hint="eastAsia" w:ascii="宋体" w:hAnsi="宋体" w:cs="宋体"/>
          <w:color w:val="auto"/>
          <w:sz w:val="24"/>
          <w:szCs w:val="24"/>
          <w:lang w:val="en-US" w:eastAsia="zh-CN"/>
        </w:rPr>
        <w:t>同意</w:t>
      </w:r>
      <w:r>
        <w:rPr>
          <w:rFonts w:hint="eastAsia" w:ascii="宋体" w:hAnsi="宋体" w:eastAsia="宋体" w:cs="宋体"/>
          <w:color w:val="auto"/>
          <w:sz w:val="24"/>
          <w:szCs w:val="24"/>
        </w:rPr>
        <w:t>2025年度为云变电气向银行</w:t>
      </w:r>
      <w:r>
        <w:rPr>
          <w:rFonts w:hint="eastAsia" w:ascii="宋体" w:hAnsi="宋体" w:eastAsia="宋体" w:cs="宋体"/>
          <w:color w:val="auto"/>
          <w:sz w:val="24"/>
          <w:szCs w:val="24"/>
          <w:highlight w:val="none"/>
        </w:rPr>
        <w:t>等金融机构申请综合授信或借款提供新增额度不超过1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亿元人民币（或等值外币）的担保。截至</w:t>
      </w:r>
      <w:r>
        <w:rPr>
          <w:rFonts w:hint="eastAsia" w:ascii="宋体" w:hAnsi="宋体" w:cs="宋体"/>
          <w:color w:val="auto"/>
          <w:sz w:val="24"/>
          <w:szCs w:val="24"/>
          <w:highlight w:val="none"/>
          <w:lang w:val="en-US" w:eastAsia="zh-CN"/>
        </w:rPr>
        <w:t>2024年10月31日</w:t>
      </w:r>
      <w:r>
        <w:rPr>
          <w:rFonts w:hint="eastAsia" w:ascii="宋体" w:hAnsi="宋体" w:eastAsia="宋体" w:cs="宋体"/>
          <w:color w:val="auto"/>
          <w:sz w:val="24"/>
          <w:szCs w:val="24"/>
          <w:highlight w:val="none"/>
        </w:rPr>
        <w:t>公司已实际为黔南望江提供的担保余额为人民币</w:t>
      </w:r>
      <w:r>
        <w:rPr>
          <w:rFonts w:hint="eastAsia" w:ascii="宋体" w:hAnsi="宋体" w:cs="宋体"/>
          <w:color w:val="auto"/>
          <w:kern w:val="2"/>
          <w:sz w:val="24"/>
          <w:szCs w:val="24"/>
          <w:highlight w:val="none"/>
          <w:u w:val="none"/>
          <w:lang w:bidi="ar"/>
        </w:rPr>
        <w:t xml:space="preserve"> 5,363.33</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为云变电气提供的担保余额为人民币</w:t>
      </w:r>
      <w:r>
        <w:rPr>
          <w:rFonts w:hint="eastAsia" w:ascii="宋体" w:hAnsi="宋体" w:cs="宋体"/>
          <w:color w:val="auto"/>
          <w:kern w:val="2"/>
          <w:sz w:val="24"/>
          <w:szCs w:val="24"/>
          <w:highlight w:val="none"/>
          <w:u w:val="none"/>
          <w:lang w:bidi="ar"/>
        </w:rPr>
        <w:t>13,710.4</w:t>
      </w:r>
      <w:r>
        <w:rPr>
          <w:rFonts w:hint="eastAsia" w:ascii="宋体" w:hAnsi="宋体" w:cs="宋体"/>
          <w:color w:val="auto"/>
          <w:kern w:val="2"/>
          <w:sz w:val="24"/>
          <w:szCs w:val="24"/>
          <w:highlight w:val="none"/>
          <w:u w:val="none"/>
          <w:lang w:val="en-US" w:eastAsia="zh-CN" w:bidi="ar"/>
        </w:rPr>
        <w:t>0</w:t>
      </w:r>
      <w:r>
        <w:rPr>
          <w:rFonts w:hint="eastAsia" w:ascii="宋体" w:hAnsi="宋体" w:cs="宋体"/>
          <w:color w:val="auto"/>
          <w:sz w:val="24"/>
          <w:szCs w:val="24"/>
          <w:highlight w:val="none"/>
          <w:lang w:val="en-US" w:eastAsia="zh-CN"/>
        </w:rPr>
        <w:t>万元</w:t>
      </w:r>
      <w:r>
        <w:rPr>
          <w:rFonts w:hint="eastAsia" w:ascii="宋体" w:hAnsi="宋体" w:eastAsia="宋体" w:cs="宋体"/>
          <w:color w:val="auto"/>
          <w:sz w:val="24"/>
          <w:szCs w:val="24"/>
          <w:highlight w:val="none"/>
        </w:rPr>
        <w:t>。</w:t>
      </w:r>
    </w:p>
    <w:p w14:paraId="2CAE4DD6">
      <w:pPr>
        <w:pStyle w:val="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本次担保有无反担保：无</w:t>
      </w:r>
    </w:p>
    <w:p w14:paraId="1B0EF3D1">
      <w:pPr>
        <w:pStyle w:val="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公司无逾期对外担保的情况：无</w:t>
      </w:r>
    </w:p>
    <w:p w14:paraId="74F4DF6A">
      <w:pPr>
        <w:pStyle w:val="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特别风险提示：本次被担保对象</w:t>
      </w:r>
      <w:r>
        <w:rPr>
          <w:rFonts w:hint="eastAsia" w:ascii="宋体" w:hAnsi="宋体" w:cs="宋体"/>
          <w:color w:val="auto"/>
          <w:sz w:val="24"/>
          <w:szCs w:val="24"/>
          <w:highlight w:val="none"/>
          <w:lang w:val="en-US" w:eastAsia="zh-CN"/>
        </w:rPr>
        <w:t>惠泽电器和</w:t>
      </w:r>
      <w:r>
        <w:rPr>
          <w:rFonts w:hint="eastAsia" w:ascii="宋体" w:hAnsi="宋体" w:eastAsia="宋体" w:cs="宋体"/>
          <w:color w:val="auto"/>
          <w:sz w:val="24"/>
          <w:szCs w:val="24"/>
          <w:highlight w:val="none"/>
        </w:rPr>
        <w:t>黔南望江资产负债率超过70%（未经审计），请广大投资者关注担保风险。</w:t>
      </w:r>
    </w:p>
    <w:p w14:paraId="72134DFA">
      <w:pPr>
        <w:autoSpaceDE w:val="0"/>
        <w:autoSpaceDN w:val="0"/>
        <w:adjustRightInd w:val="0"/>
        <w:spacing w:line="560" w:lineRule="exact"/>
        <w:rPr>
          <w:rFonts w:ascii="宋体" w:hAnsi="宋体" w:cs="宋体"/>
          <w:b/>
          <w:color w:val="auto"/>
          <w:sz w:val="24"/>
          <w:szCs w:val="24"/>
          <w:highlight w:val="none"/>
        </w:rPr>
      </w:pPr>
      <w:r>
        <w:rPr>
          <w:rFonts w:hint="eastAsia" w:ascii="宋体" w:hAnsi="宋体" w:cs="宋体"/>
          <w:b/>
          <w:color w:val="auto"/>
          <w:sz w:val="24"/>
          <w:szCs w:val="24"/>
          <w:highlight w:val="none"/>
        </w:rPr>
        <w:t>一、担保情况概述</w:t>
      </w:r>
    </w:p>
    <w:p w14:paraId="3910F1E1">
      <w:pPr>
        <w:autoSpaceDE w:val="0"/>
        <w:autoSpaceDN w:val="0"/>
        <w:adjustRightInd w:val="0"/>
        <w:spacing w:line="560" w:lineRule="exact"/>
        <w:rPr>
          <w:rFonts w:ascii="宋体" w:hAnsi="宋体" w:cs="宋体"/>
          <w:color w:val="auto"/>
          <w:kern w:val="0"/>
          <w:sz w:val="24"/>
          <w:szCs w:val="24"/>
        </w:rPr>
      </w:pPr>
      <w:r>
        <w:rPr>
          <w:rFonts w:hint="eastAsia" w:ascii="宋体" w:hAnsi="宋体" w:cs="宋体"/>
          <w:color w:val="auto"/>
          <w:kern w:val="0"/>
          <w:sz w:val="24"/>
          <w:szCs w:val="24"/>
        </w:rPr>
        <w:t>（一）本次担保基本情况</w:t>
      </w:r>
    </w:p>
    <w:p w14:paraId="6636C056">
      <w:pPr>
        <w:pStyle w:val="23"/>
        <w:spacing w:line="56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根据《上海证券交易所股票上市规则》等相关法律法规要求，为满足公司日常生产经营及业务发展需要，预计2025年度为重庆惠泽电器有限公司（以下简称“惠泽电器”）向银行等金融机构申请综合授信或借款提供新增额度不超过1亿元人民币（或等值外币）的担保；预计2025年度为黔南望江变压器有限公司（以下简称“黔南望江”）向银行等金融机构申请综合授信或借款提供新增额度不超过2亿元人民币（或等值外币）的担保；预计2025年度为云南变压器电气股份有限公司（以下简称“云变电气”）向银行等金融机构申请综合授信或借款提供新增额度不超过12亿元人民币（或等值外币）的担保。上述担保额度有效期自2025年1月1日至2025年12月31日。</w:t>
      </w:r>
    </w:p>
    <w:p w14:paraId="02DEDFDB">
      <w:pPr>
        <w:pStyle w:val="23"/>
        <w:spacing w:line="56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本次担保授权公司总经理在上述额度范围内实施与申请综合授信额度及借款事项有关的担保一切事宜，包括但不限于办理并签署有关合同、协议等文件。</w:t>
      </w:r>
    </w:p>
    <w:p w14:paraId="27CAD227">
      <w:pPr>
        <w:pStyle w:val="23"/>
        <w:spacing w:line="560" w:lineRule="exact"/>
        <w:ind w:firstLine="480" w:firstLineChars="200"/>
        <w:rPr>
          <w:rFonts w:ascii="仿宋" w:hAnsi="仿宋" w:eastAsia="仿宋" w:cs="仿宋"/>
          <w:color w:val="auto"/>
          <w:sz w:val="32"/>
          <w:szCs w:val="32"/>
        </w:rPr>
      </w:pPr>
      <w:r>
        <w:rPr>
          <w:rFonts w:hint="eastAsia" w:ascii="宋体" w:hAnsi="宋体" w:cs="宋体"/>
          <w:color w:val="auto"/>
          <w:kern w:val="0"/>
          <w:sz w:val="24"/>
          <w:szCs w:val="24"/>
        </w:rPr>
        <w:t>本次担保事项尚需提交公司股东会审议。</w:t>
      </w:r>
    </w:p>
    <w:p w14:paraId="793FB725">
      <w:pPr>
        <w:numPr>
          <w:ilvl w:val="0"/>
          <w:numId w:val="3"/>
        </w:numPr>
        <w:spacing w:line="560" w:lineRule="exact"/>
        <w:rPr>
          <w:rFonts w:ascii="宋体" w:hAnsi="宋体" w:cs="宋体"/>
          <w:b w:val="0"/>
          <w:bCs w:val="0"/>
          <w:color w:val="auto"/>
          <w:kern w:val="0"/>
          <w:sz w:val="24"/>
          <w:szCs w:val="24"/>
        </w:rPr>
      </w:pPr>
      <w:r>
        <w:rPr>
          <w:rFonts w:hint="eastAsia" w:ascii="宋体" w:hAnsi="宋体" w:cs="宋体"/>
          <w:b w:val="0"/>
          <w:bCs w:val="0"/>
          <w:color w:val="auto"/>
          <w:kern w:val="0"/>
          <w:sz w:val="24"/>
          <w:szCs w:val="24"/>
          <w:lang w:val="en-US" w:eastAsia="zh-CN"/>
        </w:rPr>
        <w:t>本次</w:t>
      </w:r>
      <w:r>
        <w:rPr>
          <w:rFonts w:hint="eastAsia" w:ascii="宋体" w:hAnsi="宋体" w:cs="宋体"/>
          <w:b w:val="0"/>
          <w:bCs w:val="0"/>
          <w:color w:val="auto"/>
          <w:kern w:val="0"/>
          <w:sz w:val="24"/>
          <w:szCs w:val="24"/>
        </w:rPr>
        <w:t>担保预计基本情况</w:t>
      </w:r>
    </w:p>
    <w:p w14:paraId="6A858485">
      <w:pPr>
        <w:autoSpaceDE w:val="0"/>
        <w:autoSpaceDN w:val="0"/>
        <w:adjustRightInd w:val="0"/>
        <w:spacing w:line="560" w:lineRule="exact"/>
        <w:jc w:val="right"/>
        <w:rPr>
          <w:rFonts w:ascii="仿宋" w:hAnsi="仿宋" w:eastAsia="仿宋" w:cs="仿宋"/>
          <w:bCs/>
          <w:color w:val="auto"/>
          <w:kern w:val="0"/>
          <w:sz w:val="32"/>
          <w:szCs w:val="32"/>
        </w:rPr>
      </w:pPr>
      <w:r>
        <w:rPr>
          <w:rFonts w:hint="eastAsia" w:ascii="仿宋" w:hAnsi="仿宋" w:eastAsia="仿宋" w:cs="仿宋"/>
          <w:b/>
          <w:color w:val="auto"/>
          <w:kern w:val="0"/>
          <w:szCs w:val="21"/>
        </w:rPr>
        <w:t xml:space="preserve">                                                                   </w:t>
      </w:r>
      <w:r>
        <w:rPr>
          <w:rFonts w:ascii="仿宋" w:hAnsi="仿宋" w:eastAsia="仿宋" w:cs="仿宋"/>
          <w:bCs/>
          <w:color w:val="auto"/>
          <w:kern w:val="0"/>
          <w:szCs w:val="21"/>
        </w:rPr>
        <w:t xml:space="preserve">  单位：万元</w:t>
      </w:r>
    </w:p>
    <w:tbl>
      <w:tblPr>
        <w:tblStyle w:val="19"/>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18"/>
        <w:gridCol w:w="886"/>
        <w:gridCol w:w="883"/>
        <w:gridCol w:w="1056"/>
        <w:gridCol w:w="1335"/>
        <w:gridCol w:w="907"/>
        <w:gridCol w:w="1026"/>
        <w:gridCol w:w="515"/>
        <w:gridCol w:w="743"/>
      </w:tblGrid>
      <w:tr w14:paraId="087F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73D42EBC">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rPr>
              <w:t>担保方</w:t>
            </w:r>
          </w:p>
        </w:tc>
        <w:tc>
          <w:tcPr>
            <w:tcW w:w="718" w:type="dxa"/>
            <w:vAlign w:val="center"/>
          </w:tcPr>
          <w:p w14:paraId="493F6816">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rPr>
              <w:t>被担保方</w:t>
            </w:r>
          </w:p>
        </w:tc>
        <w:tc>
          <w:tcPr>
            <w:tcW w:w="886" w:type="dxa"/>
            <w:vAlign w:val="center"/>
          </w:tcPr>
          <w:p w14:paraId="041FF129">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rPr>
              <w:t>担保方持股比例</w:t>
            </w:r>
          </w:p>
        </w:tc>
        <w:tc>
          <w:tcPr>
            <w:tcW w:w="883" w:type="dxa"/>
            <w:vAlign w:val="center"/>
          </w:tcPr>
          <w:p w14:paraId="182BDC43">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lang w:eastAsia="zh-CN"/>
              </w:rPr>
            </w:pPr>
            <w:r>
              <w:rPr>
                <w:rFonts w:hint="eastAsia" w:asciiTheme="minorEastAsia" w:hAnsiTheme="minorEastAsia" w:eastAsiaTheme="minorEastAsia" w:cstheme="minorEastAsia"/>
                <w:b/>
                <w:bCs w:val="0"/>
                <w:kern w:val="0"/>
                <w:sz w:val="20"/>
                <w:szCs w:val="20"/>
                <w:highlight w:val="none"/>
              </w:rPr>
              <w:t>被担保方最近一期资产负债率</w:t>
            </w:r>
            <w:r>
              <w:rPr>
                <w:rFonts w:hint="eastAsia" w:asciiTheme="minorEastAsia" w:hAnsiTheme="minorEastAsia" w:eastAsiaTheme="minorEastAsia" w:cstheme="minorEastAsia"/>
                <w:b/>
                <w:bCs w:val="0"/>
                <w:sz w:val="20"/>
                <w:szCs w:val="20"/>
                <w:highlight w:val="none"/>
                <w:lang w:eastAsia="zh-CN"/>
              </w:rPr>
              <w:t>（</w:t>
            </w:r>
            <w:r>
              <w:rPr>
                <w:rFonts w:hint="eastAsia" w:asciiTheme="minorEastAsia" w:hAnsiTheme="minorEastAsia" w:eastAsiaTheme="minorEastAsia" w:cstheme="minorEastAsia"/>
                <w:b/>
                <w:bCs w:val="0"/>
                <w:sz w:val="20"/>
                <w:szCs w:val="20"/>
                <w:highlight w:val="none"/>
                <w:lang w:val="en-US" w:eastAsia="zh-CN"/>
              </w:rPr>
              <w:t>2024.09.30未经审计</w:t>
            </w:r>
            <w:r>
              <w:rPr>
                <w:rFonts w:hint="eastAsia" w:asciiTheme="minorEastAsia" w:hAnsiTheme="minorEastAsia" w:eastAsiaTheme="minorEastAsia" w:cstheme="minorEastAsia"/>
                <w:b/>
                <w:bCs w:val="0"/>
                <w:sz w:val="20"/>
                <w:szCs w:val="20"/>
                <w:highlight w:val="none"/>
                <w:lang w:eastAsia="zh-CN"/>
              </w:rPr>
              <w:t>）</w:t>
            </w:r>
          </w:p>
        </w:tc>
        <w:tc>
          <w:tcPr>
            <w:tcW w:w="1056" w:type="dxa"/>
            <w:vAlign w:val="center"/>
          </w:tcPr>
          <w:p w14:paraId="0EFFD636">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rPr>
              <w:t>截至目前</w:t>
            </w:r>
            <w:r>
              <w:rPr>
                <w:rFonts w:hint="eastAsia" w:asciiTheme="minorEastAsia" w:hAnsiTheme="minorEastAsia" w:eastAsiaTheme="minorEastAsia" w:cstheme="minorEastAsia"/>
                <w:b/>
                <w:bCs w:val="0"/>
                <w:kern w:val="0"/>
                <w:sz w:val="20"/>
                <w:szCs w:val="20"/>
                <w:highlight w:val="none"/>
                <w:lang w:eastAsia="zh-CN"/>
              </w:rPr>
              <w:t>（</w:t>
            </w:r>
            <w:r>
              <w:rPr>
                <w:rFonts w:hint="eastAsia" w:asciiTheme="minorEastAsia" w:hAnsiTheme="minorEastAsia" w:eastAsiaTheme="minorEastAsia" w:cstheme="minorEastAsia"/>
                <w:b/>
                <w:bCs w:val="0"/>
                <w:kern w:val="0"/>
                <w:sz w:val="20"/>
                <w:szCs w:val="20"/>
                <w:highlight w:val="none"/>
                <w:lang w:val="en-US" w:eastAsia="zh-CN"/>
              </w:rPr>
              <w:t>截至2024.09.30</w:t>
            </w:r>
            <w:r>
              <w:rPr>
                <w:rFonts w:hint="eastAsia" w:asciiTheme="minorEastAsia" w:hAnsiTheme="minorEastAsia" w:eastAsiaTheme="minorEastAsia" w:cstheme="minorEastAsia"/>
                <w:b/>
                <w:bCs w:val="0"/>
                <w:kern w:val="0"/>
                <w:sz w:val="20"/>
                <w:szCs w:val="20"/>
                <w:highlight w:val="none"/>
                <w:lang w:eastAsia="zh-CN"/>
              </w:rPr>
              <w:t>）</w:t>
            </w:r>
            <w:r>
              <w:rPr>
                <w:rFonts w:hint="eastAsia" w:asciiTheme="minorEastAsia" w:hAnsiTheme="minorEastAsia" w:eastAsiaTheme="minorEastAsia" w:cstheme="minorEastAsia"/>
                <w:b/>
                <w:bCs w:val="0"/>
                <w:kern w:val="0"/>
                <w:sz w:val="20"/>
                <w:szCs w:val="20"/>
                <w:highlight w:val="none"/>
              </w:rPr>
              <w:t>担保余额</w:t>
            </w:r>
          </w:p>
        </w:tc>
        <w:tc>
          <w:tcPr>
            <w:tcW w:w="1335" w:type="dxa"/>
            <w:vAlign w:val="center"/>
          </w:tcPr>
          <w:p w14:paraId="2BAB6F67">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rPr>
              <w:t>本次新增担保额度</w:t>
            </w:r>
          </w:p>
        </w:tc>
        <w:tc>
          <w:tcPr>
            <w:tcW w:w="907" w:type="dxa"/>
            <w:vAlign w:val="center"/>
          </w:tcPr>
          <w:p w14:paraId="74FEC0D1">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lang w:val="en-US" w:eastAsia="zh-CN"/>
              </w:rPr>
              <w:t>新增</w:t>
            </w:r>
            <w:r>
              <w:rPr>
                <w:rFonts w:hint="eastAsia" w:asciiTheme="minorEastAsia" w:hAnsiTheme="minorEastAsia" w:eastAsiaTheme="minorEastAsia" w:cstheme="minorEastAsia"/>
                <w:b/>
                <w:bCs w:val="0"/>
                <w:kern w:val="0"/>
                <w:sz w:val="20"/>
                <w:szCs w:val="20"/>
                <w:highlight w:val="none"/>
              </w:rPr>
              <w:t>担保额度占上市公司最近一期</w:t>
            </w:r>
            <w:r>
              <w:rPr>
                <w:rFonts w:hint="eastAsia" w:asciiTheme="minorEastAsia" w:hAnsiTheme="minorEastAsia" w:eastAsiaTheme="minorEastAsia" w:cstheme="minorEastAsia"/>
                <w:b/>
                <w:bCs w:val="0"/>
                <w:kern w:val="0"/>
                <w:sz w:val="20"/>
                <w:szCs w:val="20"/>
                <w:highlight w:val="none"/>
                <w:lang w:val="en-US" w:eastAsia="zh-CN"/>
              </w:rPr>
              <w:t>经审计</w:t>
            </w:r>
            <w:r>
              <w:rPr>
                <w:rFonts w:hint="eastAsia" w:asciiTheme="minorEastAsia" w:hAnsiTheme="minorEastAsia" w:eastAsiaTheme="minorEastAsia" w:cstheme="minorEastAsia"/>
                <w:b/>
                <w:bCs w:val="0"/>
                <w:kern w:val="0"/>
                <w:sz w:val="20"/>
                <w:szCs w:val="20"/>
                <w:highlight w:val="none"/>
              </w:rPr>
              <w:t>净资产比例</w:t>
            </w:r>
          </w:p>
        </w:tc>
        <w:tc>
          <w:tcPr>
            <w:tcW w:w="1026" w:type="dxa"/>
            <w:vAlign w:val="center"/>
          </w:tcPr>
          <w:p w14:paraId="7EE818EF">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rPr>
              <w:t>担保</w:t>
            </w:r>
            <w:r>
              <w:rPr>
                <w:rFonts w:hint="eastAsia" w:asciiTheme="minorEastAsia" w:hAnsiTheme="minorEastAsia" w:eastAsiaTheme="minorEastAsia" w:cstheme="minorEastAsia"/>
                <w:b/>
                <w:bCs w:val="0"/>
                <w:kern w:val="0"/>
                <w:sz w:val="20"/>
                <w:szCs w:val="20"/>
                <w:highlight w:val="none"/>
                <w:lang w:val="en-US" w:eastAsia="zh-CN"/>
              </w:rPr>
              <w:t>额度</w:t>
            </w:r>
            <w:r>
              <w:rPr>
                <w:rFonts w:hint="eastAsia" w:asciiTheme="minorEastAsia" w:hAnsiTheme="minorEastAsia" w:eastAsiaTheme="minorEastAsia" w:cstheme="minorEastAsia"/>
                <w:b/>
                <w:bCs w:val="0"/>
                <w:kern w:val="0"/>
                <w:sz w:val="20"/>
                <w:szCs w:val="20"/>
                <w:highlight w:val="none"/>
              </w:rPr>
              <w:t>预计有效期</w:t>
            </w:r>
          </w:p>
        </w:tc>
        <w:tc>
          <w:tcPr>
            <w:tcW w:w="515" w:type="dxa"/>
            <w:vAlign w:val="center"/>
          </w:tcPr>
          <w:p w14:paraId="2A408B1C">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rPr>
              <w:t>是否关联担保</w:t>
            </w:r>
          </w:p>
        </w:tc>
        <w:tc>
          <w:tcPr>
            <w:tcW w:w="743" w:type="dxa"/>
            <w:vAlign w:val="center"/>
          </w:tcPr>
          <w:p w14:paraId="4EB3EF9A">
            <w:pPr>
              <w:autoSpaceDE w:val="0"/>
              <w:autoSpaceDN w:val="0"/>
              <w:adjustRightInd w:val="0"/>
              <w:spacing w:line="560" w:lineRule="exact"/>
              <w:jc w:val="center"/>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rPr>
              <w:t>是否有反担保</w:t>
            </w:r>
          </w:p>
        </w:tc>
      </w:tr>
      <w:tr w14:paraId="23B4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5" w:type="dxa"/>
            <w:gridSpan w:val="10"/>
          </w:tcPr>
          <w:p w14:paraId="71F82163">
            <w:pPr>
              <w:autoSpaceDE w:val="0"/>
              <w:autoSpaceDN w:val="0"/>
              <w:adjustRightInd w:val="0"/>
              <w:spacing w:line="560" w:lineRule="exac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对控股子公司的担保预计</w:t>
            </w:r>
          </w:p>
        </w:tc>
      </w:tr>
      <w:tr w14:paraId="168D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5" w:type="dxa"/>
            <w:gridSpan w:val="10"/>
          </w:tcPr>
          <w:p w14:paraId="0334E179">
            <w:pPr>
              <w:autoSpaceDE w:val="0"/>
              <w:autoSpaceDN w:val="0"/>
              <w:adjustRightInd w:val="0"/>
              <w:spacing w:line="560" w:lineRule="exac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1.资产负债率为70%以上的控股子公司</w:t>
            </w:r>
          </w:p>
        </w:tc>
      </w:tr>
      <w:tr w14:paraId="4364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38649DF">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望变电气</w:t>
            </w:r>
          </w:p>
        </w:tc>
        <w:tc>
          <w:tcPr>
            <w:tcW w:w="718" w:type="dxa"/>
            <w:vAlign w:val="center"/>
          </w:tcPr>
          <w:p w14:paraId="5E916025">
            <w:pPr>
              <w:autoSpaceDE w:val="0"/>
              <w:autoSpaceDN w:val="0"/>
              <w:adjustRightInd w:val="0"/>
              <w:spacing w:line="560" w:lineRule="exact"/>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惠泽电器</w:t>
            </w:r>
          </w:p>
        </w:tc>
        <w:tc>
          <w:tcPr>
            <w:tcW w:w="886" w:type="dxa"/>
            <w:vAlign w:val="center"/>
          </w:tcPr>
          <w:p w14:paraId="41AEF8C3">
            <w:pPr>
              <w:autoSpaceDE w:val="0"/>
              <w:autoSpaceDN w:val="0"/>
              <w:adjustRightInd w:val="0"/>
              <w:spacing w:line="560" w:lineRule="exact"/>
              <w:jc w:val="righ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100%</w:t>
            </w:r>
          </w:p>
        </w:tc>
        <w:tc>
          <w:tcPr>
            <w:tcW w:w="883" w:type="dxa"/>
            <w:vAlign w:val="center"/>
          </w:tcPr>
          <w:p w14:paraId="3257E338">
            <w:pPr>
              <w:autoSpaceDE w:val="0"/>
              <w:autoSpaceDN w:val="0"/>
              <w:adjustRightInd w:val="0"/>
              <w:spacing w:line="560" w:lineRule="exact"/>
              <w:jc w:val="righ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93.73</w:t>
            </w:r>
            <w:r>
              <w:rPr>
                <w:rFonts w:hint="eastAsia" w:asciiTheme="minorEastAsia" w:hAnsiTheme="minorEastAsia" w:eastAsiaTheme="minorEastAsia" w:cstheme="minorEastAsia"/>
                <w:kern w:val="0"/>
                <w:sz w:val="20"/>
                <w:szCs w:val="20"/>
                <w:highlight w:val="none"/>
              </w:rPr>
              <w:t>%</w:t>
            </w:r>
          </w:p>
        </w:tc>
        <w:tc>
          <w:tcPr>
            <w:tcW w:w="1056" w:type="dxa"/>
            <w:vAlign w:val="center"/>
          </w:tcPr>
          <w:p w14:paraId="5E620AE3">
            <w:pPr>
              <w:autoSpaceDE w:val="0"/>
              <w:autoSpaceDN w:val="0"/>
              <w:adjustRightInd w:val="0"/>
              <w:spacing w:line="560" w:lineRule="exact"/>
              <w:jc w:val="right"/>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0.00</w:t>
            </w:r>
          </w:p>
        </w:tc>
        <w:tc>
          <w:tcPr>
            <w:tcW w:w="1335" w:type="dxa"/>
            <w:vAlign w:val="center"/>
          </w:tcPr>
          <w:p w14:paraId="7713FF5A">
            <w:pPr>
              <w:autoSpaceDE w:val="0"/>
              <w:autoSpaceDN w:val="0"/>
              <w:adjustRightInd w:val="0"/>
              <w:spacing w:line="560" w:lineRule="exact"/>
              <w:jc w:val="right"/>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10,000.00</w:t>
            </w:r>
          </w:p>
        </w:tc>
        <w:tc>
          <w:tcPr>
            <w:tcW w:w="907" w:type="dxa"/>
            <w:vAlign w:val="center"/>
          </w:tcPr>
          <w:p w14:paraId="61F49AE0">
            <w:pPr>
              <w:autoSpaceDE w:val="0"/>
              <w:autoSpaceDN w:val="0"/>
              <w:adjustRightInd w:val="0"/>
              <w:spacing w:line="560" w:lineRule="exact"/>
              <w:jc w:val="righ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4.18%</w:t>
            </w:r>
          </w:p>
        </w:tc>
        <w:tc>
          <w:tcPr>
            <w:tcW w:w="1026" w:type="dxa"/>
            <w:vAlign w:val="center"/>
          </w:tcPr>
          <w:p w14:paraId="73B6EC14">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202</w:t>
            </w:r>
            <w:r>
              <w:rPr>
                <w:rFonts w:hint="eastAsia" w:asciiTheme="minorEastAsia" w:hAnsiTheme="minorEastAsia" w:eastAsiaTheme="minorEastAsia" w:cstheme="minorEastAsia"/>
                <w:kern w:val="0"/>
                <w:sz w:val="20"/>
                <w:szCs w:val="20"/>
                <w:highlight w:val="none"/>
                <w:lang w:val="en-US" w:eastAsia="zh-CN"/>
              </w:rPr>
              <w:t>5</w:t>
            </w:r>
            <w:r>
              <w:rPr>
                <w:rFonts w:hint="eastAsia" w:asciiTheme="minorEastAsia" w:hAnsiTheme="minorEastAsia" w:eastAsiaTheme="minorEastAsia" w:cstheme="minorEastAsia"/>
                <w:kern w:val="0"/>
                <w:sz w:val="20"/>
                <w:szCs w:val="20"/>
                <w:highlight w:val="none"/>
              </w:rPr>
              <w:t>.12.31</w:t>
            </w:r>
          </w:p>
        </w:tc>
        <w:tc>
          <w:tcPr>
            <w:tcW w:w="515" w:type="dxa"/>
            <w:vAlign w:val="center"/>
          </w:tcPr>
          <w:p w14:paraId="3D50F3E4">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否</w:t>
            </w:r>
          </w:p>
        </w:tc>
        <w:tc>
          <w:tcPr>
            <w:tcW w:w="743" w:type="dxa"/>
            <w:vAlign w:val="center"/>
          </w:tcPr>
          <w:p w14:paraId="69CC603C">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否</w:t>
            </w:r>
          </w:p>
        </w:tc>
      </w:tr>
      <w:tr w14:paraId="1A09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2B989912">
            <w:pPr>
              <w:autoSpaceDE w:val="0"/>
              <w:autoSpaceDN w:val="0"/>
              <w:adjustRightInd w:val="0"/>
              <w:spacing w:line="560" w:lineRule="exact"/>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望变电气</w:t>
            </w:r>
          </w:p>
        </w:tc>
        <w:tc>
          <w:tcPr>
            <w:tcW w:w="718" w:type="dxa"/>
            <w:vAlign w:val="center"/>
          </w:tcPr>
          <w:p w14:paraId="7AFC7D4F">
            <w:pPr>
              <w:autoSpaceDE w:val="0"/>
              <w:autoSpaceDN w:val="0"/>
              <w:adjustRightInd w:val="0"/>
              <w:spacing w:line="560" w:lineRule="exact"/>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黔南望江</w:t>
            </w:r>
          </w:p>
        </w:tc>
        <w:tc>
          <w:tcPr>
            <w:tcW w:w="886" w:type="dxa"/>
            <w:vAlign w:val="center"/>
          </w:tcPr>
          <w:p w14:paraId="2D868C96">
            <w:pPr>
              <w:autoSpaceDE w:val="0"/>
              <w:autoSpaceDN w:val="0"/>
              <w:adjustRightInd w:val="0"/>
              <w:spacing w:line="560" w:lineRule="exact"/>
              <w:jc w:val="right"/>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100%</w:t>
            </w:r>
          </w:p>
        </w:tc>
        <w:tc>
          <w:tcPr>
            <w:tcW w:w="883" w:type="dxa"/>
            <w:vAlign w:val="center"/>
          </w:tcPr>
          <w:p w14:paraId="5F17195A">
            <w:pPr>
              <w:autoSpaceDE w:val="0"/>
              <w:autoSpaceDN w:val="0"/>
              <w:adjustRightInd w:val="0"/>
              <w:spacing w:line="560" w:lineRule="exact"/>
              <w:jc w:val="right"/>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77.25%</w:t>
            </w:r>
          </w:p>
        </w:tc>
        <w:tc>
          <w:tcPr>
            <w:tcW w:w="1056" w:type="dxa"/>
            <w:vAlign w:val="center"/>
          </w:tcPr>
          <w:p w14:paraId="7F9F0E32">
            <w:pPr>
              <w:autoSpaceDE w:val="0"/>
              <w:autoSpaceDN w:val="0"/>
              <w:adjustRightInd w:val="0"/>
              <w:spacing w:line="560" w:lineRule="exact"/>
              <w:jc w:val="righ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5,359.52</w:t>
            </w:r>
          </w:p>
        </w:tc>
        <w:tc>
          <w:tcPr>
            <w:tcW w:w="1335" w:type="dxa"/>
            <w:vAlign w:val="center"/>
          </w:tcPr>
          <w:p w14:paraId="282113C8">
            <w:pPr>
              <w:autoSpaceDE w:val="0"/>
              <w:autoSpaceDN w:val="0"/>
              <w:adjustRightInd w:val="0"/>
              <w:spacing w:line="560" w:lineRule="exact"/>
              <w:jc w:val="right"/>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20,000.00</w:t>
            </w:r>
          </w:p>
        </w:tc>
        <w:tc>
          <w:tcPr>
            <w:tcW w:w="907" w:type="dxa"/>
            <w:vAlign w:val="center"/>
          </w:tcPr>
          <w:p w14:paraId="301A5E95">
            <w:pPr>
              <w:autoSpaceDE w:val="0"/>
              <w:autoSpaceDN w:val="0"/>
              <w:adjustRightInd w:val="0"/>
              <w:spacing w:line="560" w:lineRule="exact"/>
              <w:jc w:val="right"/>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8.37%</w:t>
            </w:r>
          </w:p>
        </w:tc>
        <w:tc>
          <w:tcPr>
            <w:tcW w:w="1026" w:type="dxa"/>
            <w:vAlign w:val="center"/>
          </w:tcPr>
          <w:p w14:paraId="30842EF4">
            <w:pPr>
              <w:autoSpaceDE w:val="0"/>
              <w:autoSpaceDN w:val="0"/>
              <w:adjustRightInd w:val="0"/>
              <w:spacing w:line="560" w:lineRule="exact"/>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2025.12.31</w:t>
            </w:r>
          </w:p>
        </w:tc>
        <w:tc>
          <w:tcPr>
            <w:tcW w:w="515" w:type="dxa"/>
            <w:vAlign w:val="center"/>
          </w:tcPr>
          <w:p w14:paraId="354C25E3">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否</w:t>
            </w:r>
          </w:p>
        </w:tc>
        <w:tc>
          <w:tcPr>
            <w:tcW w:w="743" w:type="dxa"/>
            <w:vAlign w:val="center"/>
          </w:tcPr>
          <w:p w14:paraId="6940CAB9">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否</w:t>
            </w:r>
          </w:p>
        </w:tc>
      </w:tr>
      <w:tr w14:paraId="3953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5" w:type="dxa"/>
            <w:gridSpan w:val="10"/>
          </w:tcPr>
          <w:p w14:paraId="3E2858EE">
            <w:pPr>
              <w:autoSpaceDE w:val="0"/>
              <w:autoSpaceDN w:val="0"/>
              <w:adjustRightInd w:val="0"/>
              <w:spacing w:line="560" w:lineRule="exac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2.资产负债率为70%以下的控股子公司</w:t>
            </w:r>
          </w:p>
        </w:tc>
      </w:tr>
      <w:tr w14:paraId="3F33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C6CA57C">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望变电气</w:t>
            </w:r>
          </w:p>
        </w:tc>
        <w:tc>
          <w:tcPr>
            <w:tcW w:w="718" w:type="dxa"/>
            <w:vAlign w:val="center"/>
          </w:tcPr>
          <w:p w14:paraId="645A68F9">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lang w:val="en-US" w:eastAsia="zh-CN"/>
              </w:rPr>
              <w:t>云变电气</w:t>
            </w:r>
          </w:p>
        </w:tc>
        <w:tc>
          <w:tcPr>
            <w:tcW w:w="886" w:type="dxa"/>
            <w:vAlign w:val="center"/>
          </w:tcPr>
          <w:p w14:paraId="5C2B9C0E">
            <w:pPr>
              <w:autoSpaceDE w:val="0"/>
              <w:autoSpaceDN w:val="0"/>
              <w:adjustRightInd w:val="0"/>
              <w:spacing w:line="560" w:lineRule="exact"/>
              <w:jc w:val="right"/>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79.97%</w:t>
            </w:r>
          </w:p>
        </w:tc>
        <w:tc>
          <w:tcPr>
            <w:tcW w:w="883" w:type="dxa"/>
            <w:vAlign w:val="center"/>
          </w:tcPr>
          <w:p w14:paraId="458C22DB">
            <w:pPr>
              <w:autoSpaceDE w:val="0"/>
              <w:autoSpaceDN w:val="0"/>
              <w:adjustRightInd w:val="0"/>
              <w:spacing w:line="560" w:lineRule="exact"/>
              <w:jc w:val="right"/>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56.95%</w:t>
            </w:r>
          </w:p>
        </w:tc>
        <w:tc>
          <w:tcPr>
            <w:tcW w:w="1056" w:type="dxa"/>
            <w:vAlign w:val="center"/>
          </w:tcPr>
          <w:p w14:paraId="0FCC61A1">
            <w:pPr>
              <w:autoSpaceDE w:val="0"/>
              <w:autoSpaceDN w:val="0"/>
              <w:adjustRightInd w:val="0"/>
              <w:spacing w:line="560" w:lineRule="exact"/>
              <w:jc w:val="righ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8,303.78</w:t>
            </w:r>
          </w:p>
        </w:tc>
        <w:tc>
          <w:tcPr>
            <w:tcW w:w="1335" w:type="dxa"/>
            <w:vAlign w:val="center"/>
          </w:tcPr>
          <w:p w14:paraId="4EEEF056">
            <w:pPr>
              <w:autoSpaceDE w:val="0"/>
              <w:autoSpaceDN w:val="0"/>
              <w:adjustRightInd w:val="0"/>
              <w:spacing w:line="560" w:lineRule="exact"/>
              <w:jc w:val="right"/>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120,000.00</w:t>
            </w:r>
          </w:p>
        </w:tc>
        <w:tc>
          <w:tcPr>
            <w:tcW w:w="907" w:type="dxa"/>
            <w:vAlign w:val="center"/>
          </w:tcPr>
          <w:p w14:paraId="6C9F97EE">
            <w:pPr>
              <w:autoSpaceDE w:val="0"/>
              <w:autoSpaceDN w:val="0"/>
              <w:adjustRightInd w:val="0"/>
              <w:spacing w:line="560" w:lineRule="exact"/>
              <w:jc w:val="right"/>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rPr>
              <w:t>50.19%</w:t>
            </w:r>
          </w:p>
        </w:tc>
        <w:tc>
          <w:tcPr>
            <w:tcW w:w="1026" w:type="dxa"/>
            <w:vAlign w:val="center"/>
          </w:tcPr>
          <w:p w14:paraId="757E23D9">
            <w:pPr>
              <w:autoSpaceDE w:val="0"/>
              <w:autoSpaceDN w:val="0"/>
              <w:adjustRightInd w:val="0"/>
              <w:spacing w:line="560" w:lineRule="exact"/>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2025.12.31</w:t>
            </w:r>
          </w:p>
        </w:tc>
        <w:tc>
          <w:tcPr>
            <w:tcW w:w="515" w:type="dxa"/>
            <w:vAlign w:val="center"/>
          </w:tcPr>
          <w:p w14:paraId="3C9A2312">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否</w:t>
            </w:r>
            <w:bookmarkStart w:id="0" w:name="_GoBack"/>
            <w:bookmarkEnd w:id="0"/>
          </w:p>
        </w:tc>
        <w:tc>
          <w:tcPr>
            <w:tcW w:w="743" w:type="dxa"/>
            <w:vAlign w:val="center"/>
          </w:tcPr>
          <w:p w14:paraId="3287D2F6">
            <w:pPr>
              <w:autoSpaceDE w:val="0"/>
              <w:autoSpaceDN w:val="0"/>
              <w:adjustRightInd w:val="0"/>
              <w:spacing w:line="560" w:lineRule="exact"/>
              <w:jc w:val="center"/>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否</w:t>
            </w:r>
          </w:p>
        </w:tc>
      </w:tr>
    </w:tbl>
    <w:p w14:paraId="7B60E1D7">
      <w:pPr>
        <w:keepNext w:val="0"/>
        <w:keepLines w:val="0"/>
        <w:widowControl/>
        <w:suppressLineNumbers w:val="0"/>
        <w:jc w:val="left"/>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i w:val="0"/>
          <w:iCs w:val="0"/>
          <w:caps w:val="0"/>
          <w:snapToGrid w:val="0"/>
          <w:color w:val="000000"/>
          <w:spacing w:val="0"/>
          <w:kern w:val="0"/>
          <w:sz w:val="21"/>
          <w:szCs w:val="21"/>
          <w:shd w:val="clear" w:fill="FFFFFF"/>
          <w:lang w:val="en-US" w:eastAsia="zh-CN" w:bidi="ar"/>
        </w:rPr>
        <w:t>注：云变电气为公司控股子公司，虽其他股</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东</w:t>
      </w:r>
      <w:r>
        <w:rPr>
          <w:rStyle w:val="21"/>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未提供同比例担保</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，被</w:t>
      </w:r>
      <w:r>
        <w:rPr>
          <w:rStyle w:val="21"/>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担保</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方</w:t>
      </w:r>
      <w:r>
        <w:rPr>
          <w:rStyle w:val="21"/>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未提供</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反</w:t>
      </w:r>
      <w:r>
        <w:rPr>
          <w:rStyle w:val="21"/>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担保</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，但公司对其有控制权，财务风险可</w:t>
      </w:r>
      <w:r>
        <w:rPr>
          <w:rFonts w:hint="default" w:ascii="Times New Roman Regular" w:hAnsi="Times New Roman Regular" w:cs="Times New Roman Regular" w:eastAsiaTheme="minorEastAsia"/>
          <w:i w:val="0"/>
          <w:iCs w:val="0"/>
          <w:caps w:val="0"/>
          <w:snapToGrid w:val="0"/>
          <w:color w:val="000000"/>
          <w:spacing w:val="0"/>
          <w:kern w:val="0"/>
          <w:sz w:val="21"/>
          <w:szCs w:val="21"/>
          <w:shd w:val="clear" w:fill="FFFFFF"/>
          <w:lang w:val="en-US" w:eastAsia="zh-CN" w:bidi="ar"/>
        </w:rPr>
        <w:t>控，本次</w:t>
      </w:r>
      <w:r>
        <w:rPr>
          <w:rStyle w:val="21"/>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担保</w:t>
      </w:r>
      <w:r>
        <w:rPr>
          <w:rFonts w:hint="default" w:ascii="Times New Roman Regular" w:hAnsi="Times New Roman Regular" w:cs="Times New Roman Regular" w:eastAsiaTheme="minorEastAsia"/>
          <w:i w:val="0"/>
          <w:iCs w:val="0"/>
          <w:caps w:val="0"/>
          <w:snapToGrid w:val="0"/>
          <w:color w:val="000000"/>
          <w:spacing w:val="0"/>
          <w:kern w:val="0"/>
          <w:sz w:val="21"/>
          <w:szCs w:val="21"/>
          <w:shd w:val="clear" w:fill="FFFFFF"/>
          <w:lang w:val="en-US" w:eastAsia="zh-CN" w:bidi="ar"/>
        </w:rPr>
        <w:t>额度预计不会对公司生产经营产生不利影响，不存在损害公司及全体股东利益的情形。</w:t>
      </w:r>
    </w:p>
    <w:p w14:paraId="3105E4A7">
      <w:pPr>
        <w:pStyle w:val="23"/>
        <w:spacing w:line="560" w:lineRule="exact"/>
        <w:rPr>
          <w:rFonts w:hAnsi="宋体"/>
          <w:color w:val="auto"/>
        </w:rPr>
      </w:pPr>
    </w:p>
    <w:p w14:paraId="645A590E">
      <w:pPr>
        <w:autoSpaceDE w:val="0"/>
        <w:autoSpaceDN w:val="0"/>
        <w:adjustRightInd w:val="0"/>
        <w:spacing w:line="560" w:lineRule="exact"/>
        <w:rPr>
          <w:color w:val="auto"/>
        </w:rPr>
      </w:pPr>
      <w:r>
        <w:rPr>
          <w:rFonts w:hint="eastAsia" w:ascii="宋体" w:hAnsi="宋体" w:cs="宋体"/>
          <w:b/>
          <w:color w:val="auto"/>
          <w:sz w:val="24"/>
          <w:szCs w:val="24"/>
        </w:rPr>
        <w:t>二、被担保人基本情况</w:t>
      </w:r>
    </w:p>
    <w:p w14:paraId="11558FA4">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1、惠泽电器</w:t>
      </w:r>
    </w:p>
    <w:p w14:paraId="630E49F2">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公司名称：重庆惠泽电器有限公司</w:t>
      </w:r>
    </w:p>
    <w:p w14:paraId="73621FEA">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统一社会信用代码：91500115745302994P</w:t>
      </w:r>
    </w:p>
    <w:p w14:paraId="1A595771">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成立时间：2002年11月15日</w:t>
      </w:r>
    </w:p>
    <w:p w14:paraId="6044BF5F">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注册地：重庆市长寿区凤城轻化路（彭家坪）</w:t>
      </w:r>
    </w:p>
    <w:p w14:paraId="7BA48076">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主要办公地点：重庆市长寿区凤城轻化路（彭家坪）</w:t>
      </w:r>
    </w:p>
    <w:p w14:paraId="54EAF8CD">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法定代表人：皮统政</w:t>
      </w:r>
    </w:p>
    <w:p w14:paraId="585A9EE6">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注册资本：4000万人民币</w:t>
      </w:r>
    </w:p>
    <w:p w14:paraId="7450031D">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经营范围：</w:t>
      </w:r>
    </w:p>
    <w:p w14:paraId="2B537EC9">
      <w:pPr>
        <w:autoSpaceDE w:val="0"/>
        <w:autoSpaceDN w:val="0"/>
        <w:adjustRightInd w:val="0"/>
        <w:spacing w:line="560" w:lineRule="exact"/>
        <w:ind w:firstLine="460" w:firstLineChars="192"/>
        <w:rPr>
          <w:rFonts w:ascii="宋体" w:hAnsi="宋体" w:cs="宋体"/>
          <w:color w:val="auto"/>
          <w:sz w:val="24"/>
          <w:szCs w:val="24"/>
        </w:rPr>
      </w:pPr>
      <w:r>
        <w:rPr>
          <w:rFonts w:ascii="宋体" w:hAnsi="宋体" w:cs="宋体"/>
          <w:color w:val="auto"/>
          <w:sz w:val="24"/>
          <w:szCs w:val="24"/>
        </w:rPr>
        <w:t xml:space="preserve">许可项目：建设工程施工，输电、供电、受电电力设施的安装、维修和试验（依法须经批准的项目，经相关部门批准后方可开展经营活动，具体经营项目以相关部门批准文件或许可证件为准） </w:t>
      </w:r>
    </w:p>
    <w:p w14:paraId="055B05F7">
      <w:pPr>
        <w:autoSpaceDE w:val="0"/>
        <w:autoSpaceDN w:val="0"/>
        <w:adjustRightInd w:val="0"/>
        <w:spacing w:line="560" w:lineRule="exact"/>
        <w:ind w:firstLine="480" w:firstLineChars="200"/>
        <w:rPr>
          <w:rFonts w:ascii="宋体" w:hAnsi="宋体" w:cs="宋体"/>
          <w:color w:val="auto"/>
          <w:sz w:val="24"/>
          <w:szCs w:val="24"/>
        </w:rPr>
      </w:pPr>
      <w:r>
        <w:rPr>
          <w:rFonts w:ascii="宋体" w:hAnsi="宋体" w:cs="宋体"/>
          <w:color w:val="auto"/>
          <w:sz w:val="24"/>
          <w:szCs w:val="24"/>
        </w:rPr>
        <w:t>一般项目：制造、销售：开关柜屏、变压器、箱变外壳、电线；修理变压器；输配电及控制设备制造、安装、修试、运维；普通机械设备加工；水利电力工程安装及技术咨询；销售：建材；再生资源回收、加工</w:t>
      </w:r>
      <w:r>
        <w:rPr>
          <w:rFonts w:hint="eastAsia" w:ascii="宋体" w:hAnsi="宋体" w:cs="宋体"/>
          <w:color w:val="auto"/>
          <w:sz w:val="24"/>
          <w:szCs w:val="24"/>
        </w:rPr>
        <w:t>（</w:t>
      </w:r>
      <w:r>
        <w:rPr>
          <w:rFonts w:ascii="宋体" w:hAnsi="宋体" w:cs="宋体"/>
          <w:color w:val="auto"/>
          <w:sz w:val="24"/>
          <w:szCs w:val="24"/>
        </w:rPr>
        <w:t>不含固体废物、危险废物、报废汽车等需经相关部门批准的项目</w:t>
      </w:r>
      <w:r>
        <w:rPr>
          <w:rFonts w:hint="eastAsia" w:ascii="宋体" w:hAnsi="宋体" w:cs="宋体"/>
          <w:color w:val="auto"/>
          <w:sz w:val="24"/>
          <w:szCs w:val="24"/>
        </w:rPr>
        <w:t>）</w:t>
      </w:r>
      <w:r>
        <w:rPr>
          <w:rFonts w:ascii="宋体" w:hAnsi="宋体" w:cs="宋体"/>
          <w:color w:val="auto"/>
          <w:sz w:val="24"/>
          <w:szCs w:val="24"/>
        </w:rPr>
        <w:t>，磁性材料销售（除依法须经批准的项目外，凭营业执照依法自主开展经营活动）</w:t>
      </w:r>
    </w:p>
    <w:p w14:paraId="2B761975">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股东情况：重庆望变电气（集团）股份有限公司（100%）</w:t>
      </w:r>
    </w:p>
    <w:p w14:paraId="0A0831DC">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关联关系：惠泽电器系公司全资子公司。</w:t>
      </w:r>
    </w:p>
    <w:p w14:paraId="2311A38B">
      <w:pPr>
        <w:autoSpaceDE w:val="0"/>
        <w:autoSpaceDN w:val="0"/>
        <w:adjustRightInd w:val="0"/>
        <w:spacing w:line="5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最近一年及一期主要财务指标如下：  </w:t>
      </w:r>
    </w:p>
    <w:p w14:paraId="019A4701">
      <w:pPr>
        <w:autoSpaceDE w:val="0"/>
        <w:autoSpaceDN w:val="0"/>
        <w:adjustRightInd w:val="0"/>
        <w:spacing w:line="560" w:lineRule="exact"/>
        <w:ind w:firstLine="7200" w:firstLineChars="3000"/>
        <w:rPr>
          <w:rFonts w:ascii="宋体" w:hAnsi="宋体" w:cs="宋体"/>
          <w:color w:val="auto"/>
          <w:sz w:val="24"/>
          <w:szCs w:val="24"/>
        </w:rPr>
      </w:pPr>
      <w:r>
        <w:rPr>
          <w:rFonts w:hint="eastAsia" w:ascii="宋体" w:hAnsi="宋体" w:cs="宋体"/>
          <w:color w:val="auto"/>
          <w:sz w:val="24"/>
          <w:szCs w:val="24"/>
        </w:rPr>
        <w:t>单位：万元</w:t>
      </w:r>
    </w:p>
    <w:tbl>
      <w:tblPr>
        <w:tblStyle w:val="19"/>
        <w:tblpPr w:leftFromText="180" w:rightFromText="180" w:vertAnchor="text" w:horzAnchor="page" w:tblpX="1860" w:tblpY="130"/>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34"/>
        <w:gridCol w:w="2834"/>
      </w:tblGrid>
      <w:tr w14:paraId="1571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34EEDB0F">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财务指标</w:t>
            </w:r>
          </w:p>
        </w:tc>
        <w:tc>
          <w:tcPr>
            <w:tcW w:w="2834" w:type="dxa"/>
            <w:vAlign w:val="center"/>
          </w:tcPr>
          <w:p w14:paraId="4301B77C">
            <w:pPr>
              <w:autoSpaceDE w:val="0"/>
              <w:autoSpaceDN w:val="0"/>
              <w:adjustRightInd w:val="0"/>
              <w:spacing w:line="560" w:lineRule="exact"/>
              <w:jc w:val="center"/>
              <w:rPr>
                <w:rFonts w:ascii="宋体" w:hAnsi="宋体" w:cs="宋体"/>
                <w:b w:val="0"/>
                <w:bCs w:val="0"/>
                <w:color w:val="auto"/>
                <w:kern w:val="0"/>
                <w:sz w:val="20"/>
                <w:szCs w:val="20"/>
              </w:rPr>
            </w:pPr>
            <w:r>
              <w:rPr>
                <w:rFonts w:hint="eastAsia" w:ascii="宋体" w:hAnsi="宋体" w:cs="宋体"/>
                <w:b w:val="0"/>
                <w:bCs w:val="0"/>
                <w:kern w:val="0"/>
                <w:sz w:val="20"/>
                <w:szCs w:val="20"/>
                <w:highlight w:val="none"/>
                <w:lang w:val="en-US" w:eastAsia="zh-CN"/>
              </w:rPr>
              <w:t>2024年9月30日（未经审计）</w:t>
            </w:r>
          </w:p>
        </w:tc>
        <w:tc>
          <w:tcPr>
            <w:tcW w:w="2834" w:type="dxa"/>
            <w:vAlign w:val="center"/>
          </w:tcPr>
          <w:p w14:paraId="788693D9">
            <w:pPr>
              <w:autoSpaceDE w:val="0"/>
              <w:autoSpaceDN w:val="0"/>
              <w:adjustRightInd w:val="0"/>
              <w:spacing w:line="560" w:lineRule="exact"/>
              <w:jc w:val="center"/>
              <w:rPr>
                <w:rFonts w:ascii="宋体" w:hAnsi="宋体" w:cs="宋体"/>
                <w:b w:val="0"/>
                <w:bCs w:val="0"/>
                <w:color w:val="auto"/>
                <w:kern w:val="0"/>
                <w:sz w:val="20"/>
                <w:szCs w:val="20"/>
                <w:highlight w:val="yellow"/>
              </w:rPr>
            </w:pPr>
            <w:r>
              <w:rPr>
                <w:rFonts w:hint="eastAsia" w:ascii="宋体" w:hAnsi="宋体" w:eastAsia="宋体" w:cs="宋体"/>
                <w:b w:val="0"/>
                <w:bCs w:val="0"/>
                <w:kern w:val="0"/>
                <w:sz w:val="20"/>
                <w:szCs w:val="20"/>
                <w:highlight w:val="none"/>
              </w:rPr>
              <w:t>202</w:t>
            </w:r>
            <w:r>
              <w:rPr>
                <w:rFonts w:hint="eastAsia" w:ascii="宋体" w:hAnsi="宋体" w:cs="宋体"/>
                <w:b w:val="0"/>
                <w:bCs w:val="0"/>
                <w:kern w:val="0"/>
                <w:sz w:val="20"/>
                <w:szCs w:val="20"/>
                <w:highlight w:val="none"/>
                <w:lang w:val="en-US" w:eastAsia="zh-CN"/>
              </w:rPr>
              <w:t>3</w:t>
            </w:r>
            <w:r>
              <w:rPr>
                <w:rFonts w:hint="eastAsia" w:ascii="宋体" w:hAnsi="宋体" w:eastAsia="宋体" w:cs="宋体"/>
                <w:b w:val="0"/>
                <w:bCs w:val="0"/>
                <w:kern w:val="0"/>
                <w:sz w:val="20"/>
                <w:szCs w:val="20"/>
                <w:highlight w:val="none"/>
              </w:rPr>
              <w:t>年</w:t>
            </w:r>
            <w:r>
              <w:rPr>
                <w:rFonts w:hint="eastAsia" w:ascii="宋体" w:hAnsi="宋体" w:cs="宋体"/>
                <w:b w:val="0"/>
                <w:bCs w:val="0"/>
                <w:kern w:val="0"/>
                <w:sz w:val="20"/>
                <w:szCs w:val="20"/>
                <w:highlight w:val="none"/>
                <w:lang w:eastAsia="zh-CN"/>
              </w:rPr>
              <w:t>1</w:t>
            </w:r>
            <w:r>
              <w:rPr>
                <w:rFonts w:hint="eastAsia" w:ascii="宋体" w:hAnsi="宋体" w:cs="宋体"/>
                <w:b w:val="0"/>
                <w:bCs w:val="0"/>
                <w:kern w:val="0"/>
                <w:sz w:val="20"/>
                <w:szCs w:val="20"/>
                <w:highlight w:val="none"/>
                <w:lang w:val="en-US" w:eastAsia="zh-CN"/>
              </w:rPr>
              <w:t>2</w:t>
            </w:r>
            <w:r>
              <w:rPr>
                <w:rFonts w:hint="eastAsia" w:ascii="宋体" w:hAnsi="宋体" w:eastAsia="宋体" w:cs="宋体"/>
                <w:b w:val="0"/>
                <w:bCs w:val="0"/>
                <w:kern w:val="0"/>
                <w:sz w:val="20"/>
                <w:szCs w:val="20"/>
                <w:highlight w:val="none"/>
              </w:rPr>
              <w:t>月3</w:t>
            </w:r>
            <w:r>
              <w:rPr>
                <w:rFonts w:hint="eastAsia" w:ascii="宋体" w:hAnsi="宋体" w:cs="宋体"/>
                <w:b w:val="0"/>
                <w:bCs w:val="0"/>
                <w:kern w:val="0"/>
                <w:sz w:val="20"/>
                <w:szCs w:val="20"/>
                <w:highlight w:val="none"/>
                <w:lang w:eastAsia="zh-CN"/>
              </w:rPr>
              <w:t>1</w:t>
            </w:r>
            <w:r>
              <w:rPr>
                <w:rFonts w:hint="eastAsia" w:ascii="宋体" w:hAnsi="宋体" w:eastAsia="宋体" w:cs="宋体"/>
                <w:b w:val="0"/>
                <w:bCs w:val="0"/>
                <w:kern w:val="0"/>
                <w:sz w:val="20"/>
                <w:szCs w:val="20"/>
                <w:highlight w:val="none"/>
              </w:rPr>
              <w:t>日</w:t>
            </w:r>
            <w:r>
              <w:rPr>
                <w:rFonts w:hint="eastAsia" w:ascii="宋体" w:hAnsi="宋体" w:cs="宋体"/>
                <w:b w:val="0"/>
                <w:bCs w:val="0"/>
                <w:kern w:val="0"/>
                <w:sz w:val="20"/>
                <w:szCs w:val="20"/>
                <w:highlight w:val="none"/>
                <w:lang w:val="en-US" w:eastAsia="zh-CN"/>
              </w:rPr>
              <w:t>（</w:t>
            </w:r>
            <w:r>
              <w:rPr>
                <w:rFonts w:hint="eastAsia" w:ascii="宋体" w:hAnsi="宋体" w:eastAsia="宋体" w:cs="宋体"/>
                <w:b w:val="0"/>
                <w:bCs w:val="0"/>
                <w:kern w:val="0"/>
                <w:sz w:val="20"/>
                <w:szCs w:val="20"/>
                <w:highlight w:val="none"/>
              </w:rPr>
              <w:t>经审计</w:t>
            </w:r>
            <w:r>
              <w:rPr>
                <w:rFonts w:hint="eastAsia" w:ascii="宋体" w:hAnsi="宋体" w:cs="宋体"/>
                <w:b w:val="0"/>
                <w:bCs w:val="0"/>
                <w:kern w:val="0"/>
                <w:sz w:val="20"/>
                <w:szCs w:val="20"/>
                <w:highlight w:val="none"/>
                <w:lang w:eastAsia="zh-CN"/>
              </w:rPr>
              <w:t>）</w:t>
            </w:r>
          </w:p>
        </w:tc>
      </w:tr>
      <w:tr w14:paraId="2E0A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5444405F">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资产总额</w:t>
            </w:r>
          </w:p>
        </w:tc>
        <w:tc>
          <w:tcPr>
            <w:tcW w:w="2834" w:type="dxa"/>
            <w:vAlign w:val="center"/>
          </w:tcPr>
          <w:p w14:paraId="04A17863">
            <w:pPr>
              <w:keepNext w:val="0"/>
              <w:keepLines w:val="0"/>
              <w:widowControl/>
              <w:suppressLineNumbers w:val="0"/>
              <w:jc w:val="right"/>
              <w:textAlignment w:val="center"/>
              <w:rPr>
                <w:rFonts w:ascii="仿宋" w:hAnsi="仿宋" w:eastAsia="仿宋" w:cs="仿宋"/>
                <w:b w:val="0"/>
                <w:bCs w:val="0"/>
                <w:color w:val="auto"/>
                <w:sz w:val="20"/>
                <w:szCs w:val="20"/>
              </w:rPr>
            </w:pPr>
            <w:r>
              <w:rPr>
                <w:rFonts w:hint="eastAsia" w:ascii="仿宋" w:hAnsi="仿宋" w:eastAsia="仿宋" w:cs="仿宋"/>
                <w:b w:val="0"/>
                <w:bCs w:val="0"/>
                <w:i w:val="0"/>
                <w:iCs w:val="0"/>
                <w:color w:val="auto"/>
                <w:kern w:val="0"/>
                <w:sz w:val="20"/>
                <w:szCs w:val="20"/>
                <w:highlight w:val="none"/>
                <w:u w:val="none"/>
                <w:lang w:val="en-US" w:eastAsia="zh-CN" w:bidi="ar"/>
              </w:rPr>
              <w:t>70,490.71</w:t>
            </w:r>
          </w:p>
        </w:tc>
        <w:tc>
          <w:tcPr>
            <w:tcW w:w="2834" w:type="dxa"/>
            <w:vAlign w:val="center"/>
          </w:tcPr>
          <w:p w14:paraId="4E4FC463">
            <w:pPr>
              <w:keepNext w:val="0"/>
              <w:keepLines w:val="0"/>
              <w:widowControl/>
              <w:suppressLineNumbers w:val="0"/>
              <w:jc w:val="right"/>
              <w:textAlignment w:val="center"/>
              <w:rPr>
                <w:rFonts w:ascii="宋体" w:hAnsi="宋体" w:cs="宋体"/>
                <w:b w:val="0"/>
                <w:bCs w:val="0"/>
                <w:color w:val="auto"/>
                <w:sz w:val="20"/>
                <w:szCs w:val="20"/>
              </w:rPr>
            </w:pPr>
            <w:r>
              <w:rPr>
                <w:rFonts w:hint="eastAsia" w:ascii="宋体" w:hAnsi="宋体" w:cs="宋体"/>
                <w:b w:val="0"/>
                <w:bCs w:val="0"/>
                <w:i w:val="0"/>
                <w:iCs w:val="0"/>
                <w:color w:val="000000"/>
                <w:kern w:val="0"/>
                <w:sz w:val="20"/>
                <w:szCs w:val="20"/>
                <w:highlight w:val="none"/>
                <w:u w:val="none"/>
                <w:lang w:val="en-US" w:eastAsia="zh-CN" w:bidi="ar"/>
              </w:rPr>
              <w:t>5,605.04</w:t>
            </w:r>
          </w:p>
        </w:tc>
      </w:tr>
      <w:tr w14:paraId="6357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115E30D5">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负债总额</w:t>
            </w:r>
          </w:p>
        </w:tc>
        <w:tc>
          <w:tcPr>
            <w:tcW w:w="2834" w:type="dxa"/>
            <w:vAlign w:val="center"/>
          </w:tcPr>
          <w:p w14:paraId="7E0358BB">
            <w:pPr>
              <w:keepNext w:val="0"/>
              <w:keepLines w:val="0"/>
              <w:widowControl/>
              <w:suppressLineNumbers w:val="0"/>
              <w:jc w:val="right"/>
              <w:textAlignment w:val="center"/>
              <w:rPr>
                <w:rFonts w:ascii="仿宋" w:hAnsi="仿宋" w:eastAsia="仿宋" w:cs="仿宋"/>
                <w:b w:val="0"/>
                <w:bCs w:val="0"/>
                <w:color w:val="auto"/>
                <w:sz w:val="20"/>
                <w:szCs w:val="20"/>
              </w:rPr>
            </w:pPr>
            <w:r>
              <w:rPr>
                <w:rFonts w:hint="eastAsia" w:ascii="仿宋" w:hAnsi="仿宋" w:eastAsia="仿宋" w:cs="仿宋"/>
                <w:b w:val="0"/>
                <w:bCs w:val="0"/>
                <w:i w:val="0"/>
                <w:iCs w:val="0"/>
                <w:color w:val="auto"/>
                <w:kern w:val="0"/>
                <w:sz w:val="20"/>
                <w:szCs w:val="20"/>
                <w:highlight w:val="none"/>
                <w:u w:val="none"/>
                <w:lang w:val="en-US" w:eastAsia="zh-CN" w:bidi="ar"/>
              </w:rPr>
              <w:t>66,067.60</w:t>
            </w:r>
          </w:p>
        </w:tc>
        <w:tc>
          <w:tcPr>
            <w:tcW w:w="2834" w:type="dxa"/>
            <w:vAlign w:val="center"/>
          </w:tcPr>
          <w:p w14:paraId="2FFA80A2">
            <w:pPr>
              <w:keepNext w:val="0"/>
              <w:keepLines w:val="0"/>
              <w:widowControl/>
              <w:suppressLineNumbers w:val="0"/>
              <w:jc w:val="right"/>
              <w:textAlignment w:val="center"/>
              <w:rPr>
                <w:rFonts w:ascii="宋体" w:hAnsi="宋体" w:cs="宋体"/>
                <w:b w:val="0"/>
                <w:bCs w:val="0"/>
                <w:color w:val="auto"/>
                <w:sz w:val="20"/>
                <w:szCs w:val="20"/>
              </w:rPr>
            </w:pPr>
            <w:r>
              <w:rPr>
                <w:rFonts w:hint="eastAsia" w:ascii="宋体" w:hAnsi="宋体" w:cs="宋体"/>
                <w:b w:val="0"/>
                <w:bCs w:val="0"/>
                <w:i w:val="0"/>
                <w:iCs w:val="0"/>
                <w:color w:val="000000"/>
                <w:kern w:val="0"/>
                <w:sz w:val="20"/>
                <w:szCs w:val="20"/>
                <w:highlight w:val="none"/>
                <w:u w:val="none"/>
                <w:lang w:val="en-US" w:eastAsia="zh-CN" w:bidi="ar"/>
              </w:rPr>
              <w:t>797.96</w:t>
            </w:r>
          </w:p>
        </w:tc>
      </w:tr>
      <w:tr w14:paraId="263E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200AAD78">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净资产</w:t>
            </w:r>
          </w:p>
        </w:tc>
        <w:tc>
          <w:tcPr>
            <w:tcW w:w="2834" w:type="dxa"/>
            <w:vAlign w:val="center"/>
          </w:tcPr>
          <w:p w14:paraId="77D15777">
            <w:pPr>
              <w:keepNext w:val="0"/>
              <w:keepLines w:val="0"/>
              <w:widowControl/>
              <w:suppressLineNumbers w:val="0"/>
              <w:jc w:val="right"/>
              <w:textAlignment w:val="center"/>
              <w:rPr>
                <w:rFonts w:ascii="宋体" w:hAnsi="宋体" w:cs="宋体"/>
                <w:b w:val="0"/>
                <w:bCs w:val="0"/>
                <w:color w:val="auto"/>
                <w:kern w:val="0"/>
                <w:sz w:val="20"/>
                <w:szCs w:val="20"/>
                <w:lang w:bidi="ar"/>
              </w:rPr>
            </w:pPr>
            <w:r>
              <w:rPr>
                <w:rFonts w:hint="default" w:ascii="宋体" w:hAnsi="宋体" w:eastAsia="宋体" w:cs="宋体"/>
                <w:b w:val="0"/>
                <w:bCs w:val="0"/>
                <w:i w:val="0"/>
                <w:iCs w:val="0"/>
                <w:color w:val="auto"/>
                <w:kern w:val="0"/>
                <w:sz w:val="20"/>
                <w:szCs w:val="20"/>
                <w:highlight w:val="none"/>
                <w:u w:val="none"/>
                <w:lang w:val="en-US" w:eastAsia="zh-CN" w:bidi="ar"/>
              </w:rPr>
              <w:t>4,423.11</w:t>
            </w:r>
          </w:p>
        </w:tc>
        <w:tc>
          <w:tcPr>
            <w:tcW w:w="2834" w:type="dxa"/>
            <w:vAlign w:val="center"/>
          </w:tcPr>
          <w:p w14:paraId="0BC75469">
            <w:pPr>
              <w:keepNext w:val="0"/>
              <w:keepLines w:val="0"/>
              <w:widowControl/>
              <w:suppressLineNumbers w:val="0"/>
              <w:jc w:val="right"/>
              <w:textAlignment w:val="center"/>
              <w:rPr>
                <w:rFonts w:ascii="宋体" w:hAnsi="宋体" w:cs="宋体"/>
                <w:b w:val="0"/>
                <w:bCs w:val="0"/>
                <w:color w:val="auto"/>
                <w:kern w:val="0"/>
                <w:sz w:val="20"/>
                <w:szCs w:val="20"/>
                <w:lang w:bidi="ar"/>
              </w:rPr>
            </w:pPr>
            <w:r>
              <w:rPr>
                <w:rFonts w:hint="eastAsia" w:ascii="宋体" w:hAnsi="宋体" w:cs="宋体"/>
                <w:b w:val="0"/>
                <w:bCs w:val="0"/>
                <w:i w:val="0"/>
                <w:iCs w:val="0"/>
                <w:color w:val="000000"/>
                <w:kern w:val="0"/>
                <w:sz w:val="20"/>
                <w:szCs w:val="20"/>
                <w:highlight w:val="none"/>
                <w:u w:val="none"/>
                <w:lang w:val="en-US" w:eastAsia="zh-CN" w:bidi="ar"/>
              </w:rPr>
              <w:t>4,807.07</w:t>
            </w:r>
          </w:p>
        </w:tc>
      </w:tr>
      <w:tr w14:paraId="4DD5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vAlign w:val="center"/>
          </w:tcPr>
          <w:p w14:paraId="224ABBE1">
            <w:pPr>
              <w:widowControl/>
              <w:jc w:val="right"/>
              <w:textAlignment w:val="center"/>
              <w:rPr>
                <w:rFonts w:ascii="宋体" w:hAnsi="宋体" w:cs="宋体"/>
                <w:b/>
                <w:bCs/>
                <w:color w:val="auto"/>
                <w:kern w:val="0"/>
                <w:sz w:val="20"/>
                <w:szCs w:val="20"/>
              </w:rPr>
            </w:pPr>
          </w:p>
        </w:tc>
        <w:tc>
          <w:tcPr>
            <w:tcW w:w="2834" w:type="dxa"/>
            <w:vAlign w:val="center"/>
          </w:tcPr>
          <w:p w14:paraId="297CCC0D">
            <w:pPr>
              <w:widowControl/>
              <w:jc w:val="center"/>
              <w:textAlignment w:val="center"/>
              <w:rPr>
                <w:rFonts w:ascii="仿宋" w:hAnsi="仿宋" w:eastAsia="仿宋" w:cs="仿宋"/>
                <w:b w:val="0"/>
                <w:bCs w:val="0"/>
                <w:color w:val="auto"/>
                <w:sz w:val="20"/>
                <w:szCs w:val="20"/>
              </w:rPr>
            </w:pPr>
            <w:r>
              <w:rPr>
                <w:rFonts w:hint="eastAsia" w:ascii="宋体" w:hAnsi="宋体" w:cs="宋体"/>
                <w:b w:val="0"/>
                <w:bCs w:val="0"/>
                <w:i w:val="0"/>
                <w:iCs w:val="0"/>
                <w:color w:val="auto"/>
                <w:kern w:val="0"/>
                <w:sz w:val="20"/>
                <w:szCs w:val="20"/>
                <w:highlight w:val="none"/>
                <w:u w:val="none"/>
                <w:lang w:val="en-US" w:eastAsia="zh-CN" w:bidi="ar"/>
              </w:rPr>
              <w:t>2024年1-9月（未经审计）</w:t>
            </w:r>
          </w:p>
        </w:tc>
        <w:tc>
          <w:tcPr>
            <w:tcW w:w="2834" w:type="dxa"/>
            <w:vAlign w:val="center"/>
          </w:tcPr>
          <w:p w14:paraId="011799BA">
            <w:pPr>
              <w:widowControl/>
              <w:jc w:val="center"/>
              <w:textAlignment w:val="center"/>
              <w:rPr>
                <w:rFonts w:ascii="宋体" w:hAnsi="宋体" w:cs="宋体"/>
                <w:b w:val="0"/>
                <w:bCs w:val="0"/>
                <w:color w:val="auto"/>
                <w:sz w:val="20"/>
                <w:szCs w:val="20"/>
              </w:rPr>
            </w:pPr>
            <w:r>
              <w:rPr>
                <w:rFonts w:hint="eastAsia" w:ascii="宋体" w:hAnsi="宋体" w:cs="宋体"/>
                <w:b w:val="0"/>
                <w:bCs w:val="0"/>
                <w:i w:val="0"/>
                <w:iCs w:val="0"/>
                <w:color w:val="000000"/>
                <w:kern w:val="0"/>
                <w:sz w:val="20"/>
                <w:szCs w:val="20"/>
                <w:highlight w:val="none"/>
                <w:u w:val="none"/>
                <w:lang w:val="en-US" w:eastAsia="zh-CN" w:bidi="ar"/>
              </w:rPr>
              <w:t>2023年1-12月（经审计）</w:t>
            </w:r>
          </w:p>
        </w:tc>
      </w:tr>
      <w:tr w14:paraId="3B55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41C423EC">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营业收入</w:t>
            </w:r>
          </w:p>
        </w:tc>
        <w:tc>
          <w:tcPr>
            <w:tcW w:w="2834" w:type="dxa"/>
            <w:vAlign w:val="center"/>
          </w:tcPr>
          <w:p w14:paraId="43365864">
            <w:pPr>
              <w:keepNext w:val="0"/>
              <w:keepLines w:val="0"/>
              <w:widowControl/>
              <w:suppressLineNumbers w:val="0"/>
              <w:jc w:val="right"/>
              <w:textAlignment w:val="center"/>
              <w:rPr>
                <w:rFonts w:ascii="仿宋" w:hAnsi="仿宋" w:eastAsia="仿宋" w:cs="仿宋"/>
                <w:b w:val="0"/>
                <w:bCs w:val="0"/>
                <w:color w:val="auto"/>
                <w:sz w:val="20"/>
                <w:szCs w:val="20"/>
              </w:rPr>
            </w:pPr>
            <w:r>
              <w:rPr>
                <w:rFonts w:hint="eastAsia" w:ascii="仿宋" w:hAnsi="仿宋" w:eastAsia="仿宋" w:cs="仿宋"/>
                <w:b w:val="0"/>
                <w:bCs w:val="0"/>
                <w:i w:val="0"/>
                <w:iCs w:val="0"/>
                <w:color w:val="auto"/>
                <w:kern w:val="0"/>
                <w:sz w:val="20"/>
                <w:szCs w:val="20"/>
                <w:highlight w:val="none"/>
                <w:u w:val="none"/>
                <w:lang w:val="en-US" w:eastAsia="zh-CN" w:bidi="ar"/>
              </w:rPr>
              <w:t>4,084.09</w:t>
            </w:r>
          </w:p>
        </w:tc>
        <w:tc>
          <w:tcPr>
            <w:tcW w:w="2834" w:type="dxa"/>
            <w:vAlign w:val="center"/>
          </w:tcPr>
          <w:p w14:paraId="1D3BD74C">
            <w:pPr>
              <w:keepNext w:val="0"/>
              <w:keepLines w:val="0"/>
              <w:widowControl/>
              <w:suppressLineNumbers w:val="0"/>
              <w:jc w:val="right"/>
              <w:textAlignment w:val="center"/>
              <w:rPr>
                <w:rFonts w:ascii="宋体" w:hAnsi="宋体" w:cs="宋体"/>
                <w:b w:val="0"/>
                <w:bCs w:val="0"/>
                <w:color w:val="auto"/>
                <w:sz w:val="20"/>
                <w:szCs w:val="20"/>
              </w:rPr>
            </w:pPr>
            <w:r>
              <w:rPr>
                <w:rFonts w:hint="eastAsia" w:ascii="宋体" w:hAnsi="宋体" w:cs="宋体"/>
                <w:b w:val="0"/>
                <w:bCs w:val="0"/>
                <w:i w:val="0"/>
                <w:iCs w:val="0"/>
                <w:color w:val="000000"/>
                <w:kern w:val="0"/>
                <w:sz w:val="20"/>
                <w:szCs w:val="20"/>
                <w:highlight w:val="none"/>
                <w:u w:val="none"/>
                <w:lang w:val="en-US" w:eastAsia="zh-CN" w:bidi="ar"/>
              </w:rPr>
              <w:t>3,429.43</w:t>
            </w:r>
          </w:p>
        </w:tc>
      </w:tr>
      <w:tr w14:paraId="6518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31" w:type="dxa"/>
          </w:tcPr>
          <w:p w14:paraId="70EDA930">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净利润</w:t>
            </w:r>
          </w:p>
        </w:tc>
        <w:tc>
          <w:tcPr>
            <w:tcW w:w="2834" w:type="dxa"/>
            <w:vAlign w:val="center"/>
          </w:tcPr>
          <w:p w14:paraId="4AE62320">
            <w:pPr>
              <w:keepNext w:val="0"/>
              <w:keepLines w:val="0"/>
              <w:widowControl/>
              <w:suppressLineNumbers w:val="0"/>
              <w:jc w:val="right"/>
              <w:textAlignment w:val="center"/>
              <w:rPr>
                <w:rFonts w:ascii="仿宋" w:hAnsi="仿宋" w:eastAsia="仿宋" w:cs="仿宋"/>
                <w:b w:val="0"/>
                <w:bCs w:val="0"/>
                <w:color w:val="auto"/>
                <w:sz w:val="20"/>
                <w:szCs w:val="20"/>
              </w:rPr>
            </w:pPr>
            <w:r>
              <w:rPr>
                <w:rFonts w:hint="eastAsia" w:ascii="仿宋" w:hAnsi="仿宋" w:eastAsia="仿宋" w:cs="仿宋"/>
                <w:b w:val="0"/>
                <w:bCs w:val="0"/>
                <w:i w:val="0"/>
                <w:iCs w:val="0"/>
                <w:color w:val="auto"/>
                <w:kern w:val="0"/>
                <w:sz w:val="20"/>
                <w:szCs w:val="20"/>
                <w:highlight w:val="none"/>
                <w:u w:val="none"/>
                <w:lang w:val="en-US" w:eastAsia="zh-CN" w:bidi="ar"/>
              </w:rPr>
              <w:t>300.67</w:t>
            </w:r>
          </w:p>
        </w:tc>
        <w:tc>
          <w:tcPr>
            <w:tcW w:w="2834" w:type="dxa"/>
            <w:vAlign w:val="center"/>
          </w:tcPr>
          <w:p w14:paraId="4EF4D2DC">
            <w:pPr>
              <w:keepNext w:val="0"/>
              <w:keepLines w:val="0"/>
              <w:widowControl/>
              <w:suppressLineNumbers w:val="0"/>
              <w:jc w:val="right"/>
              <w:textAlignment w:val="center"/>
              <w:rPr>
                <w:rFonts w:ascii="宋体" w:hAnsi="宋体" w:cs="宋体"/>
                <w:b w:val="0"/>
                <w:bCs w:val="0"/>
                <w:color w:val="auto"/>
                <w:sz w:val="20"/>
                <w:szCs w:val="20"/>
              </w:rPr>
            </w:pPr>
            <w:r>
              <w:rPr>
                <w:rFonts w:hint="eastAsia" w:ascii="宋体" w:hAnsi="宋体" w:cs="宋体"/>
                <w:b w:val="0"/>
                <w:bCs w:val="0"/>
                <w:i w:val="0"/>
                <w:iCs w:val="0"/>
                <w:color w:val="000000"/>
                <w:kern w:val="0"/>
                <w:sz w:val="20"/>
                <w:szCs w:val="20"/>
                <w:highlight w:val="none"/>
                <w:u w:val="none"/>
                <w:lang w:val="en-US" w:eastAsia="zh-CN" w:bidi="ar"/>
              </w:rPr>
              <w:t>20.08</w:t>
            </w:r>
          </w:p>
        </w:tc>
      </w:tr>
    </w:tbl>
    <w:p w14:paraId="22C34851">
      <w:pPr>
        <w:spacing w:line="560" w:lineRule="exact"/>
        <w:rPr>
          <w:color w:val="auto"/>
        </w:rPr>
      </w:pPr>
    </w:p>
    <w:p w14:paraId="46354850">
      <w:pPr>
        <w:pStyle w:val="23"/>
        <w:numPr>
          <w:ilvl w:val="0"/>
          <w:numId w:val="4"/>
        </w:numPr>
        <w:spacing w:line="560" w:lineRule="exact"/>
        <w:rPr>
          <w:rFonts w:hAnsi="宋体"/>
          <w:color w:val="auto"/>
        </w:rPr>
      </w:pPr>
      <w:r>
        <w:rPr>
          <w:rFonts w:hint="eastAsia" w:hAnsi="宋体"/>
          <w:color w:val="auto"/>
        </w:rPr>
        <w:t>黔南望江</w:t>
      </w:r>
    </w:p>
    <w:p w14:paraId="536EA4BD">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公司名称：黔南望江变压器有限公司</w:t>
      </w:r>
    </w:p>
    <w:p w14:paraId="79A069F8">
      <w:pPr>
        <w:widowControl/>
        <w:spacing w:line="5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统一社会信用代码：</w:t>
      </w:r>
      <w:r>
        <w:rPr>
          <w:rFonts w:ascii="宋体" w:hAnsi="宋体" w:cs="宋体"/>
          <w:color w:val="auto"/>
          <w:kern w:val="0"/>
          <w:sz w:val="24"/>
          <w:szCs w:val="24"/>
        </w:rPr>
        <w:t>91522701789761914Q</w:t>
      </w:r>
    </w:p>
    <w:p w14:paraId="3584ECDA">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成立时间：</w:t>
      </w:r>
      <w:r>
        <w:rPr>
          <w:rFonts w:ascii="宋体" w:hAnsi="宋体" w:cs="宋体"/>
          <w:color w:val="auto"/>
          <w:sz w:val="24"/>
          <w:szCs w:val="24"/>
        </w:rPr>
        <w:t>2007年8月</w:t>
      </w:r>
      <w:r>
        <w:rPr>
          <w:rFonts w:hint="eastAsia" w:ascii="宋体" w:hAnsi="宋体" w:cs="宋体"/>
          <w:color w:val="auto"/>
          <w:sz w:val="24"/>
          <w:szCs w:val="24"/>
        </w:rPr>
        <w:t>21日</w:t>
      </w:r>
    </w:p>
    <w:p w14:paraId="3564E4C1">
      <w:pPr>
        <w:widowControl/>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注册地：</w:t>
      </w:r>
      <w:r>
        <w:rPr>
          <w:rFonts w:hint="eastAsia" w:ascii="宋体" w:hAnsi="宋体" w:cs="宋体"/>
          <w:kern w:val="0"/>
          <w:sz w:val="24"/>
          <w:szCs w:val="24"/>
        </w:rPr>
        <w:t>贵州省黔南州都匀市绿茵湖街道红朗路8号</w:t>
      </w:r>
    </w:p>
    <w:p w14:paraId="486BA3FB">
      <w:pPr>
        <w:autoSpaceDE w:val="0"/>
        <w:autoSpaceDN w:val="0"/>
        <w:adjustRightInd w:val="0"/>
        <w:spacing w:line="560" w:lineRule="exact"/>
        <w:ind w:firstLine="460" w:firstLineChars="192"/>
        <w:rPr>
          <w:rFonts w:hint="eastAsia" w:ascii="宋体" w:hAnsi="宋体" w:cs="宋体"/>
          <w:color w:val="auto"/>
          <w:sz w:val="24"/>
          <w:szCs w:val="24"/>
        </w:rPr>
      </w:pPr>
      <w:r>
        <w:rPr>
          <w:rFonts w:hint="eastAsia" w:ascii="宋体" w:hAnsi="宋体" w:cs="宋体"/>
          <w:sz w:val="24"/>
          <w:szCs w:val="24"/>
        </w:rPr>
        <w:t>主要办公地点：</w:t>
      </w:r>
      <w:r>
        <w:rPr>
          <w:rFonts w:hint="eastAsia" w:ascii="宋体" w:hAnsi="宋体" w:cs="宋体"/>
          <w:kern w:val="0"/>
          <w:sz w:val="24"/>
          <w:szCs w:val="24"/>
        </w:rPr>
        <w:t>贵州省黔南州都匀市绿茵湖街道红朗路8号</w:t>
      </w:r>
    </w:p>
    <w:p w14:paraId="10839599">
      <w:pPr>
        <w:autoSpaceDE w:val="0"/>
        <w:autoSpaceDN w:val="0"/>
        <w:adjustRightInd w:val="0"/>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法定代表人：王海波</w:t>
      </w:r>
    </w:p>
    <w:p w14:paraId="71C3DFA7">
      <w:pPr>
        <w:autoSpaceDE w:val="0"/>
        <w:autoSpaceDN w:val="0"/>
        <w:adjustRightInd w:val="0"/>
        <w:spacing w:before="92" w:line="560" w:lineRule="exact"/>
        <w:ind w:left="0" w:right="113" w:firstLine="480" w:firstLineChars="200"/>
        <w:rPr>
          <w:color w:val="auto"/>
          <w:sz w:val="24"/>
          <w:szCs w:val="24"/>
        </w:rPr>
      </w:pPr>
      <w:r>
        <w:rPr>
          <w:rFonts w:hint="eastAsia" w:ascii="宋体" w:hAnsi="宋体" w:cs="宋体"/>
          <w:color w:val="auto"/>
          <w:sz w:val="24"/>
          <w:szCs w:val="24"/>
        </w:rPr>
        <w:t>注册资本：</w:t>
      </w:r>
      <w:r>
        <w:rPr>
          <w:rFonts w:ascii="宋体" w:hAnsi="宋体" w:cs="宋体"/>
          <w:color w:val="auto"/>
          <w:sz w:val="24"/>
          <w:szCs w:val="24"/>
        </w:rPr>
        <w:t>6000万</w:t>
      </w:r>
    </w:p>
    <w:p w14:paraId="7CD5199D">
      <w:pPr>
        <w:autoSpaceDE w:val="0"/>
        <w:autoSpaceDN w:val="0"/>
        <w:adjustRightInd w:val="0"/>
        <w:spacing w:before="92" w:line="560" w:lineRule="exact"/>
        <w:ind w:left="0" w:right="113" w:firstLine="480" w:firstLineChars="200"/>
        <w:rPr>
          <w:rFonts w:ascii="宋体" w:hAnsi="宋体" w:cs="宋体"/>
          <w:color w:val="auto"/>
          <w:sz w:val="24"/>
          <w:szCs w:val="24"/>
        </w:rPr>
      </w:pPr>
      <w:r>
        <w:rPr>
          <w:rFonts w:hint="eastAsia" w:ascii="宋体" w:hAnsi="宋体" w:cs="宋体"/>
          <w:color w:val="auto"/>
          <w:sz w:val="24"/>
          <w:szCs w:val="24"/>
        </w:rPr>
        <w:t>经营范围：</w:t>
      </w:r>
      <w:r>
        <w:rPr>
          <w:rFonts w:hint="eastAsia" w:ascii="宋体" w:hAnsi="宋体" w:cs="宋体"/>
          <w:color w:val="auto"/>
          <w:spacing w:val="-16"/>
          <w:sz w:val="24"/>
          <w:szCs w:val="24"/>
        </w:rPr>
        <w:t>法律、法规、国务院决定规定禁止的不得经营；法律、法规、国务院</w:t>
      </w:r>
      <w:r>
        <w:rPr>
          <w:rFonts w:ascii="宋体" w:hAnsi="宋体" w:cs="宋体"/>
          <w:color w:val="auto"/>
          <w:spacing w:val="9"/>
          <w:sz w:val="24"/>
          <w:szCs w:val="24"/>
        </w:rPr>
        <w:t xml:space="preserve"> </w:t>
      </w:r>
      <w:r>
        <w:rPr>
          <w:rFonts w:hint="eastAsia" w:ascii="宋体" w:hAnsi="宋体" w:cs="宋体"/>
          <w:color w:val="auto"/>
          <w:spacing w:val="3"/>
          <w:sz w:val="24"/>
          <w:szCs w:val="24"/>
        </w:rPr>
        <w:t>决定规定应当许可</w:t>
      </w:r>
      <w:r>
        <w:rPr>
          <w:rFonts w:ascii="宋体" w:hAnsi="宋体" w:cs="宋体"/>
          <w:color w:val="auto"/>
          <w:spacing w:val="3"/>
          <w:sz w:val="24"/>
          <w:szCs w:val="24"/>
        </w:rPr>
        <w:t>(审批)的，经审批机关批准后凭许可(审批)文</w:t>
      </w:r>
      <w:r>
        <w:rPr>
          <w:rFonts w:hint="eastAsia" w:ascii="宋体" w:hAnsi="宋体" w:cs="宋体"/>
          <w:color w:val="auto"/>
          <w:spacing w:val="-3"/>
          <w:sz w:val="24"/>
          <w:szCs w:val="24"/>
        </w:rPr>
        <w:t>件经营；法律、法规、国务院决定规定无需许可</w:t>
      </w:r>
      <w:r>
        <w:rPr>
          <w:rFonts w:ascii="宋体" w:hAnsi="宋体" w:cs="宋体"/>
          <w:color w:val="auto"/>
          <w:spacing w:val="-3"/>
          <w:sz w:val="24"/>
          <w:szCs w:val="24"/>
        </w:rPr>
        <w:t>(审批)的，市场主</w:t>
      </w:r>
      <w:r>
        <w:rPr>
          <w:rFonts w:hint="eastAsia" w:ascii="宋体" w:hAnsi="宋体" w:cs="宋体"/>
          <w:color w:val="auto"/>
          <w:spacing w:val="-15"/>
          <w:sz w:val="24"/>
          <w:szCs w:val="24"/>
        </w:rPr>
        <w:t>体自主选择经营。电力变压器、矿用变压器、各种高低压</w:t>
      </w:r>
      <w:r>
        <w:rPr>
          <w:rFonts w:hint="eastAsia" w:ascii="宋体" w:hAnsi="宋体" w:cs="宋体"/>
          <w:color w:val="auto"/>
          <w:spacing w:val="-16"/>
          <w:sz w:val="24"/>
          <w:szCs w:val="24"/>
        </w:rPr>
        <w:t>成套电力设备及配件、低压无功补偿装置、各类特种变压器与配电设备的制造、</w:t>
      </w:r>
      <w:r>
        <w:rPr>
          <w:rFonts w:hint="eastAsia" w:ascii="宋体" w:hAnsi="宋体" w:cs="宋体"/>
          <w:color w:val="auto"/>
          <w:spacing w:val="-6"/>
          <w:sz w:val="24"/>
          <w:szCs w:val="24"/>
        </w:rPr>
        <w:t>销售和改造维修，普通道路货物运输</w:t>
      </w:r>
      <w:r>
        <w:rPr>
          <w:rFonts w:ascii="宋体" w:hAnsi="宋体" w:cs="宋体"/>
          <w:color w:val="auto"/>
          <w:spacing w:val="-6"/>
          <w:sz w:val="24"/>
          <w:szCs w:val="24"/>
        </w:rPr>
        <w:t>(不含危险品)涉及许可经营项</w:t>
      </w:r>
      <w:r>
        <w:rPr>
          <w:rFonts w:hint="eastAsia" w:ascii="宋体" w:hAnsi="宋体" w:cs="宋体"/>
          <w:color w:val="auto"/>
          <w:spacing w:val="-16"/>
          <w:sz w:val="24"/>
          <w:szCs w:val="24"/>
        </w:rPr>
        <w:t>目，应取得相关部门许可后方可经营。</w:t>
      </w:r>
    </w:p>
    <w:p w14:paraId="3DB0B154">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股东情况：重庆望变电气（集团）股份有限公司（</w:t>
      </w:r>
      <w:r>
        <w:rPr>
          <w:rFonts w:ascii="宋体" w:hAnsi="宋体" w:cs="宋体"/>
          <w:color w:val="auto"/>
          <w:sz w:val="24"/>
          <w:szCs w:val="24"/>
        </w:rPr>
        <w:t>100%）</w:t>
      </w:r>
    </w:p>
    <w:p w14:paraId="6E614420">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关联关系：黔南望江系公司全资子公司。</w:t>
      </w:r>
    </w:p>
    <w:p w14:paraId="5152679C">
      <w:pPr>
        <w:autoSpaceDE w:val="0"/>
        <w:autoSpaceDN w:val="0"/>
        <w:adjustRightInd w:val="0"/>
        <w:spacing w:line="560" w:lineRule="exact"/>
        <w:ind w:firstLine="480" w:firstLineChars="200"/>
        <w:rPr>
          <w:rFonts w:ascii="宋体" w:hAnsi="宋体" w:cs="宋体"/>
          <w:color w:val="auto"/>
          <w:sz w:val="24"/>
          <w:szCs w:val="24"/>
        </w:rPr>
      </w:pPr>
      <w:r>
        <w:rPr>
          <w:rFonts w:hint="eastAsia" w:ascii="宋体" w:hAnsi="宋体" w:cs="宋体"/>
          <w:color w:val="auto"/>
          <w:sz w:val="24"/>
          <w:szCs w:val="24"/>
        </w:rPr>
        <w:t>最近一年及一期主要财务指标如下：</w:t>
      </w:r>
    </w:p>
    <w:p w14:paraId="2F6020E8">
      <w:pPr>
        <w:autoSpaceDE w:val="0"/>
        <w:autoSpaceDN w:val="0"/>
        <w:adjustRightInd w:val="0"/>
        <w:spacing w:line="560" w:lineRule="exact"/>
        <w:ind w:firstLine="6720" w:firstLineChars="2800"/>
        <w:rPr>
          <w:rFonts w:ascii="宋体" w:hAnsi="宋体" w:cs="宋体"/>
          <w:color w:val="auto"/>
          <w:sz w:val="24"/>
          <w:szCs w:val="24"/>
        </w:rPr>
      </w:pPr>
      <w:r>
        <w:rPr>
          <w:rFonts w:hint="eastAsia" w:ascii="宋体" w:hAnsi="宋体" w:cs="宋体"/>
          <w:color w:val="auto"/>
          <w:sz w:val="24"/>
          <w:szCs w:val="24"/>
        </w:rPr>
        <w:t>单位：万元</w:t>
      </w:r>
    </w:p>
    <w:tbl>
      <w:tblPr>
        <w:tblStyle w:val="19"/>
        <w:tblpPr w:leftFromText="180" w:rightFromText="180" w:vertAnchor="text" w:horzAnchor="page" w:tblpX="1806" w:tblpY="22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3329"/>
        <w:gridCol w:w="3329"/>
      </w:tblGrid>
      <w:tr w14:paraId="7D37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23970CC8">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财务指标</w:t>
            </w:r>
          </w:p>
        </w:tc>
        <w:tc>
          <w:tcPr>
            <w:tcW w:w="3328" w:type="dxa"/>
            <w:vAlign w:val="top"/>
          </w:tcPr>
          <w:p w14:paraId="5AAF5641">
            <w:pPr>
              <w:autoSpaceDE w:val="0"/>
              <w:autoSpaceDN w:val="0"/>
              <w:adjustRightInd w:val="0"/>
              <w:spacing w:line="560" w:lineRule="exact"/>
              <w:jc w:val="right"/>
              <w:rPr>
                <w:rFonts w:ascii="宋体" w:hAnsi="宋体" w:cs="宋体"/>
                <w:b w:val="0"/>
                <w:bCs w:val="0"/>
                <w:color w:val="auto"/>
                <w:kern w:val="0"/>
                <w:sz w:val="20"/>
                <w:szCs w:val="20"/>
              </w:rPr>
            </w:pPr>
            <w:r>
              <w:rPr>
                <w:rFonts w:hint="eastAsia" w:ascii="宋体" w:hAnsi="宋体" w:cs="宋体"/>
                <w:b w:val="0"/>
                <w:bCs w:val="0"/>
                <w:kern w:val="0"/>
                <w:sz w:val="20"/>
                <w:szCs w:val="20"/>
                <w:highlight w:val="none"/>
                <w:lang w:val="en-US" w:eastAsia="zh-CN"/>
              </w:rPr>
              <w:t xml:space="preserve">     2024年9月30日（未经审计）</w:t>
            </w:r>
          </w:p>
        </w:tc>
        <w:tc>
          <w:tcPr>
            <w:tcW w:w="3330" w:type="dxa"/>
            <w:vAlign w:val="top"/>
          </w:tcPr>
          <w:p w14:paraId="734804FF">
            <w:pPr>
              <w:autoSpaceDE w:val="0"/>
              <w:autoSpaceDN w:val="0"/>
              <w:adjustRightInd w:val="0"/>
              <w:spacing w:line="560" w:lineRule="exact"/>
              <w:jc w:val="right"/>
              <w:rPr>
                <w:rFonts w:ascii="宋体" w:hAnsi="宋体" w:cs="宋体"/>
                <w:b w:val="0"/>
                <w:bCs w:val="0"/>
                <w:color w:val="auto"/>
                <w:kern w:val="0"/>
                <w:sz w:val="20"/>
                <w:szCs w:val="20"/>
                <w:highlight w:val="yellow"/>
              </w:rPr>
            </w:pPr>
            <w:r>
              <w:rPr>
                <w:rFonts w:hint="eastAsia" w:ascii="宋体" w:hAnsi="宋体" w:eastAsia="宋体" w:cs="宋体"/>
                <w:b w:val="0"/>
                <w:bCs w:val="0"/>
                <w:kern w:val="0"/>
                <w:sz w:val="20"/>
                <w:szCs w:val="20"/>
                <w:highlight w:val="none"/>
              </w:rPr>
              <w:t>202</w:t>
            </w:r>
            <w:r>
              <w:rPr>
                <w:rFonts w:hint="eastAsia" w:ascii="宋体" w:hAnsi="宋体" w:cs="宋体"/>
                <w:b w:val="0"/>
                <w:bCs w:val="0"/>
                <w:kern w:val="0"/>
                <w:sz w:val="20"/>
                <w:szCs w:val="20"/>
                <w:highlight w:val="none"/>
                <w:lang w:val="en-US" w:eastAsia="zh-CN"/>
              </w:rPr>
              <w:t>3</w:t>
            </w:r>
            <w:r>
              <w:rPr>
                <w:rFonts w:hint="eastAsia" w:ascii="宋体" w:hAnsi="宋体" w:eastAsia="宋体" w:cs="宋体"/>
                <w:b w:val="0"/>
                <w:bCs w:val="0"/>
                <w:kern w:val="0"/>
                <w:sz w:val="20"/>
                <w:szCs w:val="20"/>
                <w:highlight w:val="none"/>
              </w:rPr>
              <w:t>年</w:t>
            </w:r>
            <w:r>
              <w:rPr>
                <w:rFonts w:hint="eastAsia" w:ascii="宋体" w:hAnsi="宋体" w:cs="宋体"/>
                <w:b w:val="0"/>
                <w:bCs w:val="0"/>
                <w:kern w:val="0"/>
                <w:sz w:val="20"/>
                <w:szCs w:val="20"/>
                <w:highlight w:val="none"/>
                <w:lang w:eastAsia="zh-CN"/>
              </w:rPr>
              <w:t>1</w:t>
            </w:r>
            <w:r>
              <w:rPr>
                <w:rFonts w:hint="eastAsia" w:ascii="宋体" w:hAnsi="宋体" w:cs="宋体"/>
                <w:b w:val="0"/>
                <w:bCs w:val="0"/>
                <w:kern w:val="0"/>
                <w:sz w:val="20"/>
                <w:szCs w:val="20"/>
                <w:highlight w:val="none"/>
                <w:lang w:val="en-US" w:eastAsia="zh-CN"/>
              </w:rPr>
              <w:t>2</w:t>
            </w:r>
            <w:r>
              <w:rPr>
                <w:rFonts w:hint="eastAsia" w:ascii="宋体" w:hAnsi="宋体" w:eastAsia="宋体" w:cs="宋体"/>
                <w:b w:val="0"/>
                <w:bCs w:val="0"/>
                <w:kern w:val="0"/>
                <w:sz w:val="20"/>
                <w:szCs w:val="20"/>
                <w:highlight w:val="none"/>
              </w:rPr>
              <w:t>月3</w:t>
            </w:r>
            <w:r>
              <w:rPr>
                <w:rFonts w:hint="eastAsia" w:ascii="宋体" w:hAnsi="宋体" w:cs="宋体"/>
                <w:b w:val="0"/>
                <w:bCs w:val="0"/>
                <w:kern w:val="0"/>
                <w:sz w:val="20"/>
                <w:szCs w:val="20"/>
                <w:highlight w:val="none"/>
                <w:lang w:eastAsia="zh-CN"/>
              </w:rPr>
              <w:t>1</w:t>
            </w:r>
            <w:r>
              <w:rPr>
                <w:rFonts w:hint="eastAsia" w:ascii="宋体" w:hAnsi="宋体" w:eastAsia="宋体" w:cs="宋体"/>
                <w:b w:val="0"/>
                <w:bCs w:val="0"/>
                <w:kern w:val="0"/>
                <w:sz w:val="20"/>
                <w:szCs w:val="20"/>
                <w:highlight w:val="none"/>
              </w:rPr>
              <w:t>日</w:t>
            </w:r>
            <w:r>
              <w:rPr>
                <w:rFonts w:hint="eastAsia" w:ascii="宋体" w:hAnsi="宋体" w:cs="宋体"/>
                <w:b w:val="0"/>
                <w:bCs w:val="0"/>
                <w:kern w:val="0"/>
                <w:sz w:val="20"/>
                <w:szCs w:val="20"/>
                <w:highlight w:val="none"/>
                <w:lang w:val="en-US" w:eastAsia="zh-CN"/>
              </w:rPr>
              <w:t>（</w:t>
            </w:r>
            <w:r>
              <w:rPr>
                <w:rFonts w:hint="eastAsia" w:ascii="宋体" w:hAnsi="宋体" w:eastAsia="宋体" w:cs="宋体"/>
                <w:b w:val="0"/>
                <w:bCs w:val="0"/>
                <w:kern w:val="0"/>
                <w:sz w:val="20"/>
                <w:szCs w:val="20"/>
                <w:highlight w:val="none"/>
              </w:rPr>
              <w:t>经审计</w:t>
            </w:r>
            <w:r>
              <w:rPr>
                <w:rFonts w:hint="eastAsia" w:ascii="宋体" w:hAnsi="宋体" w:cs="宋体"/>
                <w:b w:val="0"/>
                <w:bCs w:val="0"/>
                <w:kern w:val="0"/>
                <w:sz w:val="20"/>
                <w:szCs w:val="20"/>
                <w:highlight w:val="none"/>
                <w:lang w:eastAsia="zh-CN"/>
              </w:rPr>
              <w:t>）</w:t>
            </w:r>
          </w:p>
        </w:tc>
      </w:tr>
      <w:tr w14:paraId="505D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3C3EEC25">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资产总额</w:t>
            </w:r>
          </w:p>
        </w:tc>
        <w:tc>
          <w:tcPr>
            <w:tcW w:w="3329" w:type="dxa"/>
            <w:vAlign w:val="center"/>
          </w:tcPr>
          <w:p w14:paraId="6554085A">
            <w:pPr>
              <w:keepNext w:val="0"/>
              <w:keepLines w:val="0"/>
              <w:widowControl/>
              <w:suppressLineNumbers w:val="0"/>
              <w:jc w:val="right"/>
              <w:textAlignment w:val="center"/>
              <w:rPr>
                <w:rFonts w:ascii="仿宋" w:hAnsi="仿宋" w:eastAsia="仿宋" w:cs="仿宋"/>
                <w:b w:val="0"/>
                <w:bCs w:val="0"/>
                <w:color w:val="auto"/>
                <w:sz w:val="20"/>
                <w:szCs w:val="20"/>
              </w:rPr>
            </w:pPr>
            <w:r>
              <w:rPr>
                <w:rFonts w:hint="eastAsia" w:ascii="仿宋" w:hAnsi="仿宋" w:eastAsia="仿宋" w:cs="仿宋"/>
                <w:b w:val="0"/>
                <w:bCs w:val="0"/>
                <w:i w:val="0"/>
                <w:iCs w:val="0"/>
                <w:color w:val="auto"/>
                <w:kern w:val="0"/>
                <w:sz w:val="20"/>
                <w:szCs w:val="20"/>
                <w:highlight w:val="none"/>
                <w:u w:val="none"/>
                <w:lang w:val="en-US" w:eastAsia="zh-CN" w:bidi="ar"/>
              </w:rPr>
              <w:t>19,131.80</w:t>
            </w:r>
          </w:p>
        </w:tc>
        <w:tc>
          <w:tcPr>
            <w:tcW w:w="3330" w:type="dxa"/>
            <w:vAlign w:val="center"/>
          </w:tcPr>
          <w:p w14:paraId="648BEBAB">
            <w:pPr>
              <w:keepNext w:val="0"/>
              <w:keepLines w:val="0"/>
              <w:widowControl/>
              <w:suppressLineNumbers w:val="0"/>
              <w:jc w:val="right"/>
              <w:textAlignment w:val="center"/>
              <w:rPr>
                <w:rFonts w:ascii="宋体" w:hAnsi="宋体" w:cs="宋体"/>
                <w:b w:val="0"/>
                <w:bCs w:val="0"/>
                <w:color w:val="auto"/>
                <w:sz w:val="20"/>
                <w:szCs w:val="20"/>
                <w:highlight w:val="yellow"/>
              </w:rPr>
            </w:pPr>
            <w:r>
              <w:rPr>
                <w:rFonts w:hint="eastAsia" w:ascii="宋体" w:hAnsi="宋体" w:eastAsia="宋体" w:cs="宋体"/>
                <w:b w:val="0"/>
                <w:bCs w:val="0"/>
                <w:i w:val="0"/>
                <w:iCs w:val="0"/>
                <w:color w:val="000000"/>
                <w:kern w:val="0"/>
                <w:sz w:val="20"/>
                <w:szCs w:val="20"/>
                <w:highlight w:val="none"/>
                <w:u w:val="none"/>
                <w:lang w:val="en-US" w:eastAsia="zh-CN" w:bidi="ar"/>
              </w:rPr>
              <w:t>19,560.68</w:t>
            </w:r>
          </w:p>
        </w:tc>
      </w:tr>
      <w:tr w14:paraId="0E49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76E3F627">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负债总额</w:t>
            </w:r>
          </w:p>
        </w:tc>
        <w:tc>
          <w:tcPr>
            <w:tcW w:w="3329" w:type="dxa"/>
            <w:vAlign w:val="center"/>
          </w:tcPr>
          <w:p w14:paraId="41E3A3FC">
            <w:pPr>
              <w:keepNext w:val="0"/>
              <w:keepLines w:val="0"/>
              <w:widowControl/>
              <w:suppressLineNumbers w:val="0"/>
              <w:jc w:val="right"/>
              <w:textAlignment w:val="center"/>
              <w:rPr>
                <w:rFonts w:ascii="宋体" w:hAnsi="宋体" w:cs="宋体"/>
                <w:b w:val="0"/>
                <w:bCs w:val="0"/>
                <w:color w:val="auto"/>
                <w:kern w:val="0"/>
                <w:sz w:val="20"/>
                <w:szCs w:val="20"/>
                <w:lang w:bidi="ar"/>
              </w:rPr>
            </w:pPr>
            <w:r>
              <w:rPr>
                <w:rFonts w:hint="eastAsia" w:ascii="仿宋" w:hAnsi="仿宋" w:eastAsia="仿宋" w:cs="仿宋"/>
                <w:b w:val="0"/>
                <w:bCs w:val="0"/>
                <w:i w:val="0"/>
                <w:iCs w:val="0"/>
                <w:color w:val="auto"/>
                <w:kern w:val="0"/>
                <w:sz w:val="20"/>
                <w:szCs w:val="20"/>
                <w:highlight w:val="none"/>
                <w:u w:val="none"/>
                <w:lang w:val="en-US" w:eastAsia="zh-CN" w:bidi="ar"/>
              </w:rPr>
              <w:t>14,779.67</w:t>
            </w:r>
          </w:p>
        </w:tc>
        <w:tc>
          <w:tcPr>
            <w:tcW w:w="3330" w:type="dxa"/>
            <w:vAlign w:val="center"/>
          </w:tcPr>
          <w:p w14:paraId="7A18B4B7">
            <w:pPr>
              <w:keepNext w:val="0"/>
              <w:keepLines w:val="0"/>
              <w:widowControl/>
              <w:suppressLineNumbers w:val="0"/>
              <w:jc w:val="right"/>
              <w:textAlignment w:val="center"/>
              <w:rPr>
                <w:rFonts w:ascii="宋体" w:hAnsi="宋体" w:cs="宋体"/>
                <w:b w:val="0"/>
                <w:bCs w:val="0"/>
                <w:color w:val="auto"/>
                <w:kern w:val="0"/>
                <w:sz w:val="20"/>
                <w:szCs w:val="20"/>
                <w:highlight w:val="yellow"/>
              </w:rPr>
            </w:pPr>
            <w:r>
              <w:rPr>
                <w:rFonts w:hint="eastAsia" w:ascii="宋体" w:hAnsi="宋体" w:cs="宋体"/>
                <w:b w:val="0"/>
                <w:bCs w:val="0"/>
                <w:i w:val="0"/>
                <w:iCs w:val="0"/>
                <w:color w:val="000000"/>
                <w:kern w:val="0"/>
                <w:sz w:val="20"/>
                <w:szCs w:val="20"/>
                <w:highlight w:val="none"/>
                <w:u w:val="none"/>
                <w:lang w:val="en-US" w:eastAsia="zh-CN" w:bidi="ar"/>
              </w:rPr>
              <w:t>15,328.63</w:t>
            </w:r>
          </w:p>
        </w:tc>
      </w:tr>
      <w:tr w14:paraId="0CA3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6ED7074D">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净资产</w:t>
            </w:r>
          </w:p>
        </w:tc>
        <w:tc>
          <w:tcPr>
            <w:tcW w:w="3329" w:type="dxa"/>
            <w:vAlign w:val="center"/>
          </w:tcPr>
          <w:p w14:paraId="05ACB034">
            <w:pPr>
              <w:keepNext w:val="0"/>
              <w:keepLines w:val="0"/>
              <w:widowControl/>
              <w:suppressLineNumbers w:val="0"/>
              <w:jc w:val="right"/>
              <w:textAlignment w:val="center"/>
              <w:rPr>
                <w:rFonts w:ascii="宋体" w:hAnsi="宋体" w:cs="宋体"/>
                <w:b w:val="0"/>
                <w:bCs w:val="0"/>
                <w:color w:val="auto"/>
                <w:kern w:val="0"/>
                <w:sz w:val="20"/>
                <w:szCs w:val="20"/>
                <w:lang w:bidi="ar"/>
              </w:rPr>
            </w:pPr>
            <w:r>
              <w:rPr>
                <w:rFonts w:hint="eastAsia" w:ascii="宋体" w:hAnsi="宋体" w:eastAsia="宋体" w:cs="宋体"/>
                <w:b w:val="0"/>
                <w:bCs w:val="0"/>
                <w:i w:val="0"/>
                <w:iCs w:val="0"/>
                <w:color w:val="auto"/>
                <w:kern w:val="0"/>
                <w:sz w:val="20"/>
                <w:szCs w:val="20"/>
                <w:highlight w:val="none"/>
                <w:u w:val="none"/>
                <w:lang w:val="en-US" w:eastAsia="zh-CN" w:bidi="ar"/>
              </w:rPr>
              <w:t>4,352.13</w:t>
            </w:r>
          </w:p>
        </w:tc>
        <w:tc>
          <w:tcPr>
            <w:tcW w:w="3330" w:type="dxa"/>
            <w:vAlign w:val="center"/>
          </w:tcPr>
          <w:p w14:paraId="767E405B">
            <w:pPr>
              <w:keepNext w:val="0"/>
              <w:keepLines w:val="0"/>
              <w:widowControl/>
              <w:suppressLineNumbers w:val="0"/>
              <w:jc w:val="right"/>
              <w:textAlignment w:val="center"/>
              <w:rPr>
                <w:rFonts w:ascii="宋体" w:hAnsi="宋体" w:cs="宋体"/>
                <w:b w:val="0"/>
                <w:bCs w:val="0"/>
                <w:color w:val="auto"/>
                <w:kern w:val="0"/>
                <w:sz w:val="20"/>
                <w:szCs w:val="20"/>
                <w:highlight w:val="yellow"/>
              </w:rPr>
            </w:pPr>
            <w:r>
              <w:rPr>
                <w:rFonts w:hint="eastAsia" w:ascii="宋体" w:hAnsi="宋体" w:cs="宋体"/>
                <w:b w:val="0"/>
                <w:bCs w:val="0"/>
                <w:i w:val="0"/>
                <w:iCs w:val="0"/>
                <w:color w:val="000000"/>
                <w:kern w:val="0"/>
                <w:sz w:val="20"/>
                <w:szCs w:val="20"/>
                <w:highlight w:val="none"/>
                <w:u w:val="none"/>
                <w:lang w:val="en-US" w:eastAsia="zh-CN" w:bidi="ar"/>
              </w:rPr>
              <w:t>4,232.05</w:t>
            </w:r>
          </w:p>
        </w:tc>
      </w:tr>
      <w:tr w14:paraId="0F96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6B5015D1">
            <w:pPr>
              <w:autoSpaceDE w:val="0"/>
              <w:autoSpaceDN w:val="0"/>
              <w:adjustRightInd w:val="0"/>
              <w:spacing w:line="560" w:lineRule="exact"/>
              <w:rPr>
                <w:rFonts w:ascii="宋体" w:hAnsi="宋体" w:cs="宋体"/>
                <w:b/>
                <w:bCs/>
                <w:color w:val="auto"/>
                <w:kern w:val="0"/>
                <w:sz w:val="20"/>
                <w:szCs w:val="20"/>
              </w:rPr>
            </w:pPr>
          </w:p>
        </w:tc>
        <w:tc>
          <w:tcPr>
            <w:tcW w:w="3328" w:type="dxa"/>
            <w:vAlign w:val="center"/>
          </w:tcPr>
          <w:p w14:paraId="4FB9C261">
            <w:pPr>
              <w:widowControl/>
              <w:jc w:val="right"/>
              <w:textAlignment w:val="center"/>
              <w:rPr>
                <w:rFonts w:ascii="宋体" w:hAnsi="宋体" w:cs="宋体"/>
                <w:b w:val="0"/>
                <w:bCs w:val="0"/>
                <w:color w:val="auto"/>
                <w:kern w:val="0"/>
                <w:sz w:val="20"/>
                <w:szCs w:val="20"/>
                <w:lang w:bidi="ar"/>
              </w:rPr>
            </w:pPr>
            <w:r>
              <w:rPr>
                <w:rFonts w:hint="eastAsia" w:ascii="宋体" w:hAnsi="宋体" w:cs="宋体"/>
                <w:b w:val="0"/>
                <w:bCs w:val="0"/>
                <w:i w:val="0"/>
                <w:iCs w:val="0"/>
                <w:color w:val="auto"/>
                <w:kern w:val="0"/>
                <w:sz w:val="20"/>
                <w:szCs w:val="20"/>
                <w:highlight w:val="none"/>
                <w:u w:val="none"/>
                <w:lang w:val="en-US" w:eastAsia="zh-CN" w:bidi="ar"/>
              </w:rPr>
              <w:t>2024年1-9月（未经审计）</w:t>
            </w:r>
          </w:p>
        </w:tc>
        <w:tc>
          <w:tcPr>
            <w:tcW w:w="3330" w:type="dxa"/>
            <w:vAlign w:val="center"/>
          </w:tcPr>
          <w:p w14:paraId="35D3597A">
            <w:pPr>
              <w:widowControl/>
              <w:jc w:val="right"/>
              <w:textAlignment w:val="center"/>
              <w:rPr>
                <w:rFonts w:ascii="宋体" w:hAnsi="宋体" w:cs="宋体"/>
                <w:b w:val="0"/>
                <w:bCs w:val="0"/>
                <w:color w:val="auto"/>
                <w:kern w:val="0"/>
                <w:sz w:val="20"/>
                <w:szCs w:val="20"/>
                <w:lang w:bidi="ar"/>
              </w:rPr>
            </w:pPr>
            <w:r>
              <w:rPr>
                <w:rFonts w:hint="eastAsia" w:ascii="宋体" w:hAnsi="宋体" w:cs="宋体"/>
                <w:b w:val="0"/>
                <w:bCs w:val="0"/>
                <w:i w:val="0"/>
                <w:iCs w:val="0"/>
                <w:color w:val="000000"/>
                <w:kern w:val="0"/>
                <w:sz w:val="20"/>
                <w:szCs w:val="20"/>
                <w:highlight w:val="none"/>
                <w:u w:val="none"/>
                <w:lang w:val="en-US" w:eastAsia="zh-CN" w:bidi="ar"/>
              </w:rPr>
              <w:t>2023年1-12月（经审计）</w:t>
            </w:r>
          </w:p>
        </w:tc>
      </w:tr>
      <w:tr w14:paraId="6B14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46607233">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营业收入</w:t>
            </w:r>
          </w:p>
        </w:tc>
        <w:tc>
          <w:tcPr>
            <w:tcW w:w="3329" w:type="dxa"/>
            <w:vAlign w:val="center"/>
          </w:tcPr>
          <w:p w14:paraId="5E380CB4">
            <w:pPr>
              <w:keepNext w:val="0"/>
              <w:keepLines w:val="0"/>
              <w:widowControl/>
              <w:suppressLineNumbers w:val="0"/>
              <w:jc w:val="right"/>
              <w:textAlignment w:val="center"/>
              <w:rPr>
                <w:rFonts w:ascii="宋体" w:hAnsi="宋体" w:cs="宋体"/>
                <w:b w:val="0"/>
                <w:bCs w:val="0"/>
                <w:color w:val="auto"/>
                <w:kern w:val="0"/>
                <w:sz w:val="20"/>
                <w:szCs w:val="20"/>
                <w:lang w:bidi="ar"/>
              </w:rPr>
            </w:pPr>
            <w:r>
              <w:rPr>
                <w:rFonts w:hint="eastAsia" w:ascii="仿宋" w:hAnsi="仿宋" w:eastAsia="仿宋" w:cs="仿宋"/>
                <w:b w:val="0"/>
                <w:bCs w:val="0"/>
                <w:i w:val="0"/>
                <w:iCs w:val="0"/>
                <w:color w:val="auto"/>
                <w:kern w:val="0"/>
                <w:sz w:val="20"/>
                <w:szCs w:val="20"/>
                <w:highlight w:val="none"/>
                <w:u w:val="none"/>
                <w:lang w:val="en-US" w:eastAsia="zh-CN" w:bidi="ar"/>
              </w:rPr>
              <w:t>7,496.37</w:t>
            </w:r>
          </w:p>
        </w:tc>
        <w:tc>
          <w:tcPr>
            <w:tcW w:w="3330" w:type="dxa"/>
            <w:vAlign w:val="center"/>
          </w:tcPr>
          <w:p w14:paraId="369D228B">
            <w:pPr>
              <w:keepNext w:val="0"/>
              <w:keepLines w:val="0"/>
              <w:widowControl/>
              <w:suppressLineNumbers w:val="0"/>
              <w:jc w:val="right"/>
              <w:textAlignment w:val="center"/>
              <w:rPr>
                <w:rFonts w:ascii="宋体" w:hAnsi="宋体" w:cs="宋体"/>
                <w:b w:val="0"/>
                <w:bCs w:val="0"/>
                <w:color w:val="auto"/>
                <w:kern w:val="0"/>
                <w:sz w:val="20"/>
                <w:szCs w:val="20"/>
                <w:highlight w:val="yellow"/>
              </w:rPr>
            </w:pPr>
            <w:r>
              <w:rPr>
                <w:rFonts w:hint="eastAsia" w:ascii="宋体" w:hAnsi="宋体" w:cs="宋体"/>
                <w:b w:val="0"/>
                <w:bCs w:val="0"/>
                <w:i w:val="0"/>
                <w:iCs w:val="0"/>
                <w:color w:val="000000"/>
                <w:kern w:val="0"/>
                <w:sz w:val="20"/>
                <w:szCs w:val="20"/>
                <w:highlight w:val="none"/>
                <w:u w:val="none"/>
                <w:lang w:val="en-US" w:eastAsia="zh-CN" w:bidi="ar"/>
              </w:rPr>
              <w:t>13,226.90</w:t>
            </w:r>
          </w:p>
        </w:tc>
      </w:tr>
      <w:tr w14:paraId="0BD4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92" w:type="pct"/>
          </w:tcPr>
          <w:p w14:paraId="24434D8C">
            <w:pPr>
              <w:autoSpaceDE w:val="0"/>
              <w:autoSpaceDN w:val="0"/>
              <w:adjustRightInd w:val="0"/>
              <w:spacing w:line="560" w:lineRule="exact"/>
              <w:rPr>
                <w:rFonts w:ascii="宋体" w:hAnsi="宋体" w:cs="宋体"/>
                <w:b/>
                <w:bCs/>
                <w:color w:val="auto"/>
                <w:kern w:val="0"/>
                <w:sz w:val="20"/>
                <w:szCs w:val="20"/>
              </w:rPr>
            </w:pPr>
            <w:r>
              <w:rPr>
                <w:rFonts w:hint="eastAsia" w:ascii="宋体" w:hAnsi="宋体" w:cs="宋体"/>
                <w:b/>
                <w:bCs/>
                <w:color w:val="auto"/>
                <w:kern w:val="0"/>
                <w:sz w:val="20"/>
                <w:szCs w:val="20"/>
              </w:rPr>
              <w:t>净利润</w:t>
            </w:r>
          </w:p>
        </w:tc>
        <w:tc>
          <w:tcPr>
            <w:tcW w:w="3329" w:type="dxa"/>
            <w:vAlign w:val="center"/>
          </w:tcPr>
          <w:p w14:paraId="5BD17440">
            <w:pPr>
              <w:keepNext w:val="0"/>
              <w:keepLines w:val="0"/>
              <w:widowControl/>
              <w:suppressLineNumbers w:val="0"/>
              <w:jc w:val="right"/>
              <w:textAlignment w:val="center"/>
              <w:rPr>
                <w:rFonts w:ascii="宋体" w:hAnsi="宋体" w:cs="宋体"/>
                <w:b w:val="0"/>
                <w:bCs w:val="0"/>
                <w:color w:val="auto"/>
                <w:kern w:val="0"/>
                <w:sz w:val="20"/>
                <w:szCs w:val="20"/>
                <w:lang w:bidi="ar"/>
              </w:rPr>
            </w:pPr>
            <w:r>
              <w:rPr>
                <w:rFonts w:hint="eastAsia" w:ascii="仿宋" w:hAnsi="仿宋" w:eastAsia="仿宋" w:cs="仿宋"/>
                <w:b w:val="0"/>
                <w:bCs w:val="0"/>
                <w:i w:val="0"/>
                <w:iCs w:val="0"/>
                <w:color w:val="auto"/>
                <w:kern w:val="0"/>
                <w:sz w:val="20"/>
                <w:szCs w:val="20"/>
                <w:highlight w:val="none"/>
                <w:u w:val="none"/>
                <w:lang w:val="en-US" w:eastAsia="zh-CN" w:bidi="ar"/>
              </w:rPr>
              <w:t>9.20</w:t>
            </w:r>
          </w:p>
        </w:tc>
        <w:tc>
          <w:tcPr>
            <w:tcW w:w="3330" w:type="dxa"/>
            <w:vAlign w:val="center"/>
          </w:tcPr>
          <w:p w14:paraId="6AB5D2F1">
            <w:pPr>
              <w:keepNext w:val="0"/>
              <w:keepLines w:val="0"/>
              <w:widowControl/>
              <w:suppressLineNumbers w:val="0"/>
              <w:jc w:val="right"/>
              <w:textAlignment w:val="center"/>
              <w:rPr>
                <w:rFonts w:ascii="宋体" w:hAnsi="宋体" w:cs="宋体"/>
                <w:b w:val="0"/>
                <w:bCs w:val="0"/>
                <w:color w:val="auto"/>
                <w:kern w:val="0"/>
                <w:sz w:val="20"/>
                <w:szCs w:val="20"/>
                <w:highlight w:val="yellow"/>
              </w:rPr>
            </w:pPr>
            <w:r>
              <w:rPr>
                <w:rFonts w:hint="eastAsia" w:ascii="宋体" w:hAnsi="宋体" w:cs="宋体"/>
                <w:b w:val="0"/>
                <w:bCs w:val="0"/>
                <w:i w:val="0"/>
                <w:iCs w:val="0"/>
                <w:color w:val="000000"/>
                <w:kern w:val="0"/>
                <w:sz w:val="20"/>
                <w:szCs w:val="20"/>
                <w:highlight w:val="none"/>
                <w:u w:val="none"/>
                <w:lang w:val="en-US" w:eastAsia="zh-CN" w:bidi="ar"/>
              </w:rPr>
              <w:t>-879.39</w:t>
            </w:r>
          </w:p>
        </w:tc>
      </w:tr>
    </w:tbl>
    <w:p w14:paraId="6FDD089B">
      <w:pPr>
        <w:pStyle w:val="23"/>
        <w:numPr>
          <w:ilvl w:val="255"/>
          <w:numId w:val="0"/>
        </w:numPr>
        <w:rPr>
          <w:color w:val="auto"/>
        </w:rPr>
      </w:pPr>
    </w:p>
    <w:p w14:paraId="05E6D7AB">
      <w:pPr>
        <w:pStyle w:val="23"/>
        <w:numPr>
          <w:ilvl w:val="0"/>
          <w:numId w:val="0"/>
        </w:num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3、云变电气</w:t>
      </w:r>
    </w:p>
    <w:p w14:paraId="739F4AB8">
      <w:pPr>
        <w:widowControl/>
        <w:kinsoku w:val="0"/>
        <w:autoSpaceDE w:val="0"/>
        <w:autoSpaceDN w:val="0"/>
        <w:adjustRightInd w:val="0"/>
        <w:snapToGrid w:val="0"/>
        <w:spacing w:line="560" w:lineRule="exact"/>
        <w:ind w:firstLine="480" w:firstLineChars="200"/>
        <w:jc w:val="left"/>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 xml:space="preserve">公司名称：云南变压器电气股份有限公司 </w:t>
      </w:r>
    </w:p>
    <w:p w14:paraId="2D1492B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统一社会信用代码：91530000713402501X</w:t>
      </w:r>
    </w:p>
    <w:p w14:paraId="3A8A0CD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成立时间：1999年01月23日</w:t>
      </w:r>
    </w:p>
    <w:p w14:paraId="3D02D0DC">
      <w:pPr>
        <w:widowControl/>
        <w:kinsoku w:val="0"/>
        <w:autoSpaceDE w:val="0"/>
        <w:autoSpaceDN w:val="0"/>
        <w:adjustRightInd w:val="0"/>
        <w:snapToGrid w:val="0"/>
        <w:spacing w:line="560" w:lineRule="exact"/>
        <w:ind w:firstLine="480" w:firstLineChars="200"/>
        <w:jc w:val="left"/>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 xml:space="preserve">注册地点：中国（云南）自由贸易试验区昆明片区经开区洛羊街道办事处拓翔路212号 </w:t>
      </w:r>
    </w:p>
    <w:p w14:paraId="4CDC7CD8">
      <w:pPr>
        <w:widowControl/>
        <w:kinsoku w:val="0"/>
        <w:autoSpaceDE w:val="0"/>
        <w:autoSpaceDN w:val="0"/>
        <w:adjustRightInd w:val="0"/>
        <w:snapToGrid w:val="0"/>
        <w:spacing w:line="560" w:lineRule="exact"/>
        <w:ind w:firstLine="480" w:firstLineChars="200"/>
        <w:jc w:val="left"/>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法定代表人：肖斌</w:t>
      </w:r>
    </w:p>
    <w:p w14:paraId="249CE1F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注册资本：人民币 10,041.3641万元</w:t>
      </w:r>
    </w:p>
    <w:p w14:paraId="011E2CDE">
      <w:pPr>
        <w:widowControl/>
        <w:kinsoku w:val="0"/>
        <w:autoSpaceDE w:val="0"/>
        <w:autoSpaceDN w:val="0"/>
        <w:adjustRightInd w:val="0"/>
        <w:snapToGrid w:val="0"/>
        <w:spacing w:line="560" w:lineRule="exact"/>
        <w:ind w:firstLine="480" w:firstLineChars="200"/>
        <w:jc w:val="left"/>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经营范围：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14:paraId="6BBB896D">
      <w:pPr>
        <w:autoSpaceDE w:val="0"/>
        <w:autoSpaceDN w:val="0"/>
        <w:adjustRightInd w:val="0"/>
        <w:spacing w:line="560" w:lineRule="exact"/>
        <w:ind w:firstLine="460" w:firstLineChars="19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主要</w:t>
      </w:r>
      <w:r>
        <w:rPr>
          <w:rFonts w:hint="eastAsia" w:ascii="宋体" w:hAnsi="宋体" w:eastAsia="宋体" w:cs="宋体"/>
          <w:sz w:val="24"/>
          <w:szCs w:val="24"/>
          <w:highlight w:val="none"/>
        </w:rPr>
        <w:t>股东情况：重庆望变电气（集团）股份有限公司（</w:t>
      </w:r>
      <w:r>
        <w:rPr>
          <w:rFonts w:hint="eastAsia" w:ascii="宋体" w:hAnsi="宋体" w:eastAsia="宋体" w:cs="宋体"/>
          <w:sz w:val="24"/>
          <w:szCs w:val="24"/>
          <w:highlight w:val="none"/>
          <w:lang w:val="en-US" w:eastAsia="zh-CN"/>
        </w:rPr>
        <w:t>79.97</w:t>
      </w:r>
      <w:r>
        <w:rPr>
          <w:rFonts w:hint="eastAsia" w:ascii="宋体" w:hAnsi="宋体" w:eastAsia="宋体" w:cs="宋体"/>
          <w:sz w:val="24"/>
          <w:szCs w:val="24"/>
          <w:highlight w:val="none"/>
        </w:rPr>
        <w:t>%）</w:t>
      </w:r>
    </w:p>
    <w:p w14:paraId="3A3861A9">
      <w:pPr>
        <w:autoSpaceDE w:val="0"/>
        <w:autoSpaceDN w:val="0"/>
        <w:adjustRightInd w:val="0"/>
        <w:spacing w:line="560" w:lineRule="exact"/>
        <w:ind w:firstLine="460" w:firstLineChars="192"/>
        <w:rPr>
          <w:rFonts w:hint="eastAsia" w:ascii="宋体" w:hAnsi="宋体" w:eastAsia="宋体" w:cs="宋体"/>
          <w:bCs/>
          <w:snapToGrid w:val="0"/>
          <w:kern w:val="0"/>
          <w:sz w:val="24"/>
          <w:szCs w:val="24"/>
        </w:rPr>
      </w:pPr>
      <w:r>
        <w:rPr>
          <w:rFonts w:hint="eastAsia" w:ascii="宋体" w:hAnsi="宋体" w:eastAsia="宋体" w:cs="宋体"/>
          <w:sz w:val="24"/>
          <w:szCs w:val="24"/>
          <w:highlight w:val="none"/>
        </w:rPr>
        <w:t>关联关系：</w:t>
      </w:r>
      <w:r>
        <w:rPr>
          <w:rFonts w:hint="eastAsia" w:ascii="宋体" w:hAnsi="宋体" w:eastAsia="宋体" w:cs="宋体"/>
          <w:sz w:val="24"/>
          <w:szCs w:val="24"/>
          <w:highlight w:val="none"/>
          <w:lang w:val="en-US" w:eastAsia="zh-CN"/>
        </w:rPr>
        <w:t>云变电气</w:t>
      </w:r>
      <w:r>
        <w:rPr>
          <w:rFonts w:hint="eastAsia" w:ascii="宋体" w:hAnsi="宋体" w:eastAsia="宋体" w:cs="宋体"/>
          <w:sz w:val="24"/>
          <w:szCs w:val="24"/>
          <w:highlight w:val="none"/>
        </w:rPr>
        <w:t>系公司</w:t>
      </w:r>
      <w:r>
        <w:rPr>
          <w:rFonts w:hint="eastAsia" w:ascii="宋体" w:hAnsi="宋体" w:eastAsia="宋体" w:cs="宋体"/>
          <w:sz w:val="24"/>
          <w:szCs w:val="24"/>
          <w:highlight w:val="none"/>
          <w:lang w:val="en-US" w:eastAsia="zh-CN"/>
        </w:rPr>
        <w:t>控股</w:t>
      </w:r>
      <w:r>
        <w:rPr>
          <w:rFonts w:hint="eastAsia" w:ascii="宋体" w:hAnsi="宋体" w:eastAsia="宋体" w:cs="宋体"/>
          <w:sz w:val="24"/>
          <w:szCs w:val="24"/>
          <w:highlight w:val="none"/>
        </w:rPr>
        <w:t>子公司。</w:t>
      </w:r>
    </w:p>
    <w:p w14:paraId="7D953AB8">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lang w:val="en-US" w:eastAsia="zh-CN"/>
        </w:rPr>
      </w:pPr>
      <w:r>
        <w:rPr>
          <w:rFonts w:hint="eastAsia" w:ascii="宋体" w:hAnsi="宋体" w:eastAsia="宋体" w:cs="宋体"/>
          <w:bCs/>
          <w:snapToGrid w:val="0"/>
          <w:kern w:val="0"/>
          <w:sz w:val="24"/>
          <w:szCs w:val="24"/>
        </w:rPr>
        <w:t>最近一年及一期的财务数据：</w:t>
      </w:r>
      <w:r>
        <w:rPr>
          <w:rFonts w:hint="eastAsia" w:ascii="宋体" w:hAnsi="宋体" w:cs="宋体"/>
          <w:bCs/>
          <w:snapToGrid w:val="0"/>
          <w:kern w:val="0"/>
          <w:sz w:val="24"/>
          <w:szCs w:val="24"/>
          <w:lang w:val="en-US" w:eastAsia="zh-CN"/>
        </w:rPr>
        <w:t xml:space="preserve">                             </w:t>
      </w:r>
    </w:p>
    <w:p w14:paraId="168A4E44">
      <w:pPr>
        <w:widowControl/>
        <w:kinsoku w:val="0"/>
        <w:autoSpaceDE w:val="0"/>
        <w:autoSpaceDN w:val="0"/>
        <w:adjustRightInd w:val="0"/>
        <w:snapToGrid w:val="0"/>
        <w:spacing w:line="560" w:lineRule="exact"/>
        <w:ind w:firstLine="7200" w:firstLineChars="3000"/>
        <w:jc w:val="left"/>
        <w:textAlignment w:val="baseline"/>
        <w:rPr>
          <w:rFonts w:hint="default" w:ascii="宋体" w:hAnsi="宋体" w:eastAsia="宋体" w:cs="宋体"/>
          <w:bCs/>
          <w:snapToGrid w:val="0"/>
          <w:kern w:val="0"/>
          <w:sz w:val="24"/>
          <w:szCs w:val="24"/>
          <w:lang w:val="en-US" w:eastAsia="zh-CN"/>
        </w:rPr>
      </w:pPr>
      <w:r>
        <w:rPr>
          <w:rFonts w:hint="eastAsia" w:ascii="宋体" w:hAnsi="宋体" w:cs="宋体"/>
          <w:bCs/>
          <w:snapToGrid w:val="0"/>
          <w:kern w:val="0"/>
          <w:sz w:val="24"/>
          <w:szCs w:val="24"/>
          <w:lang w:val="en-US" w:eastAsia="zh-CN"/>
        </w:rPr>
        <w:t>单位：万元</w:t>
      </w:r>
    </w:p>
    <w:tbl>
      <w:tblPr>
        <w:tblStyle w:val="19"/>
        <w:tblpPr w:leftFromText="180" w:rightFromText="180" w:vertAnchor="text" w:horzAnchor="page" w:tblpX="1806" w:tblpY="22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3328"/>
        <w:gridCol w:w="3330"/>
      </w:tblGrid>
      <w:tr w14:paraId="4E81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63E4BA25">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财务指标</w:t>
            </w:r>
          </w:p>
        </w:tc>
        <w:tc>
          <w:tcPr>
            <w:tcW w:w="1953" w:type="pct"/>
            <w:vAlign w:val="center"/>
          </w:tcPr>
          <w:p w14:paraId="27EBC0A0">
            <w:pPr>
              <w:autoSpaceDE w:val="0"/>
              <w:autoSpaceDN w:val="0"/>
              <w:adjustRightInd w:val="0"/>
              <w:spacing w:line="560" w:lineRule="exact"/>
              <w:jc w:val="center"/>
              <w:rPr>
                <w:rFonts w:hint="default" w:ascii="宋体" w:hAnsi="宋体" w:eastAsia="宋体" w:cs="宋体"/>
                <w:b w:val="0"/>
                <w:bCs w:val="0"/>
                <w:kern w:val="0"/>
                <w:sz w:val="20"/>
                <w:szCs w:val="20"/>
                <w:highlight w:val="none"/>
                <w:lang w:val="en-US" w:eastAsia="zh-CN"/>
              </w:rPr>
            </w:pPr>
            <w:r>
              <w:rPr>
                <w:rFonts w:hint="eastAsia" w:ascii="宋体" w:hAnsi="宋体" w:cs="宋体"/>
                <w:b w:val="0"/>
                <w:bCs w:val="0"/>
                <w:kern w:val="0"/>
                <w:sz w:val="20"/>
                <w:szCs w:val="20"/>
                <w:highlight w:val="none"/>
                <w:lang w:val="en-US" w:eastAsia="zh-CN"/>
              </w:rPr>
              <w:t>2024年9月30日（未经审计）</w:t>
            </w:r>
          </w:p>
        </w:tc>
        <w:tc>
          <w:tcPr>
            <w:tcW w:w="1954" w:type="pct"/>
            <w:vAlign w:val="center"/>
          </w:tcPr>
          <w:p w14:paraId="0D1EC9DD">
            <w:pPr>
              <w:autoSpaceDE w:val="0"/>
              <w:autoSpaceDN w:val="0"/>
              <w:adjustRightInd w:val="0"/>
              <w:spacing w:line="560" w:lineRule="exact"/>
              <w:jc w:val="center"/>
              <w:rPr>
                <w:rFonts w:hint="eastAsia" w:ascii="宋体" w:hAnsi="宋体" w:eastAsia="宋体" w:cs="宋体"/>
                <w:b w:val="0"/>
                <w:bCs w:val="0"/>
                <w:kern w:val="0"/>
                <w:sz w:val="20"/>
                <w:szCs w:val="20"/>
                <w:highlight w:val="none"/>
              </w:rPr>
            </w:pPr>
            <w:r>
              <w:rPr>
                <w:rFonts w:hint="eastAsia" w:ascii="宋体" w:hAnsi="宋体" w:eastAsia="宋体" w:cs="宋体"/>
                <w:b w:val="0"/>
                <w:bCs w:val="0"/>
                <w:kern w:val="0"/>
                <w:sz w:val="20"/>
                <w:szCs w:val="20"/>
                <w:highlight w:val="none"/>
              </w:rPr>
              <w:t>202</w:t>
            </w:r>
            <w:r>
              <w:rPr>
                <w:rFonts w:hint="eastAsia" w:ascii="宋体" w:hAnsi="宋体" w:cs="宋体"/>
                <w:b w:val="0"/>
                <w:bCs w:val="0"/>
                <w:kern w:val="0"/>
                <w:sz w:val="20"/>
                <w:szCs w:val="20"/>
                <w:highlight w:val="none"/>
                <w:lang w:val="en-US" w:eastAsia="zh-CN"/>
              </w:rPr>
              <w:t>3</w:t>
            </w:r>
            <w:r>
              <w:rPr>
                <w:rFonts w:hint="eastAsia" w:ascii="宋体" w:hAnsi="宋体" w:eastAsia="宋体" w:cs="宋体"/>
                <w:b w:val="0"/>
                <w:bCs w:val="0"/>
                <w:kern w:val="0"/>
                <w:sz w:val="20"/>
                <w:szCs w:val="20"/>
                <w:highlight w:val="none"/>
              </w:rPr>
              <w:t>年</w:t>
            </w:r>
            <w:r>
              <w:rPr>
                <w:rFonts w:hint="eastAsia" w:ascii="宋体" w:hAnsi="宋体" w:cs="宋体"/>
                <w:b w:val="0"/>
                <w:bCs w:val="0"/>
                <w:kern w:val="0"/>
                <w:sz w:val="20"/>
                <w:szCs w:val="20"/>
                <w:highlight w:val="none"/>
                <w:lang w:eastAsia="zh-CN"/>
              </w:rPr>
              <w:t>1</w:t>
            </w:r>
            <w:r>
              <w:rPr>
                <w:rFonts w:hint="eastAsia" w:ascii="宋体" w:hAnsi="宋体" w:cs="宋体"/>
                <w:b w:val="0"/>
                <w:bCs w:val="0"/>
                <w:kern w:val="0"/>
                <w:sz w:val="20"/>
                <w:szCs w:val="20"/>
                <w:highlight w:val="none"/>
                <w:lang w:val="en-US" w:eastAsia="zh-CN"/>
              </w:rPr>
              <w:t>2</w:t>
            </w:r>
            <w:r>
              <w:rPr>
                <w:rFonts w:hint="eastAsia" w:ascii="宋体" w:hAnsi="宋体" w:eastAsia="宋体" w:cs="宋体"/>
                <w:b w:val="0"/>
                <w:bCs w:val="0"/>
                <w:kern w:val="0"/>
                <w:sz w:val="20"/>
                <w:szCs w:val="20"/>
                <w:highlight w:val="none"/>
              </w:rPr>
              <w:t>月3</w:t>
            </w:r>
            <w:r>
              <w:rPr>
                <w:rFonts w:hint="eastAsia" w:ascii="宋体" w:hAnsi="宋体" w:cs="宋体"/>
                <w:b w:val="0"/>
                <w:bCs w:val="0"/>
                <w:kern w:val="0"/>
                <w:sz w:val="20"/>
                <w:szCs w:val="20"/>
                <w:highlight w:val="none"/>
                <w:lang w:eastAsia="zh-CN"/>
              </w:rPr>
              <w:t>1</w:t>
            </w:r>
            <w:r>
              <w:rPr>
                <w:rFonts w:hint="eastAsia" w:ascii="宋体" w:hAnsi="宋体" w:eastAsia="宋体" w:cs="宋体"/>
                <w:b w:val="0"/>
                <w:bCs w:val="0"/>
                <w:kern w:val="0"/>
                <w:sz w:val="20"/>
                <w:szCs w:val="20"/>
                <w:highlight w:val="none"/>
              </w:rPr>
              <w:t>日</w:t>
            </w:r>
            <w:r>
              <w:rPr>
                <w:rFonts w:hint="eastAsia" w:ascii="宋体" w:hAnsi="宋体" w:cs="宋体"/>
                <w:b w:val="0"/>
                <w:bCs w:val="0"/>
                <w:kern w:val="0"/>
                <w:sz w:val="20"/>
                <w:szCs w:val="20"/>
                <w:highlight w:val="none"/>
                <w:lang w:val="en-US" w:eastAsia="zh-CN"/>
              </w:rPr>
              <w:t>（</w:t>
            </w:r>
            <w:r>
              <w:rPr>
                <w:rFonts w:hint="eastAsia" w:ascii="宋体" w:hAnsi="宋体" w:eastAsia="宋体" w:cs="宋体"/>
                <w:b w:val="0"/>
                <w:bCs w:val="0"/>
                <w:kern w:val="0"/>
                <w:sz w:val="20"/>
                <w:szCs w:val="20"/>
                <w:highlight w:val="none"/>
              </w:rPr>
              <w:t>经审计</w:t>
            </w:r>
            <w:r>
              <w:rPr>
                <w:rFonts w:hint="eastAsia" w:ascii="宋体" w:hAnsi="宋体" w:cs="宋体"/>
                <w:b w:val="0"/>
                <w:bCs w:val="0"/>
                <w:kern w:val="0"/>
                <w:sz w:val="20"/>
                <w:szCs w:val="20"/>
                <w:highlight w:val="none"/>
                <w:lang w:eastAsia="zh-CN"/>
              </w:rPr>
              <w:t>）</w:t>
            </w:r>
          </w:p>
        </w:tc>
      </w:tr>
      <w:tr w14:paraId="3088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2DECBA67">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资产总额</w:t>
            </w:r>
          </w:p>
        </w:tc>
        <w:tc>
          <w:tcPr>
            <w:tcW w:w="3329" w:type="dxa"/>
            <w:vAlign w:val="center"/>
          </w:tcPr>
          <w:p w14:paraId="4AE48381">
            <w:pPr>
              <w:keepNext w:val="0"/>
              <w:keepLines w:val="0"/>
              <w:widowControl/>
              <w:suppressLineNumbers w:val="0"/>
              <w:jc w:val="right"/>
              <w:textAlignment w:val="center"/>
              <w:rPr>
                <w:rFonts w:hint="eastAsia" w:ascii="仿宋" w:hAnsi="仿宋" w:eastAsia="仿宋" w:cs="仿宋"/>
                <w:b w:val="0"/>
                <w:bCs w:val="0"/>
                <w:i w:val="0"/>
                <w:iCs w:val="0"/>
                <w:color w:val="auto"/>
                <w:kern w:val="2"/>
                <w:sz w:val="20"/>
                <w:szCs w:val="20"/>
                <w:highlight w:val="none"/>
                <w:u w:val="none"/>
                <w:lang w:val="en-US" w:eastAsia="zh-CN" w:bidi="ar-SA"/>
              </w:rPr>
            </w:pPr>
            <w:r>
              <w:rPr>
                <w:rFonts w:hint="eastAsia" w:ascii="仿宋" w:hAnsi="仿宋" w:eastAsia="仿宋" w:cs="仿宋"/>
                <w:b w:val="0"/>
                <w:bCs w:val="0"/>
                <w:i w:val="0"/>
                <w:iCs w:val="0"/>
                <w:color w:val="auto"/>
                <w:kern w:val="0"/>
                <w:sz w:val="20"/>
                <w:szCs w:val="20"/>
                <w:highlight w:val="none"/>
                <w:u w:val="none"/>
                <w:lang w:val="en-US" w:eastAsia="zh-CN" w:bidi="ar"/>
              </w:rPr>
              <w:t>163,833.17</w:t>
            </w:r>
          </w:p>
        </w:tc>
        <w:tc>
          <w:tcPr>
            <w:tcW w:w="3330" w:type="dxa"/>
            <w:vAlign w:val="center"/>
          </w:tcPr>
          <w:p w14:paraId="72749FE3">
            <w:pPr>
              <w:keepNext w:val="0"/>
              <w:keepLines w:val="0"/>
              <w:widowControl/>
              <w:suppressLineNumbers w:val="0"/>
              <w:jc w:val="right"/>
              <w:textAlignment w:val="center"/>
              <w:rPr>
                <w:rFonts w:hint="eastAsia" w:ascii="宋体" w:hAnsi="宋体" w:eastAsia="宋体" w:cs="宋体"/>
                <w:b w:val="0"/>
                <w:bCs w:val="0"/>
                <w:sz w:val="20"/>
                <w:szCs w:val="20"/>
                <w:highlight w:val="none"/>
              </w:rPr>
            </w:pPr>
            <w:r>
              <w:rPr>
                <w:rFonts w:hint="eastAsia" w:ascii="宋体" w:hAnsi="宋体" w:eastAsia="宋体" w:cs="宋体"/>
                <w:b w:val="0"/>
                <w:bCs w:val="0"/>
                <w:i w:val="0"/>
                <w:iCs w:val="0"/>
                <w:color w:val="000000"/>
                <w:kern w:val="0"/>
                <w:sz w:val="20"/>
                <w:szCs w:val="20"/>
                <w:highlight w:val="none"/>
                <w:u w:val="none"/>
                <w:lang w:val="en-US" w:eastAsia="zh-CN" w:bidi="ar"/>
              </w:rPr>
              <w:t>158,731.03</w:t>
            </w:r>
          </w:p>
        </w:tc>
      </w:tr>
      <w:tr w14:paraId="6288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62A35FEF">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负债总额</w:t>
            </w:r>
          </w:p>
        </w:tc>
        <w:tc>
          <w:tcPr>
            <w:tcW w:w="3329" w:type="dxa"/>
            <w:vAlign w:val="center"/>
          </w:tcPr>
          <w:p w14:paraId="4D92C3DD">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93,309.04</w:t>
            </w:r>
          </w:p>
        </w:tc>
        <w:tc>
          <w:tcPr>
            <w:tcW w:w="3330" w:type="dxa"/>
            <w:vAlign w:val="center"/>
          </w:tcPr>
          <w:p w14:paraId="14F3CA1B">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eastAsia="宋体" w:cs="宋体"/>
                <w:b w:val="0"/>
                <w:bCs w:val="0"/>
                <w:i w:val="0"/>
                <w:iCs w:val="0"/>
                <w:color w:val="000000"/>
                <w:kern w:val="0"/>
                <w:sz w:val="20"/>
                <w:szCs w:val="20"/>
                <w:highlight w:val="none"/>
                <w:u w:val="none"/>
                <w:lang w:val="en-US" w:eastAsia="zh-CN" w:bidi="ar"/>
              </w:rPr>
              <w:t>91,439.85</w:t>
            </w:r>
          </w:p>
        </w:tc>
      </w:tr>
      <w:tr w14:paraId="534F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5F10FC2A">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净资产</w:t>
            </w:r>
          </w:p>
        </w:tc>
        <w:tc>
          <w:tcPr>
            <w:tcW w:w="3329" w:type="dxa"/>
            <w:vAlign w:val="center"/>
          </w:tcPr>
          <w:p w14:paraId="2A447512">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70,524.13</w:t>
            </w:r>
          </w:p>
        </w:tc>
        <w:tc>
          <w:tcPr>
            <w:tcW w:w="3330" w:type="dxa"/>
            <w:vAlign w:val="center"/>
          </w:tcPr>
          <w:p w14:paraId="0505AA80">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cs="宋体"/>
                <w:b w:val="0"/>
                <w:bCs w:val="0"/>
                <w:i w:val="0"/>
                <w:iCs w:val="0"/>
                <w:color w:val="000000"/>
                <w:kern w:val="0"/>
                <w:sz w:val="20"/>
                <w:szCs w:val="20"/>
                <w:highlight w:val="none"/>
                <w:u w:val="none"/>
                <w:lang w:val="en-US" w:eastAsia="zh-CN" w:bidi="ar"/>
              </w:rPr>
              <w:t>67,291.18</w:t>
            </w:r>
          </w:p>
        </w:tc>
      </w:tr>
      <w:tr w14:paraId="134A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6EBA67EF">
            <w:pPr>
              <w:autoSpaceDE w:val="0"/>
              <w:autoSpaceDN w:val="0"/>
              <w:adjustRightInd w:val="0"/>
              <w:spacing w:line="560" w:lineRule="exact"/>
              <w:rPr>
                <w:rFonts w:hint="eastAsia" w:ascii="宋体" w:hAnsi="宋体" w:eastAsia="宋体" w:cs="宋体"/>
                <w:b/>
                <w:bCs/>
                <w:kern w:val="0"/>
                <w:sz w:val="20"/>
                <w:szCs w:val="20"/>
                <w:highlight w:val="none"/>
              </w:rPr>
            </w:pPr>
          </w:p>
        </w:tc>
        <w:tc>
          <w:tcPr>
            <w:tcW w:w="1953" w:type="pct"/>
            <w:vAlign w:val="center"/>
          </w:tcPr>
          <w:p w14:paraId="57B5C8EF">
            <w:pPr>
              <w:widowControl/>
              <w:jc w:val="center"/>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2024年1-9月（未经审计）</w:t>
            </w:r>
          </w:p>
        </w:tc>
        <w:tc>
          <w:tcPr>
            <w:tcW w:w="1954" w:type="pct"/>
            <w:vAlign w:val="center"/>
          </w:tcPr>
          <w:p w14:paraId="38434A2D">
            <w:pPr>
              <w:widowControl/>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2023年1-12月（经审计）</w:t>
            </w:r>
          </w:p>
        </w:tc>
      </w:tr>
      <w:tr w14:paraId="3061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92" w:type="pct"/>
          </w:tcPr>
          <w:p w14:paraId="45668CB4">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营业收入</w:t>
            </w:r>
          </w:p>
        </w:tc>
        <w:tc>
          <w:tcPr>
            <w:tcW w:w="3329" w:type="dxa"/>
            <w:vAlign w:val="center"/>
          </w:tcPr>
          <w:p w14:paraId="166246AC">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60,774.93</w:t>
            </w:r>
          </w:p>
        </w:tc>
        <w:tc>
          <w:tcPr>
            <w:tcW w:w="3330" w:type="dxa"/>
            <w:vAlign w:val="center"/>
          </w:tcPr>
          <w:p w14:paraId="15ADCA41">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cs="宋体"/>
                <w:b w:val="0"/>
                <w:bCs w:val="0"/>
                <w:i w:val="0"/>
                <w:iCs w:val="0"/>
                <w:color w:val="000000"/>
                <w:kern w:val="0"/>
                <w:sz w:val="20"/>
                <w:szCs w:val="20"/>
                <w:highlight w:val="none"/>
                <w:u w:val="none"/>
                <w:lang w:val="en-US" w:eastAsia="zh-CN" w:bidi="ar"/>
              </w:rPr>
              <w:t>80,828.53</w:t>
            </w:r>
          </w:p>
        </w:tc>
      </w:tr>
      <w:tr w14:paraId="6CF4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92" w:type="pct"/>
          </w:tcPr>
          <w:p w14:paraId="58C05913">
            <w:pPr>
              <w:autoSpaceDE w:val="0"/>
              <w:autoSpaceDN w:val="0"/>
              <w:adjustRightInd w:val="0"/>
              <w:spacing w:line="560" w:lineRule="exact"/>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净利润</w:t>
            </w:r>
          </w:p>
        </w:tc>
        <w:tc>
          <w:tcPr>
            <w:tcW w:w="3329" w:type="dxa"/>
            <w:vAlign w:val="center"/>
          </w:tcPr>
          <w:p w14:paraId="4A5290BF">
            <w:pPr>
              <w:keepNext w:val="0"/>
              <w:keepLines w:val="0"/>
              <w:widowControl/>
              <w:suppressLineNumbers w:val="0"/>
              <w:jc w:val="right"/>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2,211.55</w:t>
            </w:r>
          </w:p>
        </w:tc>
        <w:tc>
          <w:tcPr>
            <w:tcW w:w="3330" w:type="dxa"/>
            <w:vAlign w:val="center"/>
          </w:tcPr>
          <w:p w14:paraId="0BFB2FE4">
            <w:pPr>
              <w:keepNext w:val="0"/>
              <w:keepLines w:val="0"/>
              <w:widowControl/>
              <w:suppressLineNumbers w:val="0"/>
              <w:jc w:val="right"/>
              <w:textAlignment w:val="center"/>
              <w:rPr>
                <w:rFonts w:hint="eastAsia" w:ascii="宋体" w:hAnsi="宋体" w:eastAsia="宋体" w:cs="宋体"/>
                <w:b w:val="0"/>
                <w:bCs w:val="0"/>
                <w:kern w:val="0"/>
                <w:sz w:val="20"/>
                <w:szCs w:val="20"/>
                <w:highlight w:val="none"/>
              </w:rPr>
            </w:pPr>
            <w:r>
              <w:rPr>
                <w:rFonts w:hint="eastAsia" w:ascii="宋体" w:hAnsi="宋体" w:cs="宋体"/>
                <w:b w:val="0"/>
                <w:bCs w:val="0"/>
                <w:i w:val="0"/>
                <w:iCs w:val="0"/>
                <w:color w:val="000000"/>
                <w:kern w:val="0"/>
                <w:sz w:val="20"/>
                <w:szCs w:val="20"/>
                <w:highlight w:val="none"/>
                <w:u w:val="none"/>
                <w:lang w:val="en-US" w:eastAsia="zh-CN" w:bidi="ar"/>
              </w:rPr>
              <w:t>8,112.29</w:t>
            </w:r>
          </w:p>
        </w:tc>
      </w:tr>
    </w:tbl>
    <w:p w14:paraId="5085AAE2">
      <w:pPr>
        <w:pStyle w:val="23"/>
        <w:numPr>
          <w:ilvl w:val="255"/>
          <w:numId w:val="0"/>
        </w:numPr>
        <w:rPr>
          <w:color w:val="auto"/>
        </w:rPr>
      </w:pPr>
    </w:p>
    <w:p w14:paraId="1926A78C">
      <w:pPr>
        <w:autoSpaceDE w:val="0"/>
        <w:autoSpaceDN w:val="0"/>
        <w:adjustRightInd w:val="0"/>
        <w:spacing w:line="560" w:lineRule="exact"/>
        <w:rPr>
          <w:rFonts w:ascii="宋体" w:hAnsi="宋体" w:cs="宋体"/>
          <w:b/>
          <w:color w:val="auto"/>
          <w:kern w:val="0"/>
          <w:sz w:val="24"/>
          <w:szCs w:val="24"/>
        </w:rPr>
      </w:pPr>
      <w:r>
        <w:rPr>
          <w:rFonts w:hint="eastAsia" w:ascii="宋体" w:hAnsi="宋体" w:cs="宋体"/>
          <w:b/>
          <w:color w:val="auto"/>
          <w:kern w:val="0"/>
          <w:sz w:val="24"/>
          <w:szCs w:val="24"/>
        </w:rPr>
        <w:t>三、担保协议的主要内容</w:t>
      </w:r>
    </w:p>
    <w:p w14:paraId="4FFE3075">
      <w:pPr>
        <w:autoSpaceDE w:val="0"/>
        <w:autoSpaceDN w:val="0"/>
        <w:adjustRightInd w:val="0"/>
        <w:spacing w:line="5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本次担保预计系为子公司提供的最高担保额度，在该担保额度内，公司将根据实际发生的担保在定期报告或进展公告中披露相应内容。</w:t>
      </w:r>
    </w:p>
    <w:p w14:paraId="0F9B5459">
      <w:pPr>
        <w:autoSpaceDE w:val="0"/>
        <w:autoSpaceDN w:val="0"/>
        <w:adjustRightInd w:val="0"/>
        <w:spacing w:line="560" w:lineRule="exact"/>
        <w:rPr>
          <w:rFonts w:ascii="宋体" w:hAnsi="宋体" w:cs="宋体"/>
          <w:b/>
          <w:color w:val="auto"/>
          <w:sz w:val="24"/>
          <w:szCs w:val="24"/>
        </w:rPr>
      </w:pPr>
      <w:r>
        <w:rPr>
          <w:rFonts w:hint="eastAsia" w:ascii="宋体" w:hAnsi="宋体" w:cs="宋体"/>
          <w:b/>
          <w:color w:val="auto"/>
          <w:sz w:val="24"/>
          <w:szCs w:val="24"/>
        </w:rPr>
        <w:t>四、担保的必要性和合理性</w:t>
      </w:r>
    </w:p>
    <w:p w14:paraId="50071305">
      <w:pPr>
        <w:autoSpaceDE w:val="0"/>
        <w:autoSpaceDN w:val="0"/>
        <w:adjustRightInd w:val="0"/>
        <w:spacing w:line="5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本次担保主要为满足子公司日常生产经营需要，保证其生产经营活动的顺利开展，符合公司实际经营情况和整体发展战略，具有必要性和合理性。被担保对象为公司全资</w:t>
      </w:r>
      <w:r>
        <w:rPr>
          <w:rFonts w:hint="eastAsia" w:ascii="宋体" w:hAnsi="宋体" w:cs="宋体"/>
          <w:color w:val="auto"/>
          <w:kern w:val="0"/>
          <w:sz w:val="24"/>
          <w:szCs w:val="24"/>
          <w:lang w:val="en-US" w:eastAsia="zh-CN"/>
        </w:rPr>
        <w:t>或控股子</w:t>
      </w:r>
      <w:r>
        <w:rPr>
          <w:rFonts w:hint="eastAsia" w:ascii="宋体" w:hAnsi="宋体" w:cs="宋体"/>
          <w:color w:val="auto"/>
          <w:kern w:val="0"/>
          <w:sz w:val="24"/>
          <w:szCs w:val="24"/>
        </w:rPr>
        <w:t>公司，公司对其日常经营活动和资信状况能够及时掌握，担保风险总体可控，不存在损害公司及股东特别是中小股东利益的情形。</w:t>
      </w:r>
    </w:p>
    <w:p w14:paraId="63F6E830">
      <w:pPr>
        <w:autoSpaceDE w:val="0"/>
        <w:autoSpaceDN w:val="0"/>
        <w:adjustRightInd w:val="0"/>
        <w:spacing w:line="560" w:lineRule="exact"/>
        <w:rPr>
          <w:rFonts w:ascii="宋体" w:hAnsi="宋体" w:cs="宋体"/>
          <w:b/>
          <w:color w:val="auto"/>
          <w:sz w:val="24"/>
          <w:szCs w:val="24"/>
        </w:rPr>
      </w:pPr>
      <w:r>
        <w:rPr>
          <w:rFonts w:hint="eastAsia" w:ascii="宋体" w:hAnsi="宋体" w:cs="宋体"/>
          <w:b/>
          <w:color w:val="auto"/>
          <w:sz w:val="24"/>
          <w:szCs w:val="24"/>
        </w:rPr>
        <w:t>五、董事会意见</w:t>
      </w:r>
    </w:p>
    <w:p w14:paraId="1CF69BBF">
      <w:pPr>
        <w:tabs>
          <w:tab w:val="left" w:pos="3468"/>
        </w:tabs>
        <w:autoSpaceDE w:val="0"/>
        <w:autoSpaceDN w:val="0"/>
        <w:adjustRightInd w:val="0"/>
        <w:spacing w:line="560" w:lineRule="exact"/>
        <w:ind w:firstLine="460" w:firstLineChars="192"/>
        <w:rPr>
          <w:rFonts w:ascii="宋体" w:hAnsi="宋体" w:cs="宋体"/>
          <w:color w:val="auto"/>
          <w:sz w:val="24"/>
          <w:szCs w:val="24"/>
        </w:rPr>
      </w:pPr>
      <w:r>
        <w:rPr>
          <w:rFonts w:ascii="宋体" w:hAnsi="宋体" w:cs="宋体"/>
          <w:color w:val="auto"/>
          <w:sz w:val="24"/>
          <w:szCs w:val="24"/>
        </w:rPr>
        <w:t>董事会认为</w:t>
      </w:r>
      <w:r>
        <w:rPr>
          <w:rFonts w:hint="eastAsia" w:ascii="宋体" w:hAnsi="宋体" w:cs="宋体"/>
          <w:color w:val="auto"/>
          <w:sz w:val="24"/>
          <w:szCs w:val="24"/>
        </w:rPr>
        <w:t>，</w:t>
      </w:r>
      <w:r>
        <w:rPr>
          <w:rFonts w:ascii="宋体" w:hAnsi="宋体" w:cs="宋体"/>
          <w:color w:val="auto"/>
          <w:sz w:val="24"/>
          <w:szCs w:val="24"/>
        </w:rPr>
        <w:t>本次担保预计是考虑子公司日常经营需求，符合相关法律法规及公司章程的规定，担保风险总体可控，有利于公司的生产经营和长远发展，董事会同意上述担保</w:t>
      </w:r>
      <w:r>
        <w:rPr>
          <w:rFonts w:hint="eastAsia" w:ascii="宋体" w:hAnsi="宋体" w:cs="宋体"/>
          <w:color w:val="auto"/>
          <w:sz w:val="24"/>
          <w:szCs w:val="24"/>
        </w:rPr>
        <w:t>事宜并同意提交公司股东会进行审议</w:t>
      </w:r>
      <w:r>
        <w:rPr>
          <w:rFonts w:ascii="宋体" w:hAnsi="宋体" w:cs="宋体"/>
          <w:color w:val="auto"/>
          <w:sz w:val="24"/>
          <w:szCs w:val="24"/>
        </w:rPr>
        <w:t>。</w:t>
      </w:r>
    </w:p>
    <w:p w14:paraId="7B46C9CA">
      <w:pPr>
        <w:pStyle w:val="16"/>
        <w:widowControl/>
        <w:numPr>
          <w:ilvl w:val="0"/>
          <w:numId w:val="5"/>
        </w:numPr>
        <w:rPr>
          <w:rFonts w:ascii="宋体" w:hAnsi="宋体" w:cs="宋体"/>
          <w:b/>
          <w:color w:val="auto"/>
          <w:kern w:val="2"/>
          <w:szCs w:val="24"/>
        </w:rPr>
      </w:pPr>
      <w:r>
        <w:rPr>
          <w:rFonts w:hint="eastAsia" w:ascii="宋体" w:hAnsi="宋体" w:cs="宋体"/>
          <w:b/>
          <w:color w:val="auto"/>
          <w:kern w:val="2"/>
          <w:szCs w:val="24"/>
        </w:rPr>
        <w:t>累计对外担保数量及逾期担保的数量</w:t>
      </w:r>
    </w:p>
    <w:p w14:paraId="2A322D00">
      <w:pPr>
        <w:autoSpaceDE w:val="0"/>
        <w:autoSpaceDN w:val="0"/>
        <w:adjustRightInd w:val="0"/>
        <w:spacing w:line="560" w:lineRule="exact"/>
        <w:ind w:firstLine="460" w:firstLineChars="192"/>
        <w:rPr>
          <w:rFonts w:ascii="宋体" w:hAnsi="宋体" w:cs="宋体"/>
          <w:color w:val="auto"/>
          <w:sz w:val="24"/>
          <w:szCs w:val="24"/>
        </w:rPr>
      </w:pPr>
      <w:r>
        <w:rPr>
          <w:rFonts w:hint="eastAsia" w:ascii="宋体" w:hAnsi="宋体" w:cs="宋体"/>
          <w:color w:val="auto"/>
          <w:sz w:val="24"/>
          <w:szCs w:val="24"/>
        </w:rPr>
        <w:t>截至2024年10月31日，公司及控股子公司对外担保总额为30,000万元，余额为19,073.73万元（不含本次），系公司为子公司黔南望江和云变电气提供的担保，余额占公司最近一期经审计归属于上市公司股东的净资产的7.98%，不存在逾期担保。</w:t>
      </w:r>
    </w:p>
    <w:p w14:paraId="03321A94">
      <w:pPr>
        <w:pStyle w:val="16"/>
        <w:widowControl/>
        <w:numPr>
          <w:ilvl w:val="-1"/>
          <w:numId w:val="0"/>
        </w:numPr>
        <w:rPr>
          <w:rFonts w:ascii="宋体" w:hAnsi="宋体" w:cs="宋体"/>
          <w:b/>
          <w:color w:val="auto"/>
          <w:kern w:val="2"/>
          <w:szCs w:val="24"/>
          <w:lang w:val="zh-TW" w:eastAsia="zh-TW"/>
        </w:rPr>
      </w:pPr>
    </w:p>
    <w:p w14:paraId="3ED6D8C8">
      <w:pPr>
        <w:autoSpaceDE w:val="0"/>
        <w:autoSpaceDN w:val="0"/>
        <w:adjustRightInd w:val="0"/>
        <w:spacing w:line="560" w:lineRule="exact"/>
        <w:ind w:firstLine="460" w:firstLineChars="192"/>
        <w:rPr>
          <w:rFonts w:ascii="宋体" w:hAnsi="宋体" w:cs="宋体"/>
          <w:b/>
          <w:color w:val="auto"/>
          <w:sz w:val="24"/>
          <w:szCs w:val="24"/>
        </w:rPr>
      </w:pPr>
      <w:r>
        <w:rPr>
          <w:rFonts w:hint="eastAsia" w:ascii="宋体" w:hAnsi="宋体" w:cs="宋体"/>
          <w:color w:val="auto"/>
          <w:kern w:val="0"/>
          <w:sz w:val="24"/>
          <w:szCs w:val="24"/>
        </w:rPr>
        <w:t>特此公告。</w:t>
      </w:r>
    </w:p>
    <w:p w14:paraId="49FF2F2F">
      <w:pPr>
        <w:autoSpaceDE w:val="0"/>
        <w:autoSpaceDN w:val="0"/>
        <w:adjustRightInd w:val="0"/>
        <w:spacing w:line="560" w:lineRule="exact"/>
        <w:jc w:val="left"/>
        <w:rPr>
          <w:rFonts w:ascii="宋体" w:hAnsi="宋体" w:cs="宋体"/>
          <w:color w:val="auto"/>
          <w:kern w:val="0"/>
          <w:sz w:val="24"/>
          <w:szCs w:val="24"/>
        </w:rPr>
      </w:pPr>
    </w:p>
    <w:p w14:paraId="4A3E5C17">
      <w:pPr>
        <w:adjustRightInd w:val="0"/>
        <w:snapToGrid w:val="0"/>
        <w:spacing w:line="560" w:lineRule="exact"/>
        <w:ind w:firstLine="480" w:firstLineChars="200"/>
        <w:jc w:val="right"/>
        <w:rPr>
          <w:rFonts w:ascii="宋体" w:hAnsi="宋体"/>
          <w:color w:val="auto"/>
          <w:sz w:val="24"/>
          <w:szCs w:val="24"/>
        </w:rPr>
      </w:pPr>
      <w:r>
        <w:rPr>
          <w:rFonts w:hint="eastAsia" w:ascii="宋体" w:hAnsi="宋体" w:cs="宋体"/>
          <w:color w:val="auto"/>
          <w:kern w:val="0"/>
          <w:sz w:val="24"/>
          <w:szCs w:val="24"/>
        </w:rPr>
        <w:t>重庆望变电气（集团）</w:t>
      </w:r>
      <w:r>
        <w:rPr>
          <w:rFonts w:hint="eastAsia" w:ascii="宋体" w:hAnsi="宋体" w:cs="仿宋_GB2312"/>
          <w:color w:val="auto"/>
          <w:sz w:val="24"/>
          <w:szCs w:val="24"/>
        </w:rPr>
        <w:t>股</w:t>
      </w:r>
      <w:r>
        <w:rPr>
          <w:rFonts w:hint="eastAsia" w:ascii="宋体" w:hAnsi="宋体"/>
          <w:color w:val="auto"/>
          <w:sz w:val="24"/>
          <w:szCs w:val="24"/>
        </w:rPr>
        <w:t>份有限公司董事会</w:t>
      </w:r>
    </w:p>
    <w:p w14:paraId="45FE9C53">
      <w:pPr>
        <w:autoSpaceDE/>
        <w:autoSpaceDN/>
        <w:adjustRightInd w:val="0"/>
        <w:snapToGrid w:val="0"/>
        <w:spacing w:line="560" w:lineRule="exact"/>
        <w:ind w:firstLine="480" w:firstLineChars="200"/>
        <w:jc w:val="right"/>
        <w:rPr>
          <w:rFonts w:ascii="宋体" w:hAnsi="宋体" w:cs="宋体"/>
          <w:color w:val="auto"/>
          <w:sz w:val="24"/>
          <w:szCs w:val="24"/>
        </w:rPr>
      </w:pPr>
      <w:r>
        <w:rPr>
          <w:rFonts w:ascii="宋体" w:hAnsi="宋体"/>
          <w:color w:val="auto"/>
          <w:sz w:val="24"/>
          <w:szCs w:val="24"/>
        </w:rPr>
        <w:t>202</w:t>
      </w:r>
      <w:r>
        <w:rPr>
          <w:rFonts w:hint="eastAsia" w:ascii="宋体" w:hAnsi="宋体"/>
          <w:color w:val="auto"/>
          <w:sz w:val="24"/>
          <w:szCs w:val="24"/>
        </w:rPr>
        <w:t>4年1</w:t>
      </w:r>
      <w:r>
        <w:rPr>
          <w:rFonts w:hint="eastAsia" w:ascii="宋体" w:hAnsi="宋体"/>
          <w:color w:val="auto"/>
          <w:sz w:val="24"/>
          <w:szCs w:val="24"/>
          <w:lang w:val="en-US" w:eastAsia="zh-CN"/>
        </w:rPr>
        <w:t>1</w:t>
      </w:r>
      <w:r>
        <w:rPr>
          <w:rFonts w:hint="eastAsia" w:ascii="宋体" w:hAnsi="宋体"/>
          <w:color w:val="auto"/>
          <w:sz w:val="24"/>
          <w:szCs w:val="24"/>
        </w:rPr>
        <w:t>月2</w:t>
      </w:r>
      <w:r>
        <w:rPr>
          <w:rFonts w:hint="eastAsia" w:ascii="宋体" w:hAnsi="宋体"/>
          <w:color w:val="auto"/>
          <w:sz w:val="24"/>
          <w:szCs w:val="24"/>
          <w:lang w:val="en-US" w:eastAsia="zh-CN"/>
        </w:rPr>
        <w:t>8</w:t>
      </w:r>
      <w:r>
        <w:rPr>
          <w:rFonts w:hint="eastAsia" w:ascii="宋体" w:hAnsi="宋体"/>
          <w:color w:val="auto"/>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6EF9853B">
        <w:pPr>
          <w:pStyle w:val="9"/>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2E0ED"/>
    <w:multiLevelType w:val="singleLevel"/>
    <w:tmpl w:val="B8C2E0ED"/>
    <w:lvl w:ilvl="0" w:tentative="0">
      <w:start w:val="2"/>
      <w:numFmt w:val="chineseCounting"/>
      <w:suff w:val="nothing"/>
      <w:lvlText w:val="（%1）"/>
      <w:lvlJc w:val="left"/>
      <w:rPr>
        <w:rFonts w:hint="eastAsia"/>
      </w:rPr>
    </w:lvl>
  </w:abstractNum>
  <w:abstractNum w:abstractNumId="1">
    <w:nsid w:val="B8F92DDF"/>
    <w:multiLevelType w:val="singleLevel"/>
    <w:tmpl w:val="B8F92DDF"/>
    <w:lvl w:ilvl="0" w:tentative="0">
      <w:start w:val="6"/>
      <w:numFmt w:val="chineseCounting"/>
      <w:suff w:val="nothing"/>
      <w:lvlText w:val="%1、"/>
      <w:lvlJc w:val="left"/>
      <w:rPr>
        <w:rFonts w:hint="eastAsia"/>
      </w:rPr>
    </w:lvl>
  </w:abstractNum>
  <w:abstractNum w:abstractNumId="2">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3">
    <w:nsid w:val="0ADE8AB6"/>
    <w:multiLevelType w:val="singleLevel"/>
    <w:tmpl w:val="0ADE8AB6"/>
    <w:lvl w:ilvl="0" w:tentative="0">
      <w:start w:val="2"/>
      <w:numFmt w:val="decimal"/>
      <w:suff w:val="nothing"/>
      <w:lvlText w:val="%1、"/>
      <w:lvlJc w:val="left"/>
      <w:pPr>
        <w:ind w:left="360" w:firstLine="0"/>
      </w:pPr>
    </w:lvl>
  </w:abstractNum>
  <w:abstractNum w:abstractNumId="4">
    <w:nsid w:val="22712713"/>
    <w:multiLevelType w:val="singleLevel"/>
    <w:tmpl w:val="22712713"/>
    <w:lvl w:ilvl="0" w:tentative="0">
      <w:start w:val="1"/>
      <w:numFmt w:val="bullet"/>
      <w:pStyle w:val="25"/>
      <w:lvlText w:val=""/>
      <w:lvlJc w:val="left"/>
      <w:pPr>
        <w:ind w:left="420" w:hanging="420"/>
      </w:pPr>
      <w:rPr>
        <w:rFonts w:hint="default" w:ascii="Wingdings" w:hAnsi="Wingding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YzODhjYTIzN2VlNWE1ZmU0YTU0NTgxMDI4MDMifQ=="/>
  </w:docVars>
  <w:rsids>
    <w:rsidRoot w:val="00BF2ECD"/>
    <w:rsid w:val="00000558"/>
    <w:rsid w:val="00000BC9"/>
    <w:rsid w:val="00037429"/>
    <w:rsid w:val="00044B7A"/>
    <w:rsid w:val="000507FA"/>
    <w:rsid w:val="00050D8C"/>
    <w:rsid w:val="00051D15"/>
    <w:rsid w:val="00054EEE"/>
    <w:rsid w:val="00060DFA"/>
    <w:rsid w:val="00064333"/>
    <w:rsid w:val="000671F4"/>
    <w:rsid w:val="0007156E"/>
    <w:rsid w:val="000764C3"/>
    <w:rsid w:val="00082408"/>
    <w:rsid w:val="00087F94"/>
    <w:rsid w:val="00095674"/>
    <w:rsid w:val="000A490B"/>
    <w:rsid w:val="000B677B"/>
    <w:rsid w:val="00124FA5"/>
    <w:rsid w:val="00125C8C"/>
    <w:rsid w:val="00126188"/>
    <w:rsid w:val="001335CF"/>
    <w:rsid w:val="001368F4"/>
    <w:rsid w:val="001619B6"/>
    <w:rsid w:val="00161C50"/>
    <w:rsid w:val="001631B1"/>
    <w:rsid w:val="00177222"/>
    <w:rsid w:val="001903B0"/>
    <w:rsid w:val="001B5730"/>
    <w:rsid w:val="001C165F"/>
    <w:rsid w:val="001C235A"/>
    <w:rsid w:val="001D0405"/>
    <w:rsid w:val="001E4E44"/>
    <w:rsid w:val="001E7562"/>
    <w:rsid w:val="001F0293"/>
    <w:rsid w:val="001F3BAD"/>
    <w:rsid w:val="002032FC"/>
    <w:rsid w:val="002051AC"/>
    <w:rsid w:val="00207506"/>
    <w:rsid w:val="002114BE"/>
    <w:rsid w:val="00224E96"/>
    <w:rsid w:val="00246976"/>
    <w:rsid w:val="00266A7C"/>
    <w:rsid w:val="00272D61"/>
    <w:rsid w:val="002878A7"/>
    <w:rsid w:val="00294DFB"/>
    <w:rsid w:val="002B1A65"/>
    <w:rsid w:val="002B291C"/>
    <w:rsid w:val="002C32E2"/>
    <w:rsid w:val="002C3AF3"/>
    <w:rsid w:val="002C5387"/>
    <w:rsid w:val="002D6A43"/>
    <w:rsid w:val="002E2215"/>
    <w:rsid w:val="002F1340"/>
    <w:rsid w:val="002F33C4"/>
    <w:rsid w:val="002F6DC2"/>
    <w:rsid w:val="002F6FD5"/>
    <w:rsid w:val="0030115C"/>
    <w:rsid w:val="003051B5"/>
    <w:rsid w:val="00313A26"/>
    <w:rsid w:val="00335DCA"/>
    <w:rsid w:val="00342251"/>
    <w:rsid w:val="00343F60"/>
    <w:rsid w:val="00352F3F"/>
    <w:rsid w:val="003A3C4B"/>
    <w:rsid w:val="003A4934"/>
    <w:rsid w:val="003A6877"/>
    <w:rsid w:val="003B5E5C"/>
    <w:rsid w:val="003C13ED"/>
    <w:rsid w:val="003D1D39"/>
    <w:rsid w:val="003D4987"/>
    <w:rsid w:val="003D500E"/>
    <w:rsid w:val="003E399E"/>
    <w:rsid w:val="003F26EB"/>
    <w:rsid w:val="00412966"/>
    <w:rsid w:val="004166FA"/>
    <w:rsid w:val="00421FBB"/>
    <w:rsid w:val="00432414"/>
    <w:rsid w:val="004417CE"/>
    <w:rsid w:val="004617FD"/>
    <w:rsid w:val="00481530"/>
    <w:rsid w:val="004A27BC"/>
    <w:rsid w:val="004B6940"/>
    <w:rsid w:val="004C3D35"/>
    <w:rsid w:val="004E11B1"/>
    <w:rsid w:val="004F4D81"/>
    <w:rsid w:val="004F792E"/>
    <w:rsid w:val="00501890"/>
    <w:rsid w:val="0050197F"/>
    <w:rsid w:val="00507042"/>
    <w:rsid w:val="0052284A"/>
    <w:rsid w:val="0052751C"/>
    <w:rsid w:val="00563DEF"/>
    <w:rsid w:val="00593D94"/>
    <w:rsid w:val="005950D7"/>
    <w:rsid w:val="005A5697"/>
    <w:rsid w:val="005B06D0"/>
    <w:rsid w:val="005B1790"/>
    <w:rsid w:val="005B1CE9"/>
    <w:rsid w:val="005E015E"/>
    <w:rsid w:val="005E0D94"/>
    <w:rsid w:val="006004F3"/>
    <w:rsid w:val="0061300F"/>
    <w:rsid w:val="0061302E"/>
    <w:rsid w:val="00616B8A"/>
    <w:rsid w:val="00621D2E"/>
    <w:rsid w:val="00623320"/>
    <w:rsid w:val="006233E1"/>
    <w:rsid w:val="00631267"/>
    <w:rsid w:val="006414A6"/>
    <w:rsid w:val="00656B76"/>
    <w:rsid w:val="0065737B"/>
    <w:rsid w:val="006754DD"/>
    <w:rsid w:val="00692CB8"/>
    <w:rsid w:val="006B13DA"/>
    <w:rsid w:val="006B2315"/>
    <w:rsid w:val="006B45CE"/>
    <w:rsid w:val="006B6910"/>
    <w:rsid w:val="006C6811"/>
    <w:rsid w:val="006D1676"/>
    <w:rsid w:val="006D6459"/>
    <w:rsid w:val="007041A1"/>
    <w:rsid w:val="00713C80"/>
    <w:rsid w:val="00732D11"/>
    <w:rsid w:val="0073774F"/>
    <w:rsid w:val="00745B5F"/>
    <w:rsid w:val="0076073C"/>
    <w:rsid w:val="00776B0C"/>
    <w:rsid w:val="007946B0"/>
    <w:rsid w:val="007A42EC"/>
    <w:rsid w:val="007A54FF"/>
    <w:rsid w:val="007B4990"/>
    <w:rsid w:val="007C343C"/>
    <w:rsid w:val="007C655F"/>
    <w:rsid w:val="007D539C"/>
    <w:rsid w:val="00816C8F"/>
    <w:rsid w:val="00826B51"/>
    <w:rsid w:val="0083455D"/>
    <w:rsid w:val="008625FB"/>
    <w:rsid w:val="00866013"/>
    <w:rsid w:val="00885E01"/>
    <w:rsid w:val="00891EE8"/>
    <w:rsid w:val="008A76CD"/>
    <w:rsid w:val="008B360D"/>
    <w:rsid w:val="008B4652"/>
    <w:rsid w:val="008C75E8"/>
    <w:rsid w:val="008D10ED"/>
    <w:rsid w:val="008D7908"/>
    <w:rsid w:val="008D7D16"/>
    <w:rsid w:val="008E2FF0"/>
    <w:rsid w:val="00912197"/>
    <w:rsid w:val="00913A1A"/>
    <w:rsid w:val="009238FB"/>
    <w:rsid w:val="009477DC"/>
    <w:rsid w:val="009536D8"/>
    <w:rsid w:val="00955454"/>
    <w:rsid w:val="00955DC4"/>
    <w:rsid w:val="00960BDB"/>
    <w:rsid w:val="00962784"/>
    <w:rsid w:val="0096329B"/>
    <w:rsid w:val="0097194D"/>
    <w:rsid w:val="009752E9"/>
    <w:rsid w:val="00977420"/>
    <w:rsid w:val="0099027E"/>
    <w:rsid w:val="00992A41"/>
    <w:rsid w:val="009A242D"/>
    <w:rsid w:val="009A3EBC"/>
    <w:rsid w:val="009C3379"/>
    <w:rsid w:val="00A06636"/>
    <w:rsid w:val="00A20224"/>
    <w:rsid w:val="00A317FA"/>
    <w:rsid w:val="00A369A9"/>
    <w:rsid w:val="00A4773A"/>
    <w:rsid w:val="00A50776"/>
    <w:rsid w:val="00A56BD4"/>
    <w:rsid w:val="00A80442"/>
    <w:rsid w:val="00A87F63"/>
    <w:rsid w:val="00A9108C"/>
    <w:rsid w:val="00AA1DF6"/>
    <w:rsid w:val="00AA36C5"/>
    <w:rsid w:val="00AC6182"/>
    <w:rsid w:val="00AD2992"/>
    <w:rsid w:val="00AD7080"/>
    <w:rsid w:val="00AF4CB2"/>
    <w:rsid w:val="00B10348"/>
    <w:rsid w:val="00B10A2A"/>
    <w:rsid w:val="00B12308"/>
    <w:rsid w:val="00B13505"/>
    <w:rsid w:val="00B152B7"/>
    <w:rsid w:val="00B253D1"/>
    <w:rsid w:val="00B25554"/>
    <w:rsid w:val="00B3338B"/>
    <w:rsid w:val="00B35C9C"/>
    <w:rsid w:val="00B575AF"/>
    <w:rsid w:val="00B65460"/>
    <w:rsid w:val="00B656C4"/>
    <w:rsid w:val="00B66D7C"/>
    <w:rsid w:val="00B90010"/>
    <w:rsid w:val="00B96BB6"/>
    <w:rsid w:val="00BC4BBB"/>
    <w:rsid w:val="00BD7901"/>
    <w:rsid w:val="00BE0431"/>
    <w:rsid w:val="00BE7AC6"/>
    <w:rsid w:val="00BF2ECD"/>
    <w:rsid w:val="00BF54FF"/>
    <w:rsid w:val="00C061F6"/>
    <w:rsid w:val="00C11DBC"/>
    <w:rsid w:val="00C21159"/>
    <w:rsid w:val="00C2610B"/>
    <w:rsid w:val="00C321FA"/>
    <w:rsid w:val="00C335E9"/>
    <w:rsid w:val="00C37A23"/>
    <w:rsid w:val="00C5077D"/>
    <w:rsid w:val="00C515E8"/>
    <w:rsid w:val="00C55AA9"/>
    <w:rsid w:val="00C578DC"/>
    <w:rsid w:val="00C57B6A"/>
    <w:rsid w:val="00C64E83"/>
    <w:rsid w:val="00C800AF"/>
    <w:rsid w:val="00CA5962"/>
    <w:rsid w:val="00CA5E22"/>
    <w:rsid w:val="00CC2A94"/>
    <w:rsid w:val="00CC6A06"/>
    <w:rsid w:val="00CD0630"/>
    <w:rsid w:val="00CE38B0"/>
    <w:rsid w:val="00D0021B"/>
    <w:rsid w:val="00D060E9"/>
    <w:rsid w:val="00D061EC"/>
    <w:rsid w:val="00D12713"/>
    <w:rsid w:val="00D14999"/>
    <w:rsid w:val="00D20476"/>
    <w:rsid w:val="00D348AE"/>
    <w:rsid w:val="00D36CEC"/>
    <w:rsid w:val="00D37022"/>
    <w:rsid w:val="00D40D5F"/>
    <w:rsid w:val="00D51495"/>
    <w:rsid w:val="00D6642E"/>
    <w:rsid w:val="00DA6BAB"/>
    <w:rsid w:val="00DB4349"/>
    <w:rsid w:val="00DD1465"/>
    <w:rsid w:val="00DD3A5B"/>
    <w:rsid w:val="00DD5D73"/>
    <w:rsid w:val="00DE0D68"/>
    <w:rsid w:val="00DE24A1"/>
    <w:rsid w:val="00DE2FB4"/>
    <w:rsid w:val="00E1723F"/>
    <w:rsid w:val="00E2700A"/>
    <w:rsid w:val="00E313D8"/>
    <w:rsid w:val="00E35CC1"/>
    <w:rsid w:val="00E360F6"/>
    <w:rsid w:val="00E50EF5"/>
    <w:rsid w:val="00E54250"/>
    <w:rsid w:val="00E62DAF"/>
    <w:rsid w:val="00E92E43"/>
    <w:rsid w:val="00E97E71"/>
    <w:rsid w:val="00EA34E8"/>
    <w:rsid w:val="00EC5C5A"/>
    <w:rsid w:val="00ED0055"/>
    <w:rsid w:val="00EF138E"/>
    <w:rsid w:val="00EF74FD"/>
    <w:rsid w:val="00F16E07"/>
    <w:rsid w:val="00F2365C"/>
    <w:rsid w:val="00F60665"/>
    <w:rsid w:val="00F65A6F"/>
    <w:rsid w:val="00F77490"/>
    <w:rsid w:val="00F84CFA"/>
    <w:rsid w:val="00F967B2"/>
    <w:rsid w:val="00FA1CAB"/>
    <w:rsid w:val="00FD1980"/>
    <w:rsid w:val="00FE0712"/>
    <w:rsid w:val="02066364"/>
    <w:rsid w:val="02815CE9"/>
    <w:rsid w:val="03134C0F"/>
    <w:rsid w:val="032D4E3E"/>
    <w:rsid w:val="06643DC2"/>
    <w:rsid w:val="073B5BC9"/>
    <w:rsid w:val="07BE292C"/>
    <w:rsid w:val="07C65CA5"/>
    <w:rsid w:val="08514037"/>
    <w:rsid w:val="096251C7"/>
    <w:rsid w:val="0D955F12"/>
    <w:rsid w:val="0F0C6523"/>
    <w:rsid w:val="10BB6389"/>
    <w:rsid w:val="11F04FB0"/>
    <w:rsid w:val="11FD41AB"/>
    <w:rsid w:val="174148EA"/>
    <w:rsid w:val="1E79312C"/>
    <w:rsid w:val="20AB2712"/>
    <w:rsid w:val="213B1B76"/>
    <w:rsid w:val="230A0721"/>
    <w:rsid w:val="24100647"/>
    <w:rsid w:val="24BC60E2"/>
    <w:rsid w:val="251B37E1"/>
    <w:rsid w:val="26401ABD"/>
    <w:rsid w:val="2AAC23F9"/>
    <w:rsid w:val="2C422599"/>
    <w:rsid w:val="2FB04883"/>
    <w:rsid w:val="30FC41DF"/>
    <w:rsid w:val="36372CA9"/>
    <w:rsid w:val="381C2D1C"/>
    <w:rsid w:val="39E2569B"/>
    <w:rsid w:val="3A8D0F72"/>
    <w:rsid w:val="3A960DE3"/>
    <w:rsid w:val="3ADF8039"/>
    <w:rsid w:val="3C6F4907"/>
    <w:rsid w:val="3CF573AA"/>
    <w:rsid w:val="3D624079"/>
    <w:rsid w:val="3DFF1026"/>
    <w:rsid w:val="3FFBD36B"/>
    <w:rsid w:val="42275509"/>
    <w:rsid w:val="4611554A"/>
    <w:rsid w:val="499F1D78"/>
    <w:rsid w:val="4A983129"/>
    <w:rsid w:val="4D556624"/>
    <w:rsid w:val="524C7FC2"/>
    <w:rsid w:val="52E00474"/>
    <w:rsid w:val="53202F13"/>
    <w:rsid w:val="565D3A9C"/>
    <w:rsid w:val="577DB925"/>
    <w:rsid w:val="57C86637"/>
    <w:rsid w:val="59531228"/>
    <w:rsid w:val="5BA66D99"/>
    <w:rsid w:val="5C6B3487"/>
    <w:rsid w:val="5C7436E9"/>
    <w:rsid w:val="5C8255FD"/>
    <w:rsid w:val="5CEE2784"/>
    <w:rsid w:val="5D0E2A44"/>
    <w:rsid w:val="5DB669CE"/>
    <w:rsid w:val="5FE3F82D"/>
    <w:rsid w:val="611F29C3"/>
    <w:rsid w:val="61316624"/>
    <w:rsid w:val="61AD670E"/>
    <w:rsid w:val="620A112B"/>
    <w:rsid w:val="66F9576C"/>
    <w:rsid w:val="67DC6589"/>
    <w:rsid w:val="69D24BFB"/>
    <w:rsid w:val="6A982891"/>
    <w:rsid w:val="6B352872"/>
    <w:rsid w:val="6BE74894"/>
    <w:rsid w:val="6EEE5B5B"/>
    <w:rsid w:val="6F6946EC"/>
    <w:rsid w:val="6F8D7841"/>
    <w:rsid w:val="757F06CF"/>
    <w:rsid w:val="75B740CF"/>
    <w:rsid w:val="78852C26"/>
    <w:rsid w:val="794B6266"/>
    <w:rsid w:val="7CD367EE"/>
    <w:rsid w:val="7E0457F8"/>
    <w:rsid w:val="7EFD57C1"/>
    <w:rsid w:val="7FB341D1"/>
    <w:rsid w:val="7FE01AFA"/>
    <w:rsid w:val="9FBE9639"/>
    <w:rsid w:val="A66F6701"/>
    <w:rsid w:val="ABAB6B84"/>
    <w:rsid w:val="D3DF2B1A"/>
    <w:rsid w:val="EF3BAB14"/>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unhideWhenUsed/>
    <w:qFormat/>
    <w:uiPriority w:val="39"/>
    <w:pPr>
      <w:ind w:left="2520" w:leftChars="1200"/>
    </w:pPr>
  </w:style>
  <w:style w:type="paragraph" w:styleId="3">
    <w:name w:val="annotation text"/>
    <w:basedOn w:val="1"/>
    <w:link w:val="30"/>
    <w:autoRedefine/>
    <w:unhideWhenUsed/>
    <w:qFormat/>
    <w:uiPriority w:val="0"/>
    <w:pPr>
      <w:jc w:val="left"/>
    </w:pPr>
  </w:style>
  <w:style w:type="paragraph" w:styleId="4">
    <w:name w:val="Body Text"/>
    <w:basedOn w:val="1"/>
    <w:autoRedefine/>
    <w:semiHidden/>
    <w:qFormat/>
    <w:uiPriority w:val="0"/>
    <w:rPr>
      <w:rFonts w:ascii="宋体" w:hAnsi="宋体" w:cs="宋体"/>
      <w:sz w:val="35"/>
      <w:szCs w:val="35"/>
      <w:lang w:eastAsia="en-US"/>
    </w:rPr>
  </w:style>
  <w:style w:type="paragraph" w:styleId="5">
    <w:name w:val="toc 5"/>
    <w:basedOn w:val="1"/>
    <w:next w:val="1"/>
    <w:autoRedefine/>
    <w:semiHidden/>
    <w:unhideWhenUsed/>
    <w:qFormat/>
    <w:uiPriority w:val="39"/>
    <w:pPr>
      <w:ind w:left="1680" w:leftChars="800"/>
    </w:pPr>
  </w:style>
  <w:style w:type="paragraph" w:styleId="6">
    <w:name w:val="toc 3"/>
    <w:basedOn w:val="1"/>
    <w:next w:val="1"/>
    <w:autoRedefine/>
    <w:semiHidden/>
    <w:unhideWhenUsed/>
    <w:qFormat/>
    <w:uiPriority w:val="39"/>
    <w:pPr>
      <w:ind w:left="840" w:leftChars="400"/>
    </w:pPr>
  </w:style>
  <w:style w:type="paragraph" w:styleId="7">
    <w:name w:val="toc 8"/>
    <w:basedOn w:val="1"/>
    <w:next w:val="1"/>
    <w:autoRedefine/>
    <w:semiHidden/>
    <w:unhideWhenUsed/>
    <w:qFormat/>
    <w:uiPriority w:val="39"/>
    <w:pPr>
      <w:ind w:left="2940" w:leftChars="1400"/>
    </w:pPr>
  </w:style>
  <w:style w:type="paragraph" w:styleId="8">
    <w:name w:val="Balloon Text"/>
    <w:basedOn w:val="1"/>
    <w:link w:val="27"/>
    <w:autoRedefine/>
    <w:unhideWhenUsed/>
    <w:qFormat/>
    <w:uiPriority w:val="99"/>
    <w:rPr>
      <w:sz w:val="18"/>
      <w:szCs w:val="18"/>
    </w:rPr>
  </w:style>
  <w:style w:type="paragraph" w:styleId="9">
    <w:name w:val="footer"/>
    <w:basedOn w:val="1"/>
    <w:link w:val="24"/>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nhideWhenUsed/>
    <w:qFormat/>
    <w:uiPriority w:val="39"/>
  </w:style>
  <w:style w:type="paragraph" w:styleId="12">
    <w:name w:val="toc 4"/>
    <w:basedOn w:val="1"/>
    <w:next w:val="1"/>
    <w:autoRedefine/>
    <w:semiHidden/>
    <w:unhideWhenUsed/>
    <w:qFormat/>
    <w:uiPriority w:val="39"/>
    <w:pPr>
      <w:ind w:left="1260" w:leftChars="600"/>
    </w:pPr>
  </w:style>
  <w:style w:type="paragraph" w:styleId="13">
    <w:name w:val="toc 6"/>
    <w:basedOn w:val="1"/>
    <w:next w:val="1"/>
    <w:autoRedefine/>
    <w:semiHidden/>
    <w:unhideWhenUsed/>
    <w:qFormat/>
    <w:uiPriority w:val="39"/>
    <w:pPr>
      <w:ind w:left="2100" w:leftChars="1000"/>
    </w:pPr>
  </w:style>
  <w:style w:type="paragraph" w:styleId="14">
    <w:name w:val="toc 2"/>
    <w:basedOn w:val="1"/>
    <w:next w:val="1"/>
    <w:autoRedefine/>
    <w:semiHidden/>
    <w:unhideWhenUsed/>
    <w:qFormat/>
    <w:uiPriority w:val="39"/>
    <w:pPr>
      <w:ind w:left="420" w:leftChars="200"/>
    </w:pPr>
  </w:style>
  <w:style w:type="paragraph" w:styleId="15">
    <w:name w:val="toc 9"/>
    <w:basedOn w:val="1"/>
    <w:next w:val="1"/>
    <w:autoRedefine/>
    <w:semiHidden/>
    <w:unhideWhenUsed/>
    <w:qFormat/>
    <w:uiPriority w:val="39"/>
    <w:pPr>
      <w:ind w:left="3360" w:leftChars="1600"/>
    </w:pPr>
  </w:style>
  <w:style w:type="paragraph" w:styleId="16">
    <w:name w:val="Normal (Web)"/>
    <w:basedOn w:val="1"/>
    <w:autoRedefine/>
    <w:semiHidden/>
    <w:unhideWhenUsed/>
    <w:qFormat/>
    <w:uiPriority w:val="99"/>
    <w:pPr>
      <w:spacing w:beforeAutospacing="1" w:afterAutospacing="1"/>
      <w:jc w:val="left"/>
    </w:pPr>
    <w:rPr>
      <w:kern w:val="0"/>
      <w:sz w:val="24"/>
    </w:rPr>
  </w:style>
  <w:style w:type="paragraph" w:styleId="17">
    <w:name w:val="annotation subject"/>
    <w:basedOn w:val="3"/>
    <w:next w:val="3"/>
    <w:link w:val="31"/>
    <w:autoRedefine/>
    <w:semiHidden/>
    <w:unhideWhenUsed/>
    <w:qFormat/>
    <w:uiPriority w:val="99"/>
    <w:rPr>
      <w:b/>
      <w:bCs/>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0"/>
    <w:rPr>
      <w:i/>
    </w:rPr>
  </w:style>
  <w:style w:type="character" w:styleId="22">
    <w:name w:val="annotation reference"/>
    <w:basedOn w:val="20"/>
    <w:autoRedefine/>
    <w:semiHidden/>
    <w:unhideWhenUsed/>
    <w:qFormat/>
    <w:uiPriority w:val="0"/>
    <w:rPr>
      <w:sz w:val="21"/>
      <w:szCs w:val="21"/>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页脚 字符"/>
    <w:basedOn w:val="20"/>
    <w:link w:val="9"/>
    <w:autoRedefine/>
    <w:qFormat/>
    <w:uiPriority w:val="99"/>
    <w:rPr>
      <w:rFonts w:ascii="Calibri" w:hAnsi="Calibri" w:eastAsia="宋体" w:cs="Times New Roman"/>
      <w:sz w:val="18"/>
      <w:szCs w:val="18"/>
    </w:rPr>
  </w:style>
  <w:style w:type="paragraph" w:customStyle="1" w:styleId="25">
    <w:name w:val="列出段落1"/>
    <w:basedOn w:val="1"/>
    <w:autoRedefine/>
    <w:qFormat/>
    <w:uiPriority w:val="34"/>
    <w:pPr>
      <w:numPr>
        <w:ilvl w:val="0"/>
        <w:numId w:val="1"/>
      </w:numPr>
      <w:adjustRightInd w:val="0"/>
      <w:snapToGrid w:val="0"/>
      <w:spacing w:line="560" w:lineRule="exact"/>
    </w:pPr>
  </w:style>
  <w:style w:type="character" w:customStyle="1" w:styleId="26">
    <w:name w:val="页眉 字符"/>
    <w:basedOn w:val="20"/>
    <w:link w:val="10"/>
    <w:autoRedefine/>
    <w:semiHidden/>
    <w:qFormat/>
    <w:uiPriority w:val="99"/>
    <w:rPr>
      <w:rFonts w:ascii="Calibri" w:hAnsi="Calibri" w:eastAsia="宋体" w:cs="Times New Roman"/>
      <w:sz w:val="18"/>
      <w:szCs w:val="18"/>
    </w:rPr>
  </w:style>
  <w:style w:type="character" w:customStyle="1" w:styleId="27">
    <w:name w:val="批注框文本 字符"/>
    <w:basedOn w:val="20"/>
    <w:link w:val="8"/>
    <w:autoRedefine/>
    <w:semiHidden/>
    <w:qFormat/>
    <w:uiPriority w:val="99"/>
    <w:rPr>
      <w:rFonts w:ascii="Calibri" w:hAnsi="Calibri" w:eastAsia="宋体" w:cs="Times New Roman"/>
      <w:sz w:val="18"/>
      <w:szCs w:val="18"/>
    </w:rPr>
  </w:style>
  <w:style w:type="paragraph" w:customStyle="1" w:styleId="28">
    <w:name w:val="修订1"/>
    <w:autoRedefine/>
    <w:hidden/>
    <w:semiHidden/>
    <w:qFormat/>
    <w:uiPriority w:val="99"/>
    <w:rPr>
      <w:rFonts w:ascii="Calibri" w:hAnsi="Calibri" w:eastAsia="宋体" w:cs="Times New Roman"/>
      <w:kern w:val="2"/>
      <w:sz w:val="21"/>
      <w:szCs w:val="22"/>
      <w:lang w:val="en-US" w:eastAsia="zh-CN" w:bidi="ar-SA"/>
    </w:rPr>
  </w:style>
  <w:style w:type="paragraph" w:styleId="29">
    <w:name w:val="List Paragraph"/>
    <w:basedOn w:val="1"/>
    <w:autoRedefine/>
    <w:qFormat/>
    <w:uiPriority w:val="99"/>
    <w:pPr>
      <w:ind w:firstLine="420" w:firstLineChars="200"/>
    </w:pPr>
  </w:style>
  <w:style w:type="character" w:customStyle="1" w:styleId="30">
    <w:name w:val="批注文字 字符"/>
    <w:basedOn w:val="20"/>
    <w:link w:val="3"/>
    <w:autoRedefine/>
    <w:qFormat/>
    <w:uiPriority w:val="0"/>
    <w:rPr>
      <w:rFonts w:ascii="Calibri" w:hAnsi="Calibri"/>
      <w:kern w:val="2"/>
      <w:sz w:val="21"/>
      <w:szCs w:val="22"/>
    </w:rPr>
  </w:style>
  <w:style w:type="character" w:customStyle="1" w:styleId="31">
    <w:name w:val="批注主题 字符"/>
    <w:basedOn w:val="30"/>
    <w:link w:val="17"/>
    <w:autoRedefine/>
    <w:qFormat/>
    <w:uiPriority w:val="0"/>
    <w:rPr>
      <w:rFonts w:ascii="Calibri" w:hAnsi="Calibri" w:eastAsia="宋体" w:cs="Times New Roman"/>
      <w:kern w:val="2"/>
      <w:sz w:val="21"/>
      <w:szCs w:val="22"/>
    </w:rPr>
  </w:style>
  <w:style w:type="paragraph" w:customStyle="1" w:styleId="32">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33">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34">
    <w:name w:val="Revision"/>
    <w:autoRedefine/>
    <w:hidden/>
    <w:unhideWhenUsed/>
    <w:qFormat/>
    <w:uiPriority w:val="99"/>
    <w:rPr>
      <w:rFonts w:ascii="Calibri" w:hAnsi="Calibri" w:eastAsia="宋体" w:cs="Times New Roman"/>
      <w:kern w:val="2"/>
      <w:sz w:val="21"/>
      <w:szCs w:val="22"/>
      <w:lang w:val="en-US" w:eastAsia="zh-CN" w:bidi="ar-SA"/>
    </w:rPr>
  </w:style>
  <w:style w:type="character" w:customStyle="1" w:styleId="35">
    <w:name w:val="font11"/>
    <w:basedOn w:val="20"/>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3138</Words>
  <Characters>3737</Characters>
  <Lines>24</Lines>
  <Paragraphs>6</Paragraphs>
  <TotalTime>3</TotalTime>
  <ScaleCrop>false</ScaleCrop>
  <LinksUpToDate>false</LinksUpToDate>
  <CharactersWithSpaces>3864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2022-04-26T04:27:00Z</dcterms:created>
  <dc:creator>tek</dc:creator>
  <cp:lastModifiedBy>雯亦</cp:lastModifiedBy>
  <dcterms:modified xsi:type="dcterms:W3CDTF">2024-11-27T09:52:20Z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C52C21D6F3C14CE685946F3D48D88D9A_13</vt:lpwstr>
  </property>
</Properties>
</file>