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66D6E">
      <w:pPr>
        <w:adjustRightInd w:val="0"/>
        <w:snapToGrid w:val="0"/>
        <w:spacing w:line="560" w:lineRule="exact"/>
        <w:jc w:val="left"/>
        <w:rPr>
          <w:rFonts w:hint="default" w:ascii="仿宋" w:hAnsi="仿宋" w:eastAsia="仿宋_GB2312"/>
          <w:sz w:val="30"/>
          <w:szCs w:val="30"/>
          <w:lang w:val="en-US" w:eastAsia="zh-CN"/>
        </w:rPr>
      </w:pPr>
      <w:r>
        <w:rPr>
          <w:rFonts w:hint="eastAsia" w:ascii="宋体" w:hAnsi="宋体"/>
          <w:b/>
          <w:sz w:val="24"/>
          <w:szCs w:val="24"/>
        </w:rPr>
        <w:t>证券代码：</w:t>
      </w:r>
      <w:r>
        <w:rPr>
          <w:rFonts w:ascii="宋体" w:hAnsi="宋体"/>
          <w:b/>
          <w:sz w:val="24"/>
          <w:szCs w:val="24"/>
        </w:rPr>
        <w:t xml:space="preserve">603191        </w:t>
      </w:r>
      <w:r>
        <w:rPr>
          <w:rFonts w:hint="eastAsia" w:ascii="宋体" w:hAnsi="宋体"/>
          <w:b/>
          <w:sz w:val="24"/>
          <w:szCs w:val="24"/>
        </w:rPr>
        <w:t xml:space="preserve">证券简称：望变电气 </w:t>
      </w:r>
      <w:r>
        <w:rPr>
          <w:rFonts w:ascii="宋体" w:hAnsi="宋体"/>
          <w:b/>
          <w:sz w:val="24"/>
          <w:szCs w:val="24"/>
        </w:rPr>
        <w:t xml:space="preserve">       </w:t>
      </w:r>
      <w:r>
        <w:rPr>
          <w:rFonts w:hint="eastAsia" w:ascii="宋体" w:hAnsi="宋体"/>
          <w:b/>
          <w:sz w:val="24"/>
          <w:szCs w:val="24"/>
        </w:rPr>
        <w:t>公告编号：2</w:t>
      </w:r>
      <w:r>
        <w:rPr>
          <w:rFonts w:ascii="宋体" w:hAnsi="宋体"/>
          <w:b/>
          <w:sz w:val="24"/>
          <w:szCs w:val="24"/>
        </w:rPr>
        <w:t>02</w:t>
      </w:r>
      <w:r>
        <w:rPr>
          <w:rFonts w:hint="eastAsia" w:ascii="宋体" w:hAnsi="宋体"/>
          <w:b/>
          <w:sz w:val="24"/>
          <w:szCs w:val="24"/>
        </w:rPr>
        <w:t>4</w:t>
      </w:r>
      <w:r>
        <w:rPr>
          <w:rFonts w:ascii="宋体" w:hAnsi="宋体"/>
          <w:b/>
          <w:sz w:val="24"/>
          <w:szCs w:val="24"/>
        </w:rPr>
        <w:t>-0</w:t>
      </w:r>
      <w:r>
        <w:rPr>
          <w:rFonts w:hint="eastAsia" w:ascii="宋体" w:hAnsi="宋体" w:eastAsia="仿宋_GB2312"/>
          <w:b/>
          <w:sz w:val="24"/>
          <w:szCs w:val="24"/>
          <w:lang w:val="en-US" w:eastAsia="zh-CN"/>
        </w:rPr>
        <w:t>67</w:t>
      </w:r>
    </w:p>
    <w:p w14:paraId="691F28EA">
      <w:pPr>
        <w:adjustRightInd w:val="0"/>
        <w:snapToGrid w:val="0"/>
        <w:spacing w:before="159" w:beforeLines="50" w:line="560" w:lineRule="exact"/>
        <w:jc w:val="center"/>
        <w:rPr>
          <w:rFonts w:hint="eastAsia" w:ascii="宋体" w:hAnsi="宋体" w:cs="仿宋_GB2312"/>
          <w:b/>
          <w:bCs/>
          <w:color w:val="FF0000"/>
          <w:sz w:val="36"/>
          <w:szCs w:val="36"/>
        </w:rPr>
      </w:pPr>
      <w:r>
        <w:rPr>
          <w:rFonts w:hint="eastAsia" w:ascii="宋体" w:hAnsi="宋体" w:cs="仿宋_GB2312"/>
          <w:b/>
          <w:bCs/>
          <w:color w:val="FF0000"/>
          <w:sz w:val="36"/>
          <w:szCs w:val="36"/>
        </w:rPr>
        <w:t>重庆望变电气（集团）股份有限公司</w:t>
      </w:r>
    </w:p>
    <w:p w14:paraId="21474323">
      <w:pPr>
        <w:adjustRightInd w:val="0"/>
        <w:snapToGrid w:val="0"/>
        <w:spacing w:before="159" w:beforeLines="50" w:line="560" w:lineRule="exact"/>
        <w:jc w:val="center"/>
        <w:rPr>
          <w:rFonts w:hint="eastAsia" w:ascii="宋体" w:hAnsi="宋体" w:cs="仿宋_GB2312"/>
          <w:b/>
          <w:bCs/>
          <w:color w:val="FF0000"/>
          <w:sz w:val="36"/>
          <w:szCs w:val="36"/>
        </w:rPr>
      </w:pPr>
      <w:r>
        <w:rPr>
          <w:rFonts w:hint="eastAsia" w:ascii="宋体" w:hAnsi="宋体" w:cs="仿宋_GB2312"/>
          <w:b/>
          <w:bCs/>
          <w:color w:val="FF0000"/>
          <w:sz w:val="36"/>
          <w:szCs w:val="36"/>
        </w:rPr>
        <w:t>关于2024年</w:t>
      </w:r>
      <w:r>
        <w:rPr>
          <w:rFonts w:hint="eastAsia" w:ascii="宋体" w:hAnsi="宋体" w:cs="仿宋_GB2312"/>
          <w:b/>
          <w:bCs/>
          <w:color w:val="FF0000"/>
          <w:sz w:val="36"/>
          <w:szCs w:val="36"/>
          <w:lang w:val="en-US" w:eastAsia="zh-CN"/>
        </w:rPr>
        <w:t>10</w:t>
      </w:r>
      <w:r>
        <w:rPr>
          <w:rFonts w:hint="eastAsia" w:ascii="宋体" w:hAnsi="宋体" w:cs="仿宋_GB2312"/>
          <w:b/>
          <w:bCs/>
          <w:color w:val="FF0000"/>
          <w:sz w:val="36"/>
          <w:szCs w:val="36"/>
        </w:rPr>
        <w:t>月</w:t>
      </w:r>
      <w:r>
        <w:rPr>
          <w:rFonts w:ascii="宋体" w:hAnsi="宋体" w:cs="仿宋_GB2312"/>
          <w:b/>
          <w:bCs/>
          <w:color w:val="FF0000"/>
          <w:sz w:val="36"/>
          <w:szCs w:val="36"/>
        </w:rPr>
        <w:t>对外</w:t>
      </w:r>
      <w:r>
        <w:rPr>
          <w:rFonts w:hint="eastAsia" w:ascii="宋体" w:hAnsi="宋体" w:cs="仿宋_GB2312"/>
          <w:b/>
          <w:bCs/>
          <w:color w:val="FF0000"/>
          <w:sz w:val="36"/>
          <w:szCs w:val="36"/>
        </w:rPr>
        <w:t>担保的进展公告</w:t>
      </w:r>
    </w:p>
    <w:p w14:paraId="419A8F52">
      <w:pPr>
        <w:adjustRightInd w:val="0"/>
        <w:snapToGrid w:val="0"/>
        <w:spacing w:before="159" w:beforeLines="50" w:line="560" w:lineRule="exact"/>
        <w:jc w:val="center"/>
        <w:rPr>
          <w:rFonts w:hint="eastAsia" w:ascii="仿宋_GB2312" w:hAnsi="仿宋_GB2312" w:eastAsia="仿宋_GB2312" w:cs="仿宋_GB2312"/>
          <w:b/>
          <w:bCs/>
          <w:sz w:val="30"/>
          <w:szCs w:val="30"/>
        </w:rPr>
      </w:pPr>
    </w:p>
    <w:p w14:paraId="61D05A9E">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hint="eastAsia" w:ascii="宋体" w:hAnsi="宋体"/>
          <w:sz w:val="24"/>
          <w:szCs w:val="24"/>
        </w:rPr>
      </w:pPr>
      <w:r>
        <w:rPr>
          <w:rFonts w:hint="eastAsia" w:ascii="仿宋" w:hAnsi="仿宋" w:eastAsia="仿宋"/>
          <w:sz w:val="24"/>
          <w:szCs w:val="24"/>
        </w:rPr>
        <w:t>本公司董事会及全体董事保证本公告内容不存在任何虚假记载、误导性陈述或者重大遗漏，并对其内容的真实性、准确性和完整性承担法律责任</w:t>
      </w:r>
      <w:r>
        <w:rPr>
          <w:rFonts w:hint="eastAsia" w:ascii="宋体" w:hAnsi="宋体"/>
          <w:sz w:val="24"/>
          <w:szCs w:val="24"/>
        </w:rPr>
        <w:t>。</w:t>
      </w:r>
    </w:p>
    <w:p w14:paraId="60651144">
      <w:pPr>
        <w:adjustRightInd w:val="0"/>
        <w:snapToGrid w:val="0"/>
        <w:spacing w:line="560" w:lineRule="exact"/>
        <w:rPr>
          <w:rFonts w:hint="eastAsia" w:ascii="宋体" w:hAnsi="宋体" w:cs="宋体"/>
          <w:sz w:val="24"/>
          <w:szCs w:val="24"/>
        </w:rPr>
      </w:pPr>
    </w:p>
    <w:p w14:paraId="25CBB874">
      <w:pPr>
        <w:adjustRightInd w:val="0"/>
        <w:snapToGrid w:val="0"/>
        <w:spacing w:line="560" w:lineRule="exact"/>
        <w:rPr>
          <w:rFonts w:hint="eastAsia" w:ascii="宋体" w:hAnsi="宋体" w:cs="宋体"/>
          <w:b/>
          <w:sz w:val="24"/>
          <w:szCs w:val="24"/>
        </w:rPr>
      </w:pPr>
      <w:r>
        <w:rPr>
          <w:rFonts w:hint="eastAsia" w:ascii="宋体" w:hAnsi="宋体" w:cs="宋体"/>
          <w:b/>
          <w:sz w:val="24"/>
          <w:szCs w:val="24"/>
        </w:rPr>
        <w:t>重要内容提示：</w:t>
      </w:r>
    </w:p>
    <w:p w14:paraId="7E068E55">
      <w:pPr>
        <w:pStyle w:val="94"/>
        <w:numPr>
          <w:ilvl w:val="0"/>
          <w:numId w:val="12"/>
        </w:numPr>
        <w:ind w:left="0" w:firstLine="0"/>
        <w:rPr>
          <w:rFonts w:hint="eastAsia" w:ascii="宋体" w:hAnsi="宋体" w:cs="宋体"/>
          <w:sz w:val="24"/>
          <w:szCs w:val="24"/>
        </w:rPr>
      </w:pPr>
      <w:r>
        <w:rPr>
          <w:rFonts w:hint="eastAsia" w:ascii="宋体" w:hAnsi="宋体" w:cs="宋体"/>
          <w:sz w:val="24"/>
          <w:szCs w:val="24"/>
          <w:lang w:val="en-US" w:eastAsia="zh-CN"/>
        </w:rPr>
        <w:t>被担保人：</w:t>
      </w:r>
      <w:r>
        <w:rPr>
          <w:rFonts w:hint="eastAsia" w:ascii="宋体" w:hAnsi="宋体" w:cs="宋体"/>
          <w:sz w:val="24"/>
          <w:szCs w:val="24"/>
        </w:rPr>
        <w:t>控股子公司云南变压器电气股份有限公司（以下简称“云变电气”）</w:t>
      </w:r>
    </w:p>
    <w:p w14:paraId="2FFA9D23">
      <w:pPr>
        <w:pStyle w:val="94"/>
        <w:numPr>
          <w:ilvl w:val="0"/>
          <w:numId w:val="12"/>
        </w:numPr>
        <w:rPr>
          <w:rFonts w:hint="eastAsia" w:ascii="宋体" w:hAnsi="宋体" w:cs="宋体"/>
          <w:sz w:val="24"/>
          <w:szCs w:val="24"/>
        </w:rPr>
      </w:pPr>
      <w:r>
        <w:rPr>
          <w:rFonts w:hint="eastAsia" w:ascii="宋体" w:hAnsi="宋体" w:cs="宋体"/>
          <w:sz w:val="24"/>
          <w:szCs w:val="24"/>
        </w:rPr>
        <w:t>担保金额及已实际提供的担保余额：2024年</w:t>
      </w:r>
      <w:r>
        <w:rPr>
          <w:rFonts w:hint="eastAsia" w:ascii="宋体" w:hAnsi="宋体" w:cs="宋体"/>
          <w:sz w:val="24"/>
          <w:szCs w:val="24"/>
          <w:lang w:val="en-US" w:eastAsia="zh-CN"/>
        </w:rPr>
        <w:t>10</w:t>
      </w:r>
      <w:r>
        <w:rPr>
          <w:rFonts w:hint="eastAsia" w:ascii="宋体" w:hAnsi="宋体" w:cs="宋体"/>
          <w:sz w:val="24"/>
          <w:szCs w:val="24"/>
        </w:rPr>
        <w:t>月1日-</w:t>
      </w:r>
      <w:r>
        <w:rPr>
          <w:rFonts w:hint="eastAsia" w:ascii="宋体" w:hAnsi="宋体" w:cs="宋体"/>
          <w:sz w:val="24"/>
          <w:szCs w:val="24"/>
          <w:lang w:val="en-US" w:eastAsia="zh-CN"/>
        </w:rPr>
        <w:t>10</w:t>
      </w:r>
      <w:r>
        <w:rPr>
          <w:rFonts w:hint="eastAsia" w:ascii="宋体" w:hAnsi="宋体" w:cs="宋体"/>
          <w:sz w:val="24"/>
          <w:szCs w:val="24"/>
        </w:rPr>
        <w:t>月3</w:t>
      </w:r>
      <w:r>
        <w:rPr>
          <w:rFonts w:hint="eastAsia" w:ascii="宋体" w:hAnsi="宋体" w:cs="宋体"/>
          <w:sz w:val="24"/>
          <w:szCs w:val="24"/>
          <w:lang w:val="en-US" w:eastAsia="zh-CN"/>
        </w:rPr>
        <w:t>1</w:t>
      </w:r>
      <w:r>
        <w:rPr>
          <w:rFonts w:hint="eastAsia" w:ascii="宋体" w:hAnsi="宋体" w:cs="宋体"/>
          <w:sz w:val="24"/>
          <w:szCs w:val="24"/>
        </w:rPr>
        <w:t>日期间，重庆望变电气（集团）股份有限公司</w:t>
      </w:r>
      <w:r>
        <w:rPr>
          <w:rFonts w:hint="eastAsia" w:ascii="宋体" w:hAnsi="宋体" w:cs="宋体"/>
          <w:sz w:val="24"/>
          <w:szCs w:val="24"/>
          <w:lang w:val="en-US" w:eastAsia="zh-CN"/>
        </w:rPr>
        <w:t>及下属子公司</w:t>
      </w:r>
      <w:r>
        <w:rPr>
          <w:rFonts w:hint="eastAsia" w:ascii="宋体" w:hAnsi="宋体" w:cs="宋体"/>
          <w:sz w:val="24"/>
          <w:szCs w:val="24"/>
        </w:rPr>
        <w:t>（以下简称“公司”或“望变电气”）</w:t>
      </w:r>
      <w:r>
        <w:rPr>
          <w:rFonts w:hint="eastAsia" w:ascii="宋体" w:hAnsi="宋体" w:cs="宋体"/>
          <w:sz w:val="24"/>
          <w:szCs w:val="24"/>
          <w:lang w:val="en-US" w:eastAsia="zh-CN"/>
        </w:rPr>
        <w:t>合计新增担保1,000万元</w:t>
      </w:r>
      <w:r>
        <w:rPr>
          <w:rFonts w:hint="eastAsia" w:ascii="宋体" w:hAnsi="宋体" w:cs="宋体"/>
          <w:sz w:val="24"/>
          <w:szCs w:val="24"/>
          <w:lang w:eastAsia="zh-CN"/>
        </w:rPr>
        <w:t>；</w:t>
      </w:r>
      <w:r>
        <w:rPr>
          <w:rFonts w:hint="eastAsia" w:ascii="宋体" w:hAnsi="宋体" w:cs="宋体"/>
          <w:sz w:val="24"/>
          <w:szCs w:val="24"/>
        </w:rPr>
        <w:t>截止2024年</w:t>
      </w:r>
      <w:r>
        <w:rPr>
          <w:rFonts w:hint="eastAsia" w:ascii="宋体" w:hAnsi="宋体" w:cs="宋体"/>
          <w:sz w:val="24"/>
          <w:szCs w:val="24"/>
          <w:lang w:val="en-US" w:eastAsia="zh-CN"/>
        </w:rPr>
        <w:t>10</w:t>
      </w:r>
      <w:r>
        <w:rPr>
          <w:rFonts w:hint="eastAsia" w:ascii="宋体" w:hAnsi="宋体" w:cs="宋体"/>
          <w:sz w:val="24"/>
          <w:szCs w:val="24"/>
        </w:rPr>
        <w:t>月末，公司对外担保余额为19,073.73万元，均为对子公司提供的担保；</w:t>
      </w:r>
    </w:p>
    <w:p w14:paraId="5E9C9670">
      <w:pPr>
        <w:pStyle w:val="94"/>
        <w:rPr>
          <w:rFonts w:hint="eastAsia" w:ascii="宋体" w:hAnsi="宋体" w:cs="宋体"/>
          <w:sz w:val="24"/>
          <w:szCs w:val="24"/>
        </w:rPr>
      </w:pPr>
      <w:r>
        <w:rPr>
          <w:rFonts w:hint="eastAsia" w:ascii="宋体" w:hAnsi="宋体" w:cs="宋体"/>
          <w:sz w:val="24"/>
          <w:szCs w:val="24"/>
        </w:rPr>
        <w:t>是否有反担保：无</w:t>
      </w:r>
    </w:p>
    <w:p w14:paraId="7511E656">
      <w:pPr>
        <w:pStyle w:val="94"/>
        <w:rPr>
          <w:rFonts w:hint="eastAsia" w:ascii="宋体" w:hAnsi="宋体" w:cs="宋体"/>
          <w:sz w:val="24"/>
          <w:szCs w:val="24"/>
        </w:rPr>
      </w:pPr>
      <w:r>
        <w:rPr>
          <w:rFonts w:hint="eastAsia" w:ascii="宋体" w:hAnsi="宋体" w:cs="宋体"/>
          <w:sz w:val="24"/>
          <w:szCs w:val="24"/>
        </w:rPr>
        <w:t>公司有无逾期对外担保的情况：无</w:t>
      </w:r>
    </w:p>
    <w:p w14:paraId="460A0BD6">
      <w:pPr>
        <w:pStyle w:val="94"/>
        <w:rPr>
          <w:rFonts w:hint="eastAsia" w:ascii="宋体" w:hAnsi="宋体" w:cs="宋体"/>
          <w:sz w:val="24"/>
          <w:szCs w:val="24"/>
        </w:rPr>
      </w:pPr>
      <w:r>
        <w:rPr>
          <w:rFonts w:hint="eastAsia" w:ascii="宋体" w:hAnsi="宋体" w:cs="宋体"/>
          <w:spacing w:val="-1"/>
          <w:sz w:val="24"/>
          <w:szCs w:val="24"/>
        </w:rPr>
        <w:t>特别风险提示：截至2024年</w:t>
      </w:r>
      <w:r>
        <w:rPr>
          <w:rFonts w:hint="eastAsia" w:ascii="宋体" w:hAnsi="宋体" w:cs="宋体"/>
          <w:spacing w:val="-1"/>
          <w:sz w:val="24"/>
          <w:szCs w:val="24"/>
          <w:lang w:val="en-US" w:eastAsia="zh-CN"/>
        </w:rPr>
        <w:t>10</w:t>
      </w:r>
      <w:r>
        <w:rPr>
          <w:rFonts w:hint="eastAsia" w:ascii="宋体" w:hAnsi="宋体" w:cs="宋体"/>
          <w:spacing w:val="-1"/>
          <w:sz w:val="24"/>
          <w:szCs w:val="24"/>
        </w:rPr>
        <w:t>月3</w:t>
      </w:r>
      <w:r>
        <w:rPr>
          <w:rFonts w:hint="eastAsia" w:ascii="宋体" w:hAnsi="宋体" w:cs="宋体"/>
          <w:spacing w:val="-1"/>
          <w:sz w:val="24"/>
          <w:szCs w:val="24"/>
          <w:lang w:val="en-US" w:eastAsia="zh-CN"/>
        </w:rPr>
        <w:t>1</w:t>
      </w:r>
      <w:r>
        <w:rPr>
          <w:rFonts w:hint="eastAsia" w:ascii="宋体" w:hAnsi="宋体" w:cs="宋体"/>
          <w:spacing w:val="-1"/>
          <w:sz w:val="24"/>
          <w:szCs w:val="24"/>
        </w:rPr>
        <w:t>日，公司对外担保总额为人民币</w:t>
      </w:r>
      <w:r>
        <w:rPr>
          <w:rFonts w:hint="eastAsia" w:ascii="宋体" w:hAnsi="宋体" w:cs="宋体"/>
          <w:spacing w:val="-1"/>
          <w:sz w:val="24"/>
          <w:szCs w:val="24"/>
          <w:lang w:val="en-US" w:eastAsia="zh-CN"/>
        </w:rPr>
        <w:t>30</w:t>
      </w:r>
      <w:r>
        <w:rPr>
          <w:rFonts w:hint="eastAsia" w:ascii="宋体" w:hAnsi="宋体" w:cs="宋体"/>
          <w:spacing w:val="-1"/>
          <w:sz w:val="24"/>
          <w:szCs w:val="24"/>
        </w:rPr>
        <w:t>,000万元，担保余额为</w:t>
      </w:r>
      <w:r>
        <w:rPr>
          <w:rFonts w:hint="eastAsia" w:ascii="宋体" w:hAnsi="宋体" w:cs="宋体"/>
          <w:sz w:val="24"/>
          <w:szCs w:val="24"/>
        </w:rPr>
        <w:t>19,073.73</w:t>
      </w:r>
      <w:r>
        <w:rPr>
          <w:rFonts w:hint="eastAsia" w:ascii="宋体" w:hAnsi="宋体" w:cs="宋体"/>
          <w:spacing w:val="-1"/>
          <w:sz w:val="24"/>
          <w:szCs w:val="24"/>
        </w:rPr>
        <w:t>万元，占公司最近一期经审计净资产</w:t>
      </w:r>
      <w:r>
        <w:rPr>
          <w:rFonts w:hint="eastAsia" w:ascii="宋体" w:hAnsi="宋体" w:cs="宋体"/>
          <w:spacing w:val="-1"/>
          <w:sz w:val="24"/>
          <w:szCs w:val="24"/>
          <w:highlight w:val="none"/>
        </w:rPr>
        <w:t>的</w:t>
      </w:r>
      <w:r>
        <w:rPr>
          <w:rFonts w:hint="eastAsia" w:ascii="宋体" w:hAnsi="宋体" w:cs="宋体"/>
          <w:spacing w:val="-1"/>
          <w:sz w:val="24"/>
          <w:szCs w:val="24"/>
          <w:highlight w:val="none"/>
          <w:lang w:val="en-US" w:eastAsia="zh-CN"/>
        </w:rPr>
        <w:t>7.98</w:t>
      </w:r>
      <w:r>
        <w:rPr>
          <w:rFonts w:hint="eastAsia" w:ascii="宋体" w:hAnsi="宋体" w:cs="宋体"/>
          <w:spacing w:val="-1"/>
          <w:sz w:val="24"/>
          <w:szCs w:val="24"/>
          <w:highlight w:val="none"/>
        </w:rPr>
        <w:t>%</w:t>
      </w:r>
      <w:r>
        <w:rPr>
          <w:rFonts w:hint="eastAsia" w:ascii="宋体" w:hAnsi="宋体" w:cs="宋体"/>
          <w:spacing w:val="-1"/>
          <w:sz w:val="24"/>
          <w:szCs w:val="24"/>
        </w:rPr>
        <w:t>；对</w:t>
      </w:r>
      <w:r>
        <w:rPr>
          <w:rFonts w:hint="eastAsia" w:ascii="宋体" w:hAnsi="宋体" w:cs="宋体"/>
          <w:spacing w:val="-2"/>
          <w:sz w:val="24"/>
          <w:szCs w:val="24"/>
        </w:rPr>
        <w:t>资产负债率超过70</w:t>
      </w:r>
      <w:r>
        <w:rPr>
          <w:rFonts w:hint="eastAsia" w:ascii="宋体" w:hAnsi="宋体" w:cs="宋体"/>
          <w:spacing w:val="-2"/>
          <w:sz w:val="24"/>
          <w:szCs w:val="24"/>
          <w:lang w:val="en-US" w:eastAsia="zh-CN"/>
        </w:rPr>
        <w:t>.00</w:t>
      </w:r>
      <w:r>
        <w:rPr>
          <w:rFonts w:hint="eastAsia" w:ascii="宋体" w:hAnsi="宋体" w:cs="宋体"/>
          <w:spacing w:val="-2"/>
          <w:sz w:val="24"/>
          <w:szCs w:val="24"/>
        </w:rPr>
        <w:t>%的单位提供担保的金额为人民币11,000</w:t>
      </w:r>
      <w:r>
        <w:rPr>
          <w:rFonts w:hint="eastAsia" w:ascii="宋体" w:hAnsi="宋体" w:cs="宋体"/>
          <w:spacing w:val="-2"/>
          <w:sz w:val="24"/>
          <w:szCs w:val="24"/>
          <w:lang w:val="en-US" w:eastAsia="zh-CN"/>
        </w:rPr>
        <w:t>.00</w:t>
      </w:r>
      <w:r>
        <w:rPr>
          <w:rFonts w:hint="eastAsia" w:ascii="宋体" w:hAnsi="宋体" w:cs="宋体"/>
          <w:spacing w:val="-2"/>
          <w:sz w:val="24"/>
          <w:szCs w:val="24"/>
        </w:rPr>
        <w:t>万元，担保余额为5,363.33万元，占公司最近一期经审计净资产的</w:t>
      </w:r>
      <w:r>
        <w:rPr>
          <w:rFonts w:hint="eastAsia" w:ascii="宋体" w:hAnsi="宋体" w:cs="宋体"/>
          <w:spacing w:val="-2"/>
          <w:sz w:val="24"/>
          <w:szCs w:val="24"/>
          <w:highlight w:val="none"/>
          <w:lang w:val="en-US" w:eastAsia="zh-CN"/>
        </w:rPr>
        <w:t>2.24</w:t>
      </w:r>
      <w:r>
        <w:rPr>
          <w:rFonts w:hint="eastAsia" w:ascii="宋体" w:hAnsi="宋体" w:cs="宋体"/>
          <w:spacing w:val="-2"/>
          <w:sz w:val="24"/>
          <w:szCs w:val="24"/>
          <w:highlight w:val="none"/>
        </w:rPr>
        <w:t>%</w:t>
      </w:r>
      <w:r>
        <w:rPr>
          <w:rFonts w:hint="eastAsia" w:ascii="宋体" w:hAnsi="宋体" w:cs="宋体"/>
          <w:spacing w:val="-2"/>
          <w:sz w:val="24"/>
          <w:szCs w:val="24"/>
        </w:rPr>
        <w:t>；</w:t>
      </w:r>
      <w:r>
        <w:rPr>
          <w:rFonts w:hint="eastAsia" w:ascii="宋体" w:hAnsi="宋体" w:cs="宋体"/>
          <w:spacing w:val="-1"/>
          <w:sz w:val="24"/>
          <w:szCs w:val="24"/>
        </w:rPr>
        <w:t>敬请投资者充分关</w:t>
      </w:r>
      <w:r>
        <w:rPr>
          <w:rFonts w:hint="eastAsia" w:ascii="宋体" w:hAnsi="宋体" w:cs="宋体"/>
          <w:spacing w:val="-5"/>
          <w:sz w:val="24"/>
          <w:szCs w:val="24"/>
        </w:rPr>
        <w:t>注担保风险。</w:t>
      </w:r>
    </w:p>
    <w:p w14:paraId="5E94AD8F">
      <w:pPr>
        <w:numPr>
          <w:ilvl w:val="0"/>
          <w:numId w:val="13"/>
        </w:numPr>
        <w:autoSpaceDE w:val="0"/>
        <w:autoSpaceDN w:val="0"/>
        <w:adjustRightInd w:val="0"/>
        <w:spacing w:line="560" w:lineRule="exact"/>
        <w:rPr>
          <w:rFonts w:hint="eastAsia" w:ascii="宋体" w:hAnsi="宋体" w:cs="宋体"/>
          <w:b/>
          <w:sz w:val="24"/>
          <w:szCs w:val="24"/>
        </w:rPr>
      </w:pPr>
      <w:r>
        <w:rPr>
          <w:rFonts w:hint="eastAsia" w:ascii="宋体" w:hAnsi="宋体" w:cs="宋体"/>
          <w:b/>
          <w:sz w:val="24"/>
          <w:szCs w:val="24"/>
        </w:rPr>
        <w:t>担保情况概述</w:t>
      </w:r>
    </w:p>
    <w:p w14:paraId="0A610825">
      <w:p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（一）</w:t>
      </w:r>
      <w:r>
        <w:rPr>
          <w:rFonts w:ascii="宋体" w:hAnsi="宋体" w:cs="宋体"/>
          <w:kern w:val="0"/>
          <w:sz w:val="24"/>
          <w:szCs w:val="24"/>
        </w:rPr>
        <w:t>公司对外担保总额及内部决策程序履行</w:t>
      </w:r>
      <w:r>
        <w:rPr>
          <w:rFonts w:hint="eastAsia" w:ascii="宋体" w:hAnsi="宋体" w:cs="宋体"/>
          <w:kern w:val="0"/>
          <w:sz w:val="24"/>
          <w:szCs w:val="24"/>
        </w:rPr>
        <w:t>情况</w:t>
      </w:r>
    </w:p>
    <w:p w14:paraId="75BD285A">
      <w:pPr>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公司于2024年1月18日召开第四届董事会第二次会议审议通过《关于2024年度向银行等金融机构申请综合授信额度及为子公司提供融资担保额度的议案》，同意2024年度为子公司重庆惠泽电器有限公司（以下简称“惠泽电器”）向银行等金融机构申请综合授信或借款提供新增额度不超过5,000.00万元人民币（或等值外币）的担保，同意2024年度为资产负债率超过70</w:t>
      </w:r>
      <w:r>
        <w:rPr>
          <w:rFonts w:hint="eastAsia" w:ascii="宋体" w:hAnsi="宋体" w:cs="宋体"/>
          <w:kern w:val="0"/>
          <w:sz w:val="24"/>
          <w:szCs w:val="24"/>
          <w:lang w:val="en-US" w:eastAsia="zh-CN"/>
        </w:rPr>
        <w:t>.00</w:t>
      </w:r>
      <w:r>
        <w:rPr>
          <w:rFonts w:hint="eastAsia" w:ascii="宋体" w:hAnsi="宋体" w:cs="宋体"/>
          <w:kern w:val="0"/>
          <w:sz w:val="24"/>
          <w:szCs w:val="24"/>
        </w:rPr>
        <w:t>%的子公司黔南望江变压器有限公司（以下简称“黔南望江”）向银行等金融机构申请综合授信或借款提供新增额度不超过21,000.00万元人民币（或等值外币）的担保。上述担保额度有效期自2024年1月1日至2024年12月31日。该担保事项已提交公司2024年第一次临时股东大会审议通过。具体情况详见公司在上海证券交易所官网披露的《关于预计2024年度对子公司新增担保额度的公告》（公告编号：2024-004）和《2024年第一次临时股东大会决议公告》（公告编号：2024-013）。</w:t>
      </w:r>
    </w:p>
    <w:p w14:paraId="2E2423FF">
      <w:pPr>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公司于2024年4月24日召开第四届董事会第五次会议、第四届监事会第四次会议通过《关于</w:t>
      </w:r>
      <w:bookmarkStart w:id="0" w:name="_Hlk164110070"/>
      <w:r>
        <w:rPr>
          <w:rFonts w:hint="eastAsia" w:ascii="宋体" w:hAnsi="宋体" w:cs="宋体"/>
          <w:kern w:val="0"/>
          <w:sz w:val="24"/>
          <w:szCs w:val="24"/>
        </w:rPr>
        <w:t>为子公司云南变压器电气股份有限公司</w:t>
      </w:r>
      <w:bookmarkEnd w:id="0"/>
      <w:r>
        <w:rPr>
          <w:rFonts w:hint="eastAsia" w:ascii="宋体" w:hAnsi="宋体" w:cs="宋体"/>
          <w:kern w:val="0"/>
          <w:sz w:val="24"/>
          <w:szCs w:val="24"/>
        </w:rPr>
        <w:t>申请授信提供担保的议案》，同意为控股子公司云变电气向银行等金融机构申请综合授信或借款提供总额度不超过90,000</w:t>
      </w:r>
      <w:r>
        <w:rPr>
          <w:rFonts w:hint="eastAsia" w:ascii="宋体" w:hAnsi="宋体" w:cs="宋体"/>
          <w:kern w:val="0"/>
          <w:sz w:val="24"/>
          <w:szCs w:val="24"/>
          <w:lang w:val="en-US" w:eastAsia="zh-CN"/>
        </w:rPr>
        <w:t>.00</w:t>
      </w:r>
      <w:r>
        <w:rPr>
          <w:rFonts w:hint="eastAsia" w:ascii="宋体" w:hAnsi="宋体" w:cs="宋体"/>
          <w:kern w:val="0"/>
          <w:sz w:val="24"/>
          <w:szCs w:val="24"/>
        </w:rPr>
        <w:t>万元人民币（或等值外币）的担保，该额度有效期自股东大会审议通过之日起至2024年12月31日止，该担保事项已提交公司2023年度股东大会审议通过。具体情况详见公司在上海证券交易所官网披露的《关于为子公司申请授信提供担保的公告》（公告编号：2024-036）和《2023年年度股东大会决议公告》(公告编号：2024-040）。</w:t>
      </w:r>
    </w:p>
    <w:p w14:paraId="06FB1688">
      <w:p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（二）本月对外担保进展情况</w:t>
      </w:r>
    </w:p>
    <w:p w14:paraId="356B0435">
      <w:p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2024年</w:t>
      </w:r>
      <w:r>
        <w:rPr>
          <w:rFonts w:hint="eastAsia" w:ascii="宋体" w:hAnsi="宋体" w:cs="宋体"/>
          <w:kern w:val="0"/>
          <w:sz w:val="24"/>
          <w:szCs w:val="24"/>
          <w:lang w:val="en-US" w:eastAsia="zh-CN"/>
        </w:rPr>
        <w:t>10</w:t>
      </w:r>
      <w:r>
        <w:rPr>
          <w:rFonts w:hint="eastAsia" w:ascii="宋体" w:hAnsi="宋体" w:cs="宋体"/>
          <w:kern w:val="0"/>
          <w:sz w:val="24"/>
          <w:szCs w:val="24"/>
        </w:rPr>
        <w:t>月，公司及下属子公司</w:t>
      </w:r>
      <w:r>
        <w:rPr>
          <w:rFonts w:hint="eastAsia" w:ascii="宋体" w:hAnsi="宋体" w:cs="宋体"/>
          <w:kern w:val="0"/>
          <w:sz w:val="24"/>
          <w:szCs w:val="24"/>
          <w:lang w:val="en-US" w:eastAsia="zh-CN"/>
        </w:rPr>
        <w:t>新增对外担保人民币1,000万元，系</w:t>
      </w:r>
      <w:r>
        <w:rPr>
          <w:rFonts w:hint="eastAsia" w:ascii="宋体" w:hAnsi="宋体" w:cs="宋体"/>
          <w:kern w:val="0"/>
          <w:sz w:val="24"/>
          <w:szCs w:val="24"/>
        </w:rPr>
        <w:t>公司于2024年</w:t>
      </w: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月2</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日与昆明市五华区农村信用合作联社黑林铺信用社签订《保证合同》，</w:t>
      </w:r>
      <w:r>
        <w:rPr>
          <w:rFonts w:hint="eastAsia" w:ascii="宋体" w:hAnsi="宋体" w:cs="宋体"/>
          <w:kern w:val="0"/>
          <w:sz w:val="24"/>
          <w:szCs w:val="24"/>
        </w:rPr>
        <w:t>为控股子公司云变电气与昆明市五华区农村信用合作联社黑林铺信用社签订《流动资金借款合同》提供人民币</w:t>
      </w:r>
      <w:r>
        <w:rPr>
          <w:rFonts w:hint="eastAsia" w:ascii="宋体" w:hAnsi="宋体" w:cs="宋体"/>
          <w:kern w:val="0"/>
          <w:sz w:val="24"/>
          <w:szCs w:val="24"/>
          <w:lang w:val="en-US" w:eastAsia="zh-CN"/>
        </w:rPr>
        <w:t>1</w:t>
      </w:r>
      <w:r>
        <w:rPr>
          <w:rFonts w:hint="eastAsia" w:ascii="宋体" w:hAnsi="宋体" w:cs="宋体"/>
          <w:kern w:val="0"/>
          <w:sz w:val="24"/>
          <w:szCs w:val="24"/>
        </w:rPr>
        <w:t>,000万元的连带责任担保。</w:t>
      </w:r>
      <w:bookmarkStart w:id="1" w:name="_GoBack"/>
      <w:bookmarkEnd w:id="1"/>
    </w:p>
    <w:p w14:paraId="3A1C1574">
      <w:p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上述担保均无反担保，云变电气其他股东对上述担保未提供对应比例的担保。</w:t>
      </w:r>
    </w:p>
    <w:p w14:paraId="63547AFC">
      <w:p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上述担保事项属于公司2024年第一次临时股东大会、2023年年度股东大会授权范围并在有效期内，无需再次提交公司董事会、股东大会审议。</w:t>
      </w:r>
    </w:p>
    <w:p w14:paraId="7966390F">
      <w:pPr>
        <w:autoSpaceDE w:val="0"/>
        <w:autoSpaceDN w:val="0"/>
        <w:adjustRightInd w:val="0"/>
        <w:spacing w:line="560" w:lineRule="exact"/>
        <w:ind w:firstLine="480" w:firstLineChars="200"/>
        <w:rPr>
          <w:rFonts w:hint="default" w:ascii="宋体" w:hAnsi="宋体" w:eastAsia="宋体" w:cs="宋体"/>
          <w:kern w:val="0"/>
          <w:sz w:val="24"/>
          <w:szCs w:val="24"/>
          <w:lang w:val="en-US" w:eastAsia="zh-CN"/>
        </w:rPr>
      </w:pPr>
    </w:p>
    <w:p w14:paraId="78BD5953">
      <w:pPr>
        <w:autoSpaceDE w:val="0"/>
        <w:autoSpaceDN w:val="0"/>
        <w:adjustRightInd w:val="0"/>
        <w:spacing w:line="560" w:lineRule="exact"/>
        <w:ind w:firstLine="0"/>
        <w:rPr>
          <w:rFonts w:ascii="宋体" w:hAnsi="宋体" w:cs="宋体"/>
          <w:kern w:val="0"/>
          <w:sz w:val="24"/>
          <w:szCs w:val="24"/>
        </w:rPr>
      </w:pPr>
      <w:r>
        <w:rPr>
          <w:rFonts w:hint="eastAsia" w:ascii="宋体" w:hAnsi="宋体" w:cs="宋体"/>
          <w:kern w:val="0"/>
          <w:sz w:val="24"/>
          <w:szCs w:val="24"/>
        </w:rPr>
        <w:t>（三）担保预计的实际发生情况</w:t>
      </w:r>
    </w:p>
    <w:p w14:paraId="5AFB0B0C">
      <w:p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截止2024年</w:t>
      </w:r>
      <w:r>
        <w:rPr>
          <w:rFonts w:hint="eastAsia" w:ascii="宋体" w:hAnsi="宋体" w:cs="宋体"/>
          <w:kern w:val="0"/>
          <w:sz w:val="24"/>
          <w:szCs w:val="24"/>
          <w:lang w:val="en-US" w:eastAsia="zh-CN"/>
        </w:rPr>
        <w:t>10</w:t>
      </w:r>
      <w:r>
        <w:rPr>
          <w:rFonts w:hint="eastAsia" w:ascii="宋体" w:hAnsi="宋体" w:cs="宋体"/>
          <w:kern w:val="0"/>
          <w:sz w:val="24"/>
          <w:szCs w:val="24"/>
        </w:rPr>
        <w:t>月末，公司对外担保的实际发生情况如下：</w:t>
      </w:r>
    </w:p>
    <w:tbl>
      <w:tblPr>
        <w:tblStyle w:val="104"/>
        <w:tblW w:w="5157" w:type="pct"/>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7"/>
        <w:gridCol w:w="1041"/>
        <w:gridCol w:w="880"/>
        <w:gridCol w:w="1058"/>
        <w:gridCol w:w="1140"/>
        <w:gridCol w:w="1071"/>
        <w:gridCol w:w="1144"/>
        <w:gridCol w:w="658"/>
        <w:gridCol w:w="619"/>
      </w:tblGrid>
      <w:tr w14:paraId="43413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956" w:type="dxa"/>
            <w:vAlign w:val="center"/>
          </w:tcPr>
          <w:p w14:paraId="44AB26D1">
            <w:pPr>
              <w:pStyle w:val="105"/>
              <w:jc w:val="center"/>
              <w:rPr>
                <w:rFonts w:hint="eastAsia" w:ascii="宋体" w:hAnsi="宋体" w:eastAsia="宋体"/>
                <w:b/>
                <w:bCs/>
                <w:sz w:val="21"/>
                <w:szCs w:val="21"/>
                <w:lang w:eastAsia="zh-CN"/>
              </w:rPr>
            </w:pPr>
            <w:r>
              <w:rPr>
                <w:rFonts w:hint="eastAsia" w:ascii="宋体" w:hAnsi="宋体" w:eastAsia="宋体"/>
                <w:b/>
                <w:bCs/>
                <w:sz w:val="21"/>
                <w:szCs w:val="21"/>
              </w:rPr>
              <w:t>担保</w:t>
            </w:r>
            <w:r>
              <w:rPr>
                <w:rFonts w:hint="eastAsia" w:ascii="宋体" w:hAnsi="宋体" w:eastAsia="宋体"/>
                <w:b/>
                <w:bCs/>
                <w:sz w:val="21"/>
                <w:szCs w:val="21"/>
                <w:lang w:eastAsia="zh-CN"/>
              </w:rPr>
              <w:t>方</w:t>
            </w:r>
          </w:p>
        </w:tc>
        <w:tc>
          <w:tcPr>
            <w:tcW w:w="1040" w:type="dxa"/>
            <w:vAlign w:val="center"/>
          </w:tcPr>
          <w:p w14:paraId="4B2EEBEC">
            <w:pPr>
              <w:pStyle w:val="105"/>
              <w:jc w:val="center"/>
              <w:rPr>
                <w:rFonts w:hint="eastAsia" w:ascii="宋体" w:hAnsi="宋体" w:eastAsia="宋体"/>
                <w:b/>
                <w:bCs/>
                <w:sz w:val="21"/>
                <w:szCs w:val="21"/>
                <w:lang w:eastAsia="zh-CN"/>
              </w:rPr>
            </w:pPr>
            <w:r>
              <w:rPr>
                <w:rFonts w:hint="eastAsia" w:ascii="宋体" w:hAnsi="宋体" w:eastAsia="宋体"/>
                <w:b/>
                <w:bCs/>
                <w:sz w:val="21"/>
                <w:szCs w:val="21"/>
              </w:rPr>
              <w:t>被担保</w:t>
            </w:r>
            <w:r>
              <w:rPr>
                <w:rFonts w:hint="eastAsia" w:ascii="宋体" w:hAnsi="宋体" w:eastAsia="宋体"/>
                <w:b/>
                <w:bCs/>
                <w:sz w:val="21"/>
                <w:szCs w:val="21"/>
                <w:lang w:eastAsia="zh-CN"/>
              </w:rPr>
              <w:t>方</w:t>
            </w:r>
          </w:p>
        </w:tc>
        <w:tc>
          <w:tcPr>
            <w:tcW w:w="879" w:type="dxa"/>
            <w:vAlign w:val="center"/>
          </w:tcPr>
          <w:p w14:paraId="43AC861A">
            <w:pPr>
              <w:pStyle w:val="105"/>
              <w:jc w:val="center"/>
              <w:rPr>
                <w:rFonts w:hint="eastAsia" w:ascii="宋体" w:hAnsi="宋体" w:eastAsia="宋体"/>
                <w:b/>
                <w:bCs/>
                <w:sz w:val="21"/>
                <w:szCs w:val="21"/>
              </w:rPr>
            </w:pPr>
            <w:r>
              <w:rPr>
                <w:rFonts w:hint="eastAsia" w:ascii="宋体" w:hAnsi="宋体" w:eastAsia="宋体"/>
                <w:b/>
                <w:bCs/>
                <w:sz w:val="21"/>
                <w:szCs w:val="21"/>
              </w:rPr>
              <w:t>担保方持股比例</w:t>
            </w:r>
          </w:p>
        </w:tc>
        <w:tc>
          <w:tcPr>
            <w:tcW w:w="1057" w:type="dxa"/>
            <w:vAlign w:val="center"/>
          </w:tcPr>
          <w:p w14:paraId="0E23D124">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截止2024.06.30被担保方资产负债率</w:t>
            </w:r>
          </w:p>
        </w:tc>
        <w:tc>
          <w:tcPr>
            <w:tcW w:w="1139" w:type="dxa"/>
            <w:vAlign w:val="center"/>
          </w:tcPr>
          <w:p w14:paraId="3D85FCE8">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预计担保额度</w:t>
            </w:r>
          </w:p>
          <w:p w14:paraId="1F37C0CE">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（万元）</w:t>
            </w:r>
          </w:p>
        </w:tc>
        <w:tc>
          <w:tcPr>
            <w:tcW w:w="1070" w:type="dxa"/>
            <w:vAlign w:val="center"/>
          </w:tcPr>
          <w:p w14:paraId="3B2E8222">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累计担保总额</w:t>
            </w:r>
          </w:p>
          <w:p w14:paraId="7C8C775D">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（万</w:t>
            </w:r>
            <w:r>
              <w:rPr>
                <w:rFonts w:hint="eastAsia" w:ascii="宋体" w:hAnsi="宋体" w:eastAsia="宋体"/>
                <w:b/>
                <w:bCs/>
                <w:spacing w:val="-7"/>
                <w:sz w:val="21"/>
                <w:szCs w:val="21"/>
                <w:lang w:eastAsia="zh-CN"/>
              </w:rPr>
              <w:t>元）</w:t>
            </w:r>
          </w:p>
        </w:tc>
        <w:tc>
          <w:tcPr>
            <w:tcW w:w="1143" w:type="dxa"/>
            <w:vAlign w:val="center"/>
          </w:tcPr>
          <w:p w14:paraId="0E5BB3F8">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截至目前担保余额</w:t>
            </w:r>
          </w:p>
          <w:p w14:paraId="25D716CB">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（万元）</w:t>
            </w:r>
          </w:p>
        </w:tc>
        <w:tc>
          <w:tcPr>
            <w:tcW w:w="658" w:type="dxa"/>
            <w:vAlign w:val="center"/>
          </w:tcPr>
          <w:p w14:paraId="12E2D077">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是否关联担保</w:t>
            </w:r>
          </w:p>
        </w:tc>
        <w:tc>
          <w:tcPr>
            <w:tcW w:w="619" w:type="dxa"/>
            <w:vAlign w:val="center"/>
          </w:tcPr>
          <w:p w14:paraId="10C254AA">
            <w:pPr>
              <w:pStyle w:val="105"/>
              <w:jc w:val="center"/>
              <w:rPr>
                <w:rFonts w:hint="eastAsia" w:ascii="宋体" w:hAnsi="宋体" w:eastAsia="宋体"/>
                <w:b/>
                <w:bCs/>
                <w:sz w:val="21"/>
                <w:szCs w:val="21"/>
              </w:rPr>
            </w:pPr>
            <w:r>
              <w:rPr>
                <w:rFonts w:hint="eastAsia" w:ascii="宋体" w:hAnsi="宋体" w:eastAsia="宋体"/>
                <w:b/>
                <w:bCs/>
                <w:sz w:val="21"/>
                <w:szCs w:val="21"/>
              </w:rPr>
              <w:t>是否有反担保</w:t>
            </w:r>
          </w:p>
        </w:tc>
      </w:tr>
      <w:tr w14:paraId="7EA5B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956" w:type="dxa"/>
            <w:vAlign w:val="center"/>
          </w:tcPr>
          <w:p w14:paraId="227A4E66">
            <w:pPr>
              <w:pStyle w:val="105"/>
              <w:jc w:val="center"/>
              <w:rPr>
                <w:rFonts w:hint="eastAsia" w:ascii="宋体" w:hAnsi="宋体" w:eastAsia="宋体"/>
                <w:sz w:val="21"/>
                <w:szCs w:val="21"/>
              </w:rPr>
            </w:pPr>
            <w:r>
              <w:rPr>
                <w:rFonts w:hint="eastAsia" w:ascii="宋体" w:hAnsi="宋体" w:eastAsia="宋体"/>
                <w:sz w:val="21"/>
                <w:szCs w:val="21"/>
              </w:rPr>
              <w:t>望变电气</w:t>
            </w:r>
          </w:p>
        </w:tc>
        <w:tc>
          <w:tcPr>
            <w:tcW w:w="1040" w:type="dxa"/>
            <w:vAlign w:val="center"/>
          </w:tcPr>
          <w:p w14:paraId="5F6AA538">
            <w:pPr>
              <w:pStyle w:val="105"/>
              <w:jc w:val="center"/>
              <w:rPr>
                <w:rFonts w:hint="eastAsia" w:ascii="宋体" w:hAnsi="宋体" w:eastAsia="宋体"/>
                <w:sz w:val="21"/>
                <w:szCs w:val="21"/>
              </w:rPr>
            </w:pPr>
            <w:r>
              <w:rPr>
                <w:rFonts w:hint="eastAsia" w:ascii="宋体" w:hAnsi="宋体" w:eastAsia="宋体"/>
                <w:sz w:val="21"/>
                <w:szCs w:val="21"/>
              </w:rPr>
              <w:t>黔南望江</w:t>
            </w:r>
          </w:p>
        </w:tc>
        <w:tc>
          <w:tcPr>
            <w:tcW w:w="879" w:type="dxa"/>
            <w:vAlign w:val="center"/>
          </w:tcPr>
          <w:p w14:paraId="0C730727">
            <w:pPr>
              <w:pStyle w:val="105"/>
              <w:jc w:val="right"/>
              <w:rPr>
                <w:rFonts w:hint="eastAsia" w:ascii="宋体" w:hAnsi="宋体" w:eastAsia="宋体"/>
                <w:sz w:val="21"/>
                <w:szCs w:val="21"/>
              </w:rPr>
            </w:pPr>
            <w:r>
              <w:rPr>
                <w:rFonts w:hint="eastAsia" w:ascii="宋体" w:hAnsi="宋体" w:eastAsia="宋体"/>
                <w:sz w:val="21"/>
                <w:szCs w:val="21"/>
              </w:rPr>
              <w:t>100</w:t>
            </w:r>
            <w:r>
              <w:rPr>
                <w:rFonts w:hint="eastAsia" w:ascii="宋体" w:hAnsi="宋体" w:eastAsia="宋体"/>
                <w:sz w:val="21"/>
                <w:szCs w:val="21"/>
                <w:lang w:val="en-US" w:eastAsia="zh-CN"/>
              </w:rPr>
              <w:t>.00</w:t>
            </w:r>
            <w:r>
              <w:rPr>
                <w:rFonts w:hint="eastAsia" w:ascii="宋体" w:hAnsi="宋体" w:eastAsia="宋体"/>
                <w:sz w:val="21"/>
                <w:szCs w:val="21"/>
              </w:rPr>
              <w:t>%</w:t>
            </w:r>
          </w:p>
        </w:tc>
        <w:tc>
          <w:tcPr>
            <w:tcW w:w="1057" w:type="dxa"/>
            <w:vAlign w:val="center"/>
          </w:tcPr>
          <w:p w14:paraId="7B81CC5B">
            <w:pPr>
              <w:keepNext w:val="0"/>
              <w:keepLines w:val="0"/>
              <w:widowControl/>
              <w:suppressLineNumbers w:val="0"/>
              <w:jc w:val="right"/>
              <w:textAlignment w:val="center"/>
              <w:rPr>
                <w:rFonts w:hint="eastAsia" w:ascii="宋体" w:hAnsi="宋体" w:eastAsia="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77.59%</w:t>
            </w:r>
          </w:p>
        </w:tc>
        <w:tc>
          <w:tcPr>
            <w:tcW w:w="1139" w:type="dxa"/>
            <w:vAlign w:val="center"/>
          </w:tcPr>
          <w:p w14:paraId="0744350D">
            <w:pPr>
              <w:pStyle w:val="105"/>
              <w:jc w:val="right"/>
              <w:rPr>
                <w:rFonts w:hint="eastAsia" w:ascii="宋体" w:hAnsi="宋体" w:eastAsia="宋体"/>
                <w:sz w:val="21"/>
                <w:szCs w:val="21"/>
                <w:lang w:eastAsia="zh-CN"/>
              </w:rPr>
            </w:pPr>
            <w:r>
              <w:rPr>
                <w:rFonts w:ascii="宋体" w:hAnsi="宋体" w:eastAsia="宋体"/>
                <w:sz w:val="21"/>
                <w:szCs w:val="21"/>
                <w:lang w:eastAsia="zh-CN"/>
              </w:rPr>
              <w:t>21,000</w:t>
            </w:r>
            <w:r>
              <w:rPr>
                <w:rFonts w:hint="eastAsia" w:ascii="宋体" w:hAnsi="宋体" w:eastAsia="宋体"/>
                <w:sz w:val="21"/>
                <w:szCs w:val="21"/>
                <w:lang w:eastAsia="zh-CN"/>
              </w:rPr>
              <w:t>.00</w:t>
            </w:r>
          </w:p>
        </w:tc>
        <w:tc>
          <w:tcPr>
            <w:tcW w:w="1070" w:type="dxa"/>
            <w:vAlign w:val="center"/>
          </w:tcPr>
          <w:p w14:paraId="7B385F48">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11</w:t>
            </w:r>
            <w:r>
              <w:rPr>
                <w:rFonts w:hint="eastAsia" w:ascii="宋体" w:hAnsi="宋体" w:eastAsia="宋体"/>
                <w:sz w:val="21"/>
                <w:szCs w:val="21"/>
                <w:lang w:val="en-US" w:eastAsia="zh-CN"/>
              </w:rPr>
              <w:t>,</w:t>
            </w:r>
            <w:r>
              <w:rPr>
                <w:rFonts w:hint="eastAsia" w:ascii="宋体" w:hAnsi="宋体" w:eastAsia="宋体"/>
                <w:sz w:val="21"/>
                <w:szCs w:val="21"/>
                <w:lang w:eastAsia="zh-CN"/>
              </w:rPr>
              <w:t>000.00</w:t>
            </w:r>
          </w:p>
        </w:tc>
        <w:tc>
          <w:tcPr>
            <w:tcW w:w="1143" w:type="dxa"/>
            <w:vAlign w:val="center"/>
          </w:tcPr>
          <w:p w14:paraId="15DB42B0">
            <w:pPr>
              <w:keepNext w:val="0"/>
              <w:keepLines w:val="0"/>
              <w:widowControl/>
              <w:suppressLineNumbers w:val="0"/>
              <w:jc w:val="right"/>
              <w:textAlignment w:val="center"/>
              <w:rPr>
                <w:rFonts w:hint="eastAsia" w:ascii="宋体" w:hAnsi="宋体" w:eastAsia="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color w:val="000000"/>
                <w:kern w:val="0"/>
                <w:sz w:val="22"/>
                <w:u w:val="none"/>
                <w:lang w:bidi="ar"/>
              </w:rPr>
              <w:t xml:space="preserve"> 5,363.33 </w:t>
            </w:r>
            <w:r>
              <w:rPr>
                <w:rFonts w:hint="eastAsia" w:ascii="宋体" w:hAnsi="宋体" w:eastAsia="宋体" w:cs="宋体"/>
                <w:i w:val="0"/>
                <w:iCs w:val="0"/>
                <w:color w:val="000000"/>
                <w:kern w:val="0"/>
                <w:sz w:val="22"/>
                <w:szCs w:val="22"/>
                <w:u w:val="none"/>
                <w:lang w:val="en-US" w:eastAsia="zh-CN" w:bidi="ar"/>
              </w:rPr>
              <w:t xml:space="preserve"> </w:t>
            </w:r>
          </w:p>
        </w:tc>
        <w:tc>
          <w:tcPr>
            <w:tcW w:w="658" w:type="dxa"/>
            <w:vAlign w:val="center"/>
          </w:tcPr>
          <w:p w14:paraId="35331AA7">
            <w:pPr>
              <w:pStyle w:val="105"/>
              <w:jc w:val="center"/>
              <w:rPr>
                <w:rFonts w:hint="eastAsia" w:ascii="宋体" w:hAnsi="宋体" w:eastAsia="宋体"/>
                <w:sz w:val="21"/>
                <w:szCs w:val="21"/>
              </w:rPr>
            </w:pPr>
            <w:r>
              <w:rPr>
                <w:rFonts w:hint="eastAsia" w:ascii="宋体" w:hAnsi="宋体" w:eastAsia="宋体"/>
                <w:sz w:val="21"/>
                <w:szCs w:val="21"/>
              </w:rPr>
              <w:t>否</w:t>
            </w:r>
          </w:p>
        </w:tc>
        <w:tc>
          <w:tcPr>
            <w:tcW w:w="619" w:type="dxa"/>
            <w:vAlign w:val="center"/>
          </w:tcPr>
          <w:p w14:paraId="13A98CEC">
            <w:pPr>
              <w:pStyle w:val="105"/>
              <w:jc w:val="center"/>
              <w:rPr>
                <w:rFonts w:hint="eastAsia" w:ascii="宋体" w:hAnsi="宋体" w:eastAsia="宋体"/>
                <w:sz w:val="21"/>
                <w:szCs w:val="21"/>
              </w:rPr>
            </w:pPr>
            <w:r>
              <w:rPr>
                <w:rFonts w:hint="eastAsia" w:ascii="宋体" w:hAnsi="宋体" w:eastAsia="宋体"/>
                <w:sz w:val="21"/>
                <w:szCs w:val="21"/>
              </w:rPr>
              <w:t>否</w:t>
            </w:r>
          </w:p>
        </w:tc>
      </w:tr>
      <w:tr w14:paraId="6FFA0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956" w:type="dxa"/>
            <w:vAlign w:val="center"/>
          </w:tcPr>
          <w:p w14:paraId="1A01D45E">
            <w:pPr>
              <w:pStyle w:val="105"/>
              <w:jc w:val="center"/>
              <w:rPr>
                <w:rFonts w:hint="eastAsia" w:ascii="宋体" w:hAnsi="宋体" w:eastAsia="宋体"/>
                <w:sz w:val="21"/>
                <w:szCs w:val="21"/>
              </w:rPr>
            </w:pPr>
            <w:r>
              <w:rPr>
                <w:rFonts w:hint="eastAsia" w:ascii="宋体" w:hAnsi="宋体" w:eastAsia="宋体"/>
                <w:sz w:val="21"/>
                <w:szCs w:val="21"/>
              </w:rPr>
              <w:t>望变电气</w:t>
            </w:r>
          </w:p>
        </w:tc>
        <w:tc>
          <w:tcPr>
            <w:tcW w:w="1040" w:type="dxa"/>
            <w:vAlign w:val="center"/>
          </w:tcPr>
          <w:p w14:paraId="1492D3EA">
            <w:pPr>
              <w:widowControl/>
              <w:kinsoku w:val="0"/>
              <w:autoSpaceDE w:val="0"/>
              <w:autoSpaceDN w:val="0"/>
              <w:adjustRightInd w:val="0"/>
              <w:snapToGrid w:val="0"/>
              <w:spacing w:line="560" w:lineRule="exact"/>
              <w:jc w:val="center"/>
              <w:textAlignment w:val="baseline"/>
              <w:rPr>
                <w:rFonts w:hint="eastAsia" w:ascii="宋体" w:hAnsi="宋体" w:cs="宋体"/>
                <w:szCs w:val="21"/>
              </w:rPr>
            </w:pPr>
            <w:r>
              <w:rPr>
                <w:rFonts w:hint="eastAsia" w:ascii="宋体" w:hAnsi="宋体" w:cs="宋体"/>
                <w:spacing w:val="-1"/>
                <w:szCs w:val="21"/>
              </w:rPr>
              <w:t>云变电气</w:t>
            </w:r>
          </w:p>
        </w:tc>
        <w:tc>
          <w:tcPr>
            <w:tcW w:w="879" w:type="dxa"/>
            <w:vAlign w:val="center"/>
          </w:tcPr>
          <w:p w14:paraId="49314A36">
            <w:pPr>
              <w:pStyle w:val="105"/>
              <w:jc w:val="right"/>
              <w:rPr>
                <w:rFonts w:hint="eastAsia" w:ascii="宋体" w:hAnsi="宋体" w:eastAsia="宋体"/>
                <w:sz w:val="21"/>
                <w:szCs w:val="21"/>
              </w:rPr>
            </w:pPr>
            <w:r>
              <w:rPr>
                <w:rFonts w:ascii="宋体" w:hAnsi="宋体" w:eastAsia="宋体"/>
                <w:sz w:val="21"/>
                <w:szCs w:val="21"/>
              </w:rPr>
              <w:t>79.97%</w:t>
            </w:r>
          </w:p>
        </w:tc>
        <w:tc>
          <w:tcPr>
            <w:tcW w:w="1057" w:type="dxa"/>
            <w:vAlign w:val="center"/>
          </w:tcPr>
          <w:p w14:paraId="1CC61EBE">
            <w:pPr>
              <w:keepNext w:val="0"/>
              <w:keepLines w:val="0"/>
              <w:widowControl/>
              <w:suppressLineNumbers w:val="0"/>
              <w:jc w:val="right"/>
              <w:textAlignment w:val="center"/>
              <w:rPr>
                <w:rFonts w:hint="eastAsia" w:ascii="宋体" w:hAnsi="宋体" w:eastAsia="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58.02%</w:t>
            </w:r>
          </w:p>
        </w:tc>
        <w:tc>
          <w:tcPr>
            <w:tcW w:w="1139" w:type="dxa"/>
            <w:vAlign w:val="center"/>
          </w:tcPr>
          <w:p w14:paraId="2312A6C5">
            <w:pPr>
              <w:pStyle w:val="105"/>
              <w:jc w:val="right"/>
              <w:rPr>
                <w:rFonts w:hint="eastAsia" w:ascii="宋体" w:hAnsi="宋体" w:eastAsia="宋体"/>
                <w:sz w:val="21"/>
                <w:szCs w:val="21"/>
                <w:lang w:eastAsia="zh-CN"/>
              </w:rPr>
            </w:pPr>
            <w:r>
              <w:rPr>
                <w:rFonts w:ascii="宋体" w:hAnsi="宋体" w:eastAsia="宋体"/>
                <w:sz w:val="21"/>
                <w:szCs w:val="21"/>
                <w:lang w:eastAsia="zh-CN"/>
              </w:rPr>
              <w:t>90,000</w:t>
            </w:r>
            <w:r>
              <w:rPr>
                <w:rFonts w:hint="eastAsia" w:ascii="宋体" w:hAnsi="宋体" w:eastAsia="宋体"/>
                <w:sz w:val="21"/>
                <w:szCs w:val="21"/>
                <w:lang w:eastAsia="zh-CN"/>
              </w:rPr>
              <w:t>.00</w:t>
            </w:r>
          </w:p>
        </w:tc>
        <w:tc>
          <w:tcPr>
            <w:tcW w:w="1070" w:type="dxa"/>
            <w:vAlign w:val="center"/>
          </w:tcPr>
          <w:p w14:paraId="024D4E42">
            <w:pPr>
              <w:pStyle w:val="105"/>
              <w:jc w:val="right"/>
              <w:rPr>
                <w:rFonts w:hint="eastAsia" w:ascii="宋体" w:hAnsi="宋体" w:eastAsia="宋体"/>
                <w:sz w:val="21"/>
                <w:szCs w:val="21"/>
              </w:rPr>
            </w:pPr>
            <w:r>
              <w:rPr>
                <w:rFonts w:hint="eastAsia" w:ascii="宋体" w:hAnsi="宋体" w:eastAsia="宋体"/>
                <w:sz w:val="21"/>
                <w:szCs w:val="21"/>
                <w:lang w:eastAsia="zh-CN"/>
              </w:rPr>
              <w:t>1</w:t>
            </w:r>
            <w:r>
              <w:rPr>
                <w:rFonts w:hint="eastAsia" w:ascii="宋体" w:hAnsi="宋体" w:eastAsia="宋体"/>
                <w:sz w:val="21"/>
                <w:szCs w:val="21"/>
                <w:lang w:val="en-US" w:eastAsia="zh-CN"/>
              </w:rPr>
              <w:t>9</w:t>
            </w:r>
            <w:r>
              <w:rPr>
                <w:rFonts w:hint="eastAsia" w:ascii="宋体" w:hAnsi="宋体" w:eastAsia="宋体"/>
                <w:sz w:val="21"/>
                <w:szCs w:val="21"/>
                <w:lang w:eastAsia="zh-CN"/>
              </w:rPr>
              <w:t>,0</w:t>
            </w:r>
            <w:r>
              <w:rPr>
                <w:rFonts w:hint="eastAsia" w:ascii="宋体" w:hAnsi="宋体" w:eastAsia="宋体"/>
                <w:sz w:val="21"/>
                <w:szCs w:val="21"/>
              </w:rPr>
              <w:t>00.00</w:t>
            </w:r>
          </w:p>
        </w:tc>
        <w:tc>
          <w:tcPr>
            <w:tcW w:w="1143" w:type="dxa"/>
            <w:vAlign w:val="center"/>
          </w:tcPr>
          <w:p w14:paraId="51355AE5">
            <w:pPr>
              <w:keepNext w:val="0"/>
              <w:keepLines w:val="0"/>
              <w:widowControl/>
              <w:suppressLineNumbers w:val="0"/>
              <w:jc w:val="right"/>
              <w:textAlignment w:val="center"/>
              <w:rPr>
                <w:rFonts w:hint="eastAsia" w:ascii="宋体" w:hAnsi="宋体" w:eastAsia="宋体"/>
                <w:sz w:val="21"/>
                <w:szCs w:val="21"/>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color w:val="000000"/>
                <w:kern w:val="0"/>
                <w:sz w:val="22"/>
                <w:u w:val="none"/>
                <w:lang w:bidi="ar"/>
              </w:rPr>
              <w:t>13,710.4</w:t>
            </w:r>
            <w:r>
              <w:rPr>
                <w:rFonts w:hint="eastAsia" w:ascii="宋体" w:hAnsi="宋体" w:cs="宋体"/>
                <w:color w:val="000000"/>
                <w:kern w:val="0"/>
                <w:sz w:val="22"/>
                <w:u w:val="none"/>
                <w:lang w:val="en-US" w:eastAsia="zh-CN" w:bidi="ar"/>
              </w:rPr>
              <w:t>0</w:t>
            </w:r>
            <w:r>
              <w:rPr>
                <w:rFonts w:hint="eastAsia" w:ascii="宋体" w:hAnsi="宋体" w:cs="宋体"/>
                <w:color w:val="000000"/>
                <w:kern w:val="0"/>
                <w:sz w:val="22"/>
                <w:u w:val="none"/>
                <w:lang w:bidi="ar"/>
              </w:rPr>
              <w:t xml:space="preserve"> </w:t>
            </w:r>
            <w:r>
              <w:rPr>
                <w:rFonts w:hint="eastAsia" w:ascii="宋体" w:hAnsi="宋体" w:eastAsia="宋体" w:cs="宋体"/>
                <w:i w:val="0"/>
                <w:iCs w:val="0"/>
                <w:color w:val="000000"/>
                <w:kern w:val="0"/>
                <w:sz w:val="22"/>
                <w:szCs w:val="22"/>
                <w:u w:val="none"/>
                <w:lang w:val="en-US" w:eastAsia="zh-CN" w:bidi="ar"/>
              </w:rPr>
              <w:t xml:space="preserve"> </w:t>
            </w:r>
          </w:p>
        </w:tc>
        <w:tc>
          <w:tcPr>
            <w:tcW w:w="658" w:type="dxa"/>
            <w:vAlign w:val="center"/>
          </w:tcPr>
          <w:p w14:paraId="603FB78A">
            <w:pPr>
              <w:pStyle w:val="105"/>
              <w:jc w:val="center"/>
              <w:rPr>
                <w:rFonts w:hint="eastAsia" w:ascii="宋体" w:hAnsi="宋体" w:eastAsia="宋体"/>
                <w:sz w:val="21"/>
                <w:szCs w:val="21"/>
              </w:rPr>
            </w:pPr>
            <w:r>
              <w:rPr>
                <w:rFonts w:hint="eastAsia" w:ascii="宋体" w:hAnsi="宋体" w:eastAsia="宋体"/>
                <w:sz w:val="21"/>
                <w:szCs w:val="21"/>
              </w:rPr>
              <w:t>否</w:t>
            </w:r>
          </w:p>
        </w:tc>
        <w:tc>
          <w:tcPr>
            <w:tcW w:w="619" w:type="dxa"/>
            <w:vAlign w:val="center"/>
          </w:tcPr>
          <w:p w14:paraId="3BF80732">
            <w:pPr>
              <w:pStyle w:val="105"/>
              <w:jc w:val="center"/>
              <w:rPr>
                <w:rFonts w:hint="eastAsia" w:ascii="宋体" w:hAnsi="宋体" w:eastAsia="宋体"/>
                <w:sz w:val="21"/>
                <w:szCs w:val="21"/>
              </w:rPr>
            </w:pPr>
            <w:r>
              <w:rPr>
                <w:rFonts w:hint="eastAsia" w:ascii="宋体" w:hAnsi="宋体" w:eastAsia="宋体"/>
                <w:sz w:val="21"/>
                <w:szCs w:val="21"/>
              </w:rPr>
              <w:t>否</w:t>
            </w:r>
          </w:p>
        </w:tc>
      </w:tr>
      <w:tr w14:paraId="35551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956" w:type="dxa"/>
            <w:vAlign w:val="center"/>
          </w:tcPr>
          <w:p w14:paraId="22D5B5D3">
            <w:pPr>
              <w:pStyle w:val="105"/>
              <w:jc w:val="center"/>
              <w:rPr>
                <w:rFonts w:hint="eastAsia" w:ascii="宋体" w:hAnsi="宋体" w:eastAsia="宋体"/>
                <w:sz w:val="21"/>
                <w:szCs w:val="21"/>
              </w:rPr>
            </w:pPr>
            <w:r>
              <w:rPr>
                <w:rFonts w:hint="eastAsia" w:ascii="宋体" w:hAnsi="宋体" w:eastAsia="宋体"/>
                <w:sz w:val="21"/>
                <w:szCs w:val="21"/>
                <w:lang w:eastAsia="zh-CN"/>
              </w:rPr>
              <w:t>望变电气</w:t>
            </w:r>
          </w:p>
        </w:tc>
        <w:tc>
          <w:tcPr>
            <w:tcW w:w="1040" w:type="dxa"/>
            <w:vAlign w:val="center"/>
          </w:tcPr>
          <w:p w14:paraId="36A5FF66">
            <w:pPr>
              <w:widowControl/>
              <w:kinsoku w:val="0"/>
              <w:autoSpaceDE w:val="0"/>
              <w:autoSpaceDN w:val="0"/>
              <w:adjustRightInd w:val="0"/>
              <w:snapToGrid w:val="0"/>
              <w:spacing w:line="560" w:lineRule="exact"/>
              <w:jc w:val="center"/>
              <w:textAlignment w:val="baseline"/>
              <w:rPr>
                <w:rFonts w:hint="eastAsia" w:ascii="宋体" w:hAnsi="宋体" w:cs="宋体"/>
                <w:spacing w:val="-1"/>
                <w:szCs w:val="21"/>
              </w:rPr>
            </w:pPr>
            <w:r>
              <w:rPr>
                <w:rFonts w:hint="eastAsia" w:ascii="宋体" w:hAnsi="宋体"/>
                <w:szCs w:val="21"/>
              </w:rPr>
              <w:t>惠泽电器</w:t>
            </w:r>
          </w:p>
        </w:tc>
        <w:tc>
          <w:tcPr>
            <w:tcW w:w="879" w:type="dxa"/>
            <w:vAlign w:val="center"/>
          </w:tcPr>
          <w:p w14:paraId="4FEB8D62">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100</w:t>
            </w:r>
            <w:r>
              <w:rPr>
                <w:rFonts w:hint="eastAsia" w:ascii="宋体" w:hAnsi="宋体" w:eastAsia="宋体"/>
                <w:sz w:val="21"/>
                <w:szCs w:val="21"/>
                <w:lang w:val="en-US" w:eastAsia="zh-CN"/>
              </w:rPr>
              <w:t>.00</w:t>
            </w:r>
            <w:r>
              <w:rPr>
                <w:rFonts w:hint="eastAsia" w:ascii="宋体" w:hAnsi="宋体" w:eastAsia="宋体"/>
                <w:sz w:val="21"/>
                <w:szCs w:val="21"/>
                <w:lang w:eastAsia="zh-CN"/>
              </w:rPr>
              <w:t>%</w:t>
            </w:r>
          </w:p>
        </w:tc>
        <w:tc>
          <w:tcPr>
            <w:tcW w:w="1057" w:type="dxa"/>
            <w:vAlign w:val="center"/>
          </w:tcPr>
          <w:p w14:paraId="610821B1">
            <w:pPr>
              <w:keepNext w:val="0"/>
              <w:keepLines w:val="0"/>
              <w:widowControl/>
              <w:suppressLineNumbers w:val="0"/>
              <w:jc w:val="right"/>
              <w:textAlignment w:val="center"/>
              <w:rPr>
                <w:rFonts w:hint="eastAsia" w:ascii="宋体" w:hAnsi="宋体" w:eastAsia="宋体"/>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92.60%</w:t>
            </w:r>
          </w:p>
        </w:tc>
        <w:tc>
          <w:tcPr>
            <w:tcW w:w="1139" w:type="dxa"/>
            <w:vAlign w:val="center"/>
          </w:tcPr>
          <w:p w14:paraId="3A2F3D20">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5,000.00</w:t>
            </w:r>
          </w:p>
        </w:tc>
        <w:tc>
          <w:tcPr>
            <w:tcW w:w="1070" w:type="dxa"/>
            <w:vAlign w:val="center"/>
          </w:tcPr>
          <w:p w14:paraId="16A78CE6">
            <w:pPr>
              <w:pStyle w:val="105"/>
              <w:jc w:val="right"/>
              <w:rPr>
                <w:rFonts w:hint="eastAsia" w:ascii="宋体" w:hAnsi="宋体" w:eastAsia="宋体"/>
                <w:sz w:val="21"/>
                <w:szCs w:val="21"/>
                <w:highlight w:val="none"/>
                <w:lang w:eastAsia="zh-CN"/>
              </w:rPr>
            </w:pPr>
            <w:r>
              <w:rPr>
                <w:rFonts w:hint="eastAsia" w:ascii="宋体" w:hAnsi="宋体" w:eastAsia="宋体"/>
                <w:sz w:val="21"/>
                <w:szCs w:val="21"/>
                <w:highlight w:val="none"/>
                <w:lang w:val="en-US" w:eastAsia="zh-CN"/>
              </w:rPr>
              <w:t>0</w:t>
            </w:r>
          </w:p>
        </w:tc>
        <w:tc>
          <w:tcPr>
            <w:tcW w:w="1143" w:type="dxa"/>
            <w:vAlign w:val="center"/>
          </w:tcPr>
          <w:p w14:paraId="6349519B">
            <w:pPr>
              <w:keepNext w:val="0"/>
              <w:keepLines w:val="0"/>
              <w:widowControl/>
              <w:suppressLineNumbers w:val="0"/>
              <w:jc w:val="right"/>
              <w:textAlignment w:val="center"/>
              <w:rPr>
                <w:rFonts w:hint="eastAsia" w:ascii="宋体" w:hAnsi="宋体" w:eastAsia="宋体"/>
                <w:sz w:val="21"/>
                <w:szCs w:val="21"/>
                <w:highlight w:val="none"/>
                <w:lang w:eastAsia="zh-CN"/>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 xml:space="preserve">   </w:t>
            </w:r>
          </w:p>
        </w:tc>
        <w:tc>
          <w:tcPr>
            <w:tcW w:w="658" w:type="dxa"/>
            <w:vAlign w:val="center"/>
          </w:tcPr>
          <w:p w14:paraId="31F2C945">
            <w:pPr>
              <w:pStyle w:val="105"/>
              <w:jc w:val="center"/>
              <w:rPr>
                <w:rFonts w:hint="eastAsia" w:ascii="宋体" w:hAnsi="宋体" w:eastAsia="宋体"/>
                <w:sz w:val="21"/>
                <w:szCs w:val="21"/>
              </w:rPr>
            </w:pPr>
            <w:r>
              <w:rPr>
                <w:rFonts w:hint="eastAsia" w:ascii="宋体" w:hAnsi="宋体" w:eastAsia="宋体"/>
                <w:sz w:val="21"/>
                <w:szCs w:val="21"/>
              </w:rPr>
              <w:t>否</w:t>
            </w:r>
          </w:p>
        </w:tc>
        <w:tc>
          <w:tcPr>
            <w:tcW w:w="619" w:type="dxa"/>
            <w:vAlign w:val="center"/>
          </w:tcPr>
          <w:p w14:paraId="59434E13">
            <w:pPr>
              <w:pStyle w:val="105"/>
              <w:jc w:val="center"/>
              <w:rPr>
                <w:rFonts w:hint="eastAsia" w:ascii="宋体" w:hAnsi="宋体" w:eastAsia="宋体"/>
                <w:sz w:val="21"/>
                <w:szCs w:val="21"/>
              </w:rPr>
            </w:pPr>
            <w:r>
              <w:rPr>
                <w:rFonts w:hint="eastAsia" w:ascii="宋体" w:hAnsi="宋体" w:eastAsia="宋体"/>
                <w:sz w:val="21"/>
                <w:szCs w:val="21"/>
              </w:rPr>
              <w:t>否</w:t>
            </w:r>
          </w:p>
        </w:tc>
      </w:tr>
      <w:tr w14:paraId="6D6B1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996" w:type="dxa"/>
            <w:gridSpan w:val="2"/>
            <w:vAlign w:val="center"/>
          </w:tcPr>
          <w:p w14:paraId="4B6A6C48">
            <w:pPr>
              <w:jc w:val="center"/>
              <w:rPr>
                <w:rFonts w:hint="eastAsia" w:ascii="宋体" w:hAnsi="宋体" w:cs="宋体"/>
                <w:b/>
                <w:bCs/>
                <w:szCs w:val="21"/>
              </w:rPr>
            </w:pPr>
            <w:r>
              <w:rPr>
                <w:rFonts w:hint="eastAsia" w:ascii="宋体" w:hAnsi="宋体" w:cs="宋体"/>
                <w:b/>
                <w:bCs/>
                <w:spacing w:val="-2"/>
                <w:szCs w:val="21"/>
              </w:rPr>
              <w:t>合计</w:t>
            </w:r>
          </w:p>
        </w:tc>
        <w:tc>
          <w:tcPr>
            <w:tcW w:w="879" w:type="dxa"/>
            <w:vAlign w:val="center"/>
          </w:tcPr>
          <w:p w14:paraId="15517068">
            <w:pPr>
              <w:pStyle w:val="105"/>
              <w:jc w:val="right"/>
              <w:rPr>
                <w:rFonts w:hint="eastAsia" w:ascii="宋体" w:hAnsi="宋体" w:eastAsia="宋体"/>
                <w:b/>
                <w:bCs/>
                <w:sz w:val="21"/>
                <w:szCs w:val="21"/>
              </w:rPr>
            </w:pPr>
            <w:r>
              <w:rPr>
                <w:rFonts w:hint="eastAsia" w:ascii="宋体" w:hAnsi="宋体" w:eastAsia="宋体"/>
                <w:b/>
                <w:bCs/>
                <w:sz w:val="21"/>
                <w:szCs w:val="21"/>
                <w:lang w:eastAsia="zh-CN"/>
              </w:rPr>
              <w:t>—</w:t>
            </w:r>
          </w:p>
        </w:tc>
        <w:tc>
          <w:tcPr>
            <w:tcW w:w="1057" w:type="dxa"/>
            <w:vAlign w:val="center"/>
          </w:tcPr>
          <w:p w14:paraId="14542823">
            <w:pPr>
              <w:pStyle w:val="105"/>
              <w:jc w:val="right"/>
              <w:rPr>
                <w:rFonts w:hint="eastAsia" w:ascii="宋体" w:hAnsi="宋体" w:eastAsia="宋体"/>
                <w:b/>
                <w:bCs/>
                <w:sz w:val="21"/>
                <w:szCs w:val="21"/>
              </w:rPr>
            </w:pPr>
            <w:r>
              <w:rPr>
                <w:rFonts w:hint="eastAsia" w:ascii="宋体" w:hAnsi="宋体" w:eastAsia="宋体"/>
                <w:b/>
                <w:bCs/>
                <w:sz w:val="21"/>
                <w:szCs w:val="21"/>
                <w:lang w:eastAsia="zh-CN"/>
              </w:rPr>
              <w:t>—</w:t>
            </w:r>
          </w:p>
        </w:tc>
        <w:tc>
          <w:tcPr>
            <w:tcW w:w="1139" w:type="dxa"/>
            <w:vAlign w:val="center"/>
          </w:tcPr>
          <w:p w14:paraId="27540CAA">
            <w:pPr>
              <w:pStyle w:val="105"/>
              <w:jc w:val="right"/>
              <w:rPr>
                <w:rFonts w:hint="eastAsia" w:ascii="宋体" w:hAnsi="宋体" w:eastAsia="宋体"/>
                <w:b/>
                <w:bCs/>
                <w:sz w:val="21"/>
                <w:szCs w:val="21"/>
                <w:lang w:eastAsia="zh-CN"/>
              </w:rPr>
            </w:pPr>
            <w:r>
              <w:rPr>
                <w:rFonts w:hint="eastAsia" w:ascii="宋体" w:hAnsi="宋体" w:eastAsia="宋体"/>
                <w:b/>
                <w:bCs/>
                <w:sz w:val="21"/>
                <w:szCs w:val="21"/>
                <w:lang w:eastAsia="zh-CN"/>
              </w:rPr>
              <w:t>116,000.00</w:t>
            </w:r>
          </w:p>
        </w:tc>
        <w:tc>
          <w:tcPr>
            <w:tcW w:w="1070" w:type="dxa"/>
            <w:vAlign w:val="center"/>
          </w:tcPr>
          <w:p w14:paraId="5A880911">
            <w:pPr>
              <w:pStyle w:val="105"/>
              <w:jc w:val="right"/>
              <w:rPr>
                <w:rFonts w:hint="eastAsia" w:ascii="宋体" w:hAnsi="宋体" w:eastAsia="宋体"/>
                <w:b/>
                <w:bCs/>
                <w:sz w:val="21"/>
                <w:szCs w:val="21"/>
              </w:rPr>
            </w:pPr>
            <w:r>
              <w:rPr>
                <w:rFonts w:hint="eastAsia" w:ascii="宋体" w:hAnsi="宋体" w:eastAsia="宋体"/>
                <w:b/>
                <w:bCs/>
                <w:sz w:val="21"/>
                <w:szCs w:val="21"/>
                <w:lang w:val="en-US" w:eastAsia="zh-CN"/>
              </w:rPr>
              <w:t>30</w:t>
            </w:r>
            <w:r>
              <w:rPr>
                <w:rFonts w:hint="eastAsia" w:ascii="宋体" w:hAnsi="宋体" w:eastAsia="宋体"/>
                <w:b/>
                <w:bCs/>
                <w:sz w:val="21"/>
                <w:szCs w:val="21"/>
              </w:rPr>
              <w:t>,000.00</w:t>
            </w:r>
          </w:p>
        </w:tc>
        <w:tc>
          <w:tcPr>
            <w:tcW w:w="1143" w:type="dxa"/>
            <w:vAlign w:val="center"/>
          </w:tcPr>
          <w:p w14:paraId="275B6066">
            <w:pPr>
              <w:widowControl/>
              <w:textAlignment w:val="center"/>
              <w:rPr>
                <w:rFonts w:hint="eastAsia" w:ascii="宋体" w:hAnsi="宋体" w:eastAsia="宋体"/>
                <w:b/>
                <w:bCs/>
                <w:sz w:val="21"/>
                <w:szCs w:val="21"/>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b/>
                <w:bCs/>
                <w:color w:val="000000"/>
                <w:kern w:val="0"/>
                <w:sz w:val="22"/>
                <w:u w:val="none"/>
                <w:lang w:bidi="ar"/>
              </w:rPr>
              <w:t xml:space="preserve">19,073.73  </w:t>
            </w:r>
            <w:r>
              <w:rPr>
                <w:rFonts w:hint="eastAsia" w:ascii="宋体" w:hAnsi="宋体" w:eastAsia="宋体" w:cs="宋体"/>
                <w:i w:val="0"/>
                <w:iCs w:val="0"/>
                <w:color w:val="000000"/>
                <w:kern w:val="0"/>
                <w:sz w:val="22"/>
                <w:szCs w:val="22"/>
                <w:u w:val="none"/>
                <w:lang w:val="en-US" w:eastAsia="zh-CN" w:bidi="ar"/>
              </w:rPr>
              <w:t xml:space="preserve"> </w:t>
            </w:r>
          </w:p>
        </w:tc>
        <w:tc>
          <w:tcPr>
            <w:tcW w:w="658" w:type="dxa"/>
            <w:vAlign w:val="center"/>
          </w:tcPr>
          <w:p w14:paraId="14D43911">
            <w:pPr>
              <w:pStyle w:val="105"/>
              <w:jc w:val="right"/>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w:t>
            </w:r>
          </w:p>
        </w:tc>
        <w:tc>
          <w:tcPr>
            <w:tcW w:w="619" w:type="dxa"/>
            <w:vAlign w:val="center"/>
          </w:tcPr>
          <w:p w14:paraId="028A9317">
            <w:pPr>
              <w:pStyle w:val="105"/>
              <w:jc w:val="right"/>
              <w:rPr>
                <w:rFonts w:hint="eastAsia" w:ascii="宋体" w:hAnsi="宋体" w:eastAsia="宋体"/>
                <w:b/>
                <w:bCs/>
                <w:sz w:val="21"/>
                <w:szCs w:val="21"/>
              </w:rPr>
            </w:pPr>
            <w:r>
              <w:rPr>
                <w:rFonts w:hint="eastAsia" w:ascii="宋体" w:hAnsi="宋体" w:eastAsia="宋体"/>
                <w:b/>
                <w:bCs/>
                <w:sz w:val="21"/>
                <w:szCs w:val="21"/>
              </w:rPr>
              <w:t>-</w:t>
            </w:r>
          </w:p>
        </w:tc>
      </w:tr>
    </w:tbl>
    <w:p w14:paraId="043BC9C0">
      <w:pPr>
        <w:spacing w:line="560" w:lineRule="exact"/>
        <w:rPr>
          <w:rFonts w:hint="eastAsia" w:ascii="宋体" w:hAnsi="宋体" w:cs="宋体"/>
          <w:kern w:val="0"/>
          <w:sz w:val="24"/>
          <w:szCs w:val="24"/>
        </w:rPr>
      </w:pPr>
    </w:p>
    <w:p w14:paraId="7143BB58">
      <w:pPr>
        <w:numPr>
          <w:ilvl w:val="0"/>
          <w:numId w:val="14"/>
        </w:numPr>
        <w:autoSpaceDE w:val="0"/>
        <w:autoSpaceDN w:val="0"/>
        <w:adjustRightInd w:val="0"/>
        <w:spacing w:line="560" w:lineRule="exact"/>
        <w:rPr>
          <w:rFonts w:hint="eastAsia" w:ascii="宋体" w:hAnsi="宋体" w:cs="宋体"/>
          <w:b/>
          <w:sz w:val="24"/>
          <w:szCs w:val="24"/>
        </w:rPr>
      </w:pPr>
      <w:r>
        <w:rPr>
          <w:rFonts w:hint="eastAsia" w:ascii="宋体" w:hAnsi="宋体" w:cs="宋体"/>
          <w:b/>
          <w:sz w:val="24"/>
          <w:szCs w:val="24"/>
        </w:rPr>
        <w:t>被担保人基本情况</w:t>
      </w:r>
    </w:p>
    <w:p w14:paraId="7ABC247D">
      <w:pPr>
        <w:autoSpaceDE w:val="0"/>
        <w:autoSpaceDN w:val="0"/>
        <w:adjustRightInd w:val="0"/>
        <w:spacing w:line="560" w:lineRule="exact"/>
        <w:ind w:firstLine="480" w:firstLineChars="200"/>
        <w:rPr>
          <w:rFonts w:hint="eastAsia" w:ascii="宋体" w:hAnsi="宋体" w:cs="宋体"/>
          <w:bCs/>
          <w:sz w:val="24"/>
          <w:szCs w:val="24"/>
        </w:rPr>
      </w:pPr>
      <w:r>
        <w:rPr>
          <w:rFonts w:hint="eastAsia" w:ascii="宋体" w:hAnsi="宋体" w:cs="宋体"/>
          <w:bCs/>
          <w:sz w:val="24"/>
          <w:szCs w:val="24"/>
        </w:rPr>
        <w:t>本月新增担保的被担保方</w:t>
      </w:r>
      <w:r>
        <w:rPr>
          <w:rFonts w:hint="eastAsia" w:ascii="宋体" w:hAnsi="宋体" w:cs="宋体"/>
          <w:bCs/>
          <w:snapToGrid w:val="0"/>
          <w:kern w:val="0"/>
          <w:sz w:val="24"/>
          <w:szCs w:val="24"/>
        </w:rPr>
        <w:t>云南变压器电气股份有限公司的基本情况如下：</w:t>
      </w:r>
    </w:p>
    <w:p w14:paraId="739F4AB8">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 xml:space="preserve">公司名称：云南变压器电气股份有限公司 </w:t>
      </w:r>
    </w:p>
    <w:p w14:paraId="2D1492B4">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统一社会信用代码：91530000713402501X</w:t>
      </w:r>
    </w:p>
    <w:p w14:paraId="3A8A0CD4">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成立时间：1999年01月23日</w:t>
      </w:r>
    </w:p>
    <w:p w14:paraId="3D02D0DC">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 xml:space="preserve">注册地点：中国（云南）自由贸易试验区昆明片区经开区洛羊街道办事处拓翔路212号 </w:t>
      </w:r>
    </w:p>
    <w:p w14:paraId="4CDC7CD8">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法定代表人：肖斌</w:t>
      </w:r>
    </w:p>
    <w:p w14:paraId="249CE1F4">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注册资本：人民币 10,041.3641万元</w:t>
      </w:r>
    </w:p>
    <w:p w14:paraId="21B1950A">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主要股东：公司持股79.97%</w:t>
      </w:r>
    </w:p>
    <w:p w14:paraId="011E2CDE">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经营范围：各种变压器的生产制造、销售；变压器产品生产所需的原辅助材料、电磁线、硅钢片、机械设备、仪器仪表、备品、备件、零配件、高低压开关柜、箱式变电站、电线电缆及相关技术，变压器修理，电子电器产品；货物进出口、技术进出口业务；电力工程施工总承包；电力设施承装（修、试）业务。</w:t>
      </w:r>
    </w:p>
    <w:p w14:paraId="168A4E44">
      <w:pPr>
        <w:widowControl/>
        <w:kinsoku w:val="0"/>
        <w:autoSpaceDE w:val="0"/>
        <w:autoSpaceDN w:val="0"/>
        <w:adjustRightInd w:val="0"/>
        <w:snapToGrid w:val="0"/>
        <w:spacing w:line="560" w:lineRule="exact"/>
        <w:ind w:firstLine="480" w:firstLineChars="200"/>
        <w:jc w:val="left"/>
        <w:textAlignment w:val="baseline"/>
        <w:rPr>
          <w:rFonts w:hint="eastAsia" w:ascii="宋体" w:hAnsi="宋体" w:cs="宋体"/>
          <w:bCs/>
          <w:snapToGrid w:val="0"/>
          <w:kern w:val="0"/>
          <w:sz w:val="24"/>
          <w:szCs w:val="24"/>
        </w:rPr>
      </w:pPr>
      <w:r>
        <w:rPr>
          <w:rFonts w:hint="eastAsia" w:ascii="宋体" w:hAnsi="宋体" w:cs="宋体"/>
          <w:bCs/>
          <w:snapToGrid w:val="0"/>
          <w:kern w:val="0"/>
          <w:sz w:val="24"/>
          <w:szCs w:val="24"/>
        </w:rPr>
        <w:t>最近一年及一期的财务数据：</w:t>
      </w:r>
    </w:p>
    <w:p w14:paraId="6FCFDF1C">
      <w:pPr>
        <w:widowControl/>
        <w:kinsoku w:val="0"/>
        <w:autoSpaceDE w:val="0"/>
        <w:autoSpaceDN w:val="0"/>
        <w:adjustRightInd w:val="0"/>
        <w:snapToGrid w:val="0"/>
        <w:spacing w:line="560" w:lineRule="exact"/>
        <w:jc w:val="right"/>
        <w:textAlignment w:val="baseline"/>
        <w:rPr>
          <w:rFonts w:hint="eastAsia" w:ascii="宋体" w:hAnsi="宋体" w:cs="宋体"/>
          <w:bCs/>
          <w:snapToGrid w:val="0"/>
          <w:kern w:val="0"/>
          <w:szCs w:val="21"/>
          <w:lang w:eastAsia="en-US"/>
        </w:rPr>
      </w:pPr>
      <w:r>
        <w:rPr>
          <w:rFonts w:hint="eastAsia" w:ascii="宋体" w:hAnsi="宋体" w:cs="宋体"/>
          <w:bCs/>
          <w:snapToGrid w:val="0"/>
          <w:kern w:val="0"/>
          <w:szCs w:val="21"/>
        </w:rPr>
        <w:t xml:space="preserve">  </w:t>
      </w:r>
      <w:r>
        <w:rPr>
          <w:rFonts w:hint="eastAsia" w:ascii="宋体" w:hAnsi="宋体" w:cs="宋体"/>
          <w:bCs/>
          <w:snapToGrid w:val="0"/>
          <w:kern w:val="0"/>
          <w:szCs w:val="21"/>
          <w:lang w:eastAsia="en-US"/>
        </w:rPr>
        <w:t>单位：人民币/万元</w:t>
      </w:r>
    </w:p>
    <w:tbl>
      <w:tblPr>
        <w:tblStyle w:val="88"/>
        <w:tblW w:w="4998" w:type="pct"/>
        <w:tblInd w:w="10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1621"/>
        <w:gridCol w:w="3486"/>
        <w:gridCol w:w="3406"/>
      </w:tblGrid>
      <w:tr w14:paraId="0A28DD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35" w:hRule="atLeast"/>
        </w:trPr>
        <w:tc>
          <w:tcPr>
            <w:tcW w:w="952" w:type="pct"/>
            <w:shd w:val="clear" w:color="auto" w:fill="auto"/>
            <w:vAlign w:val="center"/>
          </w:tcPr>
          <w:p w14:paraId="4B2C7274">
            <w:pPr>
              <w:widowControl/>
              <w:jc w:val="center"/>
              <w:textAlignment w:val="top"/>
              <w:rPr>
                <w:rFonts w:hint="eastAsia" w:ascii="宋体" w:hAnsi="宋体" w:cs="宋体"/>
                <w:b/>
                <w:bCs/>
                <w:color w:val="000000"/>
                <w:szCs w:val="21"/>
              </w:rPr>
            </w:pPr>
            <w:r>
              <w:rPr>
                <w:rStyle w:val="147"/>
                <w:rFonts w:hint="default"/>
                <w:sz w:val="21"/>
                <w:szCs w:val="21"/>
                <w:lang w:bidi="ar"/>
              </w:rPr>
              <w:t>科目</w:t>
            </w:r>
          </w:p>
        </w:tc>
        <w:tc>
          <w:tcPr>
            <w:tcW w:w="2047" w:type="pct"/>
            <w:shd w:val="clear" w:color="auto" w:fill="auto"/>
            <w:vAlign w:val="center"/>
          </w:tcPr>
          <w:p w14:paraId="6A16D406">
            <w:pPr>
              <w:widowControl/>
              <w:jc w:val="center"/>
              <w:textAlignment w:val="top"/>
              <w:rPr>
                <w:rStyle w:val="147"/>
                <w:rFonts w:hint="default"/>
                <w:sz w:val="21"/>
                <w:szCs w:val="21"/>
                <w:highlight w:val="none"/>
                <w:lang w:bidi="ar"/>
              </w:rPr>
            </w:pPr>
            <w:r>
              <w:rPr>
                <w:rFonts w:hint="eastAsia" w:ascii="宋体" w:hAnsi="宋体" w:cs="宋体"/>
                <w:b/>
                <w:bCs/>
                <w:color w:val="000000"/>
                <w:kern w:val="0"/>
                <w:szCs w:val="21"/>
                <w:highlight w:val="none"/>
                <w:lang w:bidi="ar"/>
              </w:rPr>
              <w:t>2024年6月</w:t>
            </w:r>
            <w:r>
              <w:rPr>
                <w:rStyle w:val="147"/>
                <w:rFonts w:hint="default"/>
                <w:sz w:val="21"/>
                <w:szCs w:val="21"/>
                <w:highlight w:val="none"/>
                <w:lang w:bidi="ar"/>
              </w:rPr>
              <w:t>3</w:t>
            </w:r>
            <w:r>
              <w:rPr>
                <w:rStyle w:val="147"/>
                <w:sz w:val="21"/>
                <w:szCs w:val="21"/>
                <w:highlight w:val="none"/>
                <w:lang w:bidi="ar"/>
              </w:rPr>
              <w:t>0</w:t>
            </w:r>
            <w:r>
              <w:rPr>
                <w:rStyle w:val="147"/>
                <w:rFonts w:hint="default"/>
                <w:sz w:val="21"/>
                <w:szCs w:val="21"/>
                <w:highlight w:val="none"/>
                <w:lang w:bidi="ar"/>
              </w:rPr>
              <w:t>日/202</w:t>
            </w:r>
            <w:r>
              <w:rPr>
                <w:rStyle w:val="147"/>
                <w:sz w:val="21"/>
                <w:szCs w:val="21"/>
                <w:highlight w:val="none"/>
                <w:lang w:bidi="ar"/>
              </w:rPr>
              <w:t>4</w:t>
            </w:r>
            <w:r>
              <w:rPr>
                <w:rStyle w:val="147"/>
                <w:rFonts w:hint="default"/>
                <w:sz w:val="21"/>
                <w:szCs w:val="21"/>
                <w:highlight w:val="none"/>
                <w:lang w:bidi="ar"/>
              </w:rPr>
              <w:t>年</w:t>
            </w:r>
            <w:r>
              <w:rPr>
                <w:rStyle w:val="147"/>
                <w:sz w:val="21"/>
                <w:szCs w:val="21"/>
                <w:highlight w:val="none"/>
                <w:lang w:bidi="ar"/>
              </w:rPr>
              <w:t>半年度</w:t>
            </w:r>
          </w:p>
          <w:p w14:paraId="15392B8A">
            <w:pPr>
              <w:widowControl/>
              <w:jc w:val="center"/>
              <w:textAlignment w:val="top"/>
              <w:rPr>
                <w:rFonts w:hint="eastAsia" w:ascii="宋体" w:hAnsi="宋体" w:cs="宋体"/>
                <w:b/>
                <w:bCs/>
                <w:color w:val="000000"/>
                <w:szCs w:val="21"/>
              </w:rPr>
            </w:pPr>
            <w:r>
              <w:rPr>
                <w:rStyle w:val="147"/>
                <w:rFonts w:hint="default"/>
                <w:sz w:val="21"/>
                <w:szCs w:val="21"/>
                <w:highlight w:val="none"/>
                <w:lang w:bidi="ar"/>
              </w:rPr>
              <w:t>（</w:t>
            </w:r>
            <w:r>
              <w:rPr>
                <w:rStyle w:val="147"/>
                <w:sz w:val="21"/>
                <w:szCs w:val="21"/>
                <w:highlight w:val="none"/>
                <w:lang w:bidi="ar"/>
              </w:rPr>
              <w:t>未经</w:t>
            </w:r>
            <w:r>
              <w:rPr>
                <w:rStyle w:val="147"/>
                <w:rFonts w:hint="default"/>
                <w:sz w:val="21"/>
                <w:szCs w:val="21"/>
                <w:highlight w:val="none"/>
                <w:lang w:bidi="ar"/>
              </w:rPr>
              <w:t>审计）</w:t>
            </w:r>
          </w:p>
        </w:tc>
        <w:tc>
          <w:tcPr>
            <w:tcW w:w="2000" w:type="pct"/>
            <w:shd w:val="clear" w:color="auto" w:fill="auto"/>
            <w:vAlign w:val="center"/>
          </w:tcPr>
          <w:p w14:paraId="14DAAA45">
            <w:pPr>
              <w:widowControl/>
              <w:jc w:val="center"/>
              <w:textAlignment w:val="top"/>
              <w:rPr>
                <w:rStyle w:val="147"/>
                <w:rFonts w:hint="default"/>
                <w:sz w:val="21"/>
                <w:szCs w:val="21"/>
                <w:lang w:bidi="ar"/>
              </w:rPr>
            </w:pPr>
            <w:r>
              <w:rPr>
                <w:rFonts w:hint="eastAsia" w:ascii="宋体" w:hAnsi="宋体" w:cs="宋体"/>
                <w:b/>
                <w:bCs/>
                <w:color w:val="000000"/>
                <w:kern w:val="0"/>
                <w:szCs w:val="21"/>
                <w:lang w:bidi="ar"/>
              </w:rPr>
              <w:t>202</w:t>
            </w:r>
            <w:r>
              <w:rPr>
                <w:rFonts w:hint="eastAsia" w:ascii="宋体" w:hAnsi="宋体" w:cs="宋体"/>
                <w:b/>
                <w:bCs/>
                <w:color w:val="000000"/>
                <w:kern w:val="0"/>
                <w:szCs w:val="21"/>
                <w:lang w:val="en-US" w:eastAsia="zh-CN" w:bidi="ar"/>
              </w:rPr>
              <w:t>3</w:t>
            </w:r>
            <w:r>
              <w:rPr>
                <w:rFonts w:hint="eastAsia" w:ascii="宋体" w:hAnsi="宋体" w:cs="宋体"/>
                <w:b/>
                <w:bCs/>
                <w:color w:val="000000"/>
                <w:kern w:val="0"/>
                <w:szCs w:val="21"/>
                <w:lang w:bidi="ar"/>
              </w:rPr>
              <w:t>年12月</w:t>
            </w:r>
            <w:r>
              <w:rPr>
                <w:rStyle w:val="147"/>
                <w:rFonts w:hint="default"/>
                <w:sz w:val="21"/>
                <w:szCs w:val="21"/>
                <w:lang w:bidi="ar"/>
              </w:rPr>
              <w:t>31日/202</w:t>
            </w:r>
            <w:r>
              <w:rPr>
                <w:rStyle w:val="147"/>
                <w:rFonts w:hint="eastAsia"/>
                <w:sz w:val="21"/>
                <w:szCs w:val="21"/>
                <w:lang w:val="en-US" w:eastAsia="zh-CN" w:bidi="ar"/>
              </w:rPr>
              <w:t>3</w:t>
            </w:r>
            <w:r>
              <w:rPr>
                <w:rStyle w:val="147"/>
                <w:rFonts w:hint="default"/>
                <w:sz w:val="21"/>
                <w:szCs w:val="21"/>
                <w:lang w:bidi="ar"/>
              </w:rPr>
              <w:t>年度</w:t>
            </w:r>
          </w:p>
          <w:p w14:paraId="2BB54A67">
            <w:pPr>
              <w:widowControl/>
              <w:jc w:val="center"/>
              <w:textAlignment w:val="top"/>
              <w:rPr>
                <w:rFonts w:hint="eastAsia" w:ascii="宋体" w:hAnsi="宋体" w:cs="宋体"/>
                <w:b/>
                <w:bCs/>
                <w:color w:val="000000"/>
                <w:szCs w:val="21"/>
              </w:rPr>
            </w:pPr>
            <w:r>
              <w:rPr>
                <w:rStyle w:val="147"/>
                <w:rFonts w:hint="default"/>
                <w:sz w:val="21"/>
                <w:szCs w:val="21"/>
                <w:lang w:bidi="ar"/>
              </w:rPr>
              <w:t>（</w:t>
            </w:r>
            <w:r>
              <w:rPr>
                <w:rStyle w:val="147"/>
                <w:sz w:val="21"/>
                <w:szCs w:val="21"/>
                <w:lang w:bidi="ar"/>
              </w:rPr>
              <w:t>经</w:t>
            </w:r>
            <w:r>
              <w:rPr>
                <w:rStyle w:val="147"/>
                <w:rFonts w:hint="default"/>
                <w:sz w:val="21"/>
                <w:szCs w:val="21"/>
                <w:lang w:bidi="ar"/>
              </w:rPr>
              <w:t>审计）</w:t>
            </w:r>
          </w:p>
        </w:tc>
      </w:tr>
      <w:tr w14:paraId="270E5C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75" w:hRule="atLeast"/>
        </w:trPr>
        <w:tc>
          <w:tcPr>
            <w:tcW w:w="952" w:type="pct"/>
            <w:shd w:val="clear" w:color="auto" w:fill="auto"/>
            <w:vAlign w:val="center"/>
          </w:tcPr>
          <w:p w14:paraId="7217D3CE">
            <w:pPr>
              <w:widowControl/>
              <w:jc w:val="center"/>
              <w:textAlignment w:val="top"/>
              <w:rPr>
                <w:rFonts w:hint="eastAsia" w:ascii="宋体" w:hAnsi="宋体" w:cs="宋体"/>
                <w:color w:val="000000"/>
                <w:szCs w:val="21"/>
              </w:rPr>
            </w:pPr>
            <w:r>
              <w:rPr>
                <w:rStyle w:val="148"/>
                <w:rFonts w:hint="default"/>
                <w:sz w:val="21"/>
                <w:szCs w:val="21"/>
                <w:lang w:bidi="ar"/>
              </w:rPr>
              <w:t>资产总额</w:t>
            </w:r>
          </w:p>
        </w:tc>
        <w:tc>
          <w:tcPr>
            <w:tcW w:w="3486" w:type="dxa"/>
            <w:shd w:val="clear" w:color="auto" w:fill="auto"/>
            <w:vAlign w:val="center"/>
          </w:tcPr>
          <w:p w14:paraId="3C44684E">
            <w:pPr>
              <w:keepNext w:val="0"/>
              <w:keepLines w:val="0"/>
              <w:widowControl/>
              <w:suppressLineNumbers w:val="0"/>
              <w:jc w:val="righ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 xml:space="preserve"> 160,047.59 </w:t>
            </w:r>
          </w:p>
        </w:tc>
        <w:tc>
          <w:tcPr>
            <w:tcW w:w="3406" w:type="dxa"/>
            <w:shd w:val="clear" w:color="auto" w:fill="auto"/>
            <w:vAlign w:val="center"/>
          </w:tcPr>
          <w:p w14:paraId="438DC543">
            <w:pPr>
              <w:keepNext w:val="0"/>
              <w:keepLines w:val="0"/>
              <w:widowControl/>
              <w:suppressLineNumbers w:val="0"/>
              <w:jc w:val="righ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158,731.03</w:t>
            </w:r>
          </w:p>
        </w:tc>
      </w:tr>
      <w:tr w14:paraId="2CAC19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75" w:hRule="atLeast"/>
        </w:trPr>
        <w:tc>
          <w:tcPr>
            <w:tcW w:w="952" w:type="pct"/>
            <w:shd w:val="clear" w:color="auto" w:fill="auto"/>
            <w:vAlign w:val="center"/>
          </w:tcPr>
          <w:p w14:paraId="19BC9CBB">
            <w:pPr>
              <w:widowControl/>
              <w:jc w:val="center"/>
              <w:textAlignment w:val="top"/>
              <w:rPr>
                <w:rFonts w:hint="eastAsia" w:ascii="宋体" w:hAnsi="宋体" w:cs="宋体"/>
                <w:color w:val="000000"/>
                <w:szCs w:val="21"/>
              </w:rPr>
            </w:pPr>
            <w:r>
              <w:rPr>
                <w:rStyle w:val="148"/>
                <w:rFonts w:hint="default"/>
                <w:sz w:val="21"/>
                <w:szCs w:val="21"/>
                <w:lang w:bidi="ar"/>
              </w:rPr>
              <w:t>负债总额</w:t>
            </w:r>
          </w:p>
        </w:tc>
        <w:tc>
          <w:tcPr>
            <w:tcW w:w="3486" w:type="dxa"/>
            <w:shd w:val="clear" w:color="auto" w:fill="auto"/>
            <w:vAlign w:val="center"/>
          </w:tcPr>
          <w:p w14:paraId="37D1B4B5">
            <w:pPr>
              <w:keepNext w:val="0"/>
              <w:keepLines w:val="0"/>
              <w:widowControl/>
              <w:suppressLineNumbers w:val="0"/>
              <w:jc w:val="righ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 xml:space="preserve"> 92,862.56 </w:t>
            </w:r>
          </w:p>
        </w:tc>
        <w:tc>
          <w:tcPr>
            <w:tcW w:w="3406" w:type="dxa"/>
            <w:shd w:val="clear" w:color="auto" w:fill="auto"/>
            <w:vAlign w:val="center"/>
          </w:tcPr>
          <w:p w14:paraId="4FEDEF2B">
            <w:pPr>
              <w:keepNext w:val="0"/>
              <w:keepLines w:val="0"/>
              <w:widowControl/>
              <w:suppressLineNumbers w:val="0"/>
              <w:jc w:val="righ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91,439.85</w:t>
            </w:r>
          </w:p>
        </w:tc>
      </w:tr>
      <w:tr w14:paraId="0A2EDD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75" w:hRule="atLeast"/>
        </w:trPr>
        <w:tc>
          <w:tcPr>
            <w:tcW w:w="952" w:type="pct"/>
            <w:shd w:val="clear" w:color="auto" w:fill="auto"/>
            <w:vAlign w:val="center"/>
          </w:tcPr>
          <w:p w14:paraId="625C0069">
            <w:pPr>
              <w:widowControl/>
              <w:jc w:val="center"/>
              <w:textAlignment w:val="top"/>
              <w:rPr>
                <w:rFonts w:hint="eastAsia" w:ascii="宋体" w:hAnsi="宋体" w:cs="宋体"/>
                <w:color w:val="000000"/>
                <w:szCs w:val="21"/>
              </w:rPr>
            </w:pPr>
            <w:r>
              <w:rPr>
                <w:rStyle w:val="148"/>
                <w:rFonts w:hint="default"/>
                <w:sz w:val="21"/>
                <w:szCs w:val="21"/>
                <w:lang w:bidi="ar"/>
              </w:rPr>
              <w:t>净资产</w:t>
            </w:r>
          </w:p>
        </w:tc>
        <w:tc>
          <w:tcPr>
            <w:tcW w:w="3486" w:type="dxa"/>
            <w:shd w:val="clear" w:color="auto" w:fill="auto"/>
            <w:vAlign w:val="center"/>
          </w:tcPr>
          <w:p w14:paraId="5EB98838">
            <w:pPr>
              <w:keepNext w:val="0"/>
              <w:keepLines w:val="0"/>
              <w:widowControl/>
              <w:suppressLineNumbers w:val="0"/>
              <w:jc w:val="righ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 xml:space="preserve"> 67,185.03 </w:t>
            </w:r>
          </w:p>
        </w:tc>
        <w:tc>
          <w:tcPr>
            <w:tcW w:w="3406" w:type="dxa"/>
            <w:shd w:val="clear" w:color="auto" w:fill="auto"/>
            <w:vAlign w:val="center"/>
          </w:tcPr>
          <w:p w14:paraId="206BDA78">
            <w:pPr>
              <w:keepNext w:val="0"/>
              <w:keepLines w:val="0"/>
              <w:widowControl/>
              <w:suppressLineNumbers w:val="0"/>
              <w:jc w:val="righ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67,291.18</w:t>
            </w:r>
          </w:p>
        </w:tc>
      </w:tr>
      <w:tr w14:paraId="2B70C4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75" w:hRule="atLeast"/>
        </w:trPr>
        <w:tc>
          <w:tcPr>
            <w:tcW w:w="952" w:type="pct"/>
            <w:shd w:val="clear" w:color="auto" w:fill="auto"/>
            <w:vAlign w:val="center"/>
          </w:tcPr>
          <w:p w14:paraId="32F759F5">
            <w:pPr>
              <w:widowControl/>
              <w:jc w:val="center"/>
              <w:textAlignment w:val="top"/>
              <w:rPr>
                <w:rFonts w:hint="eastAsia" w:ascii="宋体" w:hAnsi="宋体" w:cs="宋体"/>
                <w:color w:val="000000"/>
                <w:szCs w:val="21"/>
              </w:rPr>
            </w:pPr>
            <w:r>
              <w:rPr>
                <w:rStyle w:val="148"/>
                <w:rFonts w:hint="default"/>
                <w:sz w:val="21"/>
                <w:szCs w:val="21"/>
                <w:lang w:bidi="ar"/>
              </w:rPr>
              <w:t>营业收入</w:t>
            </w:r>
          </w:p>
        </w:tc>
        <w:tc>
          <w:tcPr>
            <w:tcW w:w="3486" w:type="dxa"/>
            <w:shd w:val="clear" w:color="auto" w:fill="auto"/>
            <w:vAlign w:val="center"/>
          </w:tcPr>
          <w:p w14:paraId="6C4E9C09">
            <w:pPr>
              <w:keepNext w:val="0"/>
              <w:keepLines w:val="0"/>
              <w:widowControl/>
              <w:suppressLineNumbers w:val="0"/>
              <w:jc w:val="righ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 xml:space="preserve"> 22,755.03 </w:t>
            </w:r>
          </w:p>
        </w:tc>
        <w:tc>
          <w:tcPr>
            <w:tcW w:w="3406" w:type="dxa"/>
            <w:shd w:val="clear" w:color="auto" w:fill="auto"/>
            <w:vAlign w:val="center"/>
          </w:tcPr>
          <w:p w14:paraId="6434C834">
            <w:pPr>
              <w:keepNext w:val="0"/>
              <w:keepLines w:val="0"/>
              <w:widowControl/>
              <w:suppressLineNumbers w:val="0"/>
              <w:jc w:val="righ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80,828.53</w:t>
            </w:r>
          </w:p>
        </w:tc>
      </w:tr>
      <w:tr w14:paraId="761FE6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75" w:hRule="atLeast"/>
        </w:trPr>
        <w:tc>
          <w:tcPr>
            <w:tcW w:w="952" w:type="pct"/>
            <w:shd w:val="clear" w:color="auto" w:fill="auto"/>
            <w:vAlign w:val="center"/>
          </w:tcPr>
          <w:p w14:paraId="547ABC5B">
            <w:pPr>
              <w:widowControl/>
              <w:jc w:val="center"/>
              <w:textAlignment w:val="top"/>
              <w:rPr>
                <w:rFonts w:hint="eastAsia" w:ascii="宋体" w:hAnsi="宋体" w:cs="宋体"/>
                <w:color w:val="000000"/>
                <w:szCs w:val="21"/>
              </w:rPr>
            </w:pPr>
            <w:r>
              <w:rPr>
                <w:rStyle w:val="148"/>
                <w:rFonts w:hint="default"/>
                <w:sz w:val="21"/>
                <w:szCs w:val="21"/>
                <w:lang w:bidi="ar"/>
              </w:rPr>
              <w:t>净利润</w:t>
            </w:r>
          </w:p>
        </w:tc>
        <w:tc>
          <w:tcPr>
            <w:tcW w:w="3486" w:type="dxa"/>
            <w:shd w:val="clear" w:color="auto" w:fill="auto"/>
            <w:vAlign w:val="center"/>
          </w:tcPr>
          <w:p w14:paraId="05A0189B">
            <w:pPr>
              <w:keepNext w:val="0"/>
              <w:keepLines w:val="0"/>
              <w:widowControl/>
              <w:suppressLineNumbers w:val="0"/>
              <w:jc w:val="righ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 xml:space="preserve"> 1,030.63 </w:t>
            </w:r>
          </w:p>
        </w:tc>
        <w:tc>
          <w:tcPr>
            <w:tcW w:w="3406" w:type="dxa"/>
            <w:shd w:val="clear" w:color="auto" w:fill="auto"/>
            <w:vAlign w:val="center"/>
          </w:tcPr>
          <w:p w14:paraId="1338BEB7">
            <w:pPr>
              <w:keepNext w:val="0"/>
              <w:keepLines w:val="0"/>
              <w:widowControl/>
              <w:suppressLineNumbers w:val="0"/>
              <w:jc w:val="righ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8,112.29</w:t>
            </w:r>
          </w:p>
        </w:tc>
      </w:tr>
    </w:tbl>
    <w:p w14:paraId="1039BE5D">
      <w:pPr>
        <w:autoSpaceDE w:val="0"/>
        <w:autoSpaceDN w:val="0"/>
        <w:adjustRightInd w:val="0"/>
        <w:spacing w:line="560" w:lineRule="exact"/>
        <w:rPr>
          <w:rFonts w:hint="eastAsia" w:ascii="宋体" w:hAnsi="宋体" w:cs="宋体"/>
          <w:b/>
          <w:kern w:val="0"/>
          <w:sz w:val="24"/>
          <w:szCs w:val="24"/>
        </w:rPr>
      </w:pPr>
      <w:r>
        <w:rPr>
          <w:rFonts w:hint="eastAsia" w:ascii="宋体" w:hAnsi="宋体" w:cs="宋体"/>
          <w:b/>
          <w:kern w:val="0"/>
          <w:sz w:val="24"/>
          <w:szCs w:val="24"/>
        </w:rPr>
        <w:t>三、本月签署的担保协议主要内容</w:t>
      </w:r>
    </w:p>
    <w:p w14:paraId="3CF1E147">
      <w:pPr>
        <w:pStyle w:val="81"/>
        <w:spacing w:beforeAutospacing="0" w:afterAutospacing="0" w:line="560" w:lineRule="exact"/>
        <w:ind w:firstLine="480" w:firstLineChars="200"/>
        <w:rPr>
          <w:rFonts w:hint="eastAsia" w:ascii="宋体" w:hAnsi="宋体" w:cs="宋体"/>
          <w:bCs/>
          <w:snapToGrid w:val="0"/>
          <w:szCs w:val="24"/>
        </w:rPr>
      </w:pPr>
      <w:r>
        <w:rPr>
          <w:rFonts w:hint="eastAsia" w:ascii="宋体" w:hAnsi="宋体" w:cs="宋体"/>
          <w:bCs/>
          <w:snapToGrid w:val="0"/>
          <w:szCs w:val="24"/>
        </w:rPr>
        <w:t>1、合同签署人</w:t>
      </w:r>
    </w:p>
    <w:p w14:paraId="519AB246">
      <w:pPr>
        <w:numPr>
          <w:ilvl w:val="255"/>
          <w:numId w:val="0"/>
        </w:numPr>
        <w:autoSpaceDE w:val="0"/>
        <w:autoSpaceDN w:val="0"/>
        <w:adjustRightInd w:val="0"/>
        <w:spacing w:line="560" w:lineRule="exact"/>
        <w:ind w:firstLine="480" w:firstLineChars="200"/>
        <w:rPr>
          <w:rFonts w:hint="eastAsia" w:ascii="宋体" w:hAnsi="宋体" w:cs="宋体"/>
          <w:bCs w:val="0"/>
          <w:snapToGrid/>
          <w:kern w:val="0"/>
          <w:sz w:val="24"/>
          <w:szCs w:val="24"/>
        </w:rPr>
      </w:pPr>
      <w:r>
        <w:rPr>
          <w:rFonts w:hint="eastAsia" w:ascii="宋体" w:hAnsi="宋体" w:cs="宋体"/>
          <w:bCs w:val="0"/>
          <w:snapToGrid/>
          <w:kern w:val="0"/>
          <w:sz w:val="24"/>
          <w:szCs w:val="24"/>
        </w:rPr>
        <w:t xml:space="preserve">贷款人：昆明市五华区农村信用合作联社黑林铺信用社 </w:t>
      </w:r>
    </w:p>
    <w:p w14:paraId="1CC32928">
      <w:pPr>
        <w:numPr>
          <w:ilvl w:val="255"/>
          <w:numId w:val="0"/>
        </w:numPr>
        <w:autoSpaceDE w:val="0"/>
        <w:autoSpaceDN w:val="0"/>
        <w:adjustRightInd w:val="0"/>
        <w:spacing w:line="560" w:lineRule="exact"/>
        <w:ind w:firstLine="480" w:firstLineChars="200"/>
        <w:rPr>
          <w:rFonts w:hint="eastAsia" w:ascii="宋体" w:hAnsi="宋体" w:cs="宋体"/>
          <w:bCs w:val="0"/>
          <w:snapToGrid/>
          <w:kern w:val="0"/>
          <w:sz w:val="24"/>
          <w:szCs w:val="24"/>
        </w:rPr>
      </w:pPr>
      <w:r>
        <w:rPr>
          <w:rFonts w:hint="eastAsia" w:ascii="宋体" w:hAnsi="宋体" w:cs="宋体"/>
          <w:bCs w:val="0"/>
          <w:snapToGrid/>
          <w:kern w:val="0"/>
          <w:sz w:val="24"/>
          <w:szCs w:val="24"/>
        </w:rPr>
        <w:t>保证人：重庆望变电气(集团)股份有限公司</w:t>
      </w:r>
    </w:p>
    <w:p w14:paraId="03CD82B9">
      <w:pPr>
        <w:numPr>
          <w:ilvl w:val="255"/>
          <w:numId w:val="0"/>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2、保证方式：连带责任担保</w:t>
      </w:r>
    </w:p>
    <w:p w14:paraId="45609FE7">
      <w:pPr>
        <w:numPr>
          <w:ilvl w:val="255"/>
          <w:numId w:val="0"/>
        </w:numPr>
        <w:autoSpaceDE w:val="0"/>
        <w:autoSpaceDN w:val="0"/>
        <w:adjustRightInd w:val="0"/>
        <w:spacing w:line="560" w:lineRule="exact"/>
        <w:ind w:firstLine="480" w:firstLineChars="200"/>
        <w:rPr>
          <w:rFonts w:hint="eastAsia" w:ascii="宋体" w:hAnsi="宋体" w:eastAsia="宋体" w:cs="宋体"/>
          <w:kern w:val="0"/>
          <w:sz w:val="24"/>
          <w:szCs w:val="24"/>
          <w:lang w:eastAsia="zh-CN"/>
        </w:rPr>
      </w:pPr>
      <w:r>
        <w:rPr>
          <w:rFonts w:hint="eastAsia" w:ascii="宋体" w:hAnsi="宋体" w:cs="宋体"/>
          <w:kern w:val="0"/>
          <w:sz w:val="24"/>
          <w:szCs w:val="24"/>
        </w:rPr>
        <w:t>3、保证范围：</w:t>
      </w:r>
      <w:r>
        <w:rPr>
          <w:rFonts w:hint="eastAsia" w:ascii="宋体" w:hAnsi="宋体" w:cs="宋体"/>
          <w:kern w:val="0"/>
          <w:sz w:val="24"/>
          <w:szCs w:val="24"/>
          <w:lang w:val="en-US" w:eastAsia="zh-CN"/>
        </w:rPr>
        <w:t>主</w:t>
      </w:r>
      <w:r>
        <w:rPr>
          <w:rFonts w:hint="eastAsia" w:ascii="宋体" w:hAnsi="宋体" w:cs="宋体"/>
          <w:kern w:val="0"/>
          <w:sz w:val="24"/>
          <w:szCs w:val="24"/>
        </w:rPr>
        <w:t>债权本金、利息、罚息(含逾期罚息及挪用罚息)、复利、违约金、损害赔偿金、补偿金、贷款人为实现债权和相关从权利而发生的费用(包括但不限于诉讼费、仲裁费、保全费、公告费、鉴定费、拍卖费、差旅费、通讯费、律师代理费、执行费等)以及其他应付的费用(法律、法规另有规定或双方另有约定的除外)</w:t>
      </w:r>
      <w:r>
        <w:rPr>
          <w:rFonts w:hint="eastAsia" w:ascii="宋体" w:hAnsi="宋体" w:cs="宋体"/>
          <w:kern w:val="0"/>
          <w:sz w:val="24"/>
          <w:szCs w:val="24"/>
          <w:lang w:eastAsia="zh-CN"/>
        </w:rPr>
        <w:t>；</w:t>
      </w:r>
    </w:p>
    <w:p w14:paraId="40102883">
      <w:pPr>
        <w:numPr>
          <w:ilvl w:val="255"/>
          <w:numId w:val="0"/>
        </w:num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《流动资金借款合同》解除或被撤销的，保证人应对债务人按《流动资金借款合同》约定应返还的借款本金、 应支付的其他费用及支出承担担保责任。</w:t>
      </w:r>
    </w:p>
    <w:p w14:paraId="3754EA8A">
      <w:pPr>
        <w:autoSpaceDE w:val="0"/>
        <w:autoSpaceDN w:val="0"/>
        <w:adjustRightInd w:val="0"/>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4、担保额度：人民币</w:t>
      </w:r>
      <w:r>
        <w:rPr>
          <w:rFonts w:hint="eastAsia" w:ascii="宋体" w:hAnsi="宋体" w:cs="宋体"/>
          <w:kern w:val="0"/>
          <w:sz w:val="24"/>
          <w:szCs w:val="24"/>
          <w:lang w:val="en-US" w:eastAsia="zh-CN"/>
        </w:rPr>
        <w:t>1</w:t>
      </w:r>
      <w:r>
        <w:rPr>
          <w:rFonts w:hint="eastAsia" w:ascii="宋体" w:hAnsi="宋体" w:cs="宋体"/>
          <w:kern w:val="0"/>
          <w:sz w:val="24"/>
          <w:szCs w:val="24"/>
        </w:rPr>
        <w:t>,000.00万元。</w:t>
      </w:r>
    </w:p>
    <w:p w14:paraId="4163DE9A">
      <w:pPr>
        <w:autoSpaceDE w:val="0"/>
        <w:autoSpaceDN w:val="0"/>
        <w:adjustRightInd w:val="0"/>
        <w:spacing w:line="560" w:lineRule="exact"/>
        <w:rPr>
          <w:rFonts w:hint="eastAsia" w:ascii="宋体" w:hAnsi="宋体" w:cs="宋体"/>
          <w:b/>
          <w:sz w:val="24"/>
          <w:szCs w:val="24"/>
        </w:rPr>
      </w:pPr>
      <w:r>
        <w:rPr>
          <w:rFonts w:hint="eastAsia" w:ascii="宋体" w:hAnsi="宋体" w:cs="宋体"/>
          <w:b/>
          <w:sz w:val="24"/>
          <w:szCs w:val="24"/>
        </w:rPr>
        <w:t>四、担保的必要性和合理性</w:t>
      </w:r>
    </w:p>
    <w:p w14:paraId="31DE3D51">
      <w:pPr>
        <w:pStyle w:val="81"/>
        <w:autoSpaceDE w:val="0"/>
        <w:autoSpaceDN w:val="0"/>
        <w:adjustRightInd w:val="0"/>
        <w:spacing w:beforeAutospacing="0" w:afterAutospacing="0" w:line="560" w:lineRule="exact"/>
        <w:ind w:firstLine="480" w:firstLineChars="200"/>
        <w:rPr>
          <w:rFonts w:hint="eastAsia" w:ascii="宋体" w:hAnsi="宋体" w:cs="宋体"/>
          <w:bCs/>
          <w:snapToGrid w:val="0"/>
          <w:szCs w:val="24"/>
        </w:rPr>
      </w:pPr>
      <w:r>
        <w:rPr>
          <w:rFonts w:hint="eastAsia" w:ascii="宋体" w:hAnsi="宋体" w:cs="宋体"/>
          <w:bCs/>
          <w:snapToGrid w:val="0"/>
          <w:szCs w:val="24"/>
        </w:rPr>
        <w:t>公司本月新增的对外担保主要为满足子公司日常生产经营需要，保证其生产经营活动的顺利开展，符合公司实际经营情况和整体发展战略，具有必要性和合理性。被担保对象为公司控股子公司，公司对其日常经营活动和资信状况能够及时掌握，担保风险总体可控，不会对公司及股东特别是中小股东利益造成重大不利影响。</w:t>
      </w:r>
    </w:p>
    <w:p w14:paraId="76725FD1">
      <w:pPr>
        <w:tabs>
          <w:tab w:val="left" w:pos="3468"/>
        </w:tabs>
        <w:autoSpaceDE w:val="0"/>
        <w:autoSpaceDN w:val="0"/>
        <w:adjustRightInd w:val="0"/>
        <w:spacing w:before="159" w:beforeLines="50" w:line="360" w:lineRule="auto"/>
        <w:rPr>
          <w:rFonts w:hint="eastAsia" w:ascii="宋体" w:hAnsi="宋体" w:cs="宋体"/>
          <w:b/>
          <w:sz w:val="24"/>
          <w:szCs w:val="24"/>
        </w:rPr>
      </w:pPr>
      <w:r>
        <w:rPr>
          <w:rFonts w:hint="eastAsia" w:ascii="宋体" w:hAnsi="宋体" w:cs="宋体"/>
          <w:b/>
          <w:sz w:val="24"/>
          <w:szCs w:val="24"/>
        </w:rPr>
        <w:t>五、累计对外担保数量及逾期担保的数量</w:t>
      </w:r>
    </w:p>
    <w:p w14:paraId="15E21821">
      <w:pPr>
        <w:autoSpaceDE w:val="0"/>
        <w:autoSpaceDN w:val="0"/>
        <w:adjustRightInd w:val="0"/>
        <w:spacing w:before="159" w:beforeLines="50" w:line="360" w:lineRule="auto"/>
        <w:ind w:firstLine="480" w:firstLineChars="200"/>
        <w:rPr>
          <w:rFonts w:hint="eastAsia" w:ascii="宋体" w:hAnsi="宋体" w:cs="宋体"/>
          <w:bCs/>
          <w:sz w:val="24"/>
          <w:szCs w:val="24"/>
        </w:rPr>
      </w:pPr>
      <w:r>
        <w:rPr>
          <w:rFonts w:hint="eastAsia" w:ascii="宋体" w:hAnsi="宋体" w:cs="宋体"/>
          <w:bCs/>
          <w:sz w:val="24"/>
          <w:szCs w:val="24"/>
        </w:rPr>
        <w:t>截至报告期末，公司对外担保均为对子公司的担保，担保总额为</w:t>
      </w:r>
      <w:r>
        <w:rPr>
          <w:rFonts w:hint="eastAsia" w:ascii="宋体" w:hAnsi="宋体" w:cs="宋体"/>
          <w:bCs/>
          <w:sz w:val="24"/>
          <w:szCs w:val="24"/>
          <w:lang w:val="en-US" w:eastAsia="zh-CN"/>
        </w:rPr>
        <w:t>30</w:t>
      </w:r>
      <w:r>
        <w:rPr>
          <w:rFonts w:hint="eastAsia" w:ascii="宋体" w:hAnsi="宋体" w:cs="宋体"/>
          <w:bCs/>
          <w:sz w:val="24"/>
          <w:szCs w:val="24"/>
        </w:rPr>
        <w:t>,000.00万</w:t>
      </w:r>
      <w:r>
        <w:rPr>
          <w:rFonts w:hint="eastAsia" w:ascii="宋体" w:hAnsi="宋体" w:cs="宋体"/>
          <w:bCs/>
          <w:sz w:val="24"/>
          <w:szCs w:val="24"/>
          <w:lang w:val="en-US" w:eastAsia="zh-CN"/>
        </w:rPr>
        <w:t>元</w:t>
      </w:r>
      <w:r>
        <w:rPr>
          <w:rFonts w:hint="eastAsia" w:ascii="宋体" w:hAnsi="宋体" w:cs="宋体"/>
          <w:bCs/>
          <w:sz w:val="24"/>
          <w:szCs w:val="24"/>
          <w:lang w:eastAsia="zh-CN"/>
        </w:rPr>
        <w:t>，</w:t>
      </w:r>
      <w:r>
        <w:rPr>
          <w:rFonts w:hint="eastAsia" w:ascii="宋体" w:hAnsi="宋体" w:cs="宋体"/>
          <w:bCs/>
          <w:sz w:val="24"/>
          <w:szCs w:val="24"/>
          <w:lang w:val="en-US" w:eastAsia="zh-CN"/>
        </w:rPr>
        <w:t>担保余额为</w:t>
      </w:r>
      <w:r>
        <w:rPr>
          <w:rFonts w:hint="eastAsia" w:ascii="宋体" w:hAnsi="宋体" w:cs="宋体"/>
          <w:bCs/>
          <w:sz w:val="24"/>
          <w:szCs w:val="24"/>
        </w:rPr>
        <w:t>19,073.73</w:t>
      </w:r>
      <w:r>
        <w:rPr>
          <w:rFonts w:hint="eastAsia" w:ascii="宋体" w:hAnsi="宋体" w:cs="宋体"/>
          <w:bCs/>
          <w:sz w:val="24"/>
          <w:szCs w:val="24"/>
          <w:lang w:val="en-US" w:eastAsia="zh-CN"/>
        </w:rPr>
        <w:t>万元，</w:t>
      </w:r>
      <w:r>
        <w:rPr>
          <w:rFonts w:hint="eastAsia" w:ascii="宋体" w:hAnsi="宋体" w:cs="宋体"/>
          <w:bCs/>
          <w:sz w:val="24"/>
          <w:szCs w:val="24"/>
        </w:rPr>
        <w:t>担保余额占公司最近一期经审计净资产的</w:t>
      </w:r>
      <w:r>
        <w:rPr>
          <w:rFonts w:hint="eastAsia" w:ascii="宋体" w:hAnsi="宋体" w:cs="宋体"/>
          <w:bCs/>
          <w:sz w:val="24"/>
          <w:szCs w:val="24"/>
          <w:lang w:val="en-US" w:eastAsia="zh-CN"/>
        </w:rPr>
        <w:t>7.98</w:t>
      </w:r>
      <w:r>
        <w:rPr>
          <w:rFonts w:hint="eastAsia" w:ascii="宋体" w:hAnsi="宋体" w:cs="宋体"/>
          <w:bCs/>
          <w:sz w:val="24"/>
          <w:szCs w:val="24"/>
          <w:highlight w:val="none"/>
        </w:rPr>
        <w:t>%；不存在逾期担保。</w:t>
      </w:r>
    </w:p>
    <w:p w14:paraId="3F67D678">
      <w:pPr>
        <w:autoSpaceDE w:val="0"/>
        <w:autoSpaceDN w:val="0"/>
        <w:adjustRightInd w:val="0"/>
        <w:spacing w:before="159" w:beforeLines="50" w:line="360" w:lineRule="auto"/>
        <w:ind w:firstLine="480" w:firstLineChars="200"/>
        <w:rPr>
          <w:rFonts w:hint="eastAsia" w:ascii="宋体" w:hAnsi="宋体" w:cs="宋体"/>
          <w:bCs/>
          <w:sz w:val="24"/>
          <w:szCs w:val="24"/>
        </w:rPr>
      </w:pPr>
      <w:r>
        <w:rPr>
          <w:rFonts w:hint="eastAsia" w:ascii="宋体" w:hAnsi="宋体" w:cs="宋体"/>
          <w:bCs/>
          <w:sz w:val="24"/>
          <w:szCs w:val="24"/>
        </w:rPr>
        <w:t>截止本公告披露日，子公司可用担保总额为8</w:t>
      </w:r>
      <w:r>
        <w:rPr>
          <w:rFonts w:hint="eastAsia" w:ascii="宋体" w:hAnsi="宋体" w:cs="宋体"/>
          <w:bCs/>
          <w:sz w:val="24"/>
          <w:szCs w:val="24"/>
          <w:lang w:val="en-US" w:eastAsia="zh-CN"/>
        </w:rPr>
        <w:t>6</w:t>
      </w:r>
      <w:r>
        <w:rPr>
          <w:rFonts w:hint="eastAsia" w:ascii="宋体" w:hAnsi="宋体" w:cs="宋体"/>
          <w:bCs/>
          <w:sz w:val="24"/>
          <w:szCs w:val="24"/>
        </w:rPr>
        <w:t>,000</w:t>
      </w:r>
      <w:r>
        <w:rPr>
          <w:rFonts w:hint="eastAsia" w:ascii="宋体" w:hAnsi="宋体" w:cs="宋体"/>
          <w:bCs/>
          <w:sz w:val="24"/>
          <w:szCs w:val="24"/>
          <w:lang w:val="en-US" w:eastAsia="zh-CN"/>
        </w:rPr>
        <w:t>.00</w:t>
      </w:r>
      <w:r>
        <w:rPr>
          <w:rFonts w:hint="eastAsia" w:ascii="宋体" w:hAnsi="宋体" w:cs="宋体"/>
          <w:bCs/>
          <w:sz w:val="24"/>
          <w:szCs w:val="24"/>
        </w:rPr>
        <w:t>万元（包含惠泽电器5,000</w:t>
      </w:r>
      <w:r>
        <w:rPr>
          <w:rFonts w:hint="eastAsia" w:ascii="宋体" w:hAnsi="宋体" w:cs="宋体"/>
          <w:bCs/>
          <w:sz w:val="24"/>
          <w:szCs w:val="24"/>
          <w:lang w:val="en-US" w:eastAsia="zh-CN"/>
        </w:rPr>
        <w:t>.00</w:t>
      </w:r>
      <w:r>
        <w:rPr>
          <w:rFonts w:hint="eastAsia" w:ascii="宋体" w:hAnsi="宋体" w:cs="宋体"/>
          <w:bCs/>
          <w:sz w:val="24"/>
          <w:szCs w:val="24"/>
        </w:rPr>
        <w:t>万元、黔南望江10,000.00万元和云变电气7</w:t>
      </w:r>
      <w:r>
        <w:rPr>
          <w:rFonts w:hint="eastAsia" w:ascii="宋体" w:hAnsi="宋体" w:cs="宋体"/>
          <w:bCs/>
          <w:sz w:val="24"/>
          <w:szCs w:val="24"/>
          <w:lang w:val="en-US" w:eastAsia="zh-CN"/>
        </w:rPr>
        <w:t>1</w:t>
      </w:r>
      <w:r>
        <w:rPr>
          <w:rFonts w:hint="eastAsia" w:ascii="宋体" w:hAnsi="宋体" w:cs="宋体"/>
          <w:bCs/>
          <w:sz w:val="24"/>
          <w:szCs w:val="24"/>
        </w:rPr>
        <w:t>,000</w:t>
      </w:r>
      <w:r>
        <w:rPr>
          <w:rFonts w:hint="eastAsia" w:ascii="宋体" w:hAnsi="宋体" w:cs="宋体"/>
          <w:bCs/>
          <w:sz w:val="24"/>
          <w:szCs w:val="24"/>
          <w:lang w:val="en-US" w:eastAsia="zh-CN"/>
        </w:rPr>
        <w:t>.00</w:t>
      </w:r>
      <w:r>
        <w:rPr>
          <w:rFonts w:hint="eastAsia" w:ascii="宋体" w:hAnsi="宋体" w:cs="宋体"/>
          <w:bCs/>
          <w:sz w:val="24"/>
          <w:szCs w:val="24"/>
        </w:rPr>
        <w:t>万元）。</w:t>
      </w:r>
    </w:p>
    <w:p w14:paraId="616C87B7">
      <w:pPr>
        <w:autoSpaceDE w:val="0"/>
        <w:autoSpaceDN w:val="0"/>
        <w:adjustRightInd w:val="0"/>
        <w:spacing w:before="159" w:beforeLines="50" w:line="360" w:lineRule="auto"/>
        <w:ind w:firstLine="480" w:firstLineChars="200"/>
        <w:rPr>
          <w:rFonts w:hint="eastAsia" w:ascii="宋体" w:hAnsi="宋体" w:cs="宋体"/>
          <w:b/>
          <w:sz w:val="24"/>
          <w:szCs w:val="24"/>
        </w:rPr>
      </w:pPr>
      <w:r>
        <w:rPr>
          <w:rFonts w:hint="eastAsia" w:ascii="宋体" w:hAnsi="宋体" w:cs="宋体"/>
          <w:kern w:val="0"/>
          <w:sz w:val="24"/>
          <w:szCs w:val="24"/>
        </w:rPr>
        <w:t>特此公告。</w:t>
      </w:r>
    </w:p>
    <w:p w14:paraId="198A83BE">
      <w:pPr>
        <w:autoSpaceDE w:val="0"/>
        <w:autoSpaceDN w:val="0"/>
        <w:adjustRightInd w:val="0"/>
        <w:spacing w:line="560" w:lineRule="exact"/>
        <w:jc w:val="left"/>
        <w:rPr>
          <w:rFonts w:hint="eastAsia" w:ascii="宋体" w:hAnsi="宋体" w:cs="宋体"/>
          <w:kern w:val="0"/>
          <w:sz w:val="24"/>
          <w:szCs w:val="24"/>
        </w:rPr>
      </w:pPr>
    </w:p>
    <w:p w14:paraId="2D742E19">
      <w:pPr>
        <w:adjustRightInd w:val="0"/>
        <w:snapToGrid w:val="0"/>
        <w:spacing w:line="560" w:lineRule="exact"/>
        <w:ind w:firstLine="480" w:firstLineChars="200"/>
        <w:jc w:val="right"/>
        <w:rPr>
          <w:rFonts w:hint="eastAsia" w:ascii="宋体" w:hAnsi="宋体"/>
          <w:sz w:val="24"/>
          <w:szCs w:val="24"/>
        </w:rPr>
      </w:pPr>
      <w:r>
        <w:rPr>
          <w:rFonts w:hint="eastAsia" w:ascii="宋体" w:hAnsi="宋体" w:cs="宋体"/>
          <w:kern w:val="0"/>
          <w:sz w:val="24"/>
          <w:szCs w:val="24"/>
        </w:rPr>
        <w:t>重庆望变电气（集团）</w:t>
      </w:r>
      <w:r>
        <w:rPr>
          <w:rFonts w:hint="eastAsia" w:ascii="宋体" w:hAnsi="宋体" w:cs="仿宋_GB2312"/>
          <w:sz w:val="24"/>
          <w:szCs w:val="24"/>
        </w:rPr>
        <w:t>股</w:t>
      </w:r>
      <w:r>
        <w:rPr>
          <w:rFonts w:hint="eastAsia" w:ascii="宋体" w:hAnsi="宋体"/>
          <w:sz w:val="24"/>
          <w:szCs w:val="24"/>
        </w:rPr>
        <w:t>份有限公司董事会</w:t>
      </w:r>
    </w:p>
    <w:p w14:paraId="126EFE42">
      <w:pPr>
        <w:adjustRightInd w:val="0"/>
        <w:snapToGrid w:val="0"/>
        <w:spacing w:line="560" w:lineRule="exact"/>
        <w:ind w:firstLine="480" w:firstLineChars="200"/>
        <w:jc w:val="right"/>
        <w:rPr>
          <w:rFonts w:hint="eastAsia" w:ascii="宋体" w:hAnsi="宋体" w:cs="宋体"/>
          <w:kern w:val="0"/>
          <w:sz w:val="24"/>
          <w:szCs w:val="24"/>
        </w:rPr>
      </w:pPr>
      <w:r>
        <w:rPr>
          <w:rFonts w:ascii="宋体" w:hAnsi="宋体"/>
          <w:sz w:val="24"/>
          <w:szCs w:val="24"/>
        </w:rPr>
        <w:t>202</w:t>
      </w:r>
      <w:r>
        <w:rPr>
          <w:rFonts w:hint="eastAsia" w:ascii="宋体" w:hAnsi="宋体"/>
          <w:sz w:val="24"/>
          <w:szCs w:val="24"/>
        </w:rPr>
        <w:t>4年</w:t>
      </w:r>
      <w:r>
        <w:rPr>
          <w:rFonts w:hint="eastAsia" w:ascii="宋体" w:hAnsi="宋体"/>
          <w:sz w:val="24"/>
          <w:szCs w:val="24"/>
          <w:lang w:val="en-US" w:eastAsia="zh-CN"/>
        </w:rPr>
        <w:t>11</w:t>
      </w:r>
      <w:r>
        <w:rPr>
          <w:rFonts w:hint="eastAsia" w:ascii="宋体" w:hAnsi="宋体"/>
          <w:sz w:val="24"/>
          <w:szCs w:val="24"/>
        </w:rPr>
        <w:t>月</w:t>
      </w:r>
      <w:r>
        <w:rPr>
          <w:rFonts w:hint="eastAsia" w:ascii="宋体" w:hAnsi="宋体"/>
          <w:sz w:val="24"/>
          <w:szCs w:val="24"/>
          <w:lang w:val="en-US" w:eastAsia="zh-CN"/>
        </w:rPr>
        <w:t>5</w:t>
      </w:r>
      <w:r>
        <w:rPr>
          <w:rFonts w:hint="eastAsia" w:ascii="宋体" w:hAnsi="宋体"/>
          <w:sz w:val="24"/>
          <w:szCs w:val="24"/>
        </w:rPr>
        <w:t>日</w:t>
      </w:r>
    </w:p>
    <w:p w14:paraId="7E30531A">
      <w:pPr>
        <w:autoSpaceDE w:val="0"/>
        <w:autoSpaceDN w:val="0"/>
        <w:adjustRightInd w:val="0"/>
        <w:snapToGrid w:val="0"/>
        <w:spacing w:line="560" w:lineRule="exact"/>
        <w:ind w:firstLine="480" w:firstLineChars="200"/>
        <w:rPr>
          <w:rFonts w:hint="eastAsia" w:ascii="宋体" w:hAnsi="宋体" w:cs="宋体"/>
          <w:sz w:val="24"/>
          <w:szCs w:val="24"/>
        </w:rPr>
      </w:pPr>
    </w:p>
    <w:p w14:paraId="25FCF38E"/>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01252"/>
    </w:sdtPr>
    <w:sdtContent>
      <w:p w14:paraId="7A2078BF">
        <w:pPr>
          <w:pStyle w:val="55"/>
          <w:jc w:val="center"/>
        </w:pPr>
        <w:r>
          <w:fldChar w:fldCharType="begin"/>
        </w:r>
        <w:r>
          <w:instrText xml:space="preserve"> PAGE   \* MERGEFORMAT </w:instrText>
        </w:r>
        <w:r>
          <w:fldChar w:fldCharType="separate"/>
        </w:r>
        <w:r>
          <w:rPr>
            <w:lang w:val="zh-CN"/>
          </w:rPr>
          <w:t>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04579"/>
    <w:multiLevelType w:val="singleLevel"/>
    <w:tmpl w:val="D5604579"/>
    <w:lvl w:ilvl="0" w:tentative="0">
      <w:start w:val="1"/>
      <w:numFmt w:val="bullet"/>
      <w:lvlText w:val=""/>
      <w:lvlJc w:val="left"/>
      <w:pPr>
        <w:ind w:left="420" w:hanging="420"/>
      </w:pPr>
      <w:rPr>
        <w:rFonts w:hint="default" w:ascii="Wingdings" w:hAnsi="Wingdings"/>
      </w:rPr>
    </w:lvl>
  </w:abstractNum>
  <w:abstractNum w:abstractNumId="1">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1">
    <w:nsid w:val="22712713"/>
    <w:multiLevelType w:val="singleLevel"/>
    <w:tmpl w:val="22712713"/>
    <w:lvl w:ilvl="0" w:tentative="0">
      <w:start w:val="1"/>
      <w:numFmt w:val="bullet"/>
      <w:pStyle w:val="94"/>
      <w:lvlText w:val=""/>
      <w:lvlJc w:val="left"/>
      <w:pPr>
        <w:ind w:left="420" w:hanging="420"/>
      </w:pPr>
      <w:rPr>
        <w:rFonts w:hint="default" w:ascii="Wingdings" w:hAnsi="Wingdings"/>
      </w:rPr>
    </w:lvl>
  </w:abstractNum>
  <w:abstractNum w:abstractNumId="12">
    <w:nsid w:val="40EC9271"/>
    <w:multiLevelType w:val="singleLevel"/>
    <w:tmpl w:val="40EC9271"/>
    <w:lvl w:ilvl="0" w:tentative="0">
      <w:start w:val="2"/>
      <w:numFmt w:val="chineseCounting"/>
      <w:suff w:val="nothing"/>
      <w:lvlText w:val="%1、"/>
      <w:lvlJc w:val="left"/>
      <w:rPr>
        <w:rFonts w:hint="eastAsia"/>
      </w:rPr>
    </w:lvl>
  </w:abstractNum>
  <w:abstractNum w:abstractNumId="13">
    <w:nsid w:val="655C0D75"/>
    <w:multiLevelType w:val="singleLevel"/>
    <w:tmpl w:val="655C0D75"/>
    <w:lvl w:ilvl="0" w:tentative="0">
      <w:start w:val="1"/>
      <w:numFmt w:val="chineseCounting"/>
      <w:suff w:val="nothing"/>
      <w:lvlText w:val="%1、"/>
      <w:lvlJc w:val="left"/>
      <w:rPr>
        <w:rFonts w:hint="eastAsia"/>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11"/>
  </w:num>
  <w:num w:numId="12">
    <w:abstractNumId w:val="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00BF2ECD"/>
    <w:rsid w:val="00000558"/>
    <w:rsid w:val="00000BC9"/>
    <w:rsid w:val="0000604D"/>
    <w:rsid w:val="00030B8F"/>
    <w:rsid w:val="000369D9"/>
    <w:rsid w:val="00037429"/>
    <w:rsid w:val="000434C6"/>
    <w:rsid w:val="00044B7A"/>
    <w:rsid w:val="000507FA"/>
    <w:rsid w:val="00050D8C"/>
    <w:rsid w:val="00051D15"/>
    <w:rsid w:val="00054EEE"/>
    <w:rsid w:val="00060DFA"/>
    <w:rsid w:val="00064333"/>
    <w:rsid w:val="000671F4"/>
    <w:rsid w:val="00070F49"/>
    <w:rsid w:val="0007156E"/>
    <w:rsid w:val="000764C3"/>
    <w:rsid w:val="00082408"/>
    <w:rsid w:val="00084C5D"/>
    <w:rsid w:val="00087F94"/>
    <w:rsid w:val="00095674"/>
    <w:rsid w:val="000A490B"/>
    <w:rsid w:val="000B677B"/>
    <w:rsid w:val="00124FA5"/>
    <w:rsid w:val="00125C8C"/>
    <w:rsid w:val="00126188"/>
    <w:rsid w:val="001335CF"/>
    <w:rsid w:val="001368F4"/>
    <w:rsid w:val="001619B6"/>
    <w:rsid w:val="00161C50"/>
    <w:rsid w:val="001631B1"/>
    <w:rsid w:val="00177222"/>
    <w:rsid w:val="001903B0"/>
    <w:rsid w:val="001B5730"/>
    <w:rsid w:val="001C165F"/>
    <w:rsid w:val="001C235A"/>
    <w:rsid w:val="001D0405"/>
    <w:rsid w:val="001E4E44"/>
    <w:rsid w:val="001E7562"/>
    <w:rsid w:val="001F0293"/>
    <w:rsid w:val="001F3BAD"/>
    <w:rsid w:val="002032FC"/>
    <w:rsid w:val="002051AC"/>
    <w:rsid w:val="00207506"/>
    <w:rsid w:val="002114BE"/>
    <w:rsid w:val="00224E96"/>
    <w:rsid w:val="00246976"/>
    <w:rsid w:val="00266A7C"/>
    <w:rsid w:val="00272D61"/>
    <w:rsid w:val="002878A7"/>
    <w:rsid w:val="00294DFB"/>
    <w:rsid w:val="002B1A65"/>
    <w:rsid w:val="002B291C"/>
    <w:rsid w:val="002C32E2"/>
    <w:rsid w:val="002C3AF3"/>
    <w:rsid w:val="002C5387"/>
    <w:rsid w:val="002D6A43"/>
    <w:rsid w:val="002E2215"/>
    <w:rsid w:val="002F1340"/>
    <w:rsid w:val="002F33C4"/>
    <w:rsid w:val="002F4948"/>
    <w:rsid w:val="002F5CBD"/>
    <w:rsid w:val="002F6DC2"/>
    <w:rsid w:val="002F6FD5"/>
    <w:rsid w:val="0030115C"/>
    <w:rsid w:val="003051B5"/>
    <w:rsid w:val="003127EC"/>
    <w:rsid w:val="00313A26"/>
    <w:rsid w:val="00335DCA"/>
    <w:rsid w:val="00342251"/>
    <w:rsid w:val="00343F60"/>
    <w:rsid w:val="00347210"/>
    <w:rsid w:val="00352F3F"/>
    <w:rsid w:val="003A3C4B"/>
    <w:rsid w:val="003A4934"/>
    <w:rsid w:val="003A6877"/>
    <w:rsid w:val="003B5E5C"/>
    <w:rsid w:val="003C13ED"/>
    <w:rsid w:val="003C3E72"/>
    <w:rsid w:val="003D1D39"/>
    <w:rsid w:val="003D4987"/>
    <w:rsid w:val="003D500E"/>
    <w:rsid w:val="003E399E"/>
    <w:rsid w:val="003F26EB"/>
    <w:rsid w:val="00404524"/>
    <w:rsid w:val="00412966"/>
    <w:rsid w:val="004166FA"/>
    <w:rsid w:val="00421FBB"/>
    <w:rsid w:val="00432414"/>
    <w:rsid w:val="004417CE"/>
    <w:rsid w:val="004617FD"/>
    <w:rsid w:val="00481530"/>
    <w:rsid w:val="004A27BC"/>
    <w:rsid w:val="004B6940"/>
    <w:rsid w:val="004C3D35"/>
    <w:rsid w:val="004E11B1"/>
    <w:rsid w:val="004F4D81"/>
    <w:rsid w:val="004F792E"/>
    <w:rsid w:val="00501890"/>
    <w:rsid w:val="0050197F"/>
    <w:rsid w:val="00507042"/>
    <w:rsid w:val="0052284A"/>
    <w:rsid w:val="0052751C"/>
    <w:rsid w:val="00527F05"/>
    <w:rsid w:val="005555B7"/>
    <w:rsid w:val="00563DEF"/>
    <w:rsid w:val="005700E6"/>
    <w:rsid w:val="00593D94"/>
    <w:rsid w:val="005950D7"/>
    <w:rsid w:val="005A5697"/>
    <w:rsid w:val="005B06D0"/>
    <w:rsid w:val="005B1790"/>
    <w:rsid w:val="005B1CE9"/>
    <w:rsid w:val="005E015E"/>
    <w:rsid w:val="005E0D94"/>
    <w:rsid w:val="005F0BAA"/>
    <w:rsid w:val="006004F3"/>
    <w:rsid w:val="0061300F"/>
    <w:rsid w:val="0061302E"/>
    <w:rsid w:val="00616B8A"/>
    <w:rsid w:val="00621D2E"/>
    <w:rsid w:val="006227F4"/>
    <w:rsid w:val="00623320"/>
    <w:rsid w:val="006233E1"/>
    <w:rsid w:val="00631267"/>
    <w:rsid w:val="00636AA5"/>
    <w:rsid w:val="006414A6"/>
    <w:rsid w:val="00656B76"/>
    <w:rsid w:val="0065737B"/>
    <w:rsid w:val="0066648F"/>
    <w:rsid w:val="006754DD"/>
    <w:rsid w:val="00692CB8"/>
    <w:rsid w:val="006A782A"/>
    <w:rsid w:val="006B13DA"/>
    <w:rsid w:val="006B1B09"/>
    <w:rsid w:val="006B2315"/>
    <w:rsid w:val="006B45CE"/>
    <w:rsid w:val="006B6910"/>
    <w:rsid w:val="006C2D1F"/>
    <w:rsid w:val="006C312B"/>
    <w:rsid w:val="006C6811"/>
    <w:rsid w:val="006D1676"/>
    <w:rsid w:val="006D6459"/>
    <w:rsid w:val="007041A1"/>
    <w:rsid w:val="00713C80"/>
    <w:rsid w:val="00732D11"/>
    <w:rsid w:val="0073774F"/>
    <w:rsid w:val="00740449"/>
    <w:rsid w:val="00745B5F"/>
    <w:rsid w:val="0075445C"/>
    <w:rsid w:val="0076073C"/>
    <w:rsid w:val="00776B0C"/>
    <w:rsid w:val="007946B0"/>
    <w:rsid w:val="007A42EC"/>
    <w:rsid w:val="007A54FF"/>
    <w:rsid w:val="007B4990"/>
    <w:rsid w:val="007C00D5"/>
    <w:rsid w:val="007C1F91"/>
    <w:rsid w:val="007C343C"/>
    <w:rsid w:val="007C655F"/>
    <w:rsid w:val="007D539C"/>
    <w:rsid w:val="007D7D45"/>
    <w:rsid w:val="007E7845"/>
    <w:rsid w:val="008026A0"/>
    <w:rsid w:val="00816C8F"/>
    <w:rsid w:val="00826B51"/>
    <w:rsid w:val="0083455D"/>
    <w:rsid w:val="00861F0B"/>
    <w:rsid w:val="008625FB"/>
    <w:rsid w:val="00866013"/>
    <w:rsid w:val="00885E01"/>
    <w:rsid w:val="00891EE8"/>
    <w:rsid w:val="008A12F9"/>
    <w:rsid w:val="008A76CD"/>
    <w:rsid w:val="008B360D"/>
    <w:rsid w:val="008B4652"/>
    <w:rsid w:val="008C75E8"/>
    <w:rsid w:val="008D10ED"/>
    <w:rsid w:val="008D7908"/>
    <w:rsid w:val="008D7D16"/>
    <w:rsid w:val="008E2FF0"/>
    <w:rsid w:val="008F3FFE"/>
    <w:rsid w:val="00906FA1"/>
    <w:rsid w:val="00912197"/>
    <w:rsid w:val="00913A1A"/>
    <w:rsid w:val="009238FB"/>
    <w:rsid w:val="009477DC"/>
    <w:rsid w:val="009536D8"/>
    <w:rsid w:val="00955454"/>
    <w:rsid w:val="0095561C"/>
    <w:rsid w:val="00955DC4"/>
    <w:rsid w:val="00960BDB"/>
    <w:rsid w:val="00962784"/>
    <w:rsid w:val="0096329B"/>
    <w:rsid w:val="0097194D"/>
    <w:rsid w:val="009752E9"/>
    <w:rsid w:val="00977420"/>
    <w:rsid w:val="0099027E"/>
    <w:rsid w:val="00992A41"/>
    <w:rsid w:val="009A242D"/>
    <w:rsid w:val="009A3EBC"/>
    <w:rsid w:val="009B605A"/>
    <w:rsid w:val="009C3379"/>
    <w:rsid w:val="00A06636"/>
    <w:rsid w:val="00A20224"/>
    <w:rsid w:val="00A317FA"/>
    <w:rsid w:val="00A369A9"/>
    <w:rsid w:val="00A4773A"/>
    <w:rsid w:val="00A50776"/>
    <w:rsid w:val="00A563BC"/>
    <w:rsid w:val="00A56BD4"/>
    <w:rsid w:val="00A750F9"/>
    <w:rsid w:val="00A80442"/>
    <w:rsid w:val="00A87F63"/>
    <w:rsid w:val="00A9108C"/>
    <w:rsid w:val="00AA1DF6"/>
    <w:rsid w:val="00AA36C5"/>
    <w:rsid w:val="00AC6182"/>
    <w:rsid w:val="00AD2992"/>
    <w:rsid w:val="00AD7080"/>
    <w:rsid w:val="00AE01A3"/>
    <w:rsid w:val="00AE3517"/>
    <w:rsid w:val="00AF4CB2"/>
    <w:rsid w:val="00B10348"/>
    <w:rsid w:val="00B10A2A"/>
    <w:rsid w:val="00B12308"/>
    <w:rsid w:val="00B13505"/>
    <w:rsid w:val="00B152B7"/>
    <w:rsid w:val="00B253D1"/>
    <w:rsid w:val="00B25554"/>
    <w:rsid w:val="00B3338B"/>
    <w:rsid w:val="00B35C9C"/>
    <w:rsid w:val="00B575AF"/>
    <w:rsid w:val="00B65460"/>
    <w:rsid w:val="00B656C4"/>
    <w:rsid w:val="00B66D7C"/>
    <w:rsid w:val="00B90010"/>
    <w:rsid w:val="00B96BB6"/>
    <w:rsid w:val="00BC4BBB"/>
    <w:rsid w:val="00BD7901"/>
    <w:rsid w:val="00BE0431"/>
    <w:rsid w:val="00BE7AC6"/>
    <w:rsid w:val="00BF2ECD"/>
    <w:rsid w:val="00BF54FF"/>
    <w:rsid w:val="00C061F6"/>
    <w:rsid w:val="00C11467"/>
    <w:rsid w:val="00C11DBC"/>
    <w:rsid w:val="00C21159"/>
    <w:rsid w:val="00C2610B"/>
    <w:rsid w:val="00C321FA"/>
    <w:rsid w:val="00C335E9"/>
    <w:rsid w:val="00C37A23"/>
    <w:rsid w:val="00C5077D"/>
    <w:rsid w:val="00C515E8"/>
    <w:rsid w:val="00C55AA9"/>
    <w:rsid w:val="00C578DC"/>
    <w:rsid w:val="00C57B6A"/>
    <w:rsid w:val="00C64E83"/>
    <w:rsid w:val="00C800AF"/>
    <w:rsid w:val="00C937A0"/>
    <w:rsid w:val="00CA5962"/>
    <w:rsid w:val="00CA5E22"/>
    <w:rsid w:val="00CC2A94"/>
    <w:rsid w:val="00CC6A06"/>
    <w:rsid w:val="00CD0630"/>
    <w:rsid w:val="00CE38B0"/>
    <w:rsid w:val="00D0021B"/>
    <w:rsid w:val="00D060E9"/>
    <w:rsid w:val="00D061EC"/>
    <w:rsid w:val="00D11AE5"/>
    <w:rsid w:val="00D12713"/>
    <w:rsid w:val="00D14999"/>
    <w:rsid w:val="00D20476"/>
    <w:rsid w:val="00D348AE"/>
    <w:rsid w:val="00D36CEC"/>
    <w:rsid w:val="00D37022"/>
    <w:rsid w:val="00D40D5F"/>
    <w:rsid w:val="00D479B2"/>
    <w:rsid w:val="00D51495"/>
    <w:rsid w:val="00D516F9"/>
    <w:rsid w:val="00D6642E"/>
    <w:rsid w:val="00D706DA"/>
    <w:rsid w:val="00DA6BAB"/>
    <w:rsid w:val="00DB4349"/>
    <w:rsid w:val="00DD1465"/>
    <w:rsid w:val="00DD3A5B"/>
    <w:rsid w:val="00DD5D73"/>
    <w:rsid w:val="00DE0D68"/>
    <w:rsid w:val="00DE24A1"/>
    <w:rsid w:val="00DE2FB4"/>
    <w:rsid w:val="00E06561"/>
    <w:rsid w:val="00E153C6"/>
    <w:rsid w:val="00E1723F"/>
    <w:rsid w:val="00E2700A"/>
    <w:rsid w:val="00E313D8"/>
    <w:rsid w:val="00E35CC1"/>
    <w:rsid w:val="00E360F6"/>
    <w:rsid w:val="00E47DB7"/>
    <w:rsid w:val="00E50EF5"/>
    <w:rsid w:val="00E52836"/>
    <w:rsid w:val="00E54250"/>
    <w:rsid w:val="00E62DAF"/>
    <w:rsid w:val="00E927F8"/>
    <w:rsid w:val="00E92E43"/>
    <w:rsid w:val="00E97E71"/>
    <w:rsid w:val="00EA34E8"/>
    <w:rsid w:val="00EC5C5A"/>
    <w:rsid w:val="00ED0055"/>
    <w:rsid w:val="00ED2FD9"/>
    <w:rsid w:val="00EF138E"/>
    <w:rsid w:val="00EF74FD"/>
    <w:rsid w:val="00F16E07"/>
    <w:rsid w:val="00F2365C"/>
    <w:rsid w:val="00F57B5A"/>
    <w:rsid w:val="00F605B9"/>
    <w:rsid w:val="00F60665"/>
    <w:rsid w:val="00F65A6F"/>
    <w:rsid w:val="00F77490"/>
    <w:rsid w:val="00F84CFA"/>
    <w:rsid w:val="00F964CD"/>
    <w:rsid w:val="00F967B2"/>
    <w:rsid w:val="00FA1CAB"/>
    <w:rsid w:val="00FD1980"/>
    <w:rsid w:val="00FE0712"/>
    <w:rsid w:val="01A21D3D"/>
    <w:rsid w:val="01E50D53"/>
    <w:rsid w:val="02066364"/>
    <w:rsid w:val="02815CE9"/>
    <w:rsid w:val="03134C0F"/>
    <w:rsid w:val="032D4E3E"/>
    <w:rsid w:val="04012B21"/>
    <w:rsid w:val="048F7171"/>
    <w:rsid w:val="07312958"/>
    <w:rsid w:val="073B5BC9"/>
    <w:rsid w:val="07BE292C"/>
    <w:rsid w:val="07C65CA5"/>
    <w:rsid w:val="084C69BC"/>
    <w:rsid w:val="08514037"/>
    <w:rsid w:val="096251C7"/>
    <w:rsid w:val="0AD705E9"/>
    <w:rsid w:val="0AF50259"/>
    <w:rsid w:val="0B9C5BD8"/>
    <w:rsid w:val="0D8E4A70"/>
    <w:rsid w:val="0E470635"/>
    <w:rsid w:val="0EBC6E9B"/>
    <w:rsid w:val="0FDA2FF1"/>
    <w:rsid w:val="10C85995"/>
    <w:rsid w:val="11162CD7"/>
    <w:rsid w:val="11F04FB0"/>
    <w:rsid w:val="11FD41AB"/>
    <w:rsid w:val="19857952"/>
    <w:rsid w:val="1DD957B9"/>
    <w:rsid w:val="1E79312C"/>
    <w:rsid w:val="20967991"/>
    <w:rsid w:val="213B1B76"/>
    <w:rsid w:val="215D435A"/>
    <w:rsid w:val="21A32B39"/>
    <w:rsid w:val="22237597"/>
    <w:rsid w:val="230A0721"/>
    <w:rsid w:val="23C35C66"/>
    <w:rsid w:val="24100647"/>
    <w:rsid w:val="24BC60E2"/>
    <w:rsid w:val="251B37E1"/>
    <w:rsid w:val="2615746A"/>
    <w:rsid w:val="26401ABD"/>
    <w:rsid w:val="29173A50"/>
    <w:rsid w:val="29A05578"/>
    <w:rsid w:val="2AAC23F9"/>
    <w:rsid w:val="2C422599"/>
    <w:rsid w:val="2CCD15FB"/>
    <w:rsid w:val="2FB04883"/>
    <w:rsid w:val="309B0366"/>
    <w:rsid w:val="30FC41DF"/>
    <w:rsid w:val="343369E1"/>
    <w:rsid w:val="36372CA9"/>
    <w:rsid w:val="373D751E"/>
    <w:rsid w:val="381C2D1C"/>
    <w:rsid w:val="39E2569B"/>
    <w:rsid w:val="3A8D0F72"/>
    <w:rsid w:val="3A960DE3"/>
    <w:rsid w:val="3A9D4FCC"/>
    <w:rsid w:val="3BD46640"/>
    <w:rsid w:val="3C35413D"/>
    <w:rsid w:val="3C6F4907"/>
    <w:rsid w:val="3CF573AA"/>
    <w:rsid w:val="3D624079"/>
    <w:rsid w:val="3D631834"/>
    <w:rsid w:val="3EB91CF7"/>
    <w:rsid w:val="3F946AA7"/>
    <w:rsid w:val="3F9B1851"/>
    <w:rsid w:val="3FFBD36B"/>
    <w:rsid w:val="41076FBE"/>
    <w:rsid w:val="41084786"/>
    <w:rsid w:val="41110C42"/>
    <w:rsid w:val="41212946"/>
    <w:rsid w:val="41295BE0"/>
    <w:rsid w:val="41D45DF6"/>
    <w:rsid w:val="42275509"/>
    <w:rsid w:val="42D1600F"/>
    <w:rsid w:val="45987F90"/>
    <w:rsid w:val="460F40D4"/>
    <w:rsid w:val="4611224F"/>
    <w:rsid w:val="4611554A"/>
    <w:rsid w:val="49461F7F"/>
    <w:rsid w:val="499F1D78"/>
    <w:rsid w:val="4A983129"/>
    <w:rsid w:val="4D556624"/>
    <w:rsid w:val="4EB26519"/>
    <w:rsid w:val="4F095C75"/>
    <w:rsid w:val="50E43F8B"/>
    <w:rsid w:val="524C7FC2"/>
    <w:rsid w:val="52E00474"/>
    <w:rsid w:val="53202F13"/>
    <w:rsid w:val="546F68B3"/>
    <w:rsid w:val="55800C5A"/>
    <w:rsid w:val="55845605"/>
    <w:rsid w:val="565D3A9C"/>
    <w:rsid w:val="57C86637"/>
    <w:rsid w:val="5919171F"/>
    <w:rsid w:val="59531228"/>
    <w:rsid w:val="5BA66D99"/>
    <w:rsid w:val="5C7436E9"/>
    <w:rsid w:val="5C8255FD"/>
    <w:rsid w:val="5CEE2784"/>
    <w:rsid w:val="5D0E2A44"/>
    <w:rsid w:val="5EAF52F7"/>
    <w:rsid w:val="5EFC0458"/>
    <w:rsid w:val="5F7B6833"/>
    <w:rsid w:val="5FE3F82D"/>
    <w:rsid w:val="5FFD5624"/>
    <w:rsid w:val="611F29C3"/>
    <w:rsid w:val="61AD670E"/>
    <w:rsid w:val="620A112B"/>
    <w:rsid w:val="655C29BA"/>
    <w:rsid w:val="67253B4D"/>
    <w:rsid w:val="67DC6589"/>
    <w:rsid w:val="69D24BFB"/>
    <w:rsid w:val="6BE74894"/>
    <w:rsid w:val="6D41173A"/>
    <w:rsid w:val="6EEE5B5B"/>
    <w:rsid w:val="6F2BFEC0"/>
    <w:rsid w:val="6F6946EC"/>
    <w:rsid w:val="6F8D7841"/>
    <w:rsid w:val="6F92035A"/>
    <w:rsid w:val="70182BA3"/>
    <w:rsid w:val="73A8198C"/>
    <w:rsid w:val="757F06CF"/>
    <w:rsid w:val="75B740CF"/>
    <w:rsid w:val="7636144B"/>
    <w:rsid w:val="76FF27BE"/>
    <w:rsid w:val="77E729E4"/>
    <w:rsid w:val="78624636"/>
    <w:rsid w:val="78852C26"/>
    <w:rsid w:val="794B6266"/>
    <w:rsid w:val="7AC13A71"/>
    <w:rsid w:val="7B255AC8"/>
    <w:rsid w:val="7B87500D"/>
    <w:rsid w:val="7D5B007A"/>
    <w:rsid w:val="7D6864F7"/>
    <w:rsid w:val="7E0457F8"/>
    <w:rsid w:val="7E717EAD"/>
    <w:rsid w:val="7EA126C9"/>
    <w:rsid w:val="7EFD57C1"/>
    <w:rsid w:val="7F2351A1"/>
    <w:rsid w:val="7F93D619"/>
    <w:rsid w:val="7FE01AFA"/>
    <w:rsid w:val="8BFFE455"/>
    <w:rsid w:val="A4B35309"/>
    <w:rsid w:val="BEBE0E25"/>
    <w:rsid w:val="E5FB001E"/>
    <w:rsid w:val="EF5F0041"/>
    <w:rsid w:val="FDA7D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nhideWhenUsed="0" w:uiPriority="0"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iPriority="99" w:name="Quote"/>
    <w:lsdException w:qFormat="1"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0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1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12"/>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113"/>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14"/>
    <w:autoRedefine/>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15"/>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16"/>
    <w:autoRedefine/>
    <w:semiHidden/>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117"/>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8"/>
    <w:autoRedefine/>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90">
    <w:name w:val="Default Paragraph Font"/>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23"/>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99"/>
    <w:pPr>
      <w:ind w:left="100" w:leftChars="400" w:hanging="200" w:hangingChars="200"/>
      <w:contextualSpacing/>
    </w:pPr>
  </w:style>
  <w:style w:type="paragraph" w:styleId="13">
    <w:name w:val="toc 7"/>
    <w:basedOn w:val="1"/>
    <w:next w:val="1"/>
    <w:autoRedefine/>
    <w:semiHidden/>
    <w:unhideWhenUsed/>
    <w:qFormat/>
    <w:uiPriority w:val="39"/>
    <w:pPr>
      <w:ind w:left="2520" w:leftChars="1200"/>
    </w:pPr>
  </w:style>
  <w:style w:type="paragraph" w:styleId="14">
    <w:name w:val="List Number 2"/>
    <w:basedOn w:val="1"/>
    <w:autoRedefine/>
    <w:semiHidden/>
    <w:unhideWhenUsed/>
    <w:qFormat/>
    <w:uiPriority w:val="99"/>
    <w:pPr>
      <w:numPr>
        <w:ilvl w:val="0"/>
        <w:numId w:val="1"/>
      </w:numPr>
      <w:contextualSpacing/>
    </w:pPr>
  </w:style>
  <w:style w:type="paragraph" w:styleId="15">
    <w:name w:val="table of authorities"/>
    <w:basedOn w:val="1"/>
    <w:next w:val="1"/>
    <w:autoRedefine/>
    <w:semiHidden/>
    <w:unhideWhenUsed/>
    <w:qFormat/>
    <w:uiPriority w:val="99"/>
    <w:pPr>
      <w:ind w:left="420" w:leftChars="200"/>
    </w:pPr>
  </w:style>
  <w:style w:type="paragraph" w:styleId="16">
    <w:name w:val="Note Heading"/>
    <w:basedOn w:val="1"/>
    <w:next w:val="1"/>
    <w:link w:val="145"/>
    <w:autoRedefine/>
    <w:semiHidden/>
    <w:unhideWhenUsed/>
    <w:qFormat/>
    <w:uiPriority w:val="99"/>
    <w:pPr>
      <w:jc w:val="center"/>
    </w:pPr>
  </w:style>
  <w:style w:type="paragraph" w:styleId="17">
    <w:name w:val="List Bullet 4"/>
    <w:basedOn w:val="1"/>
    <w:autoRedefine/>
    <w:semiHidden/>
    <w:unhideWhenUsed/>
    <w:qFormat/>
    <w:uiPriority w:val="99"/>
    <w:pPr>
      <w:numPr>
        <w:ilvl w:val="0"/>
        <w:numId w:val="2"/>
      </w:numPr>
      <w:contextualSpacing/>
    </w:pPr>
  </w:style>
  <w:style w:type="paragraph" w:styleId="18">
    <w:name w:val="index 8"/>
    <w:basedOn w:val="1"/>
    <w:next w:val="1"/>
    <w:autoRedefine/>
    <w:semiHidden/>
    <w:unhideWhenUsed/>
    <w:qFormat/>
    <w:uiPriority w:val="99"/>
    <w:pPr>
      <w:ind w:left="1400" w:leftChars="1400"/>
    </w:pPr>
  </w:style>
  <w:style w:type="paragraph" w:styleId="19">
    <w:name w:val="E-mail Signature"/>
    <w:basedOn w:val="1"/>
    <w:link w:val="121"/>
    <w:autoRedefine/>
    <w:semiHidden/>
    <w:unhideWhenUsed/>
    <w:qFormat/>
    <w:uiPriority w:val="99"/>
  </w:style>
  <w:style w:type="paragraph" w:styleId="20">
    <w:name w:val="List Number"/>
    <w:basedOn w:val="1"/>
    <w:autoRedefine/>
    <w:semiHidden/>
    <w:unhideWhenUsed/>
    <w:qFormat/>
    <w:uiPriority w:val="99"/>
    <w:pPr>
      <w:numPr>
        <w:ilvl w:val="0"/>
        <w:numId w:val="3"/>
      </w:numPr>
      <w:contextualSpacing/>
    </w:pPr>
  </w:style>
  <w:style w:type="paragraph" w:styleId="21">
    <w:name w:val="Normal Indent"/>
    <w:basedOn w:val="1"/>
    <w:autoRedefine/>
    <w:semiHidden/>
    <w:unhideWhenUsed/>
    <w:qFormat/>
    <w:uiPriority w:val="99"/>
    <w:pPr>
      <w:ind w:firstLine="420" w:firstLineChars="200"/>
    </w:pPr>
  </w:style>
  <w:style w:type="paragraph" w:styleId="22">
    <w:name w:val="caption"/>
    <w:basedOn w:val="1"/>
    <w:next w:val="1"/>
    <w:autoRedefine/>
    <w:semiHidden/>
    <w:unhideWhenUsed/>
    <w:qFormat/>
    <w:uiPriority w:val="35"/>
    <w:rPr>
      <w:rFonts w:eastAsia="黑体" w:asciiTheme="majorHAnsi" w:hAnsiTheme="majorHAnsi" w:cstheme="majorBidi"/>
      <w:sz w:val="20"/>
      <w:szCs w:val="20"/>
    </w:rPr>
  </w:style>
  <w:style w:type="paragraph" w:styleId="23">
    <w:name w:val="index 5"/>
    <w:basedOn w:val="1"/>
    <w:next w:val="1"/>
    <w:autoRedefine/>
    <w:semiHidden/>
    <w:unhideWhenUsed/>
    <w:qFormat/>
    <w:uiPriority w:val="99"/>
    <w:pPr>
      <w:ind w:left="800" w:leftChars="800"/>
    </w:pPr>
  </w:style>
  <w:style w:type="paragraph" w:styleId="24">
    <w:name w:val="List Bullet"/>
    <w:basedOn w:val="1"/>
    <w:autoRedefine/>
    <w:semiHidden/>
    <w:unhideWhenUsed/>
    <w:qFormat/>
    <w:uiPriority w:val="99"/>
    <w:pPr>
      <w:numPr>
        <w:ilvl w:val="0"/>
        <w:numId w:val="4"/>
      </w:numPr>
      <w:contextualSpacing/>
    </w:pPr>
  </w:style>
  <w:style w:type="paragraph" w:styleId="25">
    <w:name w:val="envelope address"/>
    <w:basedOn w:val="1"/>
    <w:autoRedefine/>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32"/>
    <w:autoRedefine/>
    <w:semiHidden/>
    <w:unhideWhenUsed/>
    <w:qFormat/>
    <w:uiPriority w:val="99"/>
    <w:rPr>
      <w:rFonts w:ascii="Microsoft YaHei UI" w:eastAsia="Microsoft YaHei UI"/>
      <w:sz w:val="18"/>
      <w:szCs w:val="18"/>
    </w:rPr>
  </w:style>
  <w:style w:type="paragraph" w:styleId="27">
    <w:name w:val="toa heading"/>
    <w:basedOn w:val="1"/>
    <w:next w:val="1"/>
    <w:autoRedefine/>
    <w:semiHidden/>
    <w:unhideWhenUsed/>
    <w:qFormat/>
    <w:uiPriority w:val="99"/>
    <w:pPr>
      <w:spacing w:before="120"/>
    </w:pPr>
    <w:rPr>
      <w:rFonts w:asciiTheme="majorHAnsi" w:hAnsiTheme="majorHAnsi" w:eastAsiaTheme="majorEastAsia" w:cstheme="majorBidi"/>
      <w:sz w:val="24"/>
      <w:szCs w:val="24"/>
    </w:rPr>
  </w:style>
  <w:style w:type="paragraph" w:styleId="28">
    <w:name w:val="annotation text"/>
    <w:basedOn w:val="1"/>
    <w:link w:val="99"/>
    <w:autoRedefine/>
    <w:unhideWhenUsed/>
    <w:qFormat/>
    <w:uiPriority w:val="0"/>
    <w:pPr>
      <w:jc w:val="left"/>
    </w:pPr>
  </w:style>
  <w:style w:type="paragraph" w:styleId="29">
    <w:name w:val="index 6"/>
    <w:basedOn w:val="1"/>
    <w:next w:val="1"/>
    <w:autoRedefine/>
    <w:semiHidden/>
    <w:unhideWhenUsed/>
    <w:qFormat/>
    <w:uiPriority w:val="99"/>
    <w:pPr>
      <w:ind w:left="1000" w:leftChars="1000"/>
    </w:pPr>
  </w:style>
  <w:style w:type="paragraph" w:styleId="30">
    <w:name w:val="Salutation"/>
    <w:basedOn w:val="1"/>
    <w:next w:val="1"/>
    <w:link w:val="119"/>
    <w:autoRedefine/>
    <w:semiHidden/>
    <w:unhideWhenUsed/>
    <w:qFormat/>
    <w:uiPriority w:val="99"/>
  </w:style>
  <w:style w:type="paragraph" w:styleId="31">
    <w:name w:val="Body Text 3"/>
    <w:basedOn w:val="1"/>
    <w:link w:val="138"/>
    <w:autoRedefine/>
    <w:semiHidden/>
    <w:unhideWhenUsed/>
    <w:qFormat/>
    <w:uiPriority w:val="99"/>
    <w:pPr>
      <w:spacing w:after="120"/>
    </w:pPr>
    <w:rPr>
      <w:sz w:val="16"/>
      <w:szCs w:val="16"/>
    </w:rPr>
  </w:style>
  <w:style w:type="paragraph" w:styleId="32">
    <w:name w:val="Closing"/>
    <w:basedOn w:val="1"/>
    <w:link w:val="125"/>
    <w:autoRedefine/>
    <w:semiHidden/>
    <w:unhideWhenUsed/>
    <w:qFormat/>
    <w:uiPriority w:val="99"/>
    <w:pPr>
      <w:ind w:left="100" w:leftChars="2100"/>
    </w:pPr>
  </w:style>
  <w:style w:type="paragraph" w:styleId="33">
    <w:name w:val="List Bullet 3"/>
    <w:basedOn w:val="1"/>
    <w:autoRedefine/>
    <w:semiHidden/>
    <w:unhideWhenUsed/>
    <w:qFormat/>
    <w:uiPriority w:val="99"/>
    <w:pPr>
      <w:numPr>
        <w:ilvl w:val="0"/>
        <w:numId w:val="5"/>
      </w:numPr>
      <w:contextualSpacing/>
    </w:pPr>
  </w:style>
  <w:style w:type="paragraph" w:styleId="34">
    <w:name w:val="Body Text"/>
    <w:basedOn w:val="1"/>
    <w:link w:val="139"/>
    <w:autoRedefine/>
    <w:semiHidden/>
    <w:qFormat/>
    <w:uiPriority w:val="0"/>
    <w:rPr>
      <w:rFonts w:ascii="宋体" w:hAnsi="宋体" w:cs="宋体"/>
      <w:sz w:val="35"/>
      <w:szCs w:val="35"/>
      <w:lang w:eastAsia="en-US"/>
    </w:rPr>
  </w:style>
  <w:style w:type="paragraph" w:styleId="35">
    <w:name w:val="Body Text Indent"/>
    <w:basedOn w:val="1"/>
    <w:link w:val="141"/>
    <w:autoRedefine/>
    <w:semiHidden/>
    <w:unhideWhenUsed/>
    <w:qFormat/>
    <w:uiPriority w:val="99"/>
    <w:pPr>
      <w:spacing w:after="120"/>
      <w:ind w:left="420" w:leftChars="200"/>
    </w:pPr>
  </w:style>
  <w:style w:type="paragraph" w:styleId="36">
    <w:name w:val="List Number 3"/>
    <w:basedOn w:val="1"/>
    <w:autoRedefine/>
    <w:semiHidden/>
    <w:unhideWhenUsed/>
    <w:qFormat/>
    <w:uiPriority w:val="99"/>
    <w:pPr>
      <w:numPr>
        <w:ilvl w:val="0"/>
        <w:numId w:val="6"/>
      </w:numPr>
      <w:contextualSpacing/>
    </w:pPr>
  </w:style>
  <w:style w:type="paragraph" w:styleId="37">
    <w:name w:val="List 2"/>
    <w:basedOn w:val="1"/>
    <w:autoRedefine/>
    <w:semiHidden/>
    <w:unhideWhenUsed/>
    <w:qFormat/>
    <w:uiPriority w:val="99"/>
    <w:pPr>
      <w:ind w:left="100" w:leftChars="200" w:hanging="200" w:hangingChars="200"/>
      <w:contextualSpacing/>
    </w:pPr>
  </w:style>
  <w:style w:type="paragraph" w:styleId="38">
    <w:name w:val="List Continue"/>
    <w:basedOn w:val="1"/>
    <w:autoRedefine/>
    <w:semiHidden/>
    <w:unhideWhenUsed/>
    <w:qFormat/>
    <w:uiPriority w:val="99"/>
    <w:pPr>
      <w:spacing w:after="120"/>
      <w:ind w:left="420" w:leftChars="200"/>
      <w:contextualSpacing/>
    </w:pPr>
  </w:style>
  <w:style w:type="paragraph" w:styleId="39">
    <w:name w:val="Block Text"/>
    <w:basedOn w:val="1"/>
    <w:autoRedefine/>
    <w:semiHidden/>
    <w:unhideWhenUsed/>
    <w:qFormat/>
    <w:uiPriority w:val="99"/>
    <w:pPr>
      <w:spacing w:after="120"/>
      <w:ind w:left="1440" w:leftChars="700" w:right="1440" w:rightChars="700"/>
    </w:pPr>
  </w:style>
  <w:style w:type="paragraph" w:styleId="40">
    <w:name w:val="List Bullet 2"/>
    <w:basedOn w:val="1"/>
    <w:autoRedefine/>
    <w:semiHidden/>
    <w:unhideWhenUsed/>
    <w:qFormat/>
    <w:uiPriority w:val="99"/>
    <w:pPr>
      <w:numPr>
        <w:ilvl w:val="0"/>
        <w:numId w:val="7"/>
      </w:numPr>
      <w:contextualSpacing/>
    </w:pPr>
  </w:style>
  <w:style w:type="paragraph" w:styleId="41">
    <w:name w:val="HTML Address"/>
    <w:basedOn w:val="1"/>
    <w:link w:val="106"/>
    <w:autoRedefine/>
    <w:semiHidden/>
    <w:unhideWhenUsed/>
    <w:qFormat/>
    <w:uiPriority w:val="99"/>
    <w:rPr>
      <w:i/>
      <w:iCs/>
    </w:rPr>
  </w:style>
  <w:style w:type="paragraph" w:styleId="42">
    <w:name w:val="index 4"/>
    <w:basedOn w:val="1"/>
    <w:next w:val="1"/>
    <w:autoRedefine/>
    <w:semiHidden/>
    <w:unhideWhenUsed/>
    <w:qFormat/>
    <w:uiPriority w:val="99"/>
    <w:pPr>
      <w:ind w:left="600" w:leftChars="600"/>
    </w:pPr>
  </w:style>
  <w:style w:type="paragraph" w:styleId="43">
    <w:name w:val="toc 5"/>
    <w:basedOn w:val="1"/>
    <w:next w:val="1"/>
    <w:autoRedefine/>
    <w:semiHidden/>
    <w:unhideWhenUsed/>
    <w:qFormat/>
    <w:uiPriority w:val="39"/>
    <w:pPr>
      <w:ind w:left="1680" w:leftChars="800"/>
    </w:pPr>
  </w:style>
  <w:style w:type="paragraph" w:styleId="44">
    <w:name w:val="toc 3"/>
    <w:basedOn w:val="1"/>
    <w:next w:val="1"/>
    <w:autoRedefine/>
    <w:semiHidden/>
    <w:unhideWhenUsed/>
    <w:qFormat/>
    <w:uiPriority w:val="39"/>
    <w:pPr>
      <w:ind w:left="840" w:leftChars="400"/>
    </w:pPr>
  </w:style>
  <w:style w:type="paragraph" w:styleId="45">
    <w:name w:val="Plain Text"/>
    <w:basedOn w:val="1"/>
    <w:link w:val="120"/>
    <w:autoRedefine/>
    <w:semiHidden/>
    <w:unhideWhenUsed/>
    <w:qFormat/>
    <w:uiPriority w:val="99"/>
    <w:rPr>
      <w:rFonts w:hAnsi="Courier New" w:cs="Courier New" w:asciiTheme="minorEastAsia" w:eastAsiaTheme="minorEastAsia"/>
    </w:rPr>
  </w:style>
  <w:style w:type="paragraph" w:styleId="46">
    <w:name w:val="List Bullet 5"/>
    <w:basedOn w:val="1"/>
    <w:autoRedefine/>
    <w:semiHidden/>
    <w:unhideWhenUsed/>
    <w:qFormat/>
    <w:uiPriority w:val="99"/>
    <w:pPr>
      <w:numPr>
        <w:ilvl w:val="0"/>
        <w:numId w:val="8"/>
      </w:numPr>
      <w:contextualSpacing/>
    </w:pPr>
  </w:style>
  <w:style w:type="paragraph" w:styleId="47">
    <w:name w:val="List Number 4"/>
    <w:basedOn w:val="1"/>
    <w:autoRedefine/>
    <w:semiHidden/>
    <w:unhideWhenUsed/>
    <w:qFormat/>
    <w:uiPriority w:val="99"/>
    <w:pPr>
      <w:numPr>
        <w:ilvl w:val="0"/>
        <w:numId w:val="9"/>
      </w:numPr>
      <w:contextualSpacing/>
    </w:pPr>
  </w:style>
  <w:style w:type="paragraph" w:styleId="48">
    <w:name w:val="toc 8"/>
    <w:basedOn w:val="1"/>
    <w:next w:val="1"/>
    <w:autoRedefine/>
    <w:semiHidden/>
    <w:unhideWhenUsed/>
    <w:qFormat/>
    <w:uiPriority w:val="39"/>
    <w:pPr>
      <w:ind w:left="2940" w:leftChars="1400"/>
    </w:pPr>
  </w:style>
  <w:style w:type="paragraph" w:styleId="49">
    <w:name w:val="index 3"/>
    <w:basedOn w:val="1"/>
    <w:next w:val="1"/>
    <w:autoRedefine/>
    <w:semiHidden/>
    <w:unhideWhenUsed/>
    <w:qFormat/>
    <w:uiPriority w:val="99"/>
    <w:pPr>
      <w:ind w:left="400" w:leftChars="400"/>
    </w:pPr>
  </w:style>
  <w:style w:type="paragraph" w:styleId="50">
    <w:name w:val="Date"/>
    <w:basedOn w:val="1"/>
    <w:next w:val="1"/>
    <w:link w:val="129"/>
    <w:autoRedefine/>
    <w:semiHidden/>
    <w:unhideWhenUsed/>
    <w:qFormat/>
    <w:uiPriority w:val="99"/>
    <w:pPr>
      <w:ind w:left="100" w:leftChars="2500"/>
    </w:pPr>
  </w:style>
  <w:style w:type="paragraph" w:styleId="51">
    <w:name w:val="Body Text Indent 2"/>
    <w:basedOn w:val="1"/>
    <w:link w:val="143"/>
    <w:autoRedefine/>
    <w:semiHidden/>
    <w:unhideWhenUsed/>
    <w:qFormat/>
    <w:uiPriority w:val="99"/>
    <w:pPr>
      <w:spacing w:after="120" w:line="480" w:lineRule="auto"/>
      <w:ind w:left="420" w:leftChars="200"/>
    </w:pPr>
  </w:style>
  <w:style w:type="paragraph" w:styleId="52">
    <w:name w:val="endnote text"/>
    <w:basedOn w:val="1"/>
    <w:link w:val="131"/>
    <w:autoRedefine/>
    <w:semiHidden/>
    <w:unhideWhenUsed/>
    <w:qFormat/>
    <w:uiPriority w:val="99"/>
    <w:pPr>
      <w:snapToGrid w:val="0"/>
      <w:jc w:val="left"/>
    </w:pPr>
  </w:style>
  <w:style w:type="paragraph" w:styleId="53">
    <w:name w:val="List Continue 5"/>
    <w:basedOn w:val="1"/>
    <w:autoRedefine/>
    <w:semiHidden/>
    <w:unhideWhenUsed/>
    <w:qFormat/>
    <w:uiPriority w:val="99"/>
    <w:pPr>
      <w:spacing w:after="120"/>
      <w:ind w:left="2100" w:leftChars="1000"/>
      <w:contextualSpacing/>
    </w:pPr>
  </w:style>
  <w:style w:type="paragraph" w:styleId="54">
    <w:name w:val="Balloon Text"/>
    <w:basedOn w:val="1"/>
    <w:link w:val="96"/>
    <w:autoRedefine/>
    <w:unhideWhenUsed/>
    <w:qFormat/>
    <w:uiPriority w:val="99"/>
    <w:rPr>
      <w:sz w:val="18"/>
      <w:szCs w:val="18"/>
    </w:rPr>
  </w:style>
  <w:style w:type="paragraph" w:styleId="55">
    <w:name w:val="footer"/>
    <w:basedOn w:val="1"/>
    <w:link w:val="93"/>
    <w:autoRedefine/>
    <w:unhideWhenUsed/>
    <w:qFormat/>
    <w:uiPriority w:val="99"/>
    <w:pPr>
      <w:tabs>
        <w:tab w:val="center" w:pos="4153"/>
        <w:tab w:val="right" w:pos="8306"/>
      </w:tabs>
      <w:snapToGrid w:val="0"/>
      <w:jc w:val="left"/>
    </w:pPr>
    <w:rPr>
      <w:sz w:val="18"/>
      <w:szCs w:val="18"/>
    </w:rPr>
  </w:style>
  <w:style w:type="paragraph" w:styleId="56">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57">
    <w:name w:val="header"/>
    <w:basedOn w:val="1"/>
    <w:link w:val="9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28"/>
    <w:autoRedefine/>
    <w:semiHidden/>
    <w:unhideWhenUsed/>
    <w:qFormat/>
    <w:uiPriority w:val="99"/>
    <w:pPr>
      <w:ind w:left="100" w:leftChars="2100"/>
    </w:pPr>
  </w:style>
  <w:style w:type="paragraph" w:styleId="59">
    <w:name w:val="toc 1"/>
    <w:basedOn w:val="1"/>
    <w:next w:val="1"/>
    <w:autoRedefine/>
    <w:semiHidden/>
    <w:unhideWhenUsed/>
    <w:qFormat/>
    <w:uiPriority w:val="39"/>
  </w:style>
  <w:style w:type="paragraph" w:styleId="60">
    <w:name w:val="List Continue 4"/>
    <w:basedOn w:val="1"/>
    <w:autoRedefine/>
    <w:semiHidden/>
    <w:unhideWhenUsed/>
    <w:qFormat/>
    <w:uiPriority w:val="99"/>
    <w:pPr>
      <w:spacing w:after="120"/>
      <w:ind w:left="1680" w:leftChars="800"/>
      <w:contextualSpacing/>
    </w:pPr>
  </w:style>
  <w:style w:type="paragraph" w:styleId="61">
    <w:name w:val="toc 4"/>
    <w:basedOn w:val="1"/>
    <w:next w:val="1"/>
    <w:autoRedefine/>
    <w:semiHidden/>
    <w:unhideWhenUsed/>
    <w:qFormat/>
    <w:uiPriority w:val="39"/>
    <w:pPr>
      <w:ind w:left="1260" w:leftChars="600"/>
    </w:pPr>
  </w:style>
  <w:style w:type="paragraph" w:styleId="62">
    <w:name w:val="index heading"/>
    <w:basedOn w:val="1"/>
    <w:next w:val="63"/>
    <w:autoRedefine/>
    <w:semiHidden/>
    <w:unhideWhenUsed/>
    <w:qFormat/>
    <w:uiPriority w:val="99"/>
    <w:rPr>
      <w:rFonts w:asciiTheme="majorHAnsi" w:hAnsiTheme="majorHAnsi" w:eastAsiaTheme="majorEastAsia" w:cstheme="majorBidi"/>
      <w:b/>
      <w:bCs/>
    </w:rPr>
  </w:style>
  <w:style w:type="paragraph" w:styleId="63">
    <w:name w:val="index 1"/>
    <w:basedOn w:val="1"/>
    <w:next w:val="1"/>
    <w:autoRedefine/>
    <w:semiHidden/>
    <w:unhideWhenUsed/>
    <w:qFormat/>
    <w:uiPriority w:val="99"/>
  </w:style>
  <w:style w:type="paragraph" w:styleId="64">
    <w:name w:val="Subtitle"/>
    <w:basedOn w:val="1"/>
    <w:next w:val="1"/>
    <w:link w:val="122"/>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65">
    <w:name w:val="List Number 5"/>
    <w:basedOn w:val="1"/>
    <w:autoRedefine/>
    <w:semiHidden/>
    <w:unhideWhenUsed/>
    <w:qFormat/>
    <w:uiPriority w:val="99"/>
    <w:pPr>
      <w:numPr>
        <w:ilvl w:val="0"/>
        <w:numId w:val="10"/>
      </w:numPr>
      <w:contextualSpacing/>
    </w:pPr>
  </w:style>
  <w:style w:type="paragraph" w:styleId="66">
    <w:name w:val="List"/>
    <w:basedOn w:val="1"/>
    <w:autoRedefine/>
    <w:semiHidden/>
    <w:unhideWhenUsed/>
    <w:qFormat/>
    <w:uiPriority w:val="99"/>
    <w:pPr>
      <w:ind w:left="200" w:hanging="200" w:hangingChars="200"/>
      <w:contextualSpacing/>
    </w:pPr>
  </w:style>
  <w:style w:type="paragraph" w:styleId="67">
    <w:name w:val="footnote text"/>
    <w:basedOn w:val="1"/>
    <w:link w:val="124"/>
    <w:autoRedefine/>
    <w:semiHidden/>
    <w:unhideWhenUsed/>
    <w:qFormat/>
    <w:uiPriority w:val="99"/>
    <w:pPr>
      <w:snapToGrid w:val="0"/>
      <w:jc w:val="left"/>
    </w:pPr>
    <w:rPr>
      <w:sz w:val="18"/>
      <w:szCs w:val="18"/>
    </w:rPr>
  </w:style>
  <w:style w:type="paragraph" w:styleId="68">
    <w:name w:val="toc 6"/>
    <w:basedOn w:val="1"/>
    <w:next w:val="1"/>
    <w:autoRedefine/>
    <w:semiHidden/>
    <w:unhideWhenUsed/>
    <w:qFormat/>
    <w:uiPriority w:val="39"/>
    <w:pPr>
      <w:ind w:left="2100" w:leftChars="1000"/>
    </w:pPr>
  </w:style>
  <w:style w:type="paragraph" w:styleId="69">
    <w:name w:val="List 5"/>
    <w:basedOn w:val="1"/>
    <w:autoRedefine/>
    <w:semiHidden/>
    <w:unhideWhenUsed/>
    <w:qFormat/>
    <w:uiPriority w:val="99"/>
    <w:pPr>
      <w:ind w:left="100" w:leftChars="800" w:hanging="200" w:hangingChars="200"/>
      <w:contextualSpacing/>
    </w:pPr>
  </w:style>
  <w:style w:type="paragraph" w:styleId="70">
    <w:name w:val="Body Text Indent 3"/>
    <w:basedOn w:val="1"/>
    <w:link w:val="144"/>
    <w:autoRedefine/>
    <w:semiHidden/>
    <w:unhideWhenUsed/>
    <w:qFormat/>
    <w:uiPriority w:val="99"/>
    <w:pPr>
      <w:spacing w:after="120"/>
      <w:ind w:left="420" w:leftChars="200"/>
    </w:pPr>
    <w:rPr>
      <w:sz w:val="16"/>
      <w:szCs w:val="16"/>
    </w:rPr>
  </w:style>
  <w:style w:type="paragraph" w:styleId="71">
    <w:name w:val="index 7"/>
    <w:basedOn w:val="1"/>
    <w:next w:val="1"/>
    <w:autoRedefine/>
    <w:semiHidden/>
    <w:unhideWhenUsed/>
    <w:qFormat/>
    <w:uiPriority w:val="99"/>
    <w:pPr>
      <w:ind w:left="1200" w:leftChars="1200"/>
    </w:pPr>
  </w:style>
  <w:style w:type="paragraph" w:styleId="72">
    <w:name w:val="index 9"/>
    <w:basedOn w:val="1"/>
    <w:next w:val="1"/>
    <w:autoRedefine/>
    <w:semiHidden/>
    <w:unhideWhenUsed/>
    <w:qFormat/>
    <w:uiPriority w:val="99"/>
    <w:pPr>
      <w:ind w:left="1600" w:leftChars="1600"/>
    </w:pPr>
  </w:style>
  <w:style w:type="paragraph" w:styleId="73">
    <w:name w:val="table of figures"/>
    <w:basedOn w:val="1"/>
    <w:next w:val="1"/>
    <w:autoRedefine/>
    <w:semiHidden/>
    <w:unhideWhenUsed/>
    <w:qFormat/>
    <w:uiPriority w:val="99"/>
    <w:pPr>
      <w:ind w:left="200" w:leftChars="200" w:hanging="200" w:hangingChars="200"/>
    </w:pPr>
  </w:style>
  <w:style w:type="paragraph" w:styleId="74">
    <w:name w:val="toc 2"/>
    <w:basedOn w:val="1"/>
    <w:next w:val="1"/>
    <w:autoRedefine/>
    <w:semiHidden/>
    <w:unhideWhenUsed/>
    <w:qFormat/>
    <w:uiPriority w:val="39"/>
    <w:pPr>
      <w:ind w:left="420" w:leftChars="200"/>
    </w:pPr>
  </w:style>
  <w:style w:type="paragraph" w:styleId="75">
    <w:name w:val="toc 9"/>
    <w:basedOn w:val="1"/>
    <w:next w:val="1"/>
    <w:autoRedefine/>
    <w:semiHidden/>
    <w:unhideWhenUsed/>
    <w:qFormat/>
    <w:uiPriority w:val="39"/>
    <w:pPr>
      <w:ind w:left="3360" w:leftChars="1600"/>
    </w:pPr>
  </w:style>
  <w:style w:type="paragraph" w:styleId="76">
    <w:name w:val="Body Text 2"/>
    <w:basedOn w:val="1"/>
    <w:link w:val="137"/>
    <w:autoRedefine/>
    <w:semiHidden/>
    <w:unhideWhenUsed/>
    <w:qFormat/>
    <w:uiPriority w:val="99"/>
    <w:pPr>
      <w:spacing w:after="120" w:line="480" w:lineRule="auto"/>
    </w:pPr>
  </w:style>
  <w:style w:type="paragraph" w:styleId="77">
    <w:name w:val="List 4"/>
    <w:basedOn w:val="1"/>
    <w:autoRedefine/>
    <w:semiHidden/>
    <w:unhideWhenUsed/>
    <w:qFormat/>
    <w:uiPriority w:val="99"/>
    <w:pPr>
      <w:ind w:left="100" w:leftChars="600" w:hanging="200" w:hangingChars="200"/>
      <w:contextualSpacing/>
    </w:pPr>
  </w:style>
  <w:style w:type="paragraph" w:styleId="78">
    <w:name w:val="List Continue 2"/>
    <w:basedOn w:val="1"/>
    <w:autoRedefine/>
    <w:semiHidden/>
    <w:unhideWhenUsed/>
    <w:qFormat/>
    <w:uiPriority w:val="99"/>
    <w:pPr>
      <w:spacing w:after="120"/>
      <w:ind w:left="840" w:leftChars="400"/>
      <w:contextualSpacing/>
    </w:pPr>
  </w:style>
  <w:style w:type="paragraph" w:styleId="79">
    <w:name w:val="Message Header"/>
    <w:basedOn w:val="1"/>
    <w:link w:val="134"/>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7"/>
    <w:autoRedefine/>
    <w:semiHidden/>
    <w:unhideWhenUsed/>
    <w:qFormat/>
    <w:uiPriority w:val="99"/>
    <w:rPr>
      <w:rFonts w:ascii="Courier New" w:hAnsi="Courier New" w:cs="Courier New"/>
      <w:sz w:val="20"/>
      <w:szCs w:val="20"/>
    </w:rPr>
  </w:style>
  <w:style w:type="paragraph" w:styleId="81">
    <w:name w:val="Normal (Web)"/>
    <w:basedOn w:val="1"/>
    <w:autoRedefine/>
    <w:semiHidden/>
    <w:unhideWhenUsed/>
    <w:qFormat/>
    <w:uiPriority w:val="99"/>
    <w:pPr>
      <w:spacing w:beforeAutospacing="1" w:afterAutospacing="1"/>
      <w:jc w:val="left"/>
    </w:pPr>
    <w:rPr>
      <w:kern w:val="0"/>
      <w:sz w:val="24"/>
    </w:rPr>
  </w:style>
  <w:style w:type="paragraph" w:styleId="82">
    <w:name w:val="List Continue 3"/>
    <w:basedOn w:val="1"/>
    <w:autoRedefine/>
    <w:semiHidden/>
    <w:unhideWhenUsed/>
    <w:qFormat/>
    <w:uiPriority w:val="99"/>
    <w:pPr>
      <w:spacing w:after="120"/>
      <w:ind w:left="1260" w:leftChars="600"/>
      <w:contextualSpacing/>
    </w:pPr>
  </w:style>
  <w:style w:type="paragraph" w:styleId="83">
    <w:name w:val="index 2"/>
    <w:basedOn w:val="1"/>
    <w:next w:val="1"/>
    <w:autoRedefine/>
    <w:semiHidden/>
    <w:unhideWhenUsed/>
    <w:qFormat/>
    <w:uiPriority w:val="99"/>
    <w:pPr>
      <w:ind w:left="200" w:leftChars="200"/>
    </w:pPr>
  </w:style>
  <w:style w:type="paragraph" w:styleId="84">
    <w:name w:val="Title"/>
    <w:basedOn w:val="1"/>
    <w:next w:val="1"/>
    <w:link w:val="110"/>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00"/>
    <w:autoRedefine/>
    <w:semiHidden/>
    <w:unhideWhenUsed/>
    <w:qFormat/>
    <w:uiPriority w:val="99"/>
    <w:rPr>
      <w:b/>
      <w:bCs/>
    </w:rPr>
  </w:style>
  <w:style w:type="paragraph" w:styleId="86">
    <w:name w:val="Body Text First Indent"/>
    <w:basedOn w:val="34"/>
    <w:link w:val="140"/>
    <w:autoRedefine/>
    <w:semiHidden/>
    <w:unhideWhenUsed/>
    <w:qFormat/>
    <w:uiPriority w:val="99"/>
    <w:pPr>
      <w:spacing w:after="120"/>
      <w:ind w:firstLine="420" w:firstLineChars="100"/>
    </w:pPr>
    <w:rPr>
      <w:rFonts w:ascii="Calibri" w:hAnsi="Calibri" w:cs="Times New Roman"/>
      <w:sz w:val="21"/>
      <w:szCs w:val="22"/>
      <w:lang w:eastAsia="zh-CN"/>
    </w:rPr>
  </w:style>
  <w:style w:type="paragraph" w:styleId="87">
    <w:name w:val="Body Text First Indent 2"/>
    <w:basedOn w:val="35"/>
    <w:link w:val="142"/>
    <w:autoRedefine/>
    <w:semiHidden/>
    <w:unhideWhenUsed/>
    <w:qFormat/>
    <w:uiPriority w:val="99"/>
    <w:pPr>
      <w:ind w:firstLine="420" w:firstLineChars="200"/>
    </w:pPr>
  </w:style>
  <w:style w:type="table" w:styleId="89">
    <w:name w:val="Table Grid"/>
    <w:basedOn w:val="8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annotation reference"/>
    <w:basedOn w:val="90"/>
    <w:autoRedefine/>
    <w:semiHidden/>
    <w:unhideWhenUsed/>
    <w:qFormat/>
    <w:uiPriority w:val="0"/>
    <w:rPr>
      <w:sz w:val="21"/>
      <w:szCs w:val="21"/>
    </w:rPr>
  </w:style>
  <w:style w:type="paragraph" w:customStyle="1" w:styleId="9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3">
    <w:name w:val="页脚 字符"/>
    <w:basedOn w:val="90"/>
    <w:link w:val="55"/>
    <w:autoRedefine/>
    <w:qFormat/>
    <w:uiPriority w:val="99"/>
    <w:rPr>
      <w:rFonts w:ascii="Calibri" w:hAnsi="Calibri" w:eastAsia="宋体" w:cs="Times New Roman"/>
      <w:sz w:val="18"/>
      <w:szCs w:val="18"/>
    </w:rPr>
  </w:style>
  <w:style w:type="paragraph" w:customStyle="1" w:styleId="94">
    <w:name w:val="列出段落1"/>
    <w:basedOn w:val="1"/>
    <w:autoRedefine/>
    <w:qFormat/>
    <w:uiPriority w:val="34"/>
    <w:pPr>
      <w:numPr>
        <w:ilvl w:val="0"/>
        <w:numId w:val="11"/>
      </w:numPr>
      <w:adjustRightInd w:val="0"/>
      <w:snapToGrid w:val="0"/>
      <w:spacing w:line="560" w:lineRule="exact"/>
    </w:pPr>
  </w:style>
  <w:style w:type="character" w:customStyle="1" w:styleId="95">
    <w:name w:val="页眉 字符"/>
    <w:basedOn w:val="90"/>
    <w:link w:val="57"/>
    <w:autoRedefine/>
    <w:semiHidden/>
    <w:qFormat/>
    <w:uiPriority w:val="99"/>
    <w:rPr>
      <w:rFonts w:ascii="Calibri" w:hAnsi="Calibri" w:eastAsia="宋体" w:cs="Times New Roman"/>
      <w:sz w:val="18"/>
      <w:szCs w:val="18"/>
    </w:rPr>
  </w:style>
  <w:style w:type="character" w:customStyle="1" w:styleId="96">
    <w:name w:val="批注框文本 字符"/>
    <w:basedOn w:val="90"/>
    <w:link w:val="54"/>
    <w:autoRedefine/>
    <w:semiHidden/>
    <w:qFormat/>
    <w:uiPriority w:val="99"/>
    <w:rPr>
      <w:rFonts w:ascii="Calibri" w:hAnsi="Calibri" w:eastAsia="宋体" w:cs="Times New Roman"/>
      <w:sz w:val="18"/>
      <w:szCs w:val="18"/>
    </w:rPr>
  </w:style>
  <w:style w:type="paragraph" w:customStyle="1" w:styleId="97">
    <w:name w:val="修订1"/>
    <w:autoRedefine/>
    <w:hidden/>
    <w:semiHidden/>
    <w:qFormat/>
    <w:uiPriority w:val="99"/>
    <w:rPr>
      <w:rFonts w:ascii="Calibri" w:hAnsi="Calibri" w:eastAsia="宋体" w:cs="Times New Roman"/>
      <w:kern w:val="2"/>
      <w:sz w:val="21"/>
      <w:szCs w:val="22"/>
      <w:lang w:val="en-US" w:eastAsia="zh-CN" w:bidi="ar-SA"/>
    </w:rPr>
  </w:style>
  <w:style w:type="paragraph" w:styleId="98">
    <w:name w:val="List Paragraph"/>
    <w:basedOn w:val="1"/>
    <w:autoRedefine/>
    <w:qFormat/>
    <w:uiPriority w:val="99"/>
    <w:pPr>
      <w:ind w:firstLine="420" w:firstLineChars="200"/>
    </w:pPr>
  </w:style>
  <w:style w:type="character" w:customStyle="1" w:styleId="99">
    <w:name w:val="批注文字 字符"/>
    <w:basedOn w:val="90"/>
    <w:link w:val="28"/>
    <w:autoRedefine/>
    <w:qFormat/>
    <w:uiPriority w:val="0"/>
    <w:rPr>
      <w:rFonts w:ascii="Calibri" w:hAnsi="Calibri"/>
      <w:kern w:val="2"/>
      <w:sz w:val="21"/>
      <w:szCs w:val="22"/>
    </w:rPr>
  </w:style>
  <w:style w:type="character" w:customStyle="1" w:styleId="100">
    <w:name w:val="批注主题 字符"/>
    <w:basedOn w:val="99"/>
    <w:link w:val="85"/>
    <w:autoRedefine/>
    <w:qFormat/>
    <w:uiPriority w:val="0"/>
    <w:rPr>
      <w:rFonts w:ascii="Calibri" w:hAnsi="Calibri" w:eastAsia="宋体" w:cs="Times New Roman"/>
      <w:kern w:val="2"/>
      <w:sz w:val="21"/>
      <w:szCs w:val="22"/>
    </w:rPr>
  </w:style>
  <w:style w:type="paragraph" w:customStyle="1" w:styleId="101">
    <w:name w:val="修订2"/>
    <w:autoRedefine/>
    <w:hidden/>
    <w:semiHidden/>
    <w:qFormat/>
    <w:uiPriority w:val="99"/>
    <w:rPr>
      <w:rFonts w:ascii="Calibri" w:hAnsi="Calibri" w:eastAsia="宋体" w:cs="Times New Roman"/>
      <w:kern w:val="2"/>
      <w:sz w:val="21"/>
      <w:szCs w:val="22"/>
      <w:lang w:val="en-US" w:eastAsia="zh-CN" w:bidi="ar-SA"/>
    </w:rPr>
  </w:style>
  <w:style w:type="paragraph" w:customStyle="1" w:styleId="102">
    <w:name w:val="修订3"/>
    <w:autoRedefine/>
    <w:hidden/>
    <w:unhideWhenUsed/>
    <w:qFormat/>
    <w:uiPriority w:val="99"/>
    <w:rPr>
      <w:rFonts w:ascii="Calibri" w:hAnsi="Calibri" w:eastAsia="宋体" w:cs="Times New Roman"/>
      <w:kern w:val="2"/>
      <w:sz w:val="21"/>
      <w:szCs w:val="22"/>
      <w:lang w:val="en-US" w:eastAsia="zh-CN" w:bidi="ar-SA"/>
    </w:rPr>
  </w:style>
  <w:style w:type="paragraph" w:customStyle="1" w:styleId="103">
    <w:name w:val="修订4"/>
    <w:autoRedefine/>
    <w:hidden/>
    <w:unhideWhenUsed/>
    <w:qFormat/>
    <w:uiPriority w:val="99"/>
    <w:rPr>
      <w:rFonts w:ascii="Calibri" w:hAnsi="Calibri" w:eastAsia="宋体" w:cs="Times New Roman"/>
      <w:kern w:val="2"/>
      <w:sz w:val="21"/>
      <w:szCs w:val="22"/>
      <w:lang w:val="en-US" w:eastAsia="zh-CN" w:bidi="ar-SA"/>
    </w:rPr>
  </w:style>
  <w:style w:type="table" w:customStyle="1" w:styleId="104">
    <w:name w:val="Table Normal"/>
    <w:autoRedefine/>
    <w:semiHidden/>
    <w:unhideWhenUsed/>
    <w:qFormat/>
    <w:uiPriority w:val="0"/>
    <w:tblPr>
      <w:tblCellMar>
        <w:top w:w="0" w:type="dxa"/>
        <w:left w:w="0" w:type="dxa"/>
        <w:bottom w:w="0" w:type="dxa"/>
        <w:right w:w="0" w:type="dxa"/>
      </w:tblCellMar>
    </w:tblPr>
  </w:style>
  <w:style w:type="paragraph" w:customStyle="1" w:styleId="105">
    <w:name w:val="Table Text"/>
    <w:basedOn w:val="1"/>
    <w:autoRedefine/>
    <w:semiHidden/>
    <w:qFormat/>
    <w:uiPriority w:val="0"/>
    <w:pPr>
      <w:spacing w:before="64" w:line="284" w:lineRule="auto"/>
      <w:ind w:left="18" w:right="30" w:hanging="7"/>
      <w:jc w:val="left"/>
    </w:pPr>
    <w:rPr>
      <w:rFonts w:ascii="Times New Roman" w:hAnsi="Times New Roman" w:eastAsia="Times New Roman"/>
      <w:sz w:val="24"/>
      <w:szCs w:val="24"/>
      <w:lang w:eastAsia="en-US"/>
    </w:rPr>
  </w:style>
  <w:style w:type="character" w:customStyle="1" w:styleId="106">
    <w:name w:val="HTML 地址 字符"/>
    <w:basedOn w:val="90"/>
    <w:link w:val="41"/>
    <w:autoRedefine/>
    <w:semiHidden/>
    <w:qFormat/>
    <w:uiPriority w:val="99"/>
    <w:rPr>
      <w:rFonts w:ascii="Calibri" w:hAnsi="Calibri"/>
      <w:i/>
      <w:iCs/>
      <w:kern w:val="2"/>
      <w:sz w:val="21"/>
      <w:szCs w:val="22"/>
    </w:rPr>
  </w:style>
  <w:style w:type="character" w:customStyle="1" w:styleId="107">
    <w:name w:val="HTML 预设格式 字符"/>
    <w:basedOn w:val="90"/>
    <w:link w:val="80"/>
    <w:autoRedefine/>
    <w:semiHidden/>
    <w:qFormat/>
    <w:uiPriority w:val="99"/>
    <w:rPr>
      <w:rFonts w:ascii="Courier New" w:hAnsi="Courier New" w:cs="Courier New"/>
      <w:kern w:val="2"/>
    </w:rPr>
  </w:style>
  <w:style w:type="character" w:customStyle="1" w:styleId="108">
    <w:name w:val="标题 1 字符"/>
    <w:basedOn w:val="90"/>
    <w:link w:val="3"/>
    <w:autoRedefine/>
    <w:qFormat/>
    <w:uiPriority w:val="9"/>
    <w:rPr>
      <w:rFonts w:ascii="Calibri" w:hAnsi="Calibri"/>
      <w:b/>
      <w:bCs/>
      <w:kern w:val="44"/>
      <w:sz w:val="44"/>
      <w:szCs w:val="44"/>
    </w:rPr>
  </w:style>
  <w:style w:type="paragraph" w:customStyle="1" w:styleId="109">
    <w:name w:val="TOC 标题1"/>
    <w:basedOn w:val="3"/>
    <w:next w:val="1"/>
    <w:autoRedefine/>
    <w:semiHidden/>
    <w:unhideWhenUsed/>
    <w:qFormat/>
    <w:uiPriority w:val="39"/>
    <w:pPr>
      <w:outlineLvl w:val="9"/>
    </w:pPr>
  </w:style>
  <w:style w:type="character" w:customStyle="1" w:styleId="110">
    <w:name w:val="标题 字符"/>
    <w:basedOn w:val="90"/>
    <w:link w:val="84"/>
    <w:autoRedefine/>
    <w:qFormat/>
    <w:uiPriority w:val="10"/>
    <w:rPr>
      <w:rFonts w:asciiTheme="majorHAnsi" w:hAnsiTheme="majorHAnsi" w:eastAsiaTheme="majorEastAsia" w:cstheme="majorBidi"/>
      <w:b/>
      <w:bCs/>
      <w:kern w:val="2"/>
      <w:sz w:val="32"/>
      <w:szCs w:val="32"/>
    </w:rPr>
  </w:style>
  <w:style w:type="character" w:customStyle="1" w:styleId="111">
    <w:name w:val="标题 2 字符"/>
    <w:basedOn w:val="90"/>
    <w:link w:val="4"/>
    <w:autoRedefine/>
    <w:semiHidden/>
    <w:qFormat/>
    <w:uiPriority w:val="9"/>
    <w:rPr>
      <w:rFonts w:asciiTheme="majorHAnsi" w:hAnsiTheme="majorHAnsi" w:eastAsiaTheme="majorEastAsia" w:cstheme="majorBidi"/>
      <w:b/>
      <w:bCs/>
      <w:kern w:val="2"/>
      <w:sz w:val="32"/>
      <w:szCs w:val="32"/>
    </w:rPr>
  </w:style>
  <w:style w:type="character" w:customStyle="1" w:styleId="112">
    <w:name w:val="标题 3 字符"/>
    <w:basedOn w:val="90"/>
    <w:link w:val="5"/>
    <w:autoRedefine/>
    <w:semiHidden/>
    <w:qFormat/>
    <w:uiPriority w:val="9"/>
    <w:rPr>
      <w:rFonts w:ascii="Calibri" w:hAnsi="Calibri"/>
      <w:b/>
      <w:bCs/>
      <w:kern w:val="2"/>
      <w:sz w:val="32"/>
      <w:szCs w:val="32"/>
    </w:rPr>
  </w:style>
  <w:style w:type="character" w:customStyle="1" w:styleId="113">
    <w:name w:val="标题 4 字符"/>
    <w:basedOn w:val="90"/>
    <w:link w:val="6"/>
    <w:autoRedefine/>
    <w:semiHidden/>
    <w:qFormat/>
    <w:uiPriority w:val="9"/>
    <w:rPr>
      <w:rFonts w:asciiTheme="majorHAnsi" w:hAnsiTheme="majorHAnsi" w:eastAsiaTheme="majorEastAsia" w:cstheme="majorBidi"/>
      <w:b/>
      <w:bCs/>
      <w:kern w:val="2"/>
      <w:sz w:val="28"/>
      <w:szCs w:val="28"/>
    </w:rPr>
  </w:style>
  <w:style w:type="character" w:customStyle="1" w:styleId="114">
    <w:name w:val="标题 5 字符"/>
    <w:basedOn w:val="90"/>
    <w:link w:val="7"/>
    <w:autoRedefine/>
    <w:semiHidden/>
    <w:qFormat/>
    <w:uiPriority w:val="9"/>
    <w:rPr>
      <w:rFonts w:ascii="Calibri" w:hAnsi="Calibri"/>
      <w:b/>
      <w:bCs/>
      <w:kern w:val="2"/>
      <w:sz w:val="28"/>
      <w:szCs w:val="28"/>
    </w:rPr>
  </w:style>
  <w:style w:type="character" w:customStyle="1" w:styleId="115">
    <w:name w:val="标题 6 字符"/>
    <w:basedOn w:val="90"/>
    <w:link w:val="8"/>
    <w:autoRedefine/>
    <w:semiHidden/>
    <w:qFormat/>
    <w:uiPriority w:val="9"/>
    <w:rPr>
      <w:rFonts w:asciiTheme="majorHAnsi" w:hAnsiTheme="majorHAnsi" w:eastAsiaTheme="majorEastAsia" w:cstheme="majorBidi"/>
      <w:b/>
      <w:bCs/>
      <w:kern w:val="2"/>
      <w:sz w:val="24"/>
      <w:szCs w:val="24"/>
    </w:rPr>
  </w:style>
  <w:style w:type="character" w:customStyle="1" w:styleId="116">
    <w:name w:val="标题 7 字符"/>
    <w:basedOn w:val="90"/>
    <w:link w:val="9"/>
    <w:autoRedefine/>
    <w:semiHidden/>
    <w:qFormat/>
    <w:uiPriority w:val="9"/>
    <w:rPr>
      <w:rFonts w:ascii="Calibri" w:hAnsi="Calibri"/>
      <w:b/>
      <w:bCs/>
      <w:kern w:val="2"/>
      <w:sz w:val="24"/>
      <w:szCs w:val="24"/>
    </w:rPr>
  </w:style>
  <w:style w:type="character" w:customStyle="1" w:styleId="117">
    <w:name w:val="标题 8 字符"/>
    <w:basedOn w:val="90"/>
    <w:link w:val="10"/>
    <w:autoRedefine/>
    <w:semiHidden/>
    <w:qFormat/>
    <w:uiPriority w:val="9"/>
    <w:rPr>
      <w:rFonts w:asciiTheme="majorHAnsi" w:hAnsiTheme="majorHAnsi" w:eastAsiaTheme="majorEastAsia" w:cstheme="majorBidi"/>
      <w:kern w:val="2"/>
      <w:sz w:val="24"/>
      <w:szCs w:val="24"/>
    </w:rPr>
  </w:style>
  <w:style w:type="character" w:customStyle="1" w:styleId="118">
    <w:name w:val="标题 9 字符"/>
    <w:basedOn w:val="90"/>
    <w:link w:val="11"/>
    <w:autoRedefine/>
    <w:semiHidden/>
    <w:qFormat/>
    <w:uiPriority w:val="9"/>
    <w:rPr>
      <w:rFonts w:asciiTheme="majorHAnsi" w:hAnsiTheme="majorHAnsi" w:eastAsiaTheme="majorEastAsia" w:cstheme="majorBidi"/>
      <w:kern w:val="2"/>
      <w:sz w:val="21"/>
      <w:szCs w:val="21"/>
    </w:rPr>
  </w:style>
  <w:style w:type="character" w:customStyle="1" w:styleId="119">
    <w:name w:val="称呼 字符"/>
    <w:basedOn w:val="90"/>
    <w:link w:val="30"/>
    <w:autoRedefine/>
    <w:semiHidden/>
    <w:qFormat/>
    <w:uiPriority w:val="99"/>
    <w:rPr>
      <w:rFonts w:ascii="Calibri" w:hAnsi="Calibri"/>
      <w:kern w:val="2"/>
      <w:sz w:val="21"/>
      <w:szCs w:val="22"/>
    </w:rPr>
  </w:style>
  <w:style w:type="character" w:customStyle="1" w:styleId="120">
    <w:name w:val="纯文本 字符"/>
    <w:basedOn w:val="90"/>
    <w:link w:val="45"/>
    <w:autoRedefine/>
    <w:semiHidden/>
    <w:qFormat/>
    <w:uiPriority w:val="99"/>
    <w:rPr>
      <w:rFonts w:hAnsi="Courier New" w:cs="Courier New" w:asciiTheme="minorEastAsia" w:eastAsiaTheme="minorEastAsia"/>
      <w:kern w:val="2"/>
      <w:sz w:val="21"/>
      <w:szCs w:val="22"/>
    </w:rPr>
  </w:style>
  <w:style w:type="character" w:customStyle="1" w:styleId="121">
    <w:name w:val="电子邮件签名 字符"/>
    <w:basedOn w:val="90"/>
    <w:link w:val="19"/>
    <w:autoRedefine/>
    <w:semiHidden/>
    <w:qFormat/>
    <w:uiPriority w:val="99"/>
    <w:rPr>
      <w:rFonts w:ascii="Calibri" w:hAnsi="Calibri"/>
      <w:kern w:val="2"/>
      <w:sz w:val="21"/>
      <w:szCs w:val="22"/>
    </w:rPr>
  </w:style>
  <w:style w:type="character" w:customStyle="1" w:styleId="122">
    <w:name w:val="副标题 字符"/>
    <w:basedOn w:val="90"/>
    <w:link w:val="64"/>
    <w:autoRedefine/>
    <w:qFormat/>
    <w:uiPriority w:val="11"/>
    <w:rPr>
      <w:rFonts w:asciiTheme="minorHAnsi" w:hAnsiTheme="minorHAnsi" w:eastAsiaTheme="minorEastAsia" w:cstheme="minorBidi"/>
      <w:b/>
      <w:bCs/>
      <w:kern w:val="28"/>
      <w:sz w:val="32"/>
      <w:szCs w:val="32"/>
    </w:rPr>
  </w:style>
  <w:style w:type="character" w:customStyle="1" w:styleId="123">
    <w:name w:val="宏文本 字符"/>
    <w:basedOn w:val="90"/>
    <w:link w:val="2"/>
    <w:autoRedefine/>
    <w:semiHidden/>
    <w:qFormat/>
    <w:uiPriority w:val="99"/>
    <w:rPr>
      <w:rFonts w:ascii="Courier New" w:hAnsi="Courier New" w:cs="Courier New"/>
      <w:kern w:val="2"/>
      <w:sz w:val="24"/>
      <w:szCs w:val="24"/>
    </w:rPr>
  </w:style>
  <w:style w:type="character" w:customStyle="1" w:styleId="124">
    <w:name w:val="脚注文本 字符"/>
    <w:basedOn w:val="90"/>
    <w:link w:val="67"/>
    <w:autoRedefine/>
    <w:semiHidden/>
    <w:qFormat/>
    <w:uiPriority w:val="99"/>
    <w:rPr>
      <w:rFonts w:ascii="Calibri" w:hAnsi="Calibri"/>
      <w:kern w:val="2"/>
      <w:sz w:val="18"/>
      <w:szCs w:val="18"/>
    </w:rPr>
  </w:style>
  <w:style w:type="character" w:customStyle="1" w:styleId="125">
    <w:name w:val="结束语 字符"/>
    <w:basedOn w:val="90"/>
    <w:link w:val="32"/>
    <w:autoRedefine/>
    <w:semiHidden/>
    <w:qFormat/>
    <w:uiPriority w:val="99"/>
    <w:rPr>
      <w:rFonts w:ascii="Calibri" w:hAnsi="Calibri"/>
      <w:kern w:val="2"/>
      <w:sz w:val="21"/>
      <w:szCs w:val="22"/>
    </w:rPr>
  </w:style>
  <w:style w:type="paragraph" w:styleId="126">
    <w:name w:val="Intense Quote"/>
    <w:basedOn w:val="1"/>
    <w:next w:val="1"/>
    <w:link w:val="127"/>
    <w:autoRedefine/>
    <w:semiHidden/>
    <w:unhideWhenUsed/>
    <w:qFormat/>
    <w:uiPriority w:val="99"/>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27">
    <w:name w:val="明显引用 字符"/>
    <w:basedOn w:val="90"/>
    <w:link w:val="126"/>
    <w:autoRedefine/>
    <w:semiHidden/>
    <w:qFormat/>
    <w:uiPriority w:val="99"/>
    <w:rPr>
      <w:rFonts w:ascii="Calibri" w:hAnsi="Calibri"/>
      <w:i/>
      <w:iCs/>
      <w:color w:val="4F81BD" w:themeColor="accent1"/>
      <w:kern w:val="2"/>
      <w:sz w:val="21"/>
      <w:szCs w:val="22"/>
      <w14:textFill>
        <w14:solidFill>
          <w14:schemeClr w14:val="accent1"/>
        </w14:solidFill>
      </w14:textFill>
    </w:rPr>
  </w:style>
  <w:style w:type="character" w:customStyle="1" w:styleId="128">
    <w:name w:val="签名 字符"/>
    <w:basedOn w:val="90"/>
    <w:link w:val="58"/>
    <w:autoRedefine/>
    <w:semiHidden/>
    <w:qFormat/>
    <w:uiPriority w:val="99"/>
    <w:rPr>
      <w:rFonts w:ascii="Calibri" w:hAnsi="Calibri"/>
      <w:kern w:val="2"/>
      <w:sz w:val="21"/>
      <w:szCs w:val="22"/>
    </w:rPr>
  </w:style>
  <w:style w:type="character" w:customStyle="1" w:styleId="129">
    <w:name w:val="日期 字符"/>
    <w:basedOn w:val="90"/>
    <w:link w:val="50"/>
    <w:autoRedefine/>
    <w:semiHidden/>
    <w:qFormat/>
    <w:uiPriority w:val="99"/>
    <w:rPr>
      <w:rFonts w:ascii="Calibri" w:hAnsi="Calibri"/>
      <w:kern w:val="2"/>
      <w:sz w:val="21"/>
      <w:szCs w:val="22"/>
    </w:rPr>
  </w:style>
  <w:style w:type="paragraph" w:customStyle="1" w:styleId="130">
    <w:name w:val="书目1"/>
    <w:basedOn w:val="1"/>
    <w:next w:val="1"/>
    <w:autoRedefine/>
    <w:semiHidden/>
    <w:unhideWhenUsed/>
    <w:qFormat/>
    <w:uiPriority w:val="37"/>
  </w:style>
  <w:style w:type="character" w:customStyle="1" w:styleId="131">
    <w:name w:val="尾注文本 字符"/>
    <w:basedOn w:val="90"/>
    <w:link w:val="52"/>
    <w:autoRedefine/>
    <w:semiHidden/>
    <w:qFormat/>
    <w:uiPriority w:val="99"/>
    <w:rPr>
      <w:rFonts w:ascii="Calibri" w:hAnsi="Calibri"/>
      <w:kern w:val="2"/>
      <w:sz w:val="21"/>
      <w:szCs w:val="22"/>
    </w:rPr>
  </w:style>
  <w:style w:type="character" w:customStyle="1" w:styleId="132">
    <w:name w:val="文档结构图 字符"/>
    <w:basedOn w:val="90"/>
    <w:link w:val="26"/>
    <w:autoRedefine/>
    <w:semiHidden/>
    <w:qFormat/>
    <w:uiPriority w:val="99"/>
    <w:rPr>
      <w:rFonts w:ascii="Microsoft YaHei UI" w:hAnsi="Calibri" w:eastAsia="Microsoft YaHei UI"/>
      <w:kern w:val="2"/>
      <w:sz w:val="18"/>
      <w:szCs w:val="18"/>
    </w:rPr>
  </w:style>
  <w:style w:type="paragraph" w:styleId="133">
    <w:name w:val="No Spacing"/>
    <w:autoRedefine/>
    <w:semiHidden/>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4">
    <w:name w:val="信息标题 字符"/>
    <w:basedOn w:val="90"/>
    <w:link w:val="79"/>
    <w:autoRedefine/>
    <w:semiHidden/>
    <w:qFormat/>
    <w:uiPriority w:val="99"/>
    <w:rPr>
      <w:rFonts w:asciiTheme="majorHAnsi" w:hAnsiTheme="majorHAnsi" w:eastAsiaTheme="majorEastAsia" w:cstheme="majorBidi"/>
      <w:kern w:val="2"/>
      <w:sz w:val="24"/>
      <w:szCs w:val="24"/>
      <w:shd w:val="pct20" w:color="auto" w:fill="auto"/>
    </w:rPr>
  </w:style>
  <w:style w:type="paragraph" w:styleId="135">
    <w:name w:val="Quote"/>
    <w:basedOn w:val="1"/>
    <w:next w:val="1"/>
    <w:link w:val="136"/>
    <w:autoRedefine/>
    <w:semiHidden/>
    <w:unhideWhenUsed/>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6">
    <w:name w:val="引用 字符"/>
    <w:basedOn w:val="90"/>
    <w:link w:val="135"/>
    <w:autoRedefine/>
    <w:semiHidden/>
    <w:qFormat/>
    <w:uiPriority w:val="99"/>
    <w:rPr>
      <w:rFonts w:ascii="Calibri" w:hAnsi="Calibr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137">
    <w:name w:val="正文文本 2 字符"/>
    <w:basedOn w:val="90"/>
    <w:link w:val="76"/>
    <w:autoRedefine/>
    <w:semiHidden/>
    <w:qFormat/>
    <w:uiPriority w:val="99"/>
    <w:rPr>
      <w:rFonts w:ascii="Calibri" w:hAnsi="Calibri"/>
      <w:kern w:val="2"/>
      <w:sz w:val="21"/>
      <w:szCs w:val="22"/>
    </w:rPr>
  </w:style>
  <w:style w:type="character" w:customStyle="1" w:styleId="138">
    <w:name w:val="正文文本 3 字符"/>
    <w:basedOn w:val="90"/>
    <w:link w:val="31"/>
    <w:autoRedefine/>
    <w:semiHidden/>
    <w:qFormat/>
    <w:uiPriority w:val="99"/>
    <w:rPr>
      <w:rFonts w:ascii="Calibri" w:hAnsi="Calibri"/>
      <w:kern w:val="2"/>
      <w:sz w:val="16"/>
      <w:szCs w:val="16"/>
    </w:rPr>
  </w:style>
  <w:style w:type="character" w:customStyle="1" w:styleId="139">
    <w:name w:val="正文文本 字符"/>
    <w:basedOn w:val="90"/>
    <w:link w:val="34"/>
    <w:autoRedefine/>
    <w:semiHidden/>
    <w:qFormat/>
    <w:uiPriority w:val="0"/>
    <w:rPr>
      <w:rFonts w:ascii="宋体" w:hAnsi="宋体" w:cs="宋体"/>
      <w:kern w:val="2"/>
      <w:sz w:val="35"/>
      <w:szCs w:val="35"/>
      <w:lang w:eastAsia="en-US"/>
    </w:rPr>
  </w:style>
  <w:style w:type="character" w:customStyle="1" w:styleId="140">
    <w:name w:val="正文文本首行缩进 字符"/>
    <w:basedOn w:val="139"/>
    <w:link w:val="86"/>
    <w:autoRedefine/>
    <w:semiHidden/>
    <w:qFormat/>
    <w:uiPriority w:val="99"/>
    <w:rPr>
      <w:rFonts w:ascii="Calibri" w:hAnsi="Calibri" w:cs="宋体"/>
      <w:kern w:val="2"/>
      <w:sz w:val="21"/>
      <w:szCs w:val="22"/>
      <w:lang w:eastAsia="en-US"/>
    </w:rPr>
  </w:style>
  <w:style w:type="character" w:customStyle="1" w:styleId="141">
    <w:name w:val="正文文本缩进 字符"/>
    <w:basedOn w:val="90"/>
    <w:link w:val="35"/>
    <w:autoRedefine/>
    <w:semiHidden/>
    <w:qFormat/>
    <w:uiPriority w:val="99"/>
    <w:rPr>
      <w:rFonts w:ascii="Calibri" w:hAnsi="Calibri"/>
      <w:kern w:val="2"/>
      <w:sz w:val="21"/>
      <w:szCs w:val="22"/>
    </w:rPr>
  </w:style>
  <w:style w:type="character" w:customStyle="1" w:styleId="142">
    <w:name w:val="正文文本首行缩进 2 字符"/>
    <w:basedOn w:val="141"/>
    <w:link w:val="87"/>
    <w:autoRedefine/>
    <w:semiHidden/>
    <w:qFormat/>
    <w:uiPriority w:val="99"/>
    <w:rPr>
      <w:rFonts w:ascii="Calibri" w:hAnsi="Calibri"/>
      <w:kern w:val="2"/>
      <w:sz w:val="21"/>
      <w:szCs w:val="22"/>
    </w:rPr>
  </w:style>
  <w:style w:type="character" w:customStyle="1" w:styleId="143">
    <w:name w:val="正文文本缩进 2 字符"/>
    <w:basedOn w:val="90"/>
    <w:link w:val="51"/>
    <w:autoRedefine/>
    <w:semiHidden/>
    <w:qFormat/>
    <w:uiPriority w:val="99"/>
    <w:rPr>
      <w:rFonts w:ascii="Calibri" w:hAnsi="Calibri"/>
      <w:kern w:val="2"/>
      <w:sz w:val="21"/>
      <w:szCs w:val="22"/>
    </w:rPr>
  </w:style>
  <w:style w:type="character" w:customStyle="1" w:styleId="144">
    <w:name w:val="正文文本缩进 3 字符"/>
    <w:basedOn w:val="90"/>
    <w:link w:val="70"/>
    <w:autoRedefine/>
    <w:semiHidden/>
    <w:qFormat/>
    <w:uiPriority w:val="99"/>
    <w:rPr>
      <w:rFonts w:ascii="Calibri" w:hAnsi="Calibri"/>
      <w:kern w:val="2"/>
      <w:sz w:val="16"/>
      <w:szCs w:val="16"/>
    </w:rPr>
  </w:style>
  <w:style w:type="character" w:customStyle="1" w:styleId="145">
    <w:name w:val="注释标题 字符"/>
    <w:basedOn w:val="90"/>
    <w:link w:val="16"/>
    <w:autoRedefine/>
    <w:semiHidden/>
    <w:qFormat/>
    <w:uiPriority w:val="99"/>
    <w:rPr>
      <w:rFonts w:ascii="Calibri" w:hAnsi="Calibri"/>
      <w:kern w:val="2"/>
      <w:sz w:val="21"/>
      <w:szCs w:val="22"/>
    </w:rPr>
  </w:style>
  <w:style w:type="paragraph" w:customStyle="1" w:styleId="146">
    <w:name w:val="修订5"/>
    <w:autoRedefine/>
    <w:hidden/>
    <w:unhideWhenUsed/>
    <w:qFormat/>
    <w:uiPriority w:val="99"/>
    <w:rPr>
      <w:rFonts w:ascii="Calibri" w:hAnsi="Calibri" w:eastAsia="宋体" w:cs="Times New Roman"/>
      <w:kern w:val="2"/>
      <w:sz w:val="21"/>
      <w:szCs w:val="22"/>
      <w:lang w:val="en-US" w:eastAsia="zh-CN" w:bidi="ar-SA"/>
    </w:rPr>
  </w:style>
  <w:style w:type="character" w:customStyle="1" w:styleId="147">
    <w:name w:val="font11"/>
    <w:basedOn w:val="90"/>
    <w:autoRedefine/>
    <w:qFormat/>
    <w:uiPriority w:val="0"/>
    <w:rPr>
      <w:rFonts w:hint="eastAsia" w:ascii="宋体" w:hAnsi="宋体" w:eastAsia="宋体" w:cs="宋体"/>
      <w:b/>
      <w:bCs/>
      <w:color w:val="000000"/>
      <w:sz w:val="24"/>
      <w:szCs w:val="24"/>
      <w:u w:val="none"/>
    </w:rPr>
  </w:style>
  <w:style w:type="character" w:customStyle="1" w:styleId="148">
    <w:name w:val="font21"/>
    <w:basedOn w:val="90"/>
    <w:autoRedefine/>
    <w:qFormat/>
    <w:uiPriority w:val="0"/>
    <w:rPr>
      <w:rFonts w:hint="eastAsia" w:ascii="宋体" w:hAnsi="宋体" w:eastAsia="宋体" w:cs="宋体"/>
      <w:color w:val="000000"/>
      <w:sz w:val="24"/>
      <w:szCs w:val="24"/>
      <w:u w:val="none"/>
    </w:rPr>
  </w:style>
  <w:style w:type="paragraph" w:customStyle="1" w:styleId="149">
    <w:name w:val="修订6"/>
    <w:autoRedefine/>
    <w:hidden/>
    <w:unhideWhenUsed/>
    <w:qFormat/>
    <w:uiPriority w:val="99"/>
    <w:rPr>
      <w:rFonts w:ascii="Calibri" w:hAnsi="Calibri" w:eastAsia="宋体" w:cs="Times New Roman"/>
      <w:kern w:val="2"/>
      <w:sz w:val="21"/>
      <w:szCs w:val="22"/>
      <w:lang w:val="en-US" w:eastAsia="zh-CN" w:bidi="ar-SA"/>
    </w:rPr>
  </w:style>
  <w:style w:type="paragraph" w:customStyle="1" w:styleId="150">
    <w:name w:val="TOC 标题2"/>
    <w:basedOn w:val="3"/>
    <w:next w:val="1"/>
    <w:autoRedefine/>
    <w:semiHidden/>
    <w:unhideWhenUsed/>
    <w:qFormat/>
    <w:uiPriority w:val="39"/>
    <w:pPr>
      <w:outlineLvl w:val="9"/>
    </w:pPr>
  </w:style>
  <w:style w:type="paragraph" w:customStyle="1" w:styleId="151">
    <w:name w:val="书目2"/>
    <w:basedOn w:val="1"/>
    <w:next w:val="1"/>
    <w:autoRedefine/>
    <w:semiHidden/>
    <w:unhideWhenUsed/>
    <w:qFormat/>
    <w:uiPriority w:val="37"/>
  </w:style>
  <w:style w:type="paragraph" w:customStyle="1" w:styleId="152">
    <w:name w:val="Revision"/>
    <w:autoRedefine/>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2433</Words>
  <Characters>2964</Characters>
  <Lines>35</Lines>
  <Paragraphs>9</Paragraphs>
  <TotalTime>76</TotalTime>
  <ScaleCrop>false</ScaleCrop>
  <LinksUpToDate>false</LinksUpToDate>
  <CharactersWithSpaces>3016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2024-08-05T06:16:00Z</dcterms:created>
  <dc:creator>tek</dc:creator>
  <cp:lastModifiedBy>雯亦</cp:lastModifiedBy>
  <dcterms:modified xsi:type="dcterms:W3CDTF">2024-11-04T06:48:26Z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69263F6984B24B1EB5155A52F56A0FC6_13</vt:lpwstr>
  </property>
</Properties>
</file>