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E2D59">
      <w:pPr>
        <w:adjustRightInd w:val="0"/>
        <w:snapToGrid w:val="0"/>
        <w:spacing w:line="560" w:lineRule="exact"/>
        <w:jc w:val="left"/>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证券代码：</w:t>
      </w:r>
      <w:r>
        <w:rPr>
          <w:rFonts w:ascii="Times New Roman" w:hAnsi="Times New Roman" w:eastAsia="宋体" w:cs="Times New Roman"/>
          <w:b w:val="0"/>
          <w:bCs/>
          <w:sz w:val="24"/>
          <w:szCs w:val="24"/>
        </w:rPr>
        <w:t xml:space="preserve">603191       </w:t>
      </w:r>
      <w:r>
        <w:rPr>
          <w:rFonts w:hint="default" w:ascii="Times New Roman" w:hAnsi="Times New Roman" w:eastAsia="宋体" w:cs="Times New Roman"/>
          <w:b w:val="0"/>
          <w:bCs/>
          <w:sz w:val="24"/>
          <w:szCs w:val="24"/>
        </w:rPr>
        <w:t xml:space="preserve">证券简称：望变电气 </w:t>
      </w:r>
      <w:r>
        <w:rPr>
          <w:rFonts w:ascii="Times New Roman" w:hAnsi="Times New Roman" w:eastAsia="宋体" w:cs="Times New Roman"/>
          <w:b w:val="0"/>
          <w:bCs/>
          <w:sz w:val="24"/>
          <w:szCs w:val="24"/>
        </w:rPr>
        <w:t xml:space="preserve">        </w:t>
      </w:r>
      <w:r>
        <w:rPr>
          <w:rFonts w:hint="default" w:ascii="Times New Roman" w:hAnsi="Times New Roman" w:eastAsia="宋体" w:cs="Times New Roman"/>
          <w:b w:val="0"/>
          <w:bCs/>
          <w:sz w:val="24"/>
          <w:szCs w:val="24"/>
        </w:rPr>
        <w:t>公告编号：2</w:t>
      </w:r>
      <w:r>
        <w:rPr>
          <w:rFonts w:ascii="Times New Roman" w:hAnsi="Times New Roman" w:eastAsia="宋体" w:cs="Times New Roman"/>
          <w:b w:val="0"/>
          <w:bCs/>
          <w:sz w:val="24"/>
          <w:szCs w:val="24"/>
        </w:rPr>
        <w:t>02</w:t>
      </w:r>
      <w:r>
        <w:rPr>
          <w:rFonts w:hint="default" w:ascii="Times New Roman" w:hAnsi="Times New Roman" w:eastAsia="宋体" w:cs="Times New Roman"/>
          <w:b w:val="0"/>
          <w:bCs/>
          <w:sz w:val="24"/>
          <w:szCs w:val="24"/>
        </w:rPr>
        <w:t>4</w:t>
      </w:r>
      <w:r>
        <w:rPr>
          <w:rFonts w:ascii="Times New Roman" w:hAnsi="Times New Roman" w:eastAsia="宋体" w:cs="Times New Roman"/>
          <w:b w:val="0"/>
          <w:bCs/>
          <w:sz w:val="24"/>
          <w:szCs w:val="24"/>
        </w:rPr>
        <w:t>-0</w:t>
      </w:r>
      <w:r>
        <w:rPr>
          <w:rFonts w:hint="default" w:ascii="Times New Roman" w:hAnsi="Times New Roman" w:eastAsia="宋体" w:cs="Times New Roman"/>
          <w:b w:val="0"/>
          <w:bCs/>
          <w:sz w:val="24"/>
          <w:szCs w:val="24"/>
        </w:rPr>
        <w:t>49</w:t>
      </w:r>
    </w:p>
    <w:p w14:paraId="13D96B2C">
      <w:pPr>
        <w:adjustRightInd w:val="0"/>
        <w:snapToGrid w:val="0"/>
        <w:spacing w:line="560" w:lineRule="exact"/>
        <w:jc w:val="left"/>
        <w:rPr>
          <w:rFonts w:hint="default" w:ascii="Times New Roman" w:hAnsi="Times New Roman" w:eastAsia="仿宋_GB2312" w:cs="Times New Roman"/>
          <w:sz w:val="30"/>
          <w:szCs w:val="30"/>
        </w:rPr>
      </w:pPr>
    </w:p>
    <w:p w14:paraId="3F61F4CA">
      <w:pPr>
        <w:adjustRightInd w:val="0"/>
        <w:snapToGrid w:val="0"/>
        <w:spacing w:before="156" w:beforeLines="50" w:line="560" w:lineRule="exact"/>
        <w:jc w:val="center"/>
        <w:rPr>
          <w:rFonts w:hint="default" w:ascii="Times New Roman" w:hAnsi="Times New Roman" w:eastAsia="宋体" w:cs="Times New Roman"/>
          <w:b/>
          <w:bCs/>
          <w:color w:val="FF0000"/>
          <w:sz w:val="36"/>
          <w:szCs w:val="36"/>
        </w:rPr>
      </w:pPr>
      <w:r>
        <w:rPr>
          <w:rFonts w:hint="default" w:ascii="Times New Roman" w:hAnsi="Times New Roman" w:eastAsia="宋体" w:cs="Times New Roman"/>
          <w:b/>
          <w:bCs/>
          <w:color w:val="FF0000"/>
          <w:sz w:val="36"/>
          <w:szCs w:val="36"/>
        </w:rPr>
        <w:t>重庆望变</w:t>
      </w:r>
      <w:bookmarkStart w:id="0" w:name="_GoBack"/>
      <w:bookmarkEnd w:id="0"/>
      <w:r>
        <w:rPr>
          <w:rFonts w:hint="default" w:ascii="Times New Roman" w:hAnsi="Times New Roman" w:eastAsia="宋体" w:cs="Times New Roman"/>
          <w:b/>
          <w:bCs/>
          <w:color w:val="FF0000"/>
          <w:sz w:val="36"/>
          <w:szCs w:val="36"/>
        </w:rPr>
        <w:t>电气（集团）股份有限公司</w:t>
      </w:r>
    </w:p>
    <w:p w14:paraId="27DBDCE4">
      <w:pPr>
        <w:adjustRightInd w:val="0"/>
        <w:snapToGrid w:val="0"/>
        <w:spacing w:before="156" w:beforeLines="50" w:line="560" w:lineRule="exact"/>
        <w:jc w:val="center"/>
        <w:rPr>
          <w:rFonts w:hint="default" w:ascii="Times New Roman" w:hAnsi="Times New Roman" w:eastAsia="仿宋_GB2312" w:cs="Times New Roman"/>
          <w:b/>
          <w:bCs/>
          <w:color w:val="FF0000"/>
          <w:sz w:val="30"/>
          <w:szCs w:val="30"/>
        </w:rPr>
      </w:pPr>
      <w:r>
        <w:rPr>
          <w:rFonts w:hint="default" w:ascii="Times New Roman" w:hAnsi="Times New Roman" w:eastAsia="宋体" w:cs="Times New Roman"/>
          <w:b/>
          <w:bCs/>
          <w:color w:val="FF0000"/>
          <w:sz w:val="36"/>
          <w:szCs w:val="36"/>
        </w:rPr>
        <w:t>关于使用暂时闲置募集资金进行现金管理进展公告</w:t>
      </w:r>
    </w:p>
    <w:p w14:paraId="1538CBB1">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本公司董事会及全体董事保证本公告内容不存在任何虚假记载、误导性陈述或者重大遗漏，并对其内容的真实性、准确性和完整性承担法律责任。</w:t>
      </w:r>
    </w:p>
    <w:p w14:paraId="0E35E096">
      <w:pPr>
        <w:autoSpaceDE w:val="0"/>
        <w:autoSpaceDN w:val="0"/>
        <w:adjustRightInd w:val="0"/>
        <w:snapToGrid w:val="0"/>
        <w:spacing w:line="560" w:lineRule="exact"/>
        <w:rPr>
          <w:rFonts w:hint="default" w:ascii="Times New Roman" w:hAnsi="Times New Roman" w:eastAsia="宋体" w:cs="Times New Roman"/>
          <w:color w:val="000000"/>
          <w:sz w:val="24"/>
          <w:szCs w:val="24"/>
        </w:rPr>
      </w:pPr>
    </w:p>
    <w:p w14:paraId="72259C01">
      <w:pPr>
        <w:autoSpaceDE w:val="0"/>
        <w:autoSpaceDN w:val="0"/>
        <w:adjustRightInd w:val="0"/>
        <w:snapToGrid w:val="0"/>
        <w:spacing w:line="56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重要内容提示</w:t>
      </w:r>
    </w:p>
    <w:p w14:paraId="43437DC8">
      <w:pPr>
        <w:pStyle w:val="15"/>
        <w:numPr>
          <w:ilvl w:val="0"/>
          <w:numId w:val="1"/>
        </w:numPr>
        <w:autoSpaceDE w:val="0"/>
        <w:autoSpaceDN w:val="0"/>
        <w:adjustRightInd w:val="0"/>
        <w:snapToGrid w:val="0"/>
        <w:spacing w:line="560" w:lineRule="exact"/>
        <w:ind w:firstLineChars="0"/>
        <w:rPr>
          <w:rFonts w:hint="default" w:ascii="Times New Roman" w:hAnsi="Times New Roman"/>
          <w:color w:val="000000"/>
          <w:sz w:val="24"/>
          <w:szCs w:val="24"/>
        </w:rPr>
      </w:pPr>
      <w:r>
        <w:rPr>
          <w:rFonts w:hint="default" w:ascii="Times New Roman" w:hAnsi="Times New Roman"/>
          <w:color w:val="000000"/>
          <w:sz w:val="24"/>
          <w:szCs w:val="24"/>
        </w:rPr>
        <w:t>投资种类：银行结构性存款</w:t>
      </w:r>
    </w:p>
    <w:p w14:paraId="7004D285">
      <w:pPr>
        <w:pStyle w:val="15"/>
        <w:numPr>
          <w:ilvl w:val="0"/>
          <w:numId w:val="1"/>
        </w:numPr>
        <w:autoSpaceDE w:val="0"/>
        <w:autoSpaceDN w:val="0"/>
        <w:adjustRightInd w:val="0"/>
        <w:snapToGrid w:val="0"/>
        <w:spacing w:line="560" w:lineRule="exact"/>
        <w:ind w:firstLineChars="0"/>
        <w:rPr>
          <w:rFonts w:hint="default" w:ascii="Times New Roman" w:hAnsi="Times New Roman"/>
          <w:color w:val="000000"/>
          <w:sz w:val="24"/>
          <w:szCs w:val="24"/>
        </w:rPr>
      </w:pPr>
      <w:r>
        <w:rPr>
          <w:rFonts w:hint="default" w:ascii="Times New Roman" w:hAnsi="Times New Roman"/>
          <w:color w:val="000000"/>
          <w:sz w:val="24"/>
          <w:szCs w:val="24"/>
        </w:rPr>
        <w:t>投资金额：2,500万元</w:t>
      </w:r>
    </w:p>
    <w:p w14:paraId="04ABD665">
      <w:pPr>
        <w:pStyle w:val="15"/>
        <w:numPr>
          <w:ilvl w:val="0"/>
          <w:numId w:val="1"/>
        </w:numPr>
        <w:autoSpaceDE w:val="0"/>
        <w:autoSpaceDN w:val="0"/>
        <w:adjustRightInd w:val="0"/>
        <w:snapToGrid w:val="0"/>
        <w:spacing w:line="560" w:lineRule="exact"/>
        <w:ind w:left="0" w:firstLine="480"/>
        <w:jc w:val="left"/>
        <w:rPr>
          <w:rFonts w:hint="default" w:ascii="Times New Roman" w:hAnsi="Times New Roman"/>
          <w:color w:val="000000"/>
          <w:sz w:val="24"/>
          <w:szCs w:val="24"/>
        </w:rPr>
      </w:pPr>
      <w:r>
        <w:rPr>
          <w:rFonts w:hint="default" w:ascii="Times New Roman" w:hAnsi="Times New Roman"/>
          <w:color w:val="000000"/>
          <w:sz w:val="24"/>
          <w:szCs w:val="24"/>
        </w:rPr>
        <w:t>履行的审议程序：重庆望变电气（集团）股份有限公司（以下简称“公司”）于2024年4月24日召开第四届董事会第五次会议和第四届监事会第四次会议，分别审议通过了《关于使用暂时闲置募集资金进行现金管理的议案》。保荐机构和监事会发表了同意意见。具体内容详见公司披露的《关于使用暂时闲置募集资金进行现金管理的公告》（公告编号：2024-035）。</w:t>
      </w:r>
    </w:p>
    <w:p w14:paraId="1F064B5F">
      <w:pPr>
        <w:pStyle w:val="15"/>
        <w:numPr>
          <w:ilvl w:val="0"/>
          <w:numId w:val="1"/>
        </w:numPr>
        <w:autoSpaceDE w:val="0"/>
        <w:autoSpaceDN w:val="0"/>
        <w:adjustRightInd w:val="0"/>
        <w:snapToGrid w:val="0"/>
        <w:spacing w:line="560" w:lineRule="exact"/>
        <w:ind w:left="0" w:firstLine="480"/>
        <w:jc w:val="left"/>
        <w:rPr>
          <w:rFonts w:hint="default" w:ascii="Times New Roman" w:hAnsi="Times New Roman"/>
          <w:b/>
          <w:color w:val="000000"/>
          <w:sz w:val="24"/>
          <w:szCs w:val="24"/>
        </w:rPr>
      </w:pPr>
      <w:r>
        <w:rPr>
          <w:rFonts w:hint="default" w:ascii="Times New Roman" w:hAnsi="Times New Roman"/>
          <w:color w:val="000000"/>
          <w:sz w:val="24"/>
          <w:szCs w:val="24"/>
        </w:rPr>
        <w:t>特别风险提示：公司本次购买的投资产品类型为保本浮动收益，属于谨慎型低风险投资产品。但金融市场受宏观经济的影响，不排除该投资受政策风险、市场风险、不可抗力及意外事件风险等因素影响，存在一定的投资风险。</w:t>
      </w:r>
    </w:p>
    <w:p w14:paraId="0AAA3531">
      <w:pPr>
        <w:pStyle w:val="15"/>
        <w:numPr>
          <w:ilvl w:val="0"/>
          <w:numId w:val="2"/>
        </w:numPr>
        <w:autoSpaceDE w:val="0"/>
        <w:autoSpaceDN w:val="0"/>
        <w:adjustRightInd w:val="0"/>
        <w:snapToGrid w:val="0"/>
        <w:spacing w:line="560" w:lineRule="exact"/>
        <w:ind w:firstLineChars="0"/>
        <w:jc w:val="left"/>
        <w:rPr>
          <w:rFonts w:hint="default" w:ascii="Times New Roman" w:hAnsi="Times New Roman"/>
          <w:b/>
          <w:color w:val="000000"/>
          <w:sz w:val="24"/>
          <w:szCs w:val="24"/>
        </w:rPr>
      </w:pPr>
      <w:r>
        <w:rPr>
          <w:rFonts w:hint="default" w:ascii="Times New Roman" w:hAnsi="Times New Roman"/>
          <w:b/>
          <w:color w:val="000000"/>
          <w:sz w:val="24"/>
          <w:szCs w:val="24"/>
        </w:rPr>
        <w:t>本次现金管理概况</w:t>
      </w:r>
    </w:p>
    <w:p w14:paraId="21FC1B2E">
      <w:pPr>
        <w:pStyle w:val="15"/>
        <w:numPr>
          <w:ilvl w:val="0"/>
          <w:numId w:val="3"/>
        </w:numPr>
        <w:autoSpaceDE w:val="0"/>
        <w:autoSpaceDN w:val="0"/>
        <w:adjustRightInd w:val="0"/>
        <w:snapToGrid w:val="0"/>
        <w:spacing w:line="560" w:lineRule="exact"/>
        <w:ind w:firstLineChars="0"/>
        <w:jc w:val="left"/>
        <w:rPr>
          <w:rFonts w:hint="default" w:ascii="Times New Roman" w:hAnsi="Times New Roman"/>
          <w:b/>
          <w:color w:val="000000"/>
          <w:sz w:val="24"/>
          <w:szCs w:val="24"/>
        </w:rPr>
      </w:pPr>
      <w:r>
        <w:rPr>
          <w:rFonts w:hint="default" w:ascii="Times New Roman" w:hAnsi="Times New Roman"/>
          <w:b/>
          <w:color w:val="000000"/>
          <w:sz w:val="24"/>
          <w:szCs w:val="24"/>
        </w:rPr>
        <w:t>本次现金管理的目的</w:t>
      </w:r>
    </w:p>
    <w:p w14:paraId="5C25C076">
      <w:pPr>
        <w:autoSpaceDE w:val="0"/>
        <w:autoSpaceDN w:val="0"/>
        <w:adjustRightInd w:val="0"/>
        <w:snapToGrid w:val="0"/>
        <w:spacing w:line="560" w:lineRule="exact"/>
        <w:ind w:firstLine="480" w:firstLineChars="200"/>
        <w:jc w:val="left"/>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为提高本公司募集资金使用效率，在不影响募集资金项目建设和本公司正常经营的情况下，本公司将合理利用部分闲置募集资金进行现金管理，增加资金收益，为本公司及股东获取投资回报。</w:t>
      </w:r>
    </w:p>
    <w:p w14:paraId="7116F9A6">
      <w:pPr>
        <w:pStyle w:val="15"/>
        <w:numPr>
          <w:ilvl w:val="0"/>
          <w:numId w:val="3"/>
        </w:numPr>
        <w:autoSpaceDE w:val="0"/>
        <w:autoSpaceDN w:val="0"/>
        <w:adjustRightInd w:val="0"/>
        <w:snapToGrid w:val="0"/>
        <w:spacing w:line="560" w:lineRule="exact"/>
        <w:ind w:firstLineChars="0"/>
        <w:jc w:val="left"/>
        <w:rPr>
          <w:rFonts w:hint="default" w:ascii="Times New Roman" w:hAnsi="Times New Roman"/>
          <w:b/>
          <w:color w:val="000000"/>
          <w:sz w:val="24"/>
          <w:szCs w:val="24"/>
        </w:rPr>
      </w:pPr>
      <w:r>
        <w:rPr>
          <w:rFonts w:hint="default" w:ascii="Times New Roman" w:hAnsi="Times New Roman"/>
          <w:b/>
          <w:color w:val="000000"/>
          <w:sz w:val="24"/>
          <w:szCs w:val="24"/>
        </w:rPr>
        <w:t>本次现金管理的金额</w:t>
      </w:r>
    </w:p>
    <w:p w14:paraId="2BFADEB3">
      <w:pPr>
        <w:autoSpaceDE w:val="0"/>
        <w:autoSpaceDN w:val="0"/>
        <w:adjustRightInd w:val="0"/>
        <w:snapToGrid w:val="0"/>
        <w:spacing w:line="560" w:lineRule="exact"/>
        <w:ind w:left="482"/>
        <w:jc w:val="left"/>
        <w:rPr>
          <w:rFonts w:hint="default" w:ascii="Times New Roman" w:hAnsi="Times New Roman" w:eastAsia="宋体" w:cs="Times New Roman"/>
          <w:color w:val="000000"/>
          <w:sz w:val="24"/>
          <w:szCs w:val="24"/>
        </w:rPr>
      </w:pPr>
      <w:r>
        <w:rPr>
          <w:rFonts w:ascii="Times New Roman" w:hAnsi="Times New Roman" w:eastAsia="宋体" w:cs="Times New Roman"/>
          <w:sz w:val="24"/>
          <w:szCs w:val="24"/>
        </w:rPr>
        <w:t>公司本次</w:t>
      </w:r>
      <w:r>
        <w:rPr>
          <w:rFonts w:hint="default" w:ascii="Times New Roman" w:hAnsi="Times New Roman" w:eastAsia="宋体" w:cs="Times New Roman"/>
          <w:sz w:val="24"/>
          <w:szCs w:val="24"/>
        </w:rPr>
        <w:t>进行</w:t>
      </w:r>
      <w:r>
        <w:rPr>
          <w:rFonts w:ascii="Times New Roman" w:hAnsi="Times New Roman" w:eastAsia="宋体" w:cs="Times New Roman"/>
          <w:sz w:val="24"/>
          <w:szCs w:val="24"/>
        </w:rPr>
        <w:t>现金管理的金额</w:t>
      </w:r>
      <w:r>
        <w:rPr>
          <w:rFonts w:hint="default" w:ascii="Times New Roman" w:hAnsi="Times New Roman" w:eastAsia="宋体" w:cs="Times New Roman"/>
          <w:sz w:val="24"/>
          <w:szCs w:val="24"/>
        </w:rPr>
        <w:t>为2,500</w:t>
      </w:r>
      <w:r>
        <w:rPr>
          <w:rFonts w:ascii="Times New Roman" w:hAnsi="Times New Roman" w:eastAsia="宋体" w:cs="Times New Roman"/>
          <w:sz w:val="24"/>
          <w:szCs w:val="24"/>
        </w:rPr>
        <w:t>万元。</w:t>
      </w:r>
    </w:p>
    <w:p w14:paraId="69035C25">
      <w:pPr>
        <w:pStyle w:val="15"/>
        <w:numPr>
          <w:ilvl w:val="0"/>
          <w:numId w:val="3"/>
        </w:numPr>
        <w:autoSpaceDE w:val="0"/>
        <w:autoSpaceDN w:val="0"/>
        <w:adjustRightInd w:val="0"/>
        <w:snapToGrid w:val="0"/>
        <w:spacing w:line="560" w:lineRule="exact"/>
        <w:ind w:firstLineChars="0"/>
        <w:jc w:val="left"/>
        <w:rPr>
          <w:rFonts w:hint="default" w:ascii="Times New Roman" w:hAnsi="Times New Roman"/>
          <w:b/>
          <w:color w:val="000000"/>
          <w:sz w:val="24"/>
          <w:szCs w:val="24"/>
        </w:rPr>
      </w:pPr>
      <w:r>
        <w:rPr>
          <w:rFonts w:hint="default" w:ascii="Times New Roman" w:hAnsi="Times New Roman"/>
          <w:b/>
          <w:color w:val="000000"/>
          <w:sz w:val="24"/>
          <w:szCs w:val="24"/>
        </w:rPr>
        <w:t>本次资金来源</w:t>
      </w:r>
    </w:p>
    <w:p w14:paraId="31F81D16">
      <w:pPr>
        <w:autoSpaceDE w:val="0"/>
        <w:autoSpaceDN w:val="0"/>
        <w:adjustRightInd w:val="0"/>
        <w:snapToGrid w:val="0"/>
        <w:spacing w:line="560" w:lineRule="exact"/>
        <w:ind w:left="482"/>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1、资金来源的一般情况</w:t>
      </w:r>
    </w:p>
    <w:p w14:paraId="589016BB">
      <w:pPr>
        <w:autoSpaceDE w:val="0"/>
        <w:autoSpaceDN w:val="0"/>
        <w:adjustRightInd w:val="0"/>
        <w:snapToGrid w:val="0"/>
        <w:spacing w:line="560" w:lineRule="exact"/>
        <w:ind w:left="48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本次现金管理的资金来源系公司首次公开发行股票的暂时闲置募集资金。</w:t>
      </w:r>
    </w:p>
    <w:p w14:paraId="6911F5D5">
      <w:pPr>
        <w:autoSpaceDE w:val="0"/>
        <w:autoSpaceDN w:val="0"/>
        <w:adjustRightInd w:val="0"/>
        <w:snapToGrid w:val="0"/>
        <w:spacing w:line="560" w:lineRule="exact"/>
        <w:ind w:left="482"/>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2、募集资金基本情况</w:t>
      </w:r>
    </w:p>
    <w:p w14:paraId="2701E67D">
      <w:pPr>
        <w:autoSpaceDE w:val="0"/>
        <w:autoSpaceDN w:val="0"/>
        <w:adjustRightInd w:val="0"/>
        <w:snapToGrid w:val="0"/>
        <w:spacing w:line="56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经中国证券监督管理委员会《关于核准重庆望变电气（集团）股份有限公司首次公开发行股票批复》（证监许可[2022]490号）核准，公司向社会公开发行83,291,852股，共计募集资金人民币987,841,364.72元，扣除发行相关费用合计人民币133,279,564.72元，实际募集资金净额为人民币854,561,800.00元。上述募集资金到位情况业经大华会计师事务所（特殊普通合伙）验证，并由其出具《验资报告》（大华验字[2022]000143号）。</w:t>
      </w:r>
    </w:p>
    <w:p w14:paraId="11BD8FCA">
      <w:pPr>
        <w:autoSpaceDE w:val="0"/>
        <w:autoSpaceDN w:val="0"/>
        <w:adjustRightInd w:val="0"/>
        <w:snapToGrid w:val="0"/>
        <w:spacing w:line="56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上述募集资金已经全部存放于公司募集资金专户，公司已与保荐机构和存放募集资金的各商业银行签订《募集资金专户存储三方监管协议》。</w:t>
      </w:r>
    </w:p>
    <w:p w14:paraId="526DAE5C">
      <w:pPr>
        <w:autoSpaceDE w:val="0"/>
        <w:autoSpaceDN w:val="0"/>
        <w:adjustRightInd w:val="0"/>
        <w:snapToGrid w:val="0"/>
        <w:spacing w:line="560" w:lineRule="exact"/>
        <w:ind w:firstLine="480"/>
        <w:jc w:val="left"/>
        <w:rPr>
          <w:rFonts w:hint="default" w:ascii="Times New Roman" w:hAnsi="Times New Roman" w:cs="Times New Roman"/>
          <w:color w:val="000000"/>
          <w:sz w:val="24"/>
          <w:szCs w:val="24"/>
        </w:rPr>
      </w:pPr>
      <w:r>
        <w:rPr>
          <w:rFonts w:ascii="Times New Roman" w:hAnsi="Times New Roman" w:cs="Times New Roman"/>
          <w:color w:val="000000"/>
          <w:sz w:val="24"/>
          <w:szCs w:val="24"/>
        </w:rPr>
        <w:t>3</w:t>
      </w:r>
      <w:r>
        <w:rPr>
          <w:rFonts w:hint="default" w:ascii="Times New Roman" w:hAnsi="Times New Roman" w:cs="Times New Roman"/>
          <w:color w:val="000000"/>
          <w:sz w:val="24"/>
          <w:szCs w:val="24"/>
        </w:rPr>
        <w:t>、募集资金使用和管理情况</w:t>
      </w:r>
    </w:p>
    <w:p w14:paraId="090DC6AC">
      <w:pPr>
        <w:autoSpaceDE w:val="0"/>
        <w:autoSpaceDN w:val="0"/>
        <w:adjustRightInd w:val="0"/>
        <w:snapToGrid w:val="0"/>
        <w:spacing w:line="56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为规范募集资金的管理和使用，公司根据《上海证券交易所股票上市规则》《上海证券交易所上市公司自律监管指引第1号——规范运作》《上市公司监管指引第2号——上市公司募集资金管理和使用的监管要求》等法律、法规的规定，结合本公司的实际情况，制定了《募集资金管理制度》。公司将严格按照规定使用募集资金。</w:t>
      </w:r>
    </w:p>
    <w:p w14:paraId="409FDFFE">
      <w:pPr>
        <w:pStyle w:val="15"/>
        <w:numPr>
          <w:ilvl w:val="0"/>
          <w:numId w:val="3"/>
        </w:numPr>
        <w:autoSpaceDE w:val="0"/>
        <w:autoSpaceDN w:val="0"/>
        <w:adjustRightInd w:val="0"/>
        <w:snapToGrid w:val="0"/>
        <w:spacing w:line="560" w:lineRule="exact"/>
        <w:ind w:firstLineChars="0"/>
        <w:jc w:val="left"/>
        <w:rPr>
          <w:rFonts w:hint="default" w:ascii="Times New Roman" w:hAnsi="Times New Roman"/>
          <w:b/>
          <w:color w:val="000000"/>
          <w:sz w:val="24"/>
          <w:szCs w:val="24"/>
        </w:rPr>
      </w:pPr>
      <w:r>
        <w:rPr>
          <w:rFonts w:hint="default" w:ascii="Times New Roman" w:hAnsi="Times New Roman"/>
          <w:b/>
          <w:color w:val="000000"/>
          <w:sz w:val="24"/>
          <w:szCs w:val="24"/>
        </w:rPr>
        <w:t>本次现金管理的投资情况</w:t>
      </w:r>
    </w:p>
    <w:p w14:paraId="17D2C04B">
      <w:pPr>
        <w:autoSpaceDE w:val="0"/>
        <w:autoSpaceDN w:val="0"/>
        <w:adjustRightInd w:val="0"/>
        <w:snapToGrid w:val="0"/>
        <w:spacing w:line="56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公司近期与上海浦东发展银行股份有限公司重庆分行签署了结构性存款相关文件，并于2024年8月1日购买了相关理财产品，该产品收益自2024年8月2日起至2024年8月30日止，具体情况如下：</w:t>
      </w:r>
    </w:p>
    <w:tbl>
      <w:tblPr>
        <w:tblStyle w:val="9"/>
        <w:tblpPr w:leftFromText="180" w:rightFromText="180" w:vertAnchor="text" w:horzAnchor="margin" w:tblpXSpec="center" w:tblpY="2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50"/>
        <w:gridCol w:w="948"/>
        <w:gridCol w:w="1288"/>
        <w:gridCol w:w="1002"/>
        <w:gridCol w:w="1288"/>
        <w:gridCol w:w="1002"/>
        <w:gridCol w:w="970"/>
        <w:gridCol w:w="872"/>
      </w:tblGrid>
      <w:tr w14:paraId="3DE4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 w:hRule="atLeast"/>
          <w:jc w:val="center"/>
        </w:trPr>
        <w:tc>
          <w:tcPr>
            <w:tcW w:w="1041" w:type="dxa"/>
            <w:vAlign w:val="center"/>
          </w:tcPr>
          <w:p w14:paraId="45380B57">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受托机构</w:t>
            </w:r>
          </w:p>
        </w:tc>
        <w:tc>
          <w:tcPr>
            <w:tcW w:w="939" w:type="dxa"/>
            <w:vAlign w:val="center"/>
          </w:tcPr>
          <w:p w14:paraId="6FB93746">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产品类型</w:t>
            </w:r>
          </w:p>
        </w:tc>
        <w:tc>
          <w:tcPr>
            <w:tcW w:w="1276" w:type="dxa"/>
            <w:vAlign w:val="center"/>
          </w:tcPr>
          <w:p w14:paraId="60D2993F">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产品名称</w:t>
            </w:r>
          </w:p>
        </w:tc>
        <w:tc>
          <w:tcPr>
            <w:tcW w:w="992" w:type="dxa"/>
            <w:vAlign w:val="center"/>
          </w:tcPr>
          <w:p w14:paraId="6FDD55B6">
            <w:pPr>
              <w:autoSpaceDE w:val="0"/>
              <w:autoSpaceDN w:val="0"/>
              <w:adjustRightInd w:val="0"/>
              <w:snapToGrid w:val="0"/>
              <w:jc w:val="center"/>
              <w:rPr>
                <w:rFonts w:ascii="Times New Roman" w:hAnsi="Times New Roman" w:cs="Times New Roman"/>
                <w:b/>
                <w:sz w:val="18"/>
                <w:szCs w:val="21"/>
              </w:rPr>
            </w:pPr>
            <w:r>
              <w:rPr>
                <w:rFonts w:ascii="Times New Roman" w:hAnsi="Times New Roman" w:cs="Times New Roman"/>
                <w:b/>
                <w:sz w:val="18"/>
                <w:szCs w:val="21"/>
              </w:rPr>
              <w:t>金额</w:t>
            </w:r>
          </w:p>
          <w:p w14:paraId="0037CB0E">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（万元）</w:t>
            </w:r>
          </w:p>
        </w:tc>
        <w:tc>
          <w:tcPr>
            <w:tcW w:w="1276" w:type="dxa"/>
            <w:vAlign w:val="center"/>
          </w:tcPr>
          <w:p w14:paraId="205B2520">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预计年化收益率</w:t>
            </w:r>
          </w:p>
        </w:tc>
        <w:tc>
          <w:tcPr>
            <w:tcW w:w="992" w:type="dxa"/>
            <w:vAlign w:val="center"/>
          </w:tcPr>
          <w:p w14:paraId="24199913">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产品期限（天）</w:t>
            </w:r>
          </w:p>
        </w:tc>
        <w:tc>
          <w:tcPr>
            <w:tcW w:w="961" w:type="dxa"/>
            <w:vAlign w:val="center"/>
          </w:tcPr>
          <w:p w14:paraId="1C997B47">
            <w:pPr>
              <w:pStyle w:val="15"/>
              <w:autoSpaceDE w:val="0"/>
              <w:autoSpaceDN w:val="0"/>
              <w:adjustRightInd w:val="0"/>
              <w:snapToGrid w:val="0"/>
              <w:spacing w:line="240" w:lineRule="auto"/>
              <w:ind w:firstLine="0" w:firstLineChars="0"/>
              <w:jc w:val="center"/>
              <w:rPr>
                <w:rFonts w:ascii="Times New Roman" w:hAnsi="Times New Roman"/>
                <w:b/>
                <w:sz w:val="21"/>
                <w:szCs w:val="21"/>
              </w:rPr>
            </w:pPr>
            <w:r>
              <w:rPr>
                <w:rFonts w:ascii="Times New Roman" w:hAnsi="Times New Roman"/>
                <w:b/>
                <w:sz w:val="21"/>
                <w:szCs w:val="21"/>
              </w:rPr>
              <w:t>收益类型</w:t>
            </w:r>
          </w:p>
        </w:tc>
        <w:tc>
          <w:tcPr>
            <w:tcW w:w="864" w:type="dxa"/>
            <w:vAlign w:val="center"/>
          </w:tcPr>
          <w:p w14:paraId="5F35BB92">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是否构成关联关系</w:t>
            </w:r>
          </w:p>
        </w:tc>
      </w:tr>
      <w:tr w14:paraId="3D84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 w:hRule="atLeast"/>
          <w:jc w:val="center"/>
        </w:trPr>
        <w:tc>
          <w:tcPr>
            <w:tcW w:w="1041" w:type="dxa"/>
            <w:vAlign w:val="center"/>
          </w:tcPr>
          <w:p w14:paraId="0F98BC7F">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上海浦东发展银行股份有限公司重庆分行</w:t>
            </w:r>
          </w:p>
        </w:tc>
        <w:tc>
          <w:tcPr>
            <w:tcW w:w="939" w:type="dxa"/>
            <w:vAlign w:val="center"/>
          </w:tcPr>
          <w:p w14:paraId="72D41961">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结构性存款</w:t>
            </w:r>
          </w:p>
        </w:tc>
        <w:tc>
          <w:tcPr>
            <w:tcW w:w="1276" w:type="dxa"/>
            <w:vAlign w:val="center"/>
          </w:tcPr>
          <w:p w14:paraId="45ACDC5E">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利多多公司稳利24JG3401期(月月滚利5期)人民币对公结构性存款</w:t>
            </w:r>
          </w:p>
        </w:tc>
        <w:tc>
          <w:tcPr>
            <w:tcW w:w="992" w:type="dxa"/>
            <w:vAlign w:val="center"/>
          </w:tcPr>
          <w:p w14:paraId="7F5D0A99">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2</w:t>
            </w:r>
            <w:r>
              <w:rPr>
                <w:rFonts w:ascii="Times New Roman" w:hAnsi="Times New Roman"/>
                <w:color w:val="000000"/>
                <w:sz w:val="21"/>
                <w:szCs w:val="21"/>
              </w:rPr>
              <w:t>,</w:t>
            </w:r>
            <w:r>
              <w:rPr>
                <w:rFonts w:hint="default" w:ascii="Times New Roman" w:hAnsi="Times New Roman"/>
                <w:color w:val="000000"/>
                <w:sz w:val="21"/>
                <w:szCs w:val="21"/>
              </w:rPr>
              <w:t>5</w:t>
            </w:r>
            <w:r>
              <w:rPr>
                <w:rFonts w:ascii="Times New Roman" w:hAnsi="Times New Roman"/>
                <w:color w:val="000000"/>
                <w:sz w:val="21"/>
                <w:szCs w:val="21"/>
              </w:rPr>
              <w:t>00.00</w:t>
            </w:r>
          </w:p>
        </w:tc>
        <w:tc>
          <w:tcPr>
            <w:tcW w:w="1276" w:type="dxa"/>
            <w:vAlign w:val="center"/>
          </w:tcPr>
          <w:p w14:paraId="082778F7">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1.20%-2.55%</w:t>
            </w:r>
          </w:p>
        </w:tc>
        <w:tc>
          <w:tcPr>
            <w:tcW w:w="992" w:type="dxa"/>
            <w:vAlign w:val="center"/>
          </w:tcPr>
          <w:p w14:paraId="5CB16E67">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28</w:t>
            </w:r>
          </w:p>
        </w:tc>
        <w:tc>
          <w:tcPr>
            <w:tcW w:w="961" w:type="dxa"/>
            <w:vAlign w:val="center"/>
          </w:tcPr>
          <w:p w14:paraId="6E336C05">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保本浮动收益型</w:t>
            </w:r>
          </w:p>
        </w:tc>
        <w:tc>
          <w:tcPr>
            <w:tcW w:w="864" w:type="dxa"/>
            <w:vAlign w:val="center"/>
          </w:tcPr>
          <w:p w14:paraId="767F3993">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否</w:t>
            </w:r>
          </w:p>
        </w:tc>
      </w:tr>
    </w:tbl>
    <w:p w14:paraId="73948EAF">
      <w:pPr>
        <w:adjustRightInd w:val="0"/>
        <w:snapToGrid w:val="0"/>
        <w:spacing w:before="156" w:beforeLines="50" w:line="360" w:lineRule="auto"/>
        <w:ind w:firstLine="482" w:firstLineChars="200"/>
        <w:rPr>
          <w:rFonts w:hint="default" w:ascii="Times New Roman" w:hAnsi="Times New Roman" w:cs="Times New Roman"/>
          <w:b/>
          <w:color w:val="000000"/>
          <w:sz w:val="24"/>
          <w:szCs w:val="24"/>
        </w:rPr>
      </w:pPr>
      <w:r>
        <w:rPr>
          <w:rFonts w:hint="default" w:ascii="Times New Roman" w:hAnsi="Times New Roman" w:eastAsia="宋体" w:cs="Times New Roman"/>
          <w:b/>
          <w:color w:val="000000"/>
          <w:sz w:val="24"/>
          <w:szCs w:val="24"/>
        </w:rPr>
        <w:t>二、</w:t>
      </w:r>
      <w:r>
        <w:rPr>
          <w:rFonts w:hint="default" w:ascii="Times New Roman" w:hAnsi="Times New Roman" w:cs="Times New Roman"/>
          <w:b/>
          <w:color w:val="000000"/>
          <w:sz w:val="24"/>
          <w:szCs w:val="24"/>
        </w:rPr>
        <w:t>审议程序</w:t>
      </w:r>
    </w:p>
    <w:p w14:paraId="39B4DB68">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公司于2024年4月24日召开第四届董事会第五次会议和第四届监事会第四次会议，分别审议通过了《关于使用暂时闲置募集资金进行现金管理的议案》。保荐机构和监事会发表了同意意见。具体内容详见公司披露的《关于使用暂时闲置募集资金进行现金管理的公告》（公告编号：2024-035）。</w:t>
      </w:r>
    </w:p>
    <w:p w14:paraId="7C6AA5F3">
      <w:pPr>
        <w:adjustRightInd w:val="0"/>
        <w:snapToGrid w:val="0"/>
        <w:spacing w:line="360" w:lineRule="auto"/>
        <w:ind w:firstLine="482" w:firstLineChars="200"/>
        <w:rPr>
          <w:rFonts w:hint="default" w:ascii="Times New Roman" w:hAnsi="Times New Roman" w:cs="Times New Roman"/>
          <w:b/>
          <w:sz w:val="24"/>
          <w:szCs w:val="24"/>
        </w:rPr>
      </w:pPr>
      <w:r>
        <w:rPr>
          <w:rFonts w:hint="default" w:ascii="Times New Roman" w:hAnsi="Times New Roman" w:eastAsia="宋体" w:cs="Times New Roman"/>
          <w:b/>
          <w:color w:val="000000"/>
          <w:sz w:val="24"/>
          <w:szCs w:val="24"/>
        </w:rPr>
        <w:t>三、</w:t>
      </w:r>
      <w:r>
        <w:rPr>
          <w:rFonts w:ascii="Times New Roman" w:hAnsi="Times New Roman" w:cs="Times New Roman"/>
          <w:b/>
          <w:sz w:val="24"/>
          <w:szCs w:val="24"/>
        </w:rPr>
        <w:t>风险控制措施</w:t>
      </w:r>
    </w:p>
    <w:p w14:paraId="5F03A989">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公司按照决策、执行、监督职能相分离的原则建立健全现金管理的审批和执行程序，确保购买事宜的有效开展和规范运行，确保资金安全。拟采取的具体措施如下：</w:t>
      </w:r>
    </w:p>
    <w:p w14:paraId="479E2FF6">
      <w:pPr>
        <w:adjustRightInd w:val="0"/>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1</w:t>
      </w:r>
      <w:r>
        <w:rPr>
          <w:rFonts w:hint="default" w:ascii="Times New Roman" w:hAnsi="Times New Roman" w:eastAsia="宋体" w:cs="Times New Roman"/>
          <w:sz w:val="24"/>
          <w:szCs w:val="24"/>
        </w:rPr>
        <w:t>、公司财务部门相关人员将及时分析和跟踪所投资产品的投向、项目进展情况，如评估发现存在可能影响公司资金安全的风险因素，将及时采取相应的措施，控制投资风险。</w:t>
      </w:r>
    </w:p>
    <w:p w14:paraId="28937D67">
      <w:pPr>
        <w:adjustRightInd w:val="0"/>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2</w:t>
      </w:r>
      <w:r>
        <w:rPr>
          <w:rFonts w:hint="default" w:ascii="Times New Roman" w:hAnsi="Times New Roman" w:eastAsia="宋体" w:cs="Times New Roman"/>
          <w:sz w:val="24"/>
          <w:szCs w:val="24"/>
        </w:rPr>
        <w:t>、公司审计部门负责对资金的使用与保管情况进行审计与监督。</w:t>
      </w:r>
    </w:p>
    <w:p w14:paraId="59E817A5">
      <w:pPr>
        <w:adjustRightInd w:val="0"/>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3</w:t>
      </w:r>
      <w:r>
        <w:rPr>
          <w:rFonts w:hint="default" w:ascii="Times New Roman" w:hAnsi="Times New Roman" w:eastAsia="宋体" w:cs="Times New Roman"/>
          <w:sz w:val="24"/>
          <w:szCs w:val="24"/>
        </w:rPr>
        <w:t>、独立董事、监事会有权对资金使用情况进行监督与检查，必要时可以聘请专业机构进行审计。</w:t>
      </w:r>
    </w:p>
    <w:p w14:paraId="503BAAD3">
      <w:pPr>
        <w:adjustRightInd w:val="0"/>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4</w:t>
      </w:r>
      <w:r>
        <w:rPr>
          <w:rFonts w:hint="default" w:ascii="Times New Roman" w:hAnsi="Times New Roman" w:eastAsia="宋体" w:cs="Times New Roman"/>
          <w:sz w:val="24"/>
          <w:szCs w:val="24"/>
        </w:rPr>
        <w:t>、公司财务部门必须建立台账对购买的现金管理产品进行管理，建立健全会计账目，做好资金使用的账务核算工作。</w:t>
      </w:r>
    </w:p>
    <w:p w14:paraId="1871F1EB">
      <w:pPr>
        <w:adjustRightInd w:val="0"/>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5</w:t>
      </w:r>
      <w:r>
        <w:rPr>
          <w:rFonts w:hint="default" w:ascii="Times New Roman" w:hAnsi="Times New Roman" w:eastAsia="宋体" w:cs="Times New Roman"/>
          <w:sz w:val="24"/>
          <w:szCs w:val="24"/>
        </w:rPr>
        <w:t>、公司将依据上海证券交易所的相关规定，履行信息披露义务。</w:t>
      </w:r>
    </w:p>
    <w:p w14:paraId="11D77E9A">
      <w:pPr>
        <w:adjustRightInd w:val="0"/>
        <w:snapToGrid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四、对公司的影响</w:t>
      </w:r>
    </w:p>
    <w:p w14:paraId="36C6E918">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rPr>
        <w:t>一</w:t>
      </w:r>
      <w:r>
        <w:rPr>
          <w:rFonts w:hint="eastAsia"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rPr>
        <w:t>公司最近一年及一期财务指标情况</w:t>
      </w:r>
    </w:p>
    <w:p w14:paraId="72B764EB">
      <w:pPr>
        <w:adjustRightInd w:val="0"/>
        <w:snapToGrid w:val="0"/>
        <w:spacing w:line="240" w:lineRule="auto"/>
        <w:ind w:firstLine="0" w:firstLineChars="0"/>
        <w:jc w:val="righ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单位：万元</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2589"/>
        <w:gridCol w:w="2589"/>
      </w:tblGrid>
      <w:tr w14:paraId="1E70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6" w:type="dxa"/>
            <w:vAlign w:val="center"/>
          </w:tcPr>
          <w:p w14:paraId="0BC8E5A7">
            <w:pPr>
              <w:adjustRightInd w:val="0"/>
              <w:snapToGrid w:val="0"/>
              <w:spacing w:line="240" w:lineRule="auto"/>
              <w:jc w:val="center"/>
              <w:rPr>
                <w:rFonts w:hint="eastAsia"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财务</w:t>
            </w:r>
            <w:r>
              <w:rPr>
                <w:rFonts w:hint="eastAsia" w:ascii="Times New Roman" w:hAnsi="Times New Roman" w:eastAsia="宋体" w:cs="Times New Roman"/>
                <w:b/>
                <w:color w:val="000000"/>
                <w:szCs w:val="21"/>
              </w:rPr>
              <w:t>指标</w:t>
            </w:r>
          </w:p>
        </w:tc>
        <w:tc>
          <w:tcPr>
            <w:tcW w:w="2520" w:type="dxa"/>
            <w:vAlign w:val="center"/>
          </w:tcPr>
          <w:p w14:paraId="7D65C317">
            <w:pPr>
              <w:adjustRightInd w:val="0"/>
              <w:snapToGrid w:val="0"/>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2</w:t>
            </w:r>
            <w:r>
              <w:rPr>
                <w:rFonts w:ascii="Times New Roman" w:hAnsi="Times New Roman" w:eastAsia="宋体" w:cs="Times New Roman"/>
                <w:b/>
                <w:color w:val="000000"/>
                <w:sz w:val="21"/>
                <w:szCs w:val="21"/>
              </w:rPr>
              <w:t>02</w:t>
            </w:r>
            <w:r>
              <w:rPr>
                <w:rFonts w:hint="default" w:ascii="Times New Roman" w:hAnsi="Times New Roman" w:eastAsia="宋体" w:cs="Times New Roman"/>
                <w:b/>
                <w:color w:val="000000"/>
                <w:sz w:val="21"/>
                <w:szCs w:val="21"/>
              </w:rPr>
              <w:t>4年3月31日</w:t>
            </w:r>
            <w:r>
              <w:rPr>
                <w:rFonts w:hint="eastAsia" w:ascii="Times New Roman" w:hAnsi="Times New Roman" w:eastAsia="宋体" w:cs="Times New Roman"/>
                <w:b/>
                <w:color w:val="000000"/>
                <w:szCs w:val="21"/>
              </w:rPr>
              <w:t>/2024年1-3月</w:t>
            </w:r>
            <w:r>
              <w:rPr>
                <w:rFonts w:hint="default" w:ascii="Times New Roman" w:hAnsi="Times New Roman" w:eastAsia="宋体" w:cs="Times New Roman"/>
                <w:b/>
                <w:color w:val="000000"/>
                <w:sz w:val="21"/>
                <w:szCs w:val="21"/>
              </w:rPr>
              <w:t>（未经审计）</w:t>
            </w:r>
          </w:p>
        </w:tc>
        <w:tc>
          <w:tcPr>
            <w:tcW w:w="2520" w:type="dxa"/>
            <w:vAlign w:val="center"/>
          </w:tcPr>
          <w:p w14:paraId="051FB5E8">
            <w:pPr>
              <w:adjustRightInd w:val="0"/>
              <w:snapToGrid w:val="0"/>
              <w:jc w:val="center"/>
              <w:rPr>
                <w:rFonts w:ascii="Times New Roman" w:hAnsi="Times New Roman" w:eastAsia="宋体" w:cs="Times New Roman"/>
                <w:b/>
                <w:color w:val="000000"/>
                <w:szCs w:val="21"/>
              </w:rPr>
            </w:pPr>
            <w:r>
              <w:rPr>
                <w:rFonts w:hint="default" w:ascii="Times New Roman" w:hAnsi="Times New Roman" w:eastAsia="宋体" w:cs="Times New Roman"/>
                <w:b/>
                <w:color w:val="000000"/>
                <w:sz w:val="21"/>
                <w:szCs w:val="21"/>
              </w:rPr>
              <w:t>2</w:t>
            </w:r>
            <w:r>
              <w:rPr>
                <w:rFonts w:ascii="Times New Roman" w:hAnsi="Times New Roman" w:eastAsia="宋体" w:cs="Times New Roman"/>
                <w:b/>
                <w:color w:val="000000"/>
                <w:sz w:val="21"/>
                <w:szCs w:val="21"/>
              </w:rPr>
              <w:t>02</w:t>
            </w:r>
            <w:r>
              <w:rPr>
                <w:rFonts w:hint="default" w:ascii="Times New Roman" w:hAnsi="Times New Roman" w:eastAsia="宋体" w:cs="Times New Roman"/>
                <w:b/>
                <w:color w:val="000000"/>
                <w:sz w:val="21"/>
                <w:szCs w:val="21"/>
              </w:rPr>
              <w:t>3年1</w:t>
            </w:r>
            <w:r>
              <w:rPr>
                <w:rFonts w:ascii="Times New Roman" w:hAnsi="Times New Roman" w:eastAsia="宋体" w:cs="Times New Roman"/>
                <w:b/>
                <w:color w:val="000000"/>
                <w:sz w:val="21"/>
                <w:szCs w:val="21"/>
              </w:rPr>
              <w:t>2</w:t>
            </w:r>
            <w:r>
              <w:rPr>
                <w:rFonts w:hint="default" w:ascii="Times New Roman" w:hAnsi="Times New Roman" w:eastAsia="宋体" w:cs="Times New Roman"/>
                <w:b/>
                <w:color w:val="000000"/>
                <w:sz w:val="21"/>
                <w:szCs w:val="21"/>
              </w:rPr>
              <w:t>月3</w:t>
            </w:r>
            <w:r>
              <w:rPr>
                <w:rFonts w:ascii="Times New Roman" w:hAnsi="Times New Roman" w:eastAsia="宋体" w:cs="Times New Roman"/>
                <w:b/>
                <w:color w:val="000000"/>
                <w:sz w:val="21"/>
                <w:szCs w:val="21"/>
              </w:rPr>
              <w:t>1</w:t>
            </w:r>
            <w:r>
              <w:rPr>
                <w:rFonts w:hint="default" w:ascii="Times New Roman" w:hAnsi="Times New Roman" w:eastAsia="宋体" w:cs="Times New Roman"/>
                <w:b/>
                <w:color w:val="000000"/>
                <w:sz w:val="21"/>
                <w:szCs w:val="21"/>
              </w:rPr>
              <w:t>日</w:t>
            </w:r>
            <w:r>
              <w:rPr>
                <w:rFonts w:hint="eastAsia" w:ascii="Times New Roman" w:hAnsi="Times New Roman" w:eastAsia="宋体" w:cs="Times New Roman"/>
                <w:b/>
                <w:color w:val="000000"/>
                <w:szCs w:val="21"/>
              </w:rPr>
              <w:t>/</w:t>
            </w:r>
          </w:p>
          <w:p w14:paraId="31E610A5">
            <w:pPr>
              <w:adjustRightInd w:val="0"/>
              <w:snapToGrid w:val="0"/>
              <w:spacing w:line="240" w:lineRule="auto"/>
              <w:jc w:val="center"/>
              <w:rPr>
                <w:rFonts w:hint="eastAsia" w:ascii="Times New Roman" w:hAnsi="Times New Roman" w:eastAsia="宋体" w:cs="Times New Roman"/>
                <w:b/>
                <w:color w:val="000000"/>
                <w:sz w:val="21"/>
                <w:szCs w:val="21"/>
              </w:rPr>
            </w:pPr>
            <w:r>
              <w:rPr>
                <w:rFonts w:hint="eastAsia" w:ascii="Times New Roman" w:hAnsi="Times New Roman" w:eastAsia="宋体" w:cs="Times New Roman"/>
                <w:b/>
                <w:color w:val="000000"/>
                <w:szCs w:val="21"/>
              </w:rPr>
              <w:t>2023年度</w:t>
            </w:r>
          </w:p>
        </w:tc>
      </w:tr>
      <w:tr w14:paraId="3F72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6" w:type="dxa"/>
            <w:vAlign w:val="center"/>
          </w:tcPr>
          <w:p w14:paraId="1B671E34">
            <w:pPr>
              <w:adjustRightInd w:val="0"/>
              <w:snapToGrid w:val="0"/>
              <w:spacing w:line="240" w:lineRule="auto"/>
              <w:jc w:val="center"/>
              <w:rPr>
                <w:rFonts w:hint="default" w:ascii="Times New Roman" w:hAnsi="Times New Roman" w:eastAsia="宋体" w:cs="Times New Roman"/>
                <w:color w:val="000000"/>
                <w:sz w:val="21"/>
                <w:szCs w:val="21"/>
              </w:rPr>
            </w:pPr>
            <w:r>
              <w:rPr>
                <w:rFonts w:ascii="Times New Roman" w:hAnsi="Times New Roman" w:eastAsia="宋体" w:cs="Times New Roman"/>
                <w:sz w:val="21"/>
                <w:szCs w:val="21"/>
              </w:rPr>
              <w:t>资产总额</w:t>
            </w:r>
          </w:p>
        </w:tc>
        <w:tc>
          <w:tcPr>
            <w:tcW w:w="2520" w:type="dxa"/>
            <w:vAlign w:val="center"/>
          </w:tcPr>
          <w:p w14:paraId="6A35462E">
            <w:pPr>
              <w:adjustRightInd w:val="0"/>
              <w:snapToGrid w:val="0"/>
              <w:spacing w:line="240" w:lineRule="auto"/>
              <w:jc w:val="center"/>
              <w:rPr>
                <w:rFonts w:hint="default" w:ascii="Times New Roman" w:hAnsi="Times New Roman" w:eastAsia="宋体" w:cs="Times New Roman"/>
                <w:sz w:val="21"/>
                <w:szCs w:val="21"/>
              </w:rPr>
            </w:pPr>
            <w:r>
              <w:rPr>
                <w:rFonts w:ascii="Times New Roman" w:hAnsi="Times New Roman" w:eastAsia="宋体" w:cs="Times New Roman"/>
                <w:sz w:val="21"/>
                <w:szCs w:val="21"/>
              </w:rPr>
              <w:t>528</w:t>
            </w:r>
            <w:r>
              <w:rPr>
                <w:rFonts w:hint="default" w:ascii="Times New Roman" w:hAnsi="Times New Roman" w:eastAsia="宋体" w:cs="Times New Roman"/>
                <w:sz w:val="21"/>
                <w:szCs w:val="21"/>
              </w:rPr>
              <w:t>,</w:t>
            </w:r>
            <w:r>
              <w:rPr>
                <w:rFonts w:ascii="Times New Roman" w:hAnsi="Times New Roman" w:eastAsia="宋体" w:cs="Times New Roman"/>
                <w:sz w:val="21"/>
                <w:szCs w:val="21"/>
              </w:rPr>
              <w:t>623</w:t>
            </w:r>
            <w:r>
              <w:rPr>
                <w:rFonts w:hint="default" w:ascii="Times New Roman" w:hAnsi="Times New Roman" w:eastAsia="宋体" w:cs="Times New Roman"/>
                <w:sz w:val="21"/>
                <w:szCs w:val="21"/>
              </w:rPr>
              <w:t>.</w:t>
            </w:r>
            <w:r>
              <w:rPr>
                <w:rFonts w:ascii="Times New Roman" w:hAnsi="Times New Roman" w:eastAsia="宋体" w:cs="Times New Roman"/>
                <w:sz w:val="21"/>
                <w:szCs w:val="21"/>
              </w:rPr>
              <w:t>69</w:t>
            </w:r>
          </w:p>
        </w:tc>
        <w:tc>
          <w:tcPr>
            <w:tcW w:w="2520" w:type="dxa"/>
            <w:vAlign w:val="center"/>
          </w:tcPr>
          <w:p w14:paraId="7DF4ECAF">
            <w:pPr>
              <w:adjustRightInd w:val="0"/>
              <w:snapToGrid w:val="0"/>
              <w:spacing w:line="240" w:lineRule="auto"/>
              <w:jc w:val="center"/>
              <w:rPr>
                <w:rFonts w:hint="default" w:ascii="Times New Roman" w:hAnsi="Times New Roman" w:eastAsia="宋体" w:cs="Times New Roman"/>
                <w:sz w:val="21"/>
                <w:szCs w:val="21"/>
              </w:rPr>
            </w:pPr>
            <w:r>
              <w:rPr>
                <w:rFonts w:ascii="Times New Roman" w:hAnsi="Times New Roman" w:eastAsia="宋体" w:cs="Times New Roman"/>
                <w:sz w:val="21"/>
                <w:szCs w:val="21"/>
              </w:rPr>
              <w:t>487,524.19</w:t>
            </w:r>
          </w:p>
        </w:tc>
      </w:tr>
      <w:tr w14:paraId="4EAF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6" w:type="dxa"/>
            <w:vAlign w:val="center"/>
          </w:tcPr>
          <w:p w14:paraId="5C7F429B">
            <w:pPr>
              <w:adjustRightInd w:val="0"/>
              <w:snapToGrid w:val="0"/>
              <w:spacing w:line="240" w:lineRule="auto"/>
              <w:jc w:val="center"/>
              <w:rPr>
                <w:rFonts w:hint="default" w:ascii="Times New Roman" w:hAnsi="Times New Roman" w:eastAsia="宋体" w:cs="Times New Roman"/>
                <w:color w:val="000000"/>
                <w:sz w:val="21"/>
                <w:szCs w:val="21"/>
              </w:rPr>
            </w:pPr>
            <w:r>
              <w:rPr>
                <w:rFonts w:ascii="Times New Roman" w:hAnsi="Times New Roman" w:eastAsia="宋体" w:cs="Times New Roman"/>
                <w:sz w:val="21"/>
                <w:szCs w:val="21"/>
              </w:rPr>
              <w:t>负债总额</w:t>
            </w:r>
          </w:p>
        </w:tc>
        <w:tc>
          <w:tcPr>
            <w:tcW w:w="2520" w:type="dxa"/>
            <w:vAlign w:val="center"/>
          </w:tcPr>
          <w:p w14:paraId="09001AAC">
            <w:pPr>
              <w:adjustRightInd w:val="0"/>
              <w:snapToGrid w:val="0"/>
              <w:spacing w:line="240" w:lineRule="auto"/>
              <w:jc w:val="center"/>
              <w:rPr>
                <w:rFonts w:hint="default" w:ascii="Times New Roman" w:hAnsi="Times New Roman" w:eastAsia="宋体" w:cs="Times New Roman"/>
                <w:sz w:val="21"/>
                <w:szCs w:val="21"/>
              </w:rPr>
            </w:pPr>
            <w:r>
              <w:rPr>
                <w:rFonts w:ascii="Times New Roman" w:hAnsi="Times New Roman" w:eastAsia="宋体" w:cs="Times New Roman"/>
                <w:sz w:val="21"/>
                <w:szCs w:val="21"/>
              </w:rPr>
              <w:t>286</w:t>
            </w:r>
            <w:r>
              <w:rPr>
                <w:rFonts w:hint="default" w:ascii="Times New Roman" w:hAnsi="Times New Roman" w:eastAsia="宋体" w:cs="Times New Roman"/>
                <w:sz w:val="21"/>
                <w:szCs w:val="21"/>
              </w:rPr>
              <w:t>,</w:t>
            </w:r>
            <w:r>
              <w:rPr>
                <w:rFonts w:ascii="Times New Roman" w:hAnsi="Times New Roman" w:eastAsia="宋体" w:cs="Times New Roman"/>
                <w:sz w:val="21"/>
                <w:szCs w:val="21"/>
              </w:rPr>
              <w:t>935</w:t>
            </w:r>
            <w:r>
              <w:rPr>
                <w:rFonts w:hint="default" w:ascii="Times New Roman" w:hAnsi="Times New Roman" w:eastAsia="宋体" w:cs="Times New Roman"/>
                <w:sz w:val="21"/>
                <w:szCs w:val="21"/>
              </w:rPr>
              <w:t>.</w:t>
            </w:r>
            <w:r>
              <w:rPr>
                <w:rFonts w:ascii="Times New Roman" w:hAnsi="Times New Roman" w:eastAsia="宋体" w:cs="Times New Roman"/>
                <w:sz w:val="21"/>
                <w:szCs w:val="21"/>
              </w:rPr>
              <w:t>9</w:t>
            </w:r>
            <w:r>
              <w:rPr>
                <w:rFonts w:hint="default" w:ascii="Times New Roman" w:hAnsi="Times New Roman" w:eastAsia="宋体" w:cs="Times New Roman"/>
                <w:sz w:val="21"/>
                <w:szCs w:val="21"/>
              </w:rPr>
              <w:t>6</w:t>
            </w:r>
          </w:p>
        </w:tc>
        <w:tc>
          <w:tcPr>
            <w:tcW w:w="2520" w:type="dxa"/>
            <w:vAlign w:val="center"/>
          </w:tcPr>
          <w:p w14:paraId="57DFE6F4">
            <w:pPr>
              <w:adjustRightInd w:val="0"/>
              <w:snapToGrid w:val="0"/>
              <w:spacing w:line="240" w:lineRule="auto"/>
              <w:jc w:val="center"/>
              <w:rPr>
                <w:rFonts w:hint="default" w:ascii="Times New Roman" w:hAnsi="Times New Roman" w:eastAsia="宋体" w:cs="Times New Roman"/>
                <w:sz w:val="21"/>
                <w:szCs w:val="21"/>
              </w:rPr>
            </w:pPr>
            <w:r>
              <w:rPr>
                <w:rFonts w:ascii="Times New Roman" w:hAnsi="Times New Roman" w:eastAsia="宋体" w:cs="Times New Roman"/>
                <w:sz w:val="21"/>
                <w:szCs w:val="21"/>
              </w:rPr>
              <w:t>248</w:t>
            </w:r>
            <w:r>
              <w:rPr>
                <w:rFonts w:hint="default" w:ascii="Times New Roman" w:hAnsi="Times New Roman" w:eastAsia="宋体" w:cs="Times New Roman"/>
                <w:sz w:val="21"/>
                <w:szCs w:val="21"/>
              </w:rPr>
              <w:t>,</w:t>
            </w:r>
            <w:r>
              <w:rPr>
                <w:rFonts w:ascii="Times New Roman" w:hAnsi="Times New Roman" w:eastAsia="宋体" w:cs="Times New Roman"/>
                <w:sz w:val="21"/>
                <w:szCs w:val="21"/>
              </w:rPr>
              <w:t>443</w:t>
            </w:r>
            <w:r>
              <w:rPr>
                <w:rFonts w:hint="default" w:ascii="Times New Roman" w:hAnsi="Times New Roman" w:eastAsia="宋体" w:cs="Times New Roman"/>
                <w:sz w:val="21"/>
                <w:szCs w:val="21"/>
              </w:rPr>
              <w:t>.</w:t>
            </w:r>
            <w:r>
              <w:rPr>
                <w:rFonts w:ascii="Times New Roman" w:hAnsi="Times New Roman" w:eastAsia="宋体" w:cs="Times New Roman"/>
                <w:sz w:val="21"/>
                <w:szCs w:val="21"/>
              </w:rPr>
              <w:t>3</w:t>
            </w:r>
            <w:r>
              <w:rPr>
                <w:rFonts w:hint="default" w:ascii="Times New Roman" w:hAnsi="Times New Roman" w:eastAsia="宋体" w:cs="Times New Roman"/>
                <w:sz w:val="21"/>
                <w:szCs w:val="21"/>
              </w:rPr>
              <w:t>5</w:t>
            </w:r>
          </w:p>
        </w:tc>
      </w:tr>
      <w:tr w14:paraId="3907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6" w:type="dxa"/>
            <w:vAlign w:val="center"/>
          </w:tcPr>
          <w:p w14:paraId="507590D2">
            <w:pPr>
              <w:adjustRightInd w:val="0"/>
              <w:snapToGrid w:val="0"/>
              <w:spacing w:line="240" w:lineRule="auto"/>
              <w:jc w:val="center"/>
              <w:rPr>
                <w:rFonts w:hint="default" w:ascii="Times New Roman" w:hAnsi="Times New Roman" w:eastAsia="宋体" w:cs="Times New Roman"/>
                <w:color w:val="000000"/>
                <w:sz w:val="21"/>
                <w:szCs w:val="21"/>
              </w:rPr>
            </w:pPr>
            <w:r>
              <w:rPr>
                <w:rFonts w:ascii="Times New Roman" w:hAnsi="Times New Roman" w:eastAsia="宋体" w:cs="Times New Roman"/>
                <w:sz w:val="21"/>
                <w:szCs w:val="21"/>
              </w:rPr>
              <w:t>归属于上市公司股东的净资产</w:t>
            </w:r>
          </w:p>
        </w:tc>
        <w:tc>
          <w:tcPr>
            <w:tcW w:w="2520" w:type="dxa"/>
            <w:vAlign w:val="center"/>
          </w:tcPr>
          <w:p w14:paraId="134B65B2">
            <w:pPr>
              <w:adjustRightInd w:val="0"/>
              <w:snapToGrid w:val="0"/>
              <w:spacing w:line="240" w:lineRule="auto"/>
              <w:jc w:val="center"/>
              <w:rPr>
                <w:rFonts w:hint="default" w:ascii="Times New Roman" w:hAnsi="Times New Roman" w:eastAsia="宋体" w:cs="Times New Roman"/>
                <w:sz w:val="21"/>
                <w:szCs w:val="21"/>
              </w:rPr>
            </w:pPr>
            <w:r>
              <w:rPr>
                <w:rFonts w:ascii="Times New Roman" w:hAnsi="Times New Roman" w:eastAsia="宋体" w:cs="Times New Roman"/>
                <w:sz w:val="21"/>
                <w:szCs w:val="21"/>
              </w:rPr>
              <w:t>241</w:t>
            </w:r>
            <w:r>
              <w:rPr>
                <w:rFonts w:hint="default" w:ascii="Times New Roman" w:hAnsi="Times New Roman" w:eastAsia="宋体" w:cs="Times New Roman"/>
                <w:sz w:val="21"/>
                <w:szCs w:val="21"/>
              </w:rPr>
              <w:t>,</w:t>
            </w:r>
            <w:r>
              <w:rPr>
                <w:rFonts w:ascii="Times New Roman" w:hAnsi="Times New Roman" w:eastAsia="宋体" w:cs="Times New Roman"/>
                <w:sz w:val="21"/>
                <w:szCs w:val="21"/>
              </w:rPr>
              <w:t>687</w:t>
            </w:r>
            <w:r>
              <w:rPr>
                <w:rFonts w:hint="default" w:ascii="Times New Roman" w:hAnsi="Times New Roman" w:eastAsia="宋体" w:cs="Times New Roman"/>
                <w:sz w:val="21"/>
                <w:szCs w:val="21"/>
              </w:rPr>
              <w:t>.</w:t>
            </w:r>
            <w:r>
              <w:rPr>
                <w:rFonts w:ascii="Times New Roman" w:hAnsi="Times New Roman" w:eastAsia="宋体" w:cs="Times New Roman"/>
                <w:sz w:val="21"/>
                <w:szCs w:val="21"/>
              </w:rPr>
              <w:t>7</w:t>
            </w:r>
            <w:r>
              <w:rPr>
                <w:rFonts w:hint="default" w:ascii="Times New Roman" w:hAnsi="Times New Roman" w:eastAsia="宋体" w:cs="Times New Roman"/>
                <w:sz w:val="21"/>
                <w:szCs w:val="21"/>
              </w:rPr>
              <w:t>4</w:t>
            </w:r>
          </w:p>
        </w:tc>
        <w:tc>
          <w:tcPr>
            <w:tcW w:w="2520" w:type="dxa"/>
            <w:vAlign w:val="center"/>
          </w:tcPr>
          <w:p w14:paraId="69D45B3A">
            <w:pPr>
              <w:adjustRightInd w:val="0"/>
              <w:snapToGrid w:val="0"/>
              <w:spacing w:line="240" w:lineRule="auto"/>
              <w:jc w:val="center"/>
              <w:rPr>
                <w:rFonts w:hint="default" w:ascii="Times New Roman" w:hAnsi="Times New Roman" w:eastAsia="宋体" w:cs="Times New Roman"/>
                <w:sz w:val="21"/>
                <w:szCs w:val="21"/>
              </w:rPr>
            </w:pPr>
            <w:r>
              <w:rPr>
                <w:rFonts w:ascii="Times New Roman" w:hAnsi="Times New Roman" w:eastAsia="宋体" w:cs="Times New Roman"/>
                <w:sz w:val="21"/>
                <w:szCs w:val="21"/>
              </w:rPr>
              <w:t>239,080.85</w:t>
            </w:r>
          </w:p>
        </w:tc>
      </w:tr>
      <w:tr w14:paraId="1962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6" w:type="dxa"/>
            <w:vAlign w:val="center"/>
          </w:tcPr>
          <w:p w14:paraId="13DD2F32">
            <w:pPr>
              <w:adjustRightInd w:val="0"/>
              <w:snapToGrid w:val="0"/>
              <w:spacing w:line="240" w:lineRule="auto"/>
              <w:jc w:val="center"/>
              <w:rPr>
                <w:rFonts w:hint="default" w:ascii="Times New Roman" w:hAnsi="Times New Roman" w:eastAsia="宋体" w:cs="Times New Roman"/>
                <w:color w:val="000000"/>
                <w:sz w:val="21"/>
                <w:szCs w:val="21"/>
              </w:rPr>
            </w:pPr>
            <w:r>
              <w:rPr>
                <w:rFonts w:ascii="Times New Roman" w:hAnsi="Times New Roman" w:eastAsia="宋体" w:cs="Times New Roman"/>
                <w:sz w:val="21"/>
                <w:szCs w:val="21"/>
              </w:rPr>
              <w:t>经营活动产生的现金流量净额</w:t>
            </w:r>
          </w:p>
        </w:tc>
        <w:tc>
          <w:tcPr>
            <w:tcW w:w="2520" w:type="dxa"/>
            <w:vAlign w:val="center"/>
          </w:tcPr>
          <w:p w14:paraId="1B4A47BC">
            <w:pPr>
              <w:adjustRightInd w:val="0"/>
              <w:snapToGrid w:val="0"/>
              <w:spacing w:line="240" w:lineRule="auto"/>
              <w:jc w:val="center"/>
              <w:rPr>
                <w:rFonts w:hint="default" w:ascii="Times New Roman" w:hAnsi="Times New Roman" w:eastAsia="宋体" w:cs="Times New Roman"/>
                <w:sz w:val="21"/>
                <w:szCs w:val="21"/>
              </w:rPr>
            </w:pPr>
            <w:r>
              <w:rPr>
                <w:rFonts w:ascii="Times New Roman" w:hAnsi="Times New Roman" w:eastAsia="宋体" w:cs="Times New Roman"/>
                <w:sz w:val="21"/>
                <w:szCs w:val="21"/>
              </w:rPr>
              <w:t>-13</w:t>
            </w:r>
            <w:r>
              <w:rPr>
                <w:rFonts w:hint="default" w:ascii="Times New Roman" w:hAnsi="Times New Roman" w:eastAsia="宋体" w:cs="Times New Roman"/>
                <w:sz w:val="21"/>
                <w:szCs w:val="21"/>
              </w:rPr>
              <w:t>,</w:t>
            </w:r>
            <w:r>
              <w:rPr>
                <w:rFonts w:ascii="Times New Roman" w:hAnsi="Times New Roman" w:eastAsia="宋体" w:cs="Times New Roman"/>
                <w:sz w:val="21"/>
                <w:szCs w:val="21"/>
              </w:rPr>
              <w:t>436</w:t>
            </w:r>
            <w:r>
              <w:rPr>
                <w:rFonts w:hint="default" w:ascii="Times New Roman" w:hAnsi="Times New Roman" w:eastAsia="宋体" w:cs="Times New Roman"/>
                <w:sz w:val="21"/>
                <w:szCs w:val="21"/>
              </w:rPr>
              <w:t>.50</w:t>
            </w:r>
          </w:p>
        </w:tc>
        <w:tc>
          <w:tcPr>
            <w:tcW w:w="2520" w:type="dxa"/>
            <w:vAlign w:val="center"/>
          </w:tcPr>
          <w:p w14:paraId="306BD12A">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29,186.40</w:t>
            </w:r>
          </w:p>
        </w:tc>
      </w:tr>
    </w:tbl>
    <w:p w14:paraId="25B3D0DC">
      <w:pPr>
        <w:adjustRightInd w:val="0"/>
        <w:snapToGrid w:val="0"/>
        <w:spacing w:before="156" w:beforeLines="50" w:line="360" w:lineRule="auto"/>
        <w:ind w:firstLine="360" w:firstLineChars="15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（二）对公司的影响</w:t>
      </w:r>
    </w:p>
    <w:p w14:paraId="01D0FD2F">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公司本次使用部分闲置募集资金购买银行结构性存款是根据公司经营发展和财务状况，在确保公司募投项目所需资金和保证募集资金安全的前提下进行的，履行了必要的法定程序，有助于提高募集资金使用效率，不影响公司主营业务的正常发展，不影响募投项目的正常进行，不存在变相改变募集资金用途的行为。通过进行适度的低风险短期理财，对部分闲置的募集资金适时进行现金管理，能获得一定的投资收益，有利于进一步提升公司整体业绩水平，为公司和股东谋取更多的投资回报。</w:t>
      </w:r>
    </w:p>
    <w:p w14:paraId="16FC2724">
      <w:pPr>
        <w:adjustRightInd w:val="0"/>
        <w:snapToGrid w:val="0"/>
        <w:spacing w:line="360" w:lineRule="auto"/>
        <w:ind w:firstLine="482" w:firstLineChars="200"/>
        <w:rPr>
          <w:rFonts w:hint="default" w:ascii="Times New Roman" w:hAnsi="Times New Roman" w:cs="Times New Roman"/>
          <w:b/>
          <w:sz w:val="24"/>
          <w:szCs w:val="24"/>
        </w:rPr>
      </w:pPr>
      <w:r>
        <w:rPr>
          <w:rFonts w:hint="default" w:ascii="Times New Roman" w:hAnsi="Times New Roman" w:cs="Times New Roman"/>
          <w:b/>
          <w:sz w:val="24"/>
          <w:szCs w:val="24"/>
        </w:rPr>
        <w:t>五、截止本公告日，公司最近十二个月闲置募集资金进行现金管理的情况</w:t>
      </w:r>
    </w:p>
    <w:p w14:paraId="19735C60">
      <w:pPr>
        <w:adjustRightInd w:val="0"/>
        <w:snapToGrid w:val="0"/>
        <w:spacing w:line="360" w:lineRule="auto"/>
        <w:ind w:firstLine="480"/>
        <w:rPr>
          <w:rFonts w:hint="default" w:ascii="Times New Roman" w:hAnsi="Times New Roman" w:cs="Times New Roman"/>
          <w:b/>
          <w:sz w:val="24"/>
          <w:szCs w:val="24"/>
        </w:rPr>
      </w:pPr>
      <w:r>
        <w:rPr>
          <w:rFonts w:hint="default" w:ascii="Times New Roman" w:hAnsi="Times New Roman" w:cs="Times New Roman"/>
          <w:b/>
          <w:sz w:val="24"/>
          <w:szCs w:val="24"/>
        </w:rPr>
        <w:t>（一）活期协议存款</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570"/>
        <w:gridCol w:w="3021"/>
        <w:gridCol w:w="2158"/>
        <w:gridCol w:w="1379"/>
        <w:gridCol w:w="1291"/>
      </w:tblGrid>
      <w:tr w14:paraId="052BB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62" w:type="dxa"/>
            <w:noWrap/>
            <w:vAlign w:val="center"/>
          </w:tcPr>
          <w:p w14:paraId="75D94285">
            <w:pPr>
              <w:widowControl/>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序号</w:t>
            </w:r>
          </w:p>
        </w:tc>
        <w:tc>
          <w:tcPr>
            <w:tcW w:w="2977" w:type="dxa"/>
            <w:vAlign w:val="center"/>
          </w:tcPr>
          <w:p w14:paraId="55887666">
            <w:pPr>
              <w:widowControl/>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募集资金投资项目</w:t>
            </w:r>
          </w:p>
        </w:tc>
        <w:tc>
          <w:tcPr>
            <w:tcW w:w="2126" w:type="dxa"/>
            <w:noWrap/>
            <w:vAlign w:val="center"/>
          </w:tcPr>
          <w:p w14:paraId="6502FD31">
            <w:pPr>
              <w:widowControl/>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开户银行</w:t>
            </w:r>
          </w:p>
        </w:tc>
        <w:tc>
          <w:tcPr>
            <w:tcW w:w="1359" w:type="dxa"/>
            <w:noWrap/>
            <w:vAlign w:val="center"/>
          </w:tcPr>
          <w:p w14:paraId="27441610">
            <w:pPr>
              <w:widowControl/>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募集资金专用账号</w:t>
            </w:r>
          </w:p>
        </w:tc>
        <w:tc>
          <w:tcPr>
            <w:tcW w:w="1272" w:type="dxa"/>
            <w:noWrap/>
            <w:vAlign w:val="center"/>
          </w:tcPr>
          <w:p w14:paraId="77D5F884">
            <w:pPr>
              <w:widowControl/>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截止2024年8</w:t>
            </w:r>
            <w:r>
              <w:rPr>
                <w:rFonts w:ascii="Times New Roman" w:hAnsi="Times New Roman" w:cs="Times New Roman"/>
                <w:b/>
                <w:bCs/>
                <w:kern w:val="0"/>
                <w:sz w:val="21"/>
                <w:szCs w:val="21"/>
                <w:lang w:bidi="ar"/>
              </w:rPr>
              <w:t>月</w:t>
            </w:r>
            <w:r>
              <w:rPr>
                <w:rFonts w:hint="default" w:ascii="Times New Roman" w:hAnsi="Times New Roman" w:cs="Times New Roman"/>
                <w:b/>
                <w:bCs/>
                <w:kern w:val="0"/>
                <w:sz w:val="21"/>
                <w:szCs w:val="21"/>
                <w:lang w:bidi="ar"/>
              </w:rPr>
              <w:t>1</w:t>
            </w:r>
            <w:r>
              <w:rPr>
                <w:rFonts w:ascii="Times New Roman" w:hAnsi="Times New Roman" w:cs="Times New Roman"/>
                <w:b/>
                <w:bCs/>
                <w:kern w:val="0"/>
                <w:sz w:val="21"/>
                <w:szCs w:val="21"/>
                <w:lang w:bidi="ar"/>
              </w:rPr>
              <w:t>日</w:t>
            </w:r>
            <w:r>
              <w:rPr>
                <w:rFonts w:hint="default" w:ascii="Times New Roman" w:hAnsi="Times New Roman" w:cs="Times New Roman"/>
                <w:b/>
                <w:bCs/>
                <w:kern w:val="0"/>
                <w:sz w:val="21"/>
                <w:szCs w:val="21"/>
                <w:lang w:bidi="ar"/>
              </w:rPr>
              <w:t>协议</w:t>
            </w:r>
            <w:r>
              <w:rPr>
                <w:rFonts w:ascii="Times New Roman" w:hAnsi="Times New Roman" w:cs="Times New Roman"/>
                <w:b/>
                <w:bCs/>
                <w:kern w:val="0"/>
                <w:sz w:val="21"/>
                <w:szCs w:val="21"/>
                <w:lang w:bidi="ar"/>
              </w:rPr>
              <w:t>存款余额</w:t>
            </w:r>
            <w:r>
              <w:rPr>
                <w:rFonts w:hint="default" w:ascii="Times New Roman" w:hAnsi="Times New Roman" w:cs="Times New Roman"/>
                <w:b/>
                <w:bCs/>
                <w:kern w:val="0"/>
                <w:sz w:val="21"/>
                <w:szCs w:val="21"/>
                <w:lang w:bidi="ar"/>
              </w:rPr>
              <w:t>（万元）</w:t>
            </w:r>
          </w:p>
        </w:tc>
      </w:tr>
      <w:tr w14:paraId="5367A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62" w:type="dxa"/>
            <w:noWrap/>
            <w:vAlign w:val="center"/>
          </w:tcPr>
          <w:p w14:paraId="1657CE74">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1</w:t>
            </w:r>
          </w:p>
        </w:tc>
        <w:tc>
          <w:tcPr>
            <w:tcW w:w="2977" w:type="dxa"/>
            <w:vAlign w:val="center"/>
          </w:tcPr>
          <w:p w14:paraId="7EC23747">
            <w:pPr>
              <w:widowControl/>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智能成套电气设备产业基地建设项目、智控设备及金属制品智能工厂建设项目（一期）</w:t>
            </w:r>
          </w:p>
        </w:tc>
        <w:tc>
          <w:tcPr>
            <w:tcW w:w="2126" w:type="dxa"/>
            <w:vAlign w:val="center"/>
          </w:tcPr>
          <w:p w14:paraId="3DEB7291">
            <w:pPr>
              <w:widowControl/>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哈尔滨银行股份有限公司重庆分行</w:t>
            </w:r>
          </w:p>
        </w:tc>
        <w:tc>
          <w:tcPr>
            <w:tcW w:w="1359" w:type="dxa"/>
            <w:noWrap/>
            <w:vAlign w:val="center"/>
          </w:tcPr>
          <w:p w14:paraId="55791DEF">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18010000001689409</w:t>
            </w:r>
          </w:p>
        </w:tc>
        <w:tc>
          <w:tcPr>
            <w:tcW w:w="1272" w:type="dxa"/>
            <w:noWrap/>
            <w:vAlign w:val="center"/>
          </w:tcPr>
          <w:p w14:paraId="3A5AB621">
            <w:pPr>
              <w:widowControl/>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10,096.35</w:t>
            </w:r>
          </w:p>
        </w:tc>
      </w:tr>
      <w:tr w14:paraId="069BE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62" w:type="dxa"/>
            <w:noWrap/>
            <w:vAlign w:val="center"/>
          </w:tcPr>
          <w:p w14:paraId="4C616A4B">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2</w:t>
            </w:r>
          </w:p>
        </w:tc>
        <w:tc>
          <w:tcPr>
            <w:tcW w:w="2977" w:type="dxa"/>
            <w:vAlign w:val="center"/>
          </w:tcPr>
          <w:p w14:paraId="0F5286C3">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110kV及以下节能型变压器智能化工厂技改项目</w:t>
            </w:r>
          </w:p>
        </w:tc>
        <w:tc>
          <w:tcPr>
            <w:tcW w:w="2126" w:type="dxa"/>
            <w:vAlign w:val="center"/>
          </w:tcPr>
          <w:p w14:paraId="6B819A84">
            <w:pPr>
              <w:widowControl/>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重庆三峡银行股份有限公司长寿支行</w:t>
            </w:r>
          </w:p>
        </w:tc>
        <w:tc>
          <w:tcPr>
            <w:tcW w:w="1359" w:type="dxa"/>
            <w:noWrap/>
            <w:vAlign w:val="center"/>
          </w:tcPr>
          <w:p w14:paraId="35FE1F9D">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0153016820000020</w:t>
            </w:r>
          </w:p>
        </w:tc>
        <w:tc>
          <w:tcPr>
            <w:tcW w:w="1272" w:type="dxa"/>
            <w:noWrap/>
            <w:vAlign w:val="center"/>
          </w:tcPr>
          <w:p w14:paraId="5BFDFBDA">
            <w:pPr>
              <w:widowControl/>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2,670.91</w:t>
            </w:r>
          </w:p>
        </w:tc>
      </w:tr>
      <w:tr w14:paraId="393E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62" w:type="dxa"/>
            <w:noWrap/>
            <w:vAlign w:val="center"/>
          </w:tcPr>
          <w:p w14:paraId="2F77B376">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3</w:t>
            </w:r>
          </w:p>
        </w:tc>
        <w:tc>
          <w:tcPr>
            <w:tcW w:w="2977" w:type="dxa"/>
            <w:vAlign w:val="center"/>
          </w:tcPr>
          <w:p w14:paraId="56E48E48">
            <w:pPr>
              <w:widowControl/>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研发中心及信息化建设项目</w:t>
            </w:r>
          </w:p>
        </w:tc>
        <w:tc>
          <w:tcPr>
            <w:tcW w:w="2126" w:type="dxa"/>
            <w:vAlign w:val="center"/>
          </w:tcPr>
          <w:p w14:paraId="21BE6791">
            <w:pPr>
              <w:widowControl/>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上海浦东发展银行股份有限公司重庆分行</w:t>
            </w:r>
          </w:p>
        </w:tc>
        <w:tc>
          <w:tcPr>
            <w:tcW w:w="1359" w:type="dxa"/>
            <w:noWrap/>
            <w:vAlign w:val="center"/>
          </w:tcPr>
          <w:p w14:paraId="422279AE">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83260078801700000608</w:t>
            </w:r>
          </w:p>
        </w:tc>
        <w:tc>
          <w:tcPr>
            <w:tcW w:w="1272" w:type="dxa"/>
            <w:noWrap/>
            <w:vAlign w:val="center"/>
          </w:tcPr>
          <w:p w14:paraId="59B6EDF1">
            <w:pPr>
              <w:widowControl/>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3,190.40</w:t>
            </w:r>
          </w:p>
        </w:tc>
      </w:tr>
      <w:tr w14:paraId="5C921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024" w:type="dxa"/>
            <w:gridSpan w:val="4"/>
            <w:noWrap/>
            <w:vAlign w:val="center"/>
          </w:tcPr>
          <w:p w14:paraId="43FFD74D">
            <w:pPr>
              <w:jc w:val="center"/>
              <w:rPr>
                <w:rFonts w:hint="eastAsia" w:ascii="Times New Roman" w:hAnsi="Times New Roman" w:cs="Times New Roman"/>
                <w:b/>
                <w:bCs/>
                <w:sz w:val="21"/>
                <w:szCs w:val="21"/>
              </w:rPr>
            </w:pPr>
            <w:r>
              <w:rPr>
                <w:rFonts w:hint="default" w:ascii="Times New Roman" w:hAnsi="Times New Roman" w:cs="Times New Roman"/>
                <w:b/>
                <w:bCs/>
                <w:sz w:val="21"/>
                <w:szCs w:val="21"/>
              </w:rPr>
              <w:t>小计</w:t>
            </w:r>
          </w:p>
        </w:tc>
        <w:tc>
          <w:tcPr>
            <w:tcW w:w="1272" w:type="dxa"/>
            <w:noWrap/>
            <w:vAlign w:val="center"/>
          </w:tcPr>
          <w:p w14:paraId="6C1C0A5E">
            <w:pPr>
              <w:widowControl/>
              <w:jc w:val="right"/>
              <w:textAlignment w:val="center"/>
              <w:rPr>
                <w:rFonts w:hint="default" w:ascii="Times New Roman" w:hAnsi="Times New Roman" w:cs="Times New Roman"/>
                <w:b/>
                <w:bCs/>
                <w:sz w:val="21"/>
                <w:szCs w:val="21"/>
              </w:rPr>
            </w:pPr>
            <w:r>
              <w:rPr>
                <w:rFonts w:ascii="Times New Roman" w:hAnsi="Times New Roman" w:cs="Times New Roman"/>
                <w:b/>
                <w:bCs/>
                <w:sz w:val="21"/>
                <w:szCs w:val="21"/>
              </w:rPr>
              <w:t>15,957.66</w:t>
            </w:r>
          </w:p>
        </w:tc>
      </w:tr>
    </w:tbl>
    <w:p w14:paraId="48D435D8">
      <w:pPr>
        <w:adjustRightInd w:val="0"/>
        <w:snapToGrid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注：该部分</w:t>
      </w:r>
      <w:r>
        <w:rPr>
          <w:rFonts w:hint="eastAsia" w:ascii="Times New Roman" w:hAnsi="Times New Roman" w:cs="Times New Roman"/>
          <w:sz w:val="21"/>
          <w:szCs w:val="21"/>
          <w:lang w:val="en-US" w:eastAsia="zh-CN"/>
        </w:rPr>
        <w:t>系</w:t>
      </w:r>
      <w:r>
        <w:rPr>
          <w:rFonts w:hint="default" w:ascii="Times New Roman" w:hAnsi="Times New Roman" w:cs="Times New Roman"/>
          <w:sz w:val="21"/>
          <w:szCs w:val="21"/>
        </w:rPr>
        <w:t>活期协议存款购买</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经公司于2024年4月24日召开的第四届董事会第五次会议和第四届监事会第四次会议审议通过，保荐机构和监事会发表了同意意见。具体内容详见公司披露的《关于使用暂时闲置募集资金进行现金管理的公告》（公告编号：2024-035）。</w:t>
      </w:r>
    </w:p>
    <w:p w14:paraId="64DFED72">
      <w:pPr>
        <w:adjustRightInd w:val="0"/>
        <w:snapToGrid w:val="0"/>
        <w:spacing w:before="156" w:beforeLines="50" w:line="360" w:lineRule="auto"/>
        <w:ind w:firstLine="480" w:firstLineChars="200"/>
        <w:rPr>
          <w:rFonts w:hint="default" w:ascii="Times New Roman" w:hAnsi="Times New Roman" w:cs="Times New Roman"/>
          <w:sz w:val="24"/>
          <w:szCs w:val="24"/>
          <w:highlight w:val="yellow"/>
        </w:rPr>
      </w:pPr>
      <w:r>
        <w:rPr>
          <w:rFonts w:hint="default" w:ascii="Times New Roman" w:hAnsi="Times New Roman" w:cs="Times New Roman"/>
          <w:sz w:val="24"/>
          <w:szCs w:val="24"/>
        </w:rPr>
        <w:t>因该部分现金管理系活期性质，随时取用</w:t>
      </w:r>
      <w:r>
        <w:rPr>
          <w:rFonts w:hint="eastAsia" w:ascii="Times New Roman" w:hAnsi="Times New Roman" w:cs="Times New Roman"/>
          <w:sz w:val="24"/>
          <w:szCs w:val="24"/>
        </w:rPr>
        <w:t>、</w:t>
      </w:r>
      <w:r>
        <w:rPr>
          <w:rFonts w:hint="default" w:ascii="Times New Roman" w:hAnsi="Times New Roman" w:cs="Times New Roman"/>
          <w:sz w:val="24"/>
          <w:szCs w:val="24"/>
        </w:rPr>
        <w:t>未另外开立资金账户</w:t>
      </w:r>
      <w:r>
        <w:rPr>
          <w:rFonts w:hint="eastAsia" w:ascii="Times New Roman" w:hAnsi="Times New Roman" w:cs="Times New Roman"/>
          <w:sz w:val="24"/>
          <w:szCs w:val="24"/>
        </w:rPr>
        <w:t>、</w:t>
      </w:r>
      <w:r>
        <w:rPr>
          <w:rFonts w:hint="default" w:ascii="Times New Roman" w:hAnsi="Times New Roman" w:cs="Times New Roman"/>
          <w:sz w:val="24"/>
          <w:szCs w:val="24"/>
        </w:rPr>
        <w:t>不存在资金划付或赎回情况，故公司未对其购买行为进行单独公告</w:t>
      </w:r>
      <w:r>
        <w:rPr>
          <w:rFonts w:hint="eastAsia" w:ascii="Times New Roman" w:hAnsi="Times New Roman" w:cs="Times New Roman"/>
          <w:sz w:val="24"/>
          <w:szCs w:val="24"/>
        </w:rPr>
        <w:t>。</w:t>
      </w:r>
      <w:r>
        <w:rPr>
          <w:rFonts w:hint="default" w:ascii="Times New Roman" w:hAnsi="Times New Roman" w:cs="Times New Roman"/>
          <w:sz w:val="24"/>
          <w:szCs w:val="24"/>
        </w:rPr>
        <w:t>公司</w:t>
      </w:r>
      <w:r>
        <w:rPr>
          <w:rFonts w:hint="eastAsia" w:ascii="Times New Roman" w:hAnsi="Times New Roman" w:cs="Times New Roman"/>
          <w:sz w:val="24"/>
          <w:szCs w:val="24"/>
          <w:lang w:val="en-US" w:eastAsia="zh-CN"/>
        </w:rPr>
        <w:t>在各期《</w:t>
      </w:r>
      <w:r>
        <w:rPr>
          <w:rFonts w:hint="default" w:ascii="Times New Roman" w:hAnsi="Times New Roman" w:cs="Times New Roman"/>
          <w:sz w:val="24"/>
          <w:szCs w:val="24"/>
        </w:rPr>
        <w:t>募集资金存放与使用情况的专项报告</w:t>
      </w:r>
      <w:r>
        <w:rPr>
          <w:rFonts w:hint="eastAsia" w:ascii="Times New Roman" w:hAnsi="Times New Roman" w:cs="Times New Roman"/>
          <w:sz w:val="24"/>
          <w:szCs w:val="24"/>
          <w:lang w:val="en-US" w:eastAsia="zh-CN"/>
        </w:rPr>
        <w:t>》中对其进行了</w:t>
      </w:r>
      <w:r>
        <w:rPr>
          <w:rFonts w:hint="default" w:ascii="Times New Roman" w:hAnsi="Times New Roman" w:cs="Times New Roman"/>
          <w:sz w:val="24"/>
          <w:szCs w:val="24"/>
        </w:rPr>
        <w:t>统一披露。</w:t>
      </w:r>
    </w:p>
    <w:p w14:paraId="17B815C1">
      <w:pPr>
        <w:adjustRightInd w:val="0"/>
        <w:snapToGrid w:val="0"/>
        <w:spacing w:line="360" w:lineRule="auto"/>
        <w:ind w:firstLine="480"/>
        <w:rPr>
          <w:rFonts w:hint="default" w:ascii="Times New Roman" w:hAnsi="Times New Roman" w:cs="Times New Roman"/>
          <w:b/>
          <w:sz w:val="24"/>
          <w:szCs w:val="24"/>
          <w:highlight w:val="yellow"/>
        </w:rPr>
      </w:pPr>
      <w:r>
        <w:rPr>
          <w:rFonts w:hint="default" w:ascii="Times New Roman" w:hAnsi="Times New Roman" w:cs="Times New Roman"/>
          <w:b/>
          <w:sz w:val="24"/>
          <w:szCs w:val="24"/>
        </w:rPr>
        <w:t>六、风险提示</w:t>
      </w:r>
    </w:p>
    <w:p w14:paraId="6D650A20">
      <w:pPr>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公司本次在上海浦东发展银行股份有限公司重庆分行购买的结构性存款属于保本浮动收益，属于谨慎型低风险投资产品。但金融市场受宏观经济的影响，不排除该投资受政策风险、市场风险、不可抗力及意外事件风险等因素影响，存在一定的投资风险。</w:t>
      </w:r>
    </w:p>
    <w:p w14:paraId="787E2EE9">
      <w:pPr>
        <w:adjustRightInd w:val="0"/>
        <w:snapToGrid w:val="0"/>
        <w:spacing w:line="360" w:lineRule="auto"/>
        <w:ind w:firstLine="480"/>
        <w:rPr>
          <w:rFonts w:hint="default" w:ascii="Times New Roman" w:hAnsi="Times New Roman" w:cs="Times New Roman"/>
          <w:b/>
          <w:sz w:val="24"/>
          <w:szCs w:val="24"/>
        </w:rPr>
      </w:pPr>
      <w:r>
        <w:rPr>
          <w:rFonts w:hint="default" w:ascii="Times New Roman" w:hAnsi="Times New Roman" w:cs="Times New Roman"/>
          <w:b/>
          <w:sz w:val="24"/>
          <w:szCs w:val="24"/>
        </w:rPr>
        <w:t>七、备查文件</w:t>
      </w:r>
    </w:p>
    <w:p w14:paraId="67ACA5BF">
      <w:pPr>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1、《对公结构性存款产品合同》</w:t>
      </w:r>
    </w:p>
    <w:p w14:paraId="175A351F">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2、《上海浦东发展银行对公结构性存款产品说明书及风险揭示书》。</w:t>
      </w:r>
    </w:p>
    <w:p w14:paraId="0F25A50B">
      <w:pPr>
        <w:adjustRightInd w:val="0"/>
        <w:snapToGrid w:val="0"/>
        <w:spacing w:line="360" w:lineRule="auto"/>
        <w:ind w:firstLine="480"/>
        <w:rPr>
          <w:rFonts w:hint="default" w:ascii="Times New Roman" w:hAnsi="Times New Roman" w:cs="Times New Roman"/>
          <w:sz w:val="24"/>
          <w:szCs w:val="24"/>
        </w:rPr>
      </w:pPr>
    </w:p>
    <w:p w14:paraId="6C37A70D">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特此公告。</w:t>
      </w:r>
    </w:p>
    <w:p w14:paraId="472F1FCB">
      <w:pPr>
        <w:adjustRightInd w:val="0"/>
        <w:snapToGrid w:val="0"/>
        <w:spacing w:line="560" w:lineRule="exact"/>
        <w:ind w:firstLine="480" w:firstLineChars="200"/>
        <w:rPr>
          <w:rFonts w:hint="default" w:ascii="Times New Roman" w:hAnsi="Times New Roman" w:eastAsia="宋体" w:cs="Times New Roman"/>
          <w:color w:val="000000"/>
          <w:sz w:val="24"/>
          <w:szCs w:val="24"/>
        </w:rPr>
      </w:pPr>
    </w:p>
    <w:p w14:paraId="506B3704">
      <w:pPr>
        <w:adjustRightInd w:val="0"/>
        <w:snapToGrid w:val="0"/>
        <w:spacing w:line="560" w:lineRule="exact"/>
        <w:ind w:firstLine="480" w:firstLineChars="20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重庆望变电气（集团）</w:t>
      </w:r>
      <w:r>
        <w:rPr>
          <w:rFonts w:hint="default" w:ascii="Times New Roman" w:hAnsi="Times New Roman" w:eastAsia="宋体" w:cs="Times New Roman"/>
          <w:color w:val="000000"/>
          <w:sz w:val="24"/>
          <w:szCs w:val="24"/>
        </w:rPr>
        <w:t>股份有限公司董事会</w:t>
      </w:r>
    </w:p>
    <w:p w14:paraId="201416F9">
      <w:pPr>
        <w:adjustRightInd w:val="0"/>
        <w:snapToGrid w:val="0"/>
        <w:spacing w:line="560" w:lineRule="exact"/>
        <w:ind w:firstLine="480" w:firstLineChars="200"/>
        <w:jc w:val="right"/>
        <w:rPr>
          <w:rFonts w:hint="default" w:ascii="Times New Roman" w:hAnsi="Times New Roman" w:eastAsia="宋体" w:cs="Times New Roman"/>
          <w:color w:val="000000"/>
          <w:sz w:val="24"/>
          <w:szCs w:val="24"/>
        </w:rPr>
      </w:pPr>
      <w:r>
        <w:rPr>
          <w:rFonts w:ascii="Times New Roman" w:hAnsi="Times New Roman" w:eastAsia="宋体" w:cs="Times New Roman"/>
          <w:color w:val="000000"/>
          <w:sz w:val="24"/>
          <w:szCs w:val="24"/>
        </w:rPr>
        <w:t>202</w:t>
      </w:r>
      <w:r>
        <w:rPr>
          <w:rFonts w:hint="default" w:ascii="Times New Roman" w:hAnsi="Times New Roman" w:eastAsia="宋体" w:cs="Times New Roman"/>
          <w:color w:val="000000"/>
          <w:sz w:val="24"/>
          <w:szCs w:val="24"/>
        </w:rPr>
        <w:t>4年8月3日</w:t>
      </w:r>
    </w:p>
    <w:p w14:paraId="44B49A38">
      <w:pPr>
        <w:adjustRightInd w:val="0"/>
        <w:snapToGrid w:val="0"/>
        <w:spacing w:line="560" w:lineRule="exact"/>
        <w:ind w:firstLine="480" w:firstLineChars="200"/>
        <w:rPr>
          <w:rFonts w:hint="default" w:ascii="Times New Roman" w:hAnsi="Times New Roman" w:eastAsia="宋体" w:cs="Times New Roman"/>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6FAE65D5">
        <w:pPr>
          <w:pStyle w:val="4"/>
          <w:jc w:val="center"/>
        </w:pPr>
        <w:r>
          <w:fldChar w:fldCharType="begin"/>
        </w:r>
        <w:r>
          <w:instrText xml:space="preserve">PAGE   \* MERGEFORMAT</w:instrText>
        </w:r>
        <w:r>
          <w:fldChar w:fldCharType="separate"/>
        </w:r>
        <w:r>
          <w:rPr>
            <w:lang w:val="zh-CN"/>
          </w:rPr>
          <w:t>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9631B"/>
    <w:multiLevelType w:val="multilevel"/>
    <w:tmpl w:val="3DE9631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72002816"/>
    <w:multiLevelType w:val="multilevel"/>
    <w:tmpl w:val="72002816"/>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E0C57EA"/>
    <w:multiLevelType w:val="multilevel"/>
    <w:tmpl w:val="7E0C57EA"/>
    <w:lvl w:ilvl="0" w:tentative="0">
      <w:start w:val="1"/>
      <w:numFmt w:val="japaneseCounting"/>
      <w:lvlText w:val="（%1）"/>
      <w:lvlJc w:val="left"/>
      <w:pPr>
        <w:ind w:left="1238" w:hanging="756"/>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015A1"/>
    <w:rsid w:val="00007E28"/>
    <w:rsid w:val="0008555B"/>
    <w:rsid w:val="000857C7"/>
    <w:rsid w:val="0009608F"/>
    <w:rsid w:val="000A1C86"/>
    <w:rsid w:val="000A7515"/>
    <w:rsid w:val="000A7B4D"/>
    <w:rsid w:val="000B1A1F"/>
    <w:rsid w:val="000C22DE"/>
    <w:rsid w:val="000E49B8"/>
    <w:rsid w:val="00123266"/>
    <w:rsid w:val="00127276"/>
    <w:rsid w:val="00140439"/>
    <w:rsid w:val="00140B9E"/>
    <w:rsid w:val="0014777F"/>
    <w:rsid w:val="001723E5"/>
    <w:rsid w:val="00192BD0"/>
    <w:rsid w:val="0019396F"/>
    <w:rsid w:val="001A727A"/>
    <w:rsid w:val="001A7942"/>
    <w:rsid w:val="001C0BDC"/>
    <w:rsid w:val="001D06CF"/>
    <w:rsid w:val="00207B64"/>
    <w:rsid w:val="002251BE"/>
    <w:rsid w:val="00225FE6"/>
    <w:rsid w:val="00227720"/>
    <w:rsid w:val="00237B9F"/>
    <w:rsid w:val="002424CF"/>
    <w:rsid w:val="00252550"/>
    <w:rsid w:val="00265DF3"/>
    <w:rsid w:val="002D6C0D"/>
    <w:rsid w:val="002E7DAE"/>
    <w:rsid w:val="002F0C9B"/>
    <w:rsid w:val="0032463B"/>
    <w:rsid w:val="003571E3"/>
    <w:rsid w:val="0036040D"/>
    <w:rsid w:val="00391A1B"/>
    <w:rsid w:val="003B6291"/>
    <w:rsid w:val="003E1591"/>
    <w:rsid w:val="003E38F1"/>
    <w:rsid w:val="003F1451"/>
    <w:rsid w:val="003F4CA5"/>
    <w:rsid w:val="00404221"/>
    <w:rsid w:val="00425BF0"/>
    <w:rsid w:val="00433901"/>
    <w:rsid w:val="00442777"/>
    <w:rsid w:val="00464AFC"/>
    <w:rsid w:val="004675A1"/>
    <w:rsid w:val="00491096"/>
    <w:rsid w:val="004A204F"/>
    <w:rsid w:val="004A3B08"/>
    <w:rsid w:val="004A72F5"/>
    <w:rsid w:val="004A790E"/>
    <w:rsid w:val="004B11CD"/>
    <w:rsid w:val="004B5841"/>
    <w:rsid w:val="004D041E"/>
    <w:rsid w:val="004D0E8E"/>
    <w:rsid w:val="004D4195"/>
    <w:rsid w:val="005079B8"/>
    <w:rsid w:val="00513C7A"/>
    <w:rsid w:val="00522BE2"/>
    <w:rsid w:val="005429C2"/>
    <w:rsid w:val="0055216A"/>
    <w:rsid w:val="00571712"/>
    <w:rsid w:val="005A0F7F"/>
    <w:rsid w:val="005A2954"/>
    <w:rsid w:val="005B7B64"/>
    <w:rsid w:val="006150E2"/>
    <w:rsid w:val="00637BC1"/>
    <w:rsid w:val="00646D1E"/>
    <w:rsid w:val="006678F9"/>
    <w:rsid w:val="006704CD"/>
    <w:rsid w:val="0068179D"/>
    <w:rsid w:val="00685C65"/>
    <w:rsid w:val="006E4DD1"/>
    <w:rsid w:val="006F53AF"/>
    <w:rsid w:val="00701AEA"/>
    <w:rsid w:val="00712936"/>
    <w:rsid w:val="00726F44"/>
    <w:rsid w:val="007305B1"/>
    <w:rsid w:val="00752357"/>
    <w:rsid w:val="00755C3D"/>
    <w:rsid w:val="0077799F"/>
    <w:rsid w:val="00795CF5"/>
    <w:rsid w:val="007A3A1D"/>
    <w:rsid w:val="007A61FA"/>
    <w:rsid w:val="007B073D"/>
    <w:rsid w:val="007B1916"/>
    <w:rsid w:val="007C3FFA"/>
    <w:rsid w:val="007C6F14"/>
    <w:rsid w:val="007F6915"/>
    <w:rsid w:val="008320FC"/>
    <w:rsid w:val="008401FB"/>
    <w:rsid w:val="0084121D"/>
    <w:rsid w:val="00855CBA"/>
    <w:rsid w:val="00872A59"/>
    <w:rsid w:val="00886CCD"/>
    <w:rsid w:val="008C53E7"/>
    <w:rsid w:val="008E100D"/>
    <w:rsid w:val="008E2655"/>
    <w:rsid w:val="008E4A66"/>
    <w:rsid w:val="009014AA"/>
    <w:rsid w:val="0090186C"/>
    <w:rsid w:val="00905CD3"/>
    <w:rsid w:val="00915D39"/>
    <w:rsid w:val="00923C08"/>
    <w:rsid w:val="00947C32"/>
    <w:rsid w:val="009700CD"/>
    <w:rsid w:val="009773E8"/>
    <w:rsid w:val="00984373"/>
    <w:rsid w:val="0098723C"/>
    <w:rsid w:val="009923C5"/>
    <w:rsid w:val="009A0B19"/>
    <w:rsid w:val="009B47DE"/>
    <w:rsid w:val="009C2B72"/>
    <w:rsid w:val="009D1A30"/>
    <w:rsid w:val="009D427C"/>
    <w:rsid w:val="009E3152"/>
    <w:rsid w:val="009E3407"/>
    <w:rsid w:val="00A04ACE"/>
    <w:rsid w:val="00A059A1"/>
    <w:rsid w:val="00A078A9"/>
    <w:rsid w:val="00A106CC"/>
    <w:rsid w:val="00A15569"/>
    <w:rsid w:val="00A3206C"/>
    <w:rsid w:val="00A370B2"/>
    <w:rsid w:val="00A41121"/>
    <w:rsid w:val="00A51C23"/>
    <w:rsid w:val="00A76B87"/>
    <w:rsid w:val="00A823F8"/>
    <w:rsid w:val="00A917FF"/>
    <w:rsid w:val="00AB2B96"/>
    <w:rsid w:val="00AC3419"/>
    <w:rsid w:val="00AD581F"/>
    <w:rsid w:val="00AF6E63"/>
    <w:rsid w:val="00B055A6"/>
    <w:rsid w:val="00B11E7E"/>
    <w:rsid w:val="00B35BB5"/>
    <w:rsid w:val="00B6730B"/>
    <w:rsid w:val="00B9137C"/>
    <w:rsid w:val="00B950AB"/>
    <w:rsid w:val="00BB61B6"/>
    <w:rsid w:val="00BC233A"/>
    <w:rsid w:val="00BC3776"/>
    <w:rsid w:val="00BD4D0F"/>
    <w:rsid w:val="00BE011D"/>
    <w:rsid w:val="00BE4CBC"/>
    <w:rsid w:val="00BE4EFA"/>
    <w:rsid w:val="00BE5ABC"/>
    <w:rsid w:val="00BF7BDB"/>
    <w:rsid w:val="00C13691"/>
    <w:rsid w:val="00C33F7B"/>
    <w:rsid w:val="00C47186"/>
    <w:rsid w:val="00C67FD6"/>
    <w:rsid w:val="00C76A66"/>
    <w:rsid w:val="00C970AE"/>
    <w:rsid w:val="00CA1688"/>
    <w:rsid w:val="00CB58B2"/>
    <w:rsid w:val="00CB781A"/>
    <w:rsid w:val="00CD5091"/>
    <w:rsid w:val="00D17468"/>
    <w:rsid w:val="00D20821"/>
    <w:rsid w:val="00D4059C"/>
    <w:rsid w:val="00D45861"/>
    <w:rsid w:val="00D46F41"/>
    <w:rsid w:val="00D613FF"/>
    <w:rsid w:val="00D65BA4"/>
    <w:rsid w:val="00D67CA6"/>
    <w:rsid w:val="00D8189C"/>
    <w:rsid w:val="00DA6213"/>
    <w:rsid w:val="00DB744D"/>
    <w:rsid w:val="00DC0C91"/>
    <w:rsid w:val="00DC31F3"/>
    <w:rsid w:val="00DD62E6"/>
    <w:rsid w:val="00DF3192"/>
    <w:rsid w:val="00DF6AC3"/>
    <w:rsid w:val="00DF73E8"/>
    <w:rsid w:val="00E12632"/>
    <w:rsid w:val="00E1367C"/>
    <w:rsid w:val="00E301F1"/>
    <w:rsid w:val="00E45C41"/>
    <w:rsid w:val="00E53D43"/>
    <w:rsid w:val="00E558AE"/>
    <w:rsid w:val="00E60A72"/>
    <w:rsid w:val="00E77815"/>
    <w:rsid w:val="00E95F43"/>
    <w:rsid w:val="00EA59EE"/>
    <w:rsid w:val="00EB1D3E"/>
    <w:rsid w:val="00EB4C2B"/>
    <w:rsid w:val="00EC0CCF"/>
    <w:rsid w:val="00EC496E"/>
    <w:rsid w:val="00ED05AF"/>
    <w:rsid w:val="00EE084C"/>
    <w:rsid w:val="00F0268C"/>
    <w:rsid w:val="00F0742F"/>
    <w:rsid w:val="00F229F1"/>
    <w:rsid w:val="00F450F3"/>
    <w:rsid w:val="00F61A7B"/>
    <w:rsid w:val="00F670DD"/>
    <w:rsid w:val="00FC1833"/>
    <w:rsid w:val="00FD66ED"/>
    <w:rsid w:val="00FE6306"/>
    <w:rsid w:val="00FF3EA0"/>
    <w:rsid w:val="00FF7741"/>
    <w:rsid w:val="08E22254"/>
    <w:rsid w:val="098D7D5C"/>
    <w:rsid w:val="0D2016D6"/>
    <w:rsid w:val="100A1203"/>
    <w:rsid w:val="10583F02"/>
    <w:rsid w:val="17640487"/>
    <w:rsid w:val="19405189"/>
    <w:rsid w:val="1B8D41D9"/>
    <w:rsid w:val="1F044F32"/>
    <w:rsid w:val="20B00A53"/>
    <w:rsid w:val="2398593D"/>
    <w:rsid w:val="25E42F4C"/>
    <w:rsid w:val="26501867"/>
    <w:rsid w:val="30D84FA4"/>
    <w:rsid w:val="32B0063D"/>
    <w:rsid w:val="379B1039"/>
    <w:rsid w:val="3ED22960"/>
    <w:rsid w:val="410C1F6F"/>
    <w:rsid w:val="44C85FCB"/>
    <w:rsid w:val="44E2699F"/>
    <w:rsid w:val="4512047F"/>
    <w:rsid w:val="4F773B1F"/>
    <w:rsid w:val="5150387B"/>
    <w:rsid w:val="521827E2"/>
    <w:rsid w:val="539E1492"/>
    <w:rsid w:val="54AE55F2"/>
    <w:rsid w:val="54CA7B2B"/>
    <w:rsid w:val="569025B7"/>
    <w:rsid w:val="635C21C8"/>
    <w:rsid w:val="68B34579"/>
    <w:rsid w:val="6A6C62AD"/>
    <w:rsid w:val="6D711AC2"/>
    <w:rsid w:val="7153734A"/>
    <w:rsid w:val="72592739"/>
    <w:rsid w:val="72640AD5"/>
    <w:rsid w:val="72F755BC"/>
    <w:rsid w:val="75016695"/>
    <w:rsid w:val="77D11EA6"/>
    <w:rsid w:val="7BB03862"/>
    <w:rsid w:val="7EAC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8"/>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页眉 字符"/>
    <w:basedOn w:val="10"/>
    <w:link w:val="5"/>
    <w:qFormat/>
    <w:uiPriority w:val="0"/>
    <w:rPr>
      <w:kern w:val="2"/>
      <w:sz w:val="18"/>
      <w:szCs w:val="18"/>
    </w:rPr>
  </w:style>
  <w:style w:type="character" w:customStyle="1" w:styleId="14">
    <w:name w:val="页脚 字符"/>
    <w:basedOn w:val="10"/>
    <w:link w:val="4"/>
    <w:qFormat/>
    <w:uiPriority w:val="99"/>
    <w:rPr>
      <w:kern w:val="2"/>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批注框文本 字符"/>
    <w:basedOn w:val="10"/>
    <w:link w:val="3"/>
    <w:qFormat/>
    <w:uiPriority w:val="0"/>
    <w:rPr>
      <w:kern w:val="2"/>
      <w:sz w:val="18"/>
      <w:szCs w:val="18"/>
    </w:rPr>
  </w:style>
  <w:style w:type="character" w:customStyle="1" w:styleId="17">
    <w:name w:val="批注文字 字符"/>
    <w:basedOn w:val="10"/>
    <w:link w:val="2"/>
    <w:qFormat/>
    <w:uiPriority w:val="0"/>
    <w:rPr>
      <w:kern w:val="2"/>
      <w:sz w:val="21"/>
      <w:szCs w:val="22"/>
    </w:rPr>
  </w:style>
  <w:style w:type="character" w:customStyle="1" w:styleId="18">
    <w:name w:val="批注主题 字符"/>
    <w:basedOn w:val="17"/>
    <w:link w:val="7"/>
    <w:qFormat/>
    <w:uiPriority w:val="0"/>
    <w:rPr>
      <w:b/>
      <w:bCs/>
      <w:kern w:val="2"/>
      <w:sz w:val="21"/>
      <w:szCs w:val="22"/>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2557</Words>
  <Characters>2893</Characters>
  <Lines>22</Lines>
  <Paragraphs>6</Paragraphs>
  <TotalTime>34</TotalTime>
  <ScaleCrop>false</ScaleCrop>
  <LinksUpToDate>false</LinksUpToDate>
  <CharactersWithSpaces>2909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2024-08-02T02:27:00Z</dcterms:created>
  <dc:creator>BJB-ZB-03</dc:creator>
  <cp:lastModifiedBy>雯亦</cp:lastModifiedBy>
  <dcterms:modified xsi:type="dcterms:W3CDTF">2024-08-02T10:30:28Z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8628C19AFEBB48629841E6470A0C2612_13</vt:lpwstr>
  </property>
</Properties>
</file>