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rPr>
        <w:t>46</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r>
        <w:rPr>
          <w:rFonts w:hint="eastAsia" w:ascii="宋体" w:hAnsi="宋体" w:eastAsia="宋体" w:cs="仿宋_GB2312"/>
          <w:b/>
          <w:bCs/>
          <w:color w:val="FF0000"/>
          <w:sz w:val="36"/>
          <w:szCs w:val="36"/>
        </w:rPr>
        <w:t>关于使用暂时闲置募集资金进行现金管理进展公告</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pPr>
        <w:autoSpaceDE w:val="0"/>
        <w:autoSpaceDN w:val="0"/>
        <w:adjustRightInd w:val="0"/>
        <w:snapToGrid w:val="0"/>
        <w:spacing w:line="560" w:lineRule="exact"/>
        <w:rPr>
          <w:rFonts w:ascii="宋体" w:hAnsi="宋体" w:eastAsia="宋体"/>
          <w:color w:val="000000"/>
          <w:sz w:val="24"/>
          <w:szCs w:val="24"/>
        </w:rPr>
      </w:pPr>
    </w:p>
    <w:p>
      <w:pPr>
        <w:autoSpaceDE w:val="0"/>
        <w:autoSpaceDN w:val="0"/>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重要内容提示</w:t>
      </w:r>
    </w:p>
    <w:p>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投资类型：定期存款</w:t>
      </w:r>
    </w:p>
    <w:p>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产品名称：“新满溢存”</w:t>
      </w:r>
    </w:p>
    <w:p>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投资金额：</w:t>
      </w:r>
      <w:r>
        <w:rPr>
          <w:rFonts w:hint="eastAsia" w:ascii="宋体" w:hAnsi="宋体"/>
          <w:color w:val="000000"/>
          <w:sz w:val="24"/>
          <w:szCs w:val="24"/>
          <w:lang w:val="en-US" w:eastAsia="zh-CN"/>
        </w:rPr>
        <w:t>不超过</w:t>
      </w:r>
      <w:r>
        <w:rPr>
          <w:rFonts w:hint="eastAsia" w:ascii="宋体" w:hAnsi="宋体"/>
          <w:color w:val="000000"/>
          <w:sz w:val="24"/>
          <w:szCs w:val="24"/>
        </w:rPr>
        <w:t>10</w:t>
      </w:r>
      <w:r>
        <w:rPr>
          <w:rFonts w:hint="eastAsia" w:ascii="宋体" w:hAnsi="宋体"/>
          <w:color w:val="000000"/>
          <w:sz w:val="24"/>
          <w:szCs w:val="24"/>
          <w:lang w:val="en-US" w:eastAsia="zh-CN"/>
        </w:rPr>
        <w:t>,</w:t>
      </w:r>
      <w:r>
        <w:rPr>
          <w:rFonts w:hint="eastAsia" w:ascii="宋体" w:hAnsi="宋体"/>
          <w:color w:val="000000"/>
          <w:sz w:val="24"/>
          <w:szCs w:val="24"/>
        </w:rPr>
        <w:t>095</w:t>
      </w:r>
      <w:r>
        <w:rPr>
          <w:rFonts w:hint="eastAsia" w:ascii="宋体" w:hAnsi="宋体"/>
          <w:color w:val="000000"/>
          <w:sz w:val="24"/>
          <w:szCs w:val="24"/>
          <w:lang w:val="en-US" w:eastAsia="zh-CN"/>
        </w:rPr>
        <w:t>.</w:t>
      </w:r>
      <w:r>
        <w:rPr>
          <w:rFonts w:hint="eastAsia" w:ascii="宋体" w:hAnsi="宋体"/>
          <w:color w:val="000000"/>
          <w:sz w:val="24"/>
          <w:szCs w:val="24"/>
        </w:rPr>
        <w:t>90</w:t>
      </w:r>
      <w:r>
        <w:rPr>
          <w:rFonts w:hint="eastAsia" w:ascii="宋体" w:hAnsi="宋体"/>
          <w:color w:val="000000"/>
          <w:sz w:val="24"/>
          <w:szCs w:val="24"/>
        </w:rPr>
        <w:t>万元，其中活期存款账户留存1万元，每日日终活期账户余额超过留存金额的差额部分转入“新满溢存”定期存款账户中。</w:t>
      </w:r>
    </w:p>
    <w:p>
      <w:pPr>
        <w:pStyle w:val="15"/>
        <w:numPr>
          <w:ilvl w:val="0"/>
          <w:numId w:val="1"/>
        </w:numPr>
        <w:autoSpaceDE w:val="0"/>
        <w:autoSpaceDN w:val="0"/>
        <w:adjustRightInd w:val="0"/>
        <w:snapToGrid w:val="0"/>
        <w:spacing w:line="560" w:lineRule="exact"/>
        <w:ind w:left="0" w:firstLine="480"/>
        <w:jc w:val="left"/>
        <w:rPr>
          <w:rFonts w:ascii="宋体" w:hAnsi="宋体"/>
          <w:color w:val="000000"/>
          <w:sz w:val="24"/>
          <w:szCs w:val="24"/>
        </w:rPr>
      </w:pPr>
      <w:r>
        <w:rPr>
          <w:rFonts w:hint="eastAsia" w:ascii="宋体" w:hAnsi="宋体"/>
          <w:color w:val="000000"/>
          <w:sz w:val="24"/>
          <w:szCs w:val="24"/>
        </w:rPr>
        <w:t>履行的审议程序：重庆望变电气（集团）股份有限公司（以下简称“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pPr>
        <w:pStyle w:val="15"/>
        <w:numPr>
          <w:ilvl w:val="0"/>
          <w:numId w:val="1"/>
        </w:numPr>
        <w:autoSpaceDE w:val="0"/>
        <w:autoSpaceDN w:val="0"/>
        <w:adjustRightInd w:val="0"/>
        <w:snapToGrid w:val="0"/>
        <w:spacing w:line="560" w:lineRule="exact"/>
        <w:ind w:left="0" w:firstLine="480"/>
        <w:jc w:val="left"/>
        <w:rPr>
          <w:rFonts w:ascii="宋体" w:hAnsi="宋体"/>
          <w:b/>
          <w:color w:val="000000"/>
          <w:sz w:val="24"/>
          <w:szCs w:val="24"/>
        </w:rPr>
      </w:pPr>
      <w:r>
        <w:rPr>
          <w:rFonts w:hint="eastAsia" w:ascii="宋体" w:hAnsi="宋体"/>
          <w:color w:val="000000"/>
          <w:sz w:val="24"/>
          <w:szCs w:val="24"/>
        </w:rPr>
        <w:t>特别风险提示：公司本次购买的投资产品类型为</w:t>
      </w:r>
      <w:r>
        <w:rPr>
          <w:rFonts w:hint="eastAsia" w:ascii="宋体" w:hAnsi="宋体"/>
          <w:color w:val="000000"/>
          <w:sz w:val="24"/>
          <w:szCs w:val="24"/>
          <w:lang w:val="en-US" w:eastAsia="zh-CN"/>
        </w:rPr>
        <w:t>定期</w:t>
      </w:r>
      <w:r>
        <w:rPr>
          <w:rFonts w:hint="eastAsia" w:ascii="宋体" w:hAnsi="宋体"/>
          <w:color w:val="000000"/>
          <w:sz w:val="24"/>
          <w:szCs w:val="24"/>
        </w:rPr>
        <w:t>存款，属于谨慎型低风险投资产品。但金融市场受宏观经济的影响，不排除该投资受政策风险、市场风险、不可抗力及意外事件风险等因素影响，存在一定的投资风险。</w:t>
      </w:r>
    </w:p>
    <w:p>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本次现金管理概况</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本次现金管理的目的</w:t>
      </w:r>
    </w:p>
    <w:p>
      <w:pPr>
        <w:autoSpaceDE w:val="0"/>
        <w:autoSpaceDN w:val="0"/>
        <w:adjustRightInd w:val="0"/>
        <w:snapToGrid w:val="0"/>
        <w:spacing w:line="560" w:lineRule="exact"/>
        <w:ind w:firstLine="480" w:firstLineChars="200"/>
        <w:jc w:val="left"/>
        <w:rPr>
          <w:rFonts w:ascii="宋体" w:hAnsi="宋体"/>
          <w:b/>
          <w:color w:val="000000"/>
          <w:sz w:val="24"/>
          <w:szCs w:val="24"/>
        </w:rPr>
      </w:pPr>
      <w:r>
        <w:rPr>
          <w:rFonts w:hint="eastAsia" w:ascii="宋体" w:hAnsi="宋体"/>
          <w:color w:val="000000"/>
          <w:sz w:val="24"/>
          <w:szCs w:val="24"/>
        </w:rPr>
        <w:t>为提高本公司募集资金使用效率，在不影响募集资金项目建设和本公司正常经营的情况下，本公司将合理利用部分闲置募集资金进行现金管理，增加资金收益，为本公司及股东获取投资回报。</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本次现金管理的金额</w:t>
      </w:r>
    </w:p>
    <w:p>
      <w:pPr>
        <w:autoSpaceDE w:val="0"/>
        <w:autoSpaceDN w:val="0"/>
        <w:adjustRightInd w:val="0"/>
        <w:snapToGrid w:val="0"/>
        <w:spacing w:line="560" w:lineRule="exact"/>
        <w:ind w:firstLine="480" w:firstLineChars="200"/>
        <w:jc w:val="left"/>
        <w:rPr>
          <w:rFonts w:ascii="宋体" w:hAnsi="宋体" w:eastAsia="宋体"/>
          <w:color w:val="000000"/>
          <w:sz w:val="24"/>
          <w:szCs w:val="24"/>
        </w:rPr>
      </w:pPr>
      <w:r>
        <w:rPr>
          <w:rFonts w:ascii="宋体" w:hAnsi="宋体" w:eastAsia="宋体"/>
          <w:sz w:val="24"/>
          <w:szCs w:val="24"/>
        </w:rPr>
        <w:t>公司本次</w:t>
      </w:r>
      <w:r>
        <w:rPr>
          <w:rFonts w:hint="eastAsia" w:ascii="宋体" w:hAnsi="宋体" w:eastAsia="宋体"/>
          <w:sz w:val="24"/>
          <w:szCs w:val="24"/>
        </w:rPr>
        <w:t>进行现金管理的金额为不超过10,095.90万元，其中</w:t>
      </w:r>
      <w:r>
        <w:rPr>
          <w:rFonts w:ascii="宋体" w:hAnsi="宋体" w:eastAsia="宋体"/>
          <w:sz w:val="24"/>
          <w:szCs w:val="24"/>
        </w:rPr>
        <w:t>现金</w:t>
      </w:r>
      <w:r>
        <w:rPr>
          <w:rFonts w:hint="eastAsia" w:ascii="宋体" w:hAnsi="宋体" w:eastAsia="宋体"/>
          <w:sz w:val="24"/>
          <w:szCs w:val="24"/>
        </w:rPr>
        <w:t>账户活期存款账户留存1万元，每日日终活期账户余额超过留存金额的差额部分转入“新满溢存”定期存款账户中。如需支取，可直接从签约活期账户支取，如活期账户余额不足，差额部分从新满溢存定期账户进行支取。</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本次资金来源</w:t>
      </w:r>
    </w:p>
    <w:p>
      <w:pPr>
        <w:autoSpaceDE w:val="0"/>
        <w:autoSpaceDN w:val="0"/>
        <w:adjustRightInd w:val="0"/>
        <w:snapToGrid w:val="0"/>
        <w:spacing w:line="560" w:lineRule="exact"/>
        <w:ind w:left="482"/>
        <w:jc w:val="left"/>
        <w:rPr>
          <w:rFonts w:ascii="宋体" w:hAnsi="宋体"/>
          <w:color w:val="000000"/>
          <w:sz w:val="24"/>
          <w:szCs w:val="24"/>
        </w:rPr>
      </w:pPr>
      <w:r>
        <w:rPr>
          <w:rFonts w:hint="eastAsia" w:ascii="宋体" w:hAnsi="宋体"/>
          <w:color w:val="000000"/>
          <w:sz w:val="24"/>
          <w:szCs w:val="24"/>
        </w:rPr>
        <w:t>1、资金来源的一般情况</w:t>
      </w:r>
    </w:p>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本次现金管理的资金来源系公司首次公开发行股票的暂时闲置募集资金。</w:t>
      </w:r>
    </w:p>
    <w:p>
      <w:pPr>
        <w:autoSpaceDE w:val="0"/>
        <w:autoSpaceDN w:val="0"/>
        <w:adjustRightInd w:val="0"/>
        <w:snapToGrid w:val="0"/>
        <w:spacing w:line="560" w:lineRule="exact"/>
        <w:ind w:left="482"/>
        <w:jc w:val="left"/>
        <w:rPr>
          <w:rFonts w:ascii="宋体" w:hAnsi="宋体"/>
          <w:color w:val="000000"/>
          <w:sz w:val="24"/>
          <w:szCs w:val="24"/>
        </w:rPr>
      </w:pPr>
      <w:r>
        <w:rPr>
          <w:rFonts w:hint="eastAsia" w:ascii="宋体" w:hAnsi="宋体"/>
          <w:color w:val="000000"/>
          <w:sz w:val="24"/>
          <w:szCs w:val="24"/>
        </w:rPr>
        <w:t>2、募集资金基本情况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上述募集资金已经全部存放于公司募集资金专户，公司已与保荐机构和存放募集资金的各商业银行签订《募集资金专户存储三方监管协议》。</w:t>
      </w:r>
    </w:p>
    <w:p>
      <w:pPr>
        <w:autoSpaceDE w:val="0"/>
        <w:autoSpaceDN w:val="0"/>
        <w:adjustRightInd w:val="0"/>
        <w:snapToGrid w:val="0"/>
        <w:spacing w:line="560" w:lineRule="exact"/>
        <w:ind w:firstLine="480"/>
        <w:jc w:val="left"/>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、募集资金使用和管理情况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为规范募集资金的管理和使用，公司根据《上海证券交易所股票上市规则》《上海证券交易所上市公司自律监管指引第1号——规范运作》《上市公司监管指引第2号——上市公司募集资金管理和使用的监管要求》等法律、法规的规定，结合本公司的实际情况，制定了《募集资金管理制度》。公司将严格按照规定使用募集资金。</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本次现金管理的投资情况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公司于2024年7月2日与哈尔滨银行股份有限公司重庆分行签署了“新满溢存”存款产品相关文件，该产品签约期限为3年，自2024年7月2日起至2027年7月2日止，具体情况如下：</w:t>
      </w:r>
    </w:p>
    <w:tbl>
      <w:tblPr>
        <w:tblStyle w:val="9"/>
        <w:tblpPr w:leftFromText="180" w:rightFromText="180" w:vertAnchor="text" w:horzAnchor="margin" w:tblpX="1" w:tblpY="238"/>
        <w:tblW w:w="8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939"/>
        <w:gridCol w:w="1276"/>
        <w:gridCol w:w="1276"/>
        <w:gridCol w:w="992"/>
        <w:gridCol w:w="126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041"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受托机构</w:t>
            </w:r>
          </w:p>
        </w:tc>
        <w:tc>
          <w:tcPr>
            <w:tcW w:w="939"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产品类型</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产品名称</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预计年化收益率</w:t>
            </w:r>
          </w:p>
        </w:tc>
        <w:tc>
          <w:tcPr>
            <w:tcW w:w="992"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产品期限（</w:t>
            </w:r>
            <w:r>
              <w:rPr>
                <w:rFonts w:hint="eastAsia"/>
                <w:b/>
                <w:sz w:val="18"/>
                <w:szCs w:val="18"/>
              </w:rPr>
              <w:t>年</w:t>
            </w:r>
            <w:r>
              <w:rPr>
                <w:b/>
                <w:sz w:val="18"/>
                <w:szCs w:val="18"/>
              </w:rPr>
              <w:t>）</w:t>
            </w:r>
          </w:p>
        </w:tc>
        <w:tc>
          <w:tcPr>
            <w:tcW w:w="1263" w:type="dxa"/>
            <w:vAlign w:val="center"/>
          </w:tcPr>
          <w:p>
            <w:pPr>
              <w:pStyle w:val="15"/>
              <w:autoSpaceDE w:val="0"/>
              <w:autoSpaceDN w:val="0"/>
              <w:adjustRightInd w:val="0"/>
              <w:snapToGrid w:val="0"/>
              <w:spacing w:line="560" w:lineRule="exact"/>
              <w:ind w:firstLine="0" w:firstLineChars="0"/>
              <w:jc w:val="left"/>
              <w:rPr>
                <w:b/>
                <w:sz w:val="18"/>
                <w:szCs w:val="18"/>
              </w:rPr>
            </w:pPr>
            <w:r>
              <w:rPr>
                <w:b/>
                <w:sz w:val="18"/>
                <w:szCs w:val="18"/>
              </w:rPr>
              <w:t>收益类型</w:t>
            </w:r>
          </w:p>
        </w:tc>
        <w:tc>
          <w:tcPr>
            <w:tcW w:w="1415"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是否构成关联关系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41"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哈尔滨银行股份有限公司重庆分行</w:t>
            </w:r>
          </w:p>
        </w:tc>
        <w:tc>
          <w:tcPr>
            <w:tcW w:w="939"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活期存款</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新满溢存</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0.20%-2.4%</w:t>
            </w:r>
          </w:p>
        </w:tc>
        <w:tc>
          <w:tcPr>
            <w:tcW w:w="992" w:type="dxa"/>
            <w:vAlign w:val="center"/>
          </w:tcPr>
          <w:p>
            <w:pPr>
              <w:pStyle w:val="15"/>
              <w:autoSpaceDE w:val="0"/>
              <w:autoSpaceDN w:val="0"/>
              <w:adjustRightInd w:val="0"/>
              <w:snapToGrid w:val="0"/>
              <w:spacing w:line="560" w:lineRule="exact"/>
              <w:ind w:firstLine="0" w:firstLineChars="0"/>
              <w:jc w:val="center"/>
              <w:rPr>
                <w:rFonts w:ascii="宋体" w:hAnsi="宋体"/>
                <w:color w:val="000000"/>
                <w:sz w:val="18"/>
                <w:szCs w:val="18"/>
              </w:rPr>
            </w:pPr>
            <w:r>
              <w:rPr>
                <w:rFonts w:hint="eastAsia" w:ascii="宋体" w:hAnsi="宋体"/>
                <w:color w:val="000000"/>
                <w:sz w:val="18"/>
                <w:szCs w:val="18"/>
              </w:rPr>
              <w:t>3</w:t>
            </w:r>
          </w:p>
        </w:tc>
        <w:tc>
          <w:tcPr>
            <w:tcW w:w="1263" w:type="dxa"/>
            <w:vAlign w:val="center"/>
          </w:tcPr>
          <w:p>
            <w:pPr>
              <w:pStyle w:val="15"/>
              <w:autoSpaceDE w:val="0"/>
              <w:autoSpaceDN w:val="0"/>
              <w:adjustRightInd w:val="0"/>
              <w:snapToGrid w:val="0"/>
              <w:spacing w:line="560" w:lineRule="exact"/>
              <w:ind w:firstLine="0" w:firstLineChars="0"/>
              <w:jc w:val="center"/>
              <w:rPr>
                <w:rFonts w:ascii="宋体" w:hAnsi="宋体"/>
                <w:color w:val="000000"/>
                <w:sz w:val="18"/>
                <w:szCs w:val="18"/>
              </w:rPr>
            </w:pPr>
            <w:r>
              <w:rPr>
                <w:rFonts w:hint="eastAsia" w:ascii="宋体" w:hAnsi="宋体"/>
                <w:color w:val="000000"/>
                <w:sz w:val="18"/>
                <w:szCs w:val="18"/>
              </w:rPr>
              <w:t>定期存款</w:t>
            </w:r>
          </w:p>
        </w:tc>
        <w:tc>
          <w:tcPr>
            <w:tcW w:w="1415" w:type="dxa"/>
            <w:vAlign w:val="center"/>
          </w:tcPr>
          <w:p>
            <w:pPr>
              <w:pStyle w:val="15"/>
              <w:autoSpaceDE w:val="0"/>
              <w:autoSpaceDN w:val="0"/>
              <w:adjustRightInd w:val="0"/>
              <w:snapToGrid w:val="0"/>
              <w:spacing w:line="560" w:lineRule="exact"/>
              <w:ind w:firstLine="0" w:firstLineChars="0"/>
              <w:jc w:val="center"/>
              <w:rPr>
                <w:rFonts w:ascii="宋体" w:hAnsi="宋体"/>
                <w:color w:val="000000"/>
                <w:sz w:val="18"/>
                <w:szCs w:val="18"/>
              </w:rPr>
            </w:pPr>
            <w:r>
              <w:rPr>
                <w:rFonts w:hint="eastAsia" w:ascii="宋体" w:hAnsi="宋体"/>
                <w:color w:val="000000"/>
                <w:sz w:val="18"/>
                <w:szCs w:val="18"/>
              </w:rPr>
              <w:t>否</w:t>
            </w:r>
          </w:p>
        </w:tc>
      </w:tr>
    </w:tbl>
    <w:p>
      <w:pPr>
        <w:pStyle w:val="15"/>
        <w:autoSpaceDE w:val="0"/>
        <w:autoSpaceDN w:val="0"/>
        <w:adjustRightInd w:val="0"/>
        <w:snapToGrid w:val="0"/>
        <w:spacing w:line="360" w:lineRule="exact"/>
        <w:ind w:firstLine="0" w:firstLineChars="0"/>
        <w:jc w:val="left"/>
        <w:rPr>
          <w:rFonts w:ascii="宋体" w:hAnsi="宋体"/>
          <w:color w:val="000000"/>
          <w:sz w:val="18"/>
          <w:szCs w:val="18"/>
        </w:rPr>
      </w:pPr>
      <w:r>
        <w:rPr>
          <w:rFonts w:hint="eastAsia" w:ascii="宋体" w:hAnsi="宋体"/>
          <w:color w:val="000000"/>
          <w:sz w:val="18"/>
          <w:szCs w:val="18"/>
        </w:rPr>
        <w:t>注：0.20%为活期存款利率，2.4%为定期存款利率，当定期存款账户月日均额达到约定额度时，则按定期存款利率执行，否则将按活期存款利率执行。</w:t>
      </w:r>
    </w:p>
    <w:p>
      <w:pPr>
        <w:pStyle w:val="15"/>
        <w:autoSpaceDE w:val="0"/>
        <w:autoSpaceDN w:val="0"/>
        <w:adjustRightInd w:val="0"/>
        <w:snapToGrid w:val="0"/>
        <w:spacing w:line="360" w:lineRule="exact"/>
        <w:ind w:firstLine="0" w:firstLineChars="0"/>
        <w:jc w:val="left"/>
        <w:rPr>
          <w:rFonts w:ascii="宋体" w:hAnsi="宋体"/>
          <w:color w:val="000000"/>
          <w:sz w:val="18"/>
          <w:szCs w:val="18"/>
        </w:rPr>
      </w:pPr>
    </w:p>
    <w:p>
      <w:pPr>
        <w:adjustRightInd w:val="0"/>
        <w:snapToGrid w:val="0"/>
        <w:spacing w:line="360" w:lineRule="auto"/>
        <w:ind w:firstLine="482" w:firstLineChars="200"/>
        <w:rPr>
          <w:rFonts w:ascii="宋体" w:hAnsi="宋体"/>
          <w:b/>
          <w:color w:val="000000"/>
          <w:sz w:val="24"/>
          <w:szCs w:val="24"/>
        </w:rPr>
      </w:pPr>
      <w:r>
        <w:rPr>
          <w:rFonts w:hint="eastAsia" w:ascii="宋体" w:hAnsi="宋体" w:eastAsia="宋体"/>
          <w:b/>
          <w:color w:val="000000"/>
          <w:sz w:val="24"/>
          <w:szCs w:val="24"/>
        </w:rPr>
        <w:t>二、</w:t>
      </w:r>
      <w:r>
        <w:rPr>
          <w:rFonts w:hint="eastAsia" w:ascii="宋体" w:hAnsi="宋体"/>
          <w:b/>
          <w:color w:val="000000"/>
          <w:sz w:val="24"/>
          <w:szCs w:val="24"/>
        </w:rPr>
        <w:t>审议程序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pPr>
        <w:adjustRightInd w:val="0"/>
        <w:snapToGrid w:val="0"/>
        <w:spacing w:line="360" w:lineRule="auto"/>
        <w:ind w:firstLine="482" w:firstLineChars="200"/>
        <w:rPr>
          <w:rFonts w:ascii="宋体" w:hAnsi="宋体"/>
          <w:b/>
          <w:sz w:val="24"/>
          <w:szCs w:val="24"/>
        </w:rPr>
      </w:pPr>
      <w:r>
        <w:rPr>
          <w:rFonts w:hint="eastAsia" w:ascii="宋体" w:hAnsi="宋体" w:eastAsia="宋体"/>
          <w:b/>
          <w:color w:val="000000"/>
          <w:sz w:val="24"/>
          <w:szCs w:val="24"/>
        </w:rPr>
        <w:t>三、</w:t>
      </w:r>
      <w:r>
        <w:rPr>
          <w:rFonts w:ascii="宋体" w:hAnsi="宋体"/>
          <w:b/>
          <w:sz w:val="24"/>
          <w:szCs w:val="24"/>
        </w:rPr>
        <w:t>风险控制措施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公司按照决策、执行、监督职能相分离的原则建立健全现金管理的审批和执行程序，确保购买事宜的有效开展和规范运行，确保资金安全。拟采取的具体措施如下：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、公司财务部门相关人员将及时分析和跟踪所投资产品的投向、项目进展情况，如评估发现存在可能影响公司资金安全的风险因素，将及时采取相应的措施，控制投资风险。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、公司审计部门负责对资金的使用与保管情况进行审计与监督。</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、独立董事、监事会有权对资金使用情况进行监督与检查，必要时可以聘请专业机构进行审计。</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、公司财务部门必须建立台账对购买的现金管理产品进行管理，建立健全会计账目，做好资金使用的账务核算工作。</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、公司将依据上海证券交易所的相关规定，履行信息披露义务。</w:t>
      </w:r>
    </w:p>
    <w:p>
      <w:pPr>
        <w:adjustRightInd w:val="0"/>
        <w:snapToGrid w:val="0"/>
        <w:spacing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四、对公司的影响</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(一)公司最近一年及一期财务指标情况</w:t>
      </w:r>
    </w:p>
    <w:p>
      <w:pPr>
        <w:adjustRightInd w:val="0"/>
        <w:snapToGrid w:val="0"/>
        <w:spacing w:line="360" w:lineRule="auto"/>
        <w:ind w:firstLine="6960" w:firstLineChars="2900"/>
        <w:rPr>
          <w:rFonts w:ascii="宋体" w:hAnsi="宋体" w:eastAsia="宋体"/>
          <w:color w:val="000000"/>
          <w:sz w:val="24"/>
          <w:szCs w:val="24"/>
        </w:rPr>
      </w:pPr>
      <w:r>
        <w:rPr>
          <w:rFonts w:hint="eastAsia" w:ascii="宋体" w:hAnsi="宋体" w:eastAsia="宋体"/>
          <w:color w:val="000000"/>
          <w:sz w:val="24"/>
          <w:szCs w:val="24"/>
        </w:rPr>
        <w:t>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765"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财务指标</w:t>
            </w:r>
          </w:p>
        </w:tc>
        <w:tc>
          <w:tcPr>
            <w:tcW w:w="2765"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2</w:t>
            </w:r>
            <w:r>
              <w:rPr>
                <w:rFonts w:ascii="宋体" w:hAnsi="宋体" w:eastAsia="宋体"/>
                <w:b/>
                <w:color w:val="000000"/>
                <w:sz w:val="18"/>
                <w:szCs w:val="18"/>
              </w:rPr>
              <w:t>02</w:t>
            </w:r>
            <w:r>
              <w:rPr>
                <w:rFonts w:hint="eastAsia" w:ascii="宋体" w:hAnsi="宋体" w:eastAsia="宋体"/>
                <w:b/>
                <w:color w:val="000000"/>
                <w:sz w:val="18"/>
                <w:szCs w:val="18"/>
              </w:rPr>
              <w:t>4年3月31日（未经审计）</w:t>
            </w:r>
          </w:p>
        </w:tc>
        <w:tc>
          <w:tcPr>
            <w:tcW w:w="2766"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2</w:t>
            </w:r>
            <w:r>
              <w:rPr>
                <w:rFonts w:ascii="宋体" w:hAnsi="宋体" w:eastAsia="宋体"/>
                <w:b/>
                <w:color w:val="000000"/>
                <w:sz w:val="18"/>
                <w:szCs w:val="18"/>
              </w:rPr>
              <w:t>02</w:t>
            </w:r>
            <w:r>
              <w:rPr>
                <w:rFonts w:hint="eastAsia" w:ascii="宋体" w:hAnsi="宋体" w:eastAsia="宋体"/>
                <w:b/>
                <w:color w:val="000000"/>
                <w:sz w:val="18"/>
                <w:szCs w:val="18"/>
              </w:rPr>
              <w:t>3年1</w:t>
            </w:r>
            <w:r>
              <w:rPr>
                <w:rFonts w:ascii="宋体" w:hAnsi="宋体" w:eastAsia="宋体"/>
                <w:b/>
                <w:color w:val="000000"/>
                <w:sz w:val="18"/>
                <w:szCs w:val="18"/>
              </w:rPr>
              <w:t>2</w:t>
            </w:r>
            <w:r>
              <w:rPr>
                <w:rFonts w:hint="eastAsia" w:ascii="宋体" w:hAnsi="宋体" w:eastAsia="宋体"/>
                <w:b/>
                <w:color w:val="000000"/>
                <w:sz w:val="18"/>
                <w:szCs w:val="18"/>
              </w:rPr>
              <w:t>月3</w:t>
            </w:r>
            <w:r>
              <w:rPr>
                <w:rFonts w:ascii="宋体" w:hAnsi="宋体" w:eastAsia="宋体"/>
                <w:b/>
                <w:color w:val="000000"/>
                <w:sz w:val="18"/>
                <w:szCs w:val="18"/>
              </w:rPr>
              <w:t>1</w:t>
            </w:r>
            <w:r>
              <w:rPr>
                <w:rFonts w:hint="eastAsia" w:ascii="宋体" w:hAnsi="宋体" w:eastAsia="宋体"/>
                <w:b/>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资产总额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528</w:t>
            </w:r>
            <w:r>
              <w:rPr>
                <w:rFonts w:hint="eastAsia" w:ascii="宋体" w:hAnsi="宋体" w:eastAsia="宋体"/>
                <w:sz w:val="18"/>
                <w:szCs w:val="18"/>
              </w:rPr>
              <w:t>,</w:t>
            </w:r>
            <w:r>
              <w:rPr>
                <w:rFonts w:ascii="宋体" w:hAnsi="宋体" w:eastAsia="宋体"/>
                <w:sz w:val="18"/>
                <w:szCs w:val="18"/>
              </w:rPr>
              <w:t>623</w:t>
            </w:r>
            <w:r>
              <w:rPr>
                <w:rFonts w:hint="eastAsia" w:ascii="宋体" w:hAnsi="宋体" w:eastAsia="宋体"/>
                <w:sz w:val="18"/>
                <w:szCs w:val="18"/>
              </w:rPr>
              <w:t>.</w:t>
            </w:r>
            <w:r>
              <w:rPr>
                <w:rFonts w:ascii="宋体" w:hAnsi="宋体" w:eastAsia="宋体"/>
                <w:sz w:val="18"/>
                <w:szCs w:val="18"/>
              </w:rPr>
              <w:t>69</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487,524.19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负债总额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286</w:t>
            </w:r>
            <w:r>
              <w:rPr>
                <w:rFonts w:hint="eastAsia" w:ascii="宋体" w:hAnsi="宋体" w:eastAsia="宋体"/>
                <w:sz w:val="18"/>
                <w:szCs w:val="18"/>
              </w:rPr>
              <w:t>,</w:t>
            </w:r>
            <w:r>
              <w:rPr>
                <w:rFonts w:ascii="宋体" w:hAnsi="宋体" w:eastAsia="宋体"/>
                <w:sz w:val="18"/>
                <w:szCs w:val="18"/>
              </w:rPr>
              <w:t>935</w:t>
            </w:r>
            <w:r>
              <w:rPr>
                <w:rFonts w:hint="eastAsia" w:ascii="宋体" w:hAnsi="宋体" w:eastAsia="宋体"/>
                <w:sz w:val="18"/>
                <w:szCs w:val="18"/>
              </w:rPr>
              <w:t>.</w:t>
            </w:r>
            <w:r>
              <w:rPr>
                <w:rFonts w:ascii="宋体" w:hAnsi="宋体" w:eastAsia="宋体"/>
                <w:sz w:val="18"/>
                <w:szCs w:val="18"/>
              </w:rPr>
              <w:t>9</w:t>
            </w:r>
            <w:r>
              <w:rPr>
                <w:rFonts w:hint="eastAsia" w:ascii="宋体" w:hAnsi="宋体" w:eastAsia="宋体"/>
                <w:sz w:val="18"/>
                <w:szCs w:val="18"/>
              </w:rPr>
              <w:t>6</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248</w:t>
            </w:r>
            <w:r>
              <w:rPr>
                <w:rFonts w:hint="eastAsia" w:ascii="宋体" w:hAnsi="宋体" w:eastAsia="宋体"/>
                <w:sz w:val="18"/>
                <w:szCs w:val="18"/>
              </w:rPr>
              <w:t>,</w:t>
            </w:r>
            <w:r>
              <w:rPr>
                <w:rFonts w:ascii="宋体" w:hAnsi="宋体" w:eastAsia="宋体"/>
                <w:sz w:val="18"/>
                <w:szCs w:val="18"/>
              </w:rPr>
              <w:t>443</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归属于上市公司股东的净资产</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241</w:t>
            </w:r>
            <w:r>
              <w:rPr>
                <w:rFonts w:hint="eastAsia" w:ascii="宋体" w:hAnsi="宋体" w:eastAsia="宋体"/>
                <w:sz w:val="18"/>
                <w:szCs w:val="18"/>
              </w:rPr>
              <w:t>,</w:t>
            </w:r>
            <w:r>
              <w:rPr>
                <w:rFonts w:ascii="宋体" w:hAnsi="宋体" w:eastAsia="宋体"/>
                <w:sz w:val="18"/>
                <w:szCs w:val="18"/>
              </w:rPr>
              <w:t>687</w:t>
            </w:r>
            <w:r>
              <w:rPr>
                <w:rFonts w:hint="eastAsia" w:ascii="宋体" w:hAnsi="宋体" w:eastAsia="宋体"/>
                <w:sz w:val="18"/>
                <w:szCs w:val="18"/>
              </w:rPr>
              <w:t>.</w:t>
            </w:r>
            <w:r>
              <w:rPr>
                <w:rFonts w:ascii="宋体" w:hAnsi="宋体" w:eastAsia="宋体"/>
                <w:sz w:val="18"/>
                <w:szCs w:val="18"/>
              </w:rPr>
              <w:t>7</w:t>
            </w:r>
            <w:r>
              <w:rPr>
                <w:rFonts w:hint="eastAsia" w:ascii="宋体" w:hAnsi="宋体" w:eastAsia="宋体"/>
                <w:sz w:val="18"/>
                <w:szCs w:val="18"/>
              </w:rPr>
              <w:t>4</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239,080.85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经营活动产生的现金流量净额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-13</w:t>
            </w:r>
            <w:r>
              <w:rPr>
                <w:rFonts w:hint="eastAsia" w:ascii="宋体" w:hAnsi="宋体" w:eastAsia="宋体"/>
                <w:sz w:val="18"/>
                <w:szCs w:val="18"/>
              </w:rPr>
              <w:t>,</w:t>
            </w:r>
            <w:r>
              <w:rPr>
                <w:rFonts w:ascii="宋体" w:hAnsi="宋体" w:eastAsia="宋体"/>
                <w:sz w:val="18"/>
                <w:szCs w:val="18"/>
              </w:rPr>
              <w:t>436</w:t>
            </w:r>
            <w:r>
              <w:rPr>
                <w:rFonts w:hint="eastAsia" w:ascii="宋体" w:hAnsi="宋体" w:eastAsia="宋体"/>
                <w:sz w:val="18"/>
                <w:szCs w:val="18"/>
              </w:rPr>
              <w:t>.50</w:t>
            </w:r>
          </w:p>
        </w:tc>
        <w:tc>
          <w:tcPr>
            <w:tcW w:w="2766" w:type="dxa"/>
          </w:tcPr>
          <w:p>
            <w:pPr>
              <w:adjustRightInd w:val="0"/>
              <w:snapToGrid w:val="0"/>
              <w:spacing w:line="360" w:lineRule="auto"/>
              <w:jc w:val="right"/>
              <w:rPr>
                <w:rFonts w:ascii="宋体" w:hAnsi="宋体" w:eastAsia="宋体"/>
                <w:sz w:val="18"/>
                <w:szCs w:val="18"/>
              </w:rPr>
            </w:pPr>
            <w:r>
              <w:rPr>
                <w:rFonts w:hint="eastAsia" w:ascii="宋体" w:hAnsi="宋体" w:eastAsia="宋体"/>
                <w:sz w:val="18"/>
                <w:szCs w:val="18"/>
              </w:rPr>
              <w:t>29,186.40</w:t>
            </w:r>
          </w:p>
        </w:tc>
      </w:tr>
    </w:tbl>
    <w:p>
      <w:pPr>
        <w:adjustRightInd w:val="0"/>
        <w:snapToGrid w:val="0"/>
        <w:spacing w:line="360" w:lineRule="auto"/>
        <w:ind w:firstLine="360" w:firstLineChars="150"/>
        <w:rPr>
          <w:rFonts w:ascii="宋体" w:hAnsi="宋体" w:eastAsia="宋体"/>
          <w:color w:val="000000"/>
          <w:sz w:val="24"/>
          <w:szCs w:val="24"/>
        </w:rPr>
      </w:pPr>
    </w:p>
    <w:p>
      <w:pPr>
        <w:adjustRightInd w:val="0"/>
        <w:snapToGrid w:val="0"/>
        <w:spacing w:line="360" w:lineRule="auto"/>
        <w:ind w:firstLine="360" w:firstLineChars="150"/>
        <w:rPr>
          <w:rFonts w:ascii="宋体" w:hAnsi="宋体" w:eastAsia="宋体"/>
          <w:color w:val="000000"/>
          <w:sz w:val="24"/>
          <w:szCs w:val="24"/>
        </w:rPr>
      </w:pPr>
      <w:r>
        <w:rPr>
          <w:rFonts w:hint="eastAsia" w:ascii="宋体" w:hAnsi="宋体" w:eastAsia="宋体"/>
          <w:color w:val="000000"/>
          <w:sz w:val="24"/>
          <w:szCs w:val="24"/>
        </w:rPr>
        <w:t>（二）对公司的影响</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公司本次使用部分闲置募集资金购买可随时支取的银行定期存款是根据公司经营发展和财务状况，在确保公司募投项目所需资金和保证募集资金安全的前提下进行的，履行了必要的法定程序，有助于提高募集资金使用效率，不影响公司主营业务的正常发展，不影响募投项目的正常进行，不存在变相改变募集资金用途的行为。通过进行适度的低风险短期理财，对部分闲置的募集资金适时进行现金管理，能获得一定的投资收益，有利于进一步提升公司整体业绩水平，为公司和股东谋取更多的投资回报。</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五、截止本公告日，公司最近十二个月闲置募集资金进行现金管理的情况</w:t>
      </w:r>
    </w:p>
    <w:p>
      <w:pPr>
        <w:adjustRightInd w:val="0"/>
        <w:snapToGrid w:val="0"/>
        <w:spacing w:line="360" w:lineRule="auto"/>
        <w:ind w:firstLine="480"/>
        <w:rPr>
          <w:rFonts w:ascii="宋体" w:hAnsi="宋体"/>
          <w:b/>
          <w:sz w:val="24"/>
          <w:szCs w:val="24"/>
        </w:rPr>
      </w:pPr>
      <w:r>
        <w:rPr>
          <w:rFonts w:hint="eastAsia" w:ascii="宋体" w:hAnsi="宋体"/>
          <w:b/>
          <w:sz w:val="24"/>
          <w:szCs w:val="24"/>
        </w:rPr>
        <w:t>（一）活期协议存款</w:t>
      </w:r>
    </w:p>
    <w:tbl>
      <w:tblPr>
        <w:tblStyle w:val="8"/>
        <w:tblW w:w="8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100"/>
        <w:gridCol w:w="1757"/>
        <w:gridCol w:w="1757"/>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3"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2100" w:type="dxa"/>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募集资金投资项目</w:t>
            </w:r>
          </w:p>
        </w:tc>
        <w:tc>
          <w:tcPr>
            <w:tcW w:w="1757"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开户银行</w:t>
            </w:r>
          </w:p>
        </w:tc>
        <w:tc>
          <w:tcPr>
            <w:tcW w:w="1757"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募集资金专用账号</w:t>
            </w:r>
          </w:p>
        </w:tc>
        <w:tc>
          <w:tcPr>
            <w:tcW w:w="1273" w:type="dxa"/>
            <w:noWrap/>
            <w:vAlign w:val="center"/>
          </w:tcPr>
          <w:p>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截止2024年7</w:t>
            </w:r>
            <w:r>
              <w:rPr>
                <w:rFonts w:ascii="宋体" w:hAnsi="宋体" w:cs="宋体"/>
                <w:b/>
                <w:bCs/>
                <w:kern w:val="0"/>
                <w:sz w:val="18"/>
                <w:szCs w:val="18"/>
                <w:lang w:bidi="ar"/>
              </w:rPr>
              <w:t>月</w:t>
            </w:r>
            <w:r>
              <w:rPr>
                <w:rFonts w:hint="eastAsia" w:ascii="宋体" w:hAnsi="宋体" w:cs="宋体"/>
                <w:b/>
                <w:bCs/>
                <w:kern w:val="0"/>
                <w:sz w:val="18"/>
                <w:szCs w:val="18"/>
                <w:lang w:bidi="ar"/>
              </w:rPr>
              <w:t>2</w:t>
            </w:r>
            <w:bookmarkStart w:id="0" w:name="_GoBack"/>
            <w:bookmarkEnd w:id="0"/>
            <w:r>
              <w:rPr>
                <w:rFonts w:ascii="宋体" w:hAnsi="宋体" w:cs="宋体"/>
                <w:b/>
                <w:bCs/>
                <w:kern w:val="0"/>
                <w:sz w:val="18"/>
                <w:szCs w:val="18"/>
                <w:lang w:bidi="ar"/>
              </w:rPr>
              <w:t>日</w:t>
            </w:r>
            <w:r>
              <w:rPr>
                <w:rFonts w:hint="eastAsia" w:ascii="宋体" w:hAnsi="宋体" w:cs="宋体"/>
                <w:b/>
                <w:bCs/>
                <w:kern w:val="0"/>
                <w:sz w:val="18"/>
                <w:szCs w:val="18"/>
                <w:lang w:bidi="ar"/>
              </w:rPr>
              <w:t>协议</w:t>
            </w:r>
            <w:r>
              <w:rPr>
                <w:rFonts w:ascii="宋体" w:hAnsi="宋体" w:cs="宋体"/>
                <w:b/>
                <w:bCs/>
                <w:kern w:val="0"/>
                <w:sz w:val="18"/>
                <w:szCs w:val="18"/>
                <w:lang w:bidi="ar"/>
              </w:rPr>
              <w:t>存款余额</w:t>
            </w:r>
            <w:r>
              <w:rPr>
                <w:rFonts w:hint="eastAsia" w:ascii="宋体" w:hAnsi="宋体" w:cs="宋体"/>
                <w:b/>
                <w:bCs/>
                <w:kern w:val="0"/>
                <w:sz w:val="18"/>
                <w:szCs w:val="18"/>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210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智能成套电气设备产业基地建设项目、智控设备及金属制品智能工厂建设项目（一期）</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哈尔滨银行股份有限公司重庆分行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18010000001689409</w:t>
            </w:r>
          </w:p>
        </w:tc>
        <w:tc>
          <w:tcPr>
            <w:tcW w:w="1273" w:type="dxa"/>
            <w:noWrap/>
            <w:vAlign w:val="center"/>
          </w:tcPr>
          <w:p>
            <w:pPr>
              <w:widowControl/>
              <w:jc w:val="right"/>
              <w:textAlignment w:val="center"/>
              <w:rPr>
                <w:rFonts w:ascii="宋体" w:hAnsi="宋体" w:cs="宋体"/>
                <w:sz w:val="18"/>
                <w:szCs w:val="18"/>
                <w:highlight w:val="none"/>
              </w:rPr>
            </w:pPr>
            <w:r>
              <w:rPr>
                <w:rFonts w:hint="eastAsia" w:ascii="宋体" w:hAnsi="宋体" w:cs="宋体"/>
                <w:sz w:val="18"/>
                <w:szCs w:val="18"/>
                <w:highlight w:val="none"/>
              </w:rPr>
              <w:t xml:space="preserve">  10</w:t>
            </w:r>
            <w:r>
              <w:rPr>
                <w:rFonts w:hint="eastAsia" w:ascii="宋体" w:hAnsi="宋体" w:cs="宋体"/>
                <w:sz w:val="18"/>
                <w:szCs w:val="18"/>
                <w:highlight w:val="none"/>
                <w:lang w:val="en-US" w:eastAsia="zh-CN"/>
              </w:rPr>
              <w:t>,</w:t>
            </w:r>
            <w:r>
              <w:rPr>
                <w:rFonts w:hint="eastAsia" w:ascii="宋体" w:hAnsi="宋体" w:cs="宋体"/>
                <w:sz w:val="18"/>
                <w:szCs w:val="18"/>
                <w:highlight w:val="none"/>
              </w:rPr>
              <w:t>095</w:t>
            </w:r>
            <w:r>
              <w:rPr>
                <w:rFonts w:hint="eastAsia" w:ascii="宋体" w:hAnsi="宋体" w:cs="宋体"/>
                <w:sz w:val="18"/>
                <w:szCs w:val="18"/>
                <w:highlight w:val="none"/>
                <w:lang w:val="en-US" w:eastAsia="zh-CN"/>
              </w:rPr>
              <w:t>.</w:t>
            </w:r>
            <w:r>
              <w:rPr>
                <w:rFonts w:hint="eastAsia" w:ascii="宋体" w:hAnsi="宋体" w:cs="宋体"/>
                <w:sz w:val="18"/>
                <w:szCs w:val="18"/>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w:t>
            </w:r>
          </w:p>
        </w:tc>
        <w:tc>
          <w:tcPr>
            <w:tcW w:w="2100" w:type="dxa"/>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110kV及以下节能型变压器智能化工厂技改项目</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重庆三峡银行股份有限公司长寿支行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0153016820000020</w:t>
            </w:r>
          </w:p>
        </w:tc>
        <w:tc>
          <w:tcPr>
            <w:tcW w:w="1273" w:type="dxa"/>
            <w:noWrap/>
            <w:vAlign w:val="center"/>
          </w:tcPr>
          <w:p>
            <w:pPr>
              <w:widowControl/>
              <w:jc w:val="right"/>
              <w:textAlignment w:val="center"/>
              <w:rPr>
                <w:rFonts w:ascii="宋体" w:hAnsi="宋体" w:cs="宋体"/>
                <w:sz w:val="18"/>
                <w:szCs w:val="18"/>
                <w:highlight w:val="none"/>
              </w:rPr>
            </w:pPr>
            <w:r>
              <w:rPr>
                <w:rFonts w:hint="eastAsia" w:ascii="宋体" w:hAnsi="宋体" w:cs="宋体"/>
                <w:sz w:val="18"/>
                <w:szCs w:val="18"/>
                <w:highlight w:val="none"/>
              </w:rPr>
              <w:t xml:space="preserve">  3</w:t>
            </w:r>
            <w:r>
              <w:rPr>
                <w:rFonts w:hint="eastAsia" w:ascii="宋体" w:hAnsi="宋体" w:cs="宋体"/>
                <w:sz w:val="18"/>
                <w:szCs w:val="18"/>
                <w:highlight w:val="none"/>
                <w:lang w:val="en-US" w:eastAsia="zh-CN"/>
              </w:rPr>
              <w:t>,</w:t>
            </w:r>
            <w:r>
              <w:rPr>
                <w:rFonts w:hint="eastAsia" w:ascii="宋体" w:hAnsi="宋体" w:cs="宋体"/>
                <w:sz w:val="18"/>
                <w:szCs w:val="18"/>
                <w:highlight w:val="none"/>
              </w:rPr>
              <w:t>095</w:t>
            </w:r>
            <w:r>
              <w:rPr>
                <w:rFonts w:hint="eastAsia" w:ascii="宋体" w:hAnsi="宋体" w:cs="宋体"/>
                <w:sz w:val="18"/>
                <w:szCs w:val="18"/>
                <w:highlight w:val="none"/>
                <w:lang w:val="en-US" w:eastAsia="zh-CN"/>
              </w:rPr>
              <w:t>.</w:t>
            </w:r>
            <w:r>
              <w:rPr>
                <w:rFonts w:hint="eastAsia" w:ascii="宋体" w:hAnsi="宋体" w:cs="宋体"/>
                <w:sz w:val="18"/>
                <w:szCs w:val="18"/>
                <w:highlight w:val="none"/>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w:t>
            </w:r>
          </w:p>
        </w:tc>
        <w:tc>
          <w:tcPr>
            <w:tcW w:w="210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研发中心及信息化建设项目</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上海浦东发展银行股份有限公司重庆分行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83260078801700000608</w:t>
            </w:r>
          </w:p>
        </w:tc>
        <w:tc>
          <w:tcPr>
            <w:tcW w:w="1273" w:type="dxa"/>
            <w:noWrap/>
            <w:vAlign w:val="center"/>
          </w:tcPr>
          <w:p>
            <w:pPr>
              <w:widowControl/>
              <w:jc w:val="right"/>
              <w:textAlignment w:val="center"/>
              <w:rPr>
                <w:rFonts w:hint="eastAsia" w:ascii="宋体" w:hAnsi="宋体" w:cs="宋体" w:eastAsiaTheme="minorEastAsia"/>
                <w:sz w:val="18"/>
                <w:szCs w:val="18"/>
                <w:highlight w:val="none"/>
                <w:lang w:eastAsia="zh-CN"/>
              </w:rPr>
            </w:pPr>
            <w:r>
              <w:rPr>
                <w:rFonts w:hint="eastAsia" w:ascii="宋体" w:hAnsi="宋体" w:cs="宋体"/>
                <w:sz w:val="18"/>
                <w:szCs w:val="18"/>
                <w:highlight w:val="none"/>
              </w:rPr>
              <w:t xml:space="preserve">  3</w:t>
            </w:r>
            <w:r>
              <w:rPr>
                <w:rFonts w:hint="eastAsia" w:ascii="宋体" w:hAnsi="宋体" w:cs="宋体"/>
                <w:sz w:val="18"/>
                <w:szCs w:val="18"/>
                <w:highlight w:val="none"/>
                <w:lang w:val="en-US" w:eastAsia="zh-CN"/>
              </w:rPr>
              <w:t>,</w:t>
            </w:r>
            <w:r>
              <w:rPr>
                <w:rFonts w:hint="eastAsia" w:ascii="宋体" w:hAnsi="宋体" w:cs="宋体"/>
                <w:sz w:val="18"/>
                <w:szCs w:val="18"/>
                <w:highlight w:val="none"/>
              </w:rPr>
              <w:t>231</w:t>
            </w:r>
            <w:r>
              <w:rPr>
                <w:rFonts w:hint="eastAsia" w:ascii="宋体" w:hAnsi="宋体" w:cs="宋体"/>
                <w:sz w:val="18"/>
                <w:szCs w:val="18"/>
                <w:highlight w:val="none"/>
                <w:lang w:val="en-US" w:eastAsia="zh-CN"/>
              </w:rPr>
              <w:t>.</w:t>
            </w:r>
            <w:r>
              <w:rPr>
                <w:rFonts w:hint="eastAsia" w:ascii="宋体" w:hAnsi="宋体" w:cs="宋体"/>
                <w:sz w:val="18"/>
                <w:szCs w:val="18"/>
                <w:highlight w:val="none"/>
              </w:rPr>
              <w:t>9</w:t>
            </w:r>
            <w:r>
              <w:rPr>
                <w:rFonts w:hint="eastAsia" w:ascii="宋体" w:hAnsi="宋体" w:cs="宋体"/>
                <w:sz w:val="18"/>
                <w:szCs w:val="18"/>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7027" w:type="dxa"/>
            <w:gridSpan w:val="4"/>
            <w:noWrap/>
            <w:vAlign w:val="center"/>
          </w:tcPr>
          <w:p>
            <w:pPr>
              <w:jc w:val="center"/>
              <w:rPr>
                <w:rFonts w:ascii="宋体" w:hAnsi="宋体" w:cs="宋体"/>
                <w:b/>
                <w:bCs/>
                <w:sz w:val="18"/>
                <w:szCs w:val="18"/>
              </w:rPr>
            </w:pPr>
            <w:r>
              <w:rPr>
                <w:rFonts w:hint="eastAsia" w:ascii="宋体" w:hAnsi="宋体" w:cs="宋体"/>
                <w:b/>
                <w:bCs/>
                <w:sz w:val="18"/>
                <w:szCs w:val="18"/>
              </w:rPr>
              <w:t>小计：</w:t>
            </w:r>
          </w:p>
        </w:tc>
        <w:tc>
          <w:tcPr>
            <w:tcW w:w="1273" w:type="dxa"/>
            <w:noWrap/>
            <w:vAlign w:val="center"/>
          </w:tcPr>
          <w:p>
            <w:pPr>
              <w:jc w:val="right"/>
              <w:rPr>
                <w:rFonts w:ascii="宋体" w:hAnsi="宋体" w:cs="宋体"/>
                <w:b/>
                <w:bCs/>
                <w:sz w:val="18"/>
                <w:szCs w:val="18"/>
                <w:highlight w:val="none"/>
              </w:rPr>
            </w:pPr>
            <w:r>
              <w:rPr>
                <w:rFonts w:hint="eastAsia" w:ascii="宋体" w:hAnsi="宋体" w:cs="宋体"/>
                <w:b/>
                <w:bCs/>
                <w:sz w:val="18"/>
                <w:szCs w:val="18"/>
                <w:highlight w:val="none"/>
              </w:rPr>
              <w:t>16</w:t>
            </w:r>
            <w:r>
              <w:rPr>
                <w:rFonts w:hint="eastAsia" w:ascii="宋体" w:hAnsi="宋体" w:cs="宋体"/>
                <w:b/>
                <w:bCs/>
                <w:sz w:val="18"/>
                <w:szCs w:val="18"/>
                <w:highlight w:val="none"/>
                <w:lang w:val="en-US" w:eastAsia="zh-CN"/>
              </w:rPr>
              <w:t>,</w:t>
            </w:r>
            <w:r>
              <w:rPr>
                <w:rFonts w:hint="eastAsia" w:ascii="宋体" w:hAnsi="宋体" w:cs="宋体"/>
                <w:b/>
                <w:bCs/>
                <w:sz w:val="18"/>
                <w:szCs w:val="18"/>
                <w:highlight w:val="none"/>
              </w:rPr>
              <w:t>423.35</w:t>
            </w:r>
          </w:p>
        </w:tc>
      </w:tr>
    </w:tbl>
    <w:p>
      <w:pPr>
        <w:adjustRightInd w:val="0"/>
        <w:snapToGrid w:val="0"/>
        <w:spacing w:line="360" w:lineRule="auto"/>
        <w:rPr>
          <w:rFonts w:ascii="宋体" w:hAnsi="宋体"/>
          <w:sz w:val="24"/>
          <w:szCs w:val="24"/>
        </w:rPr>
      </w:pPr>
      <w:r>
        <w:rPr>
          <w:rFonts w:hint="eastAsia" w:ascii="宋体" w:hAnsi="宋体"/>
          <w:sz w:val="24"/>
          <w:szCs w:val="24"/>
        </w:rPr>
        <w:t>注：该部分活期协议存款购买经公司于2023年4月25日召开的第三届董事会第十六次会议和第三届监事会第十四次会议审议通过，独立董事、保荐机构和监事会发表了同意意见；且经公司于2024年4月24日召开的第四届董事会第五次会议和第四届监事会第四次会议审议通过，保荐机构和监事会发表了同意意见。具体内容详见公司披露的《关于使用暂时闲置募集资金进行现金管理的公告》（公告编号：2023-017）和《关于使用暂时闲置募集资金进行现金管理的公告》（公告编号：2024-035）。</w:t>
      </w:r>
    </w:p>
    <w:p>
      <w:pPr>
        <w:adjustRightInd w:val="0"/>
        <w:snapToGrid w:val="0"/>
        <w:spacing w:line="360" w:lineRule="auto"/>
        <w:ind w:firstLine="480" w:firstLineChars="200"/>
        <w:rPr>
          <w:rFonts w:ascii="宋体" w:hAnsi="宋体"/>
          <w:sz w:val="24"/>
          <w:szCs w:val="24"/>
          <w:highlight w:val="yellow"/>
        </w:rPr>
      </w:pPr>
      <w:r>
        <w:rPr>
          <w:rFonts w:hint="eastAsia" w:ascii="宋体" w:hAnsi="宋体"/>
          <w:sz w:val="24"/>
          <w:szCs w:val="24"/>
        </w:rPr>
        <w:t>因该部分现金管理系活期性质，随时取用，未另外开立资金账户，不存在资金划付或赎回情况，故公司未对其购买行为进行单独公告，在公司2023年年度募集资金存放与使用情况的专项报告中对截止2</w:t>
      </w:r>
      <w:r>
        <w:rPr>
          <w:rFonts w:ascii="宋体" w:hAnsi="宋体"/>
          <w:sz w:val="24"/>
          <w:szCs w:val="24"/>
        </w:rPr>
        <w:t>02</w:t>
      </w:r>
      <w:r>
        <w:rPr>
          <w:rFonts w:hint="eastAsia" w:ascii="宋体" w:hAnsi="宋体"/>
          <w:sz w:val="24"/>
          <w:szCs w:val="24"/>
        </w:rPr>
        <w:t>3年12月31日的情况进行了统一披露，具体内容详见公司披露的《2023年度募集资金存放与实际使用情况的专项报告》。</w:t>
      </w:r>
    </w:p>
    <w:p>
      <w:pPr>
        <w:adjustRightInd w:val="0"/>
        <w:snapToGrid w:val="0"/>
        <w:spacing w:line="360" w:lineRule="auto"/>
        <w:ind w:firstLine="480"/>
        <w:rPr>
          <w:rFonts w:ascii="宋体" w:hAnsi="宋体"/>
          <w:b/>
          <w:sz w:val="24"/>
          <w:szCs w:val="24"/>
          <w:highlight w:val="yellow"/>
        </w:rPr>
      </w:pPr>
      <w:r>
        <w:rPr>
          <w:rFonts w:hint="eastAsia" w:ascii="宋体" w:hAnsi="宋体"/>
          <w:b/>
          <w:sz w:val="24"/>
          <w:szCs w:val="24"/>
        </w:rPr>
        <w:t>六、风险提示</w:t>
      </w:r>
    </w:p>
    <w:p>
      <w:pPr>
        <w:adjustRightInd w:val="0"/>
        <w:snapToGrid w:val="0"/>
        <w:spacing w:line="360" w:lineRule="auto"/>
        <w:ind w:firstLine="480"/>
        <w:rPr>
          <w:rFonts w:ascii="宋体" w:hAnsi="宋体"/>
          <w:sz w:val="24"/>
          <w:szCs w:val="24"/>
        </w:rPr>
      </w:pPr>
      <w:r>
        <w:rPr>
          <w:rFonts w:hint="eastAsia" w:ascii="宋体" w:hAnsi="宋体"/>
          <w:sz w:val="24"/>
          <w:szCs w:val="24"/>
        </w:rPr>
        <w:t>公司本次在哈尔滨银行股份有限公司重庆分行购买的“新满溢存”存款产品属于定期存款产品，属于谨慎型低风险投资产品。但金融市场受宏观经济的影响，不排除该投资受政策风险、市场风险、不可抗力及意外事件风险等因素影响，存在一定的投资风险。</w:t>
      </w:r>
    </w:p>
    <w:p>
      <w:pPr>
        <w:adjustRightInd w:val="0"/>
        <w:snapToGrid w:val="0"/>
        <w:spacing w:line="360" w:lineRule="auto"/>
        <w:ind w:firstLine="480"/>
        <w:rPr>
          <w:rFonts w:ascii="宋体" w:hAnsi="宋体"/>
          <w:b/>
          <w:sz w:val="24"/>
          <w:szCs w:val="24"/>
        </w:rPr>
      </w:pPr>
      <w:r>
        <w:rPr>
          <w:rFonts w:hint="eastAsia" w:ascii="宋体" w:hAnsi="宋体"/>
          <w:b/>
          <w:sz w:val="24"/>
          <w:szCs w:val="24"/>
        </w:rPr>
        <w:t>七、备查文件</w:t>
      </w:r>
    </w:p>
    <w:p>
      <w:pPr>
        <w:adjustRightInd w:val="0"/>
        <w:snapToGrid w:val="0"/>
        <w:spacing w:line="360" w:lineRule="auto"/>
        <w:ind w:firstLine="480"/>
        <w:rPr>
          <w:rFonts w:ascii="宋体" w:hAnsi="宋体"/>
          <w:sz w:val="24"/>
          <w:szCs w:val="24"/>
        </w:rPr>
      </w:pPr>
      <w:r>
        <w:rPr>
          <w:rFonts w:hint="eastAsia" w:ascii="宋体" w:hAnsi="宋体"/>
          <w:sz w:val="24"/>
          <w:szCs w:val="24"/>
        </w:rPr>
        <w:t>1、《“新满溢存”存款产品客户确认书》</w:t>
      </w:r>
    </w:p>
    <w:p>
      <w:pPr>
        <w:adjustRightInd w:val="0"/>
        <w:snapToGrid w:val="0"/>
        <w:spacing w:line="360" w:lineRule="auto"/>
        <w:ind w:firstLine="480"/>
        <w:rPr>
          <w:rFonts w:ascii="宋体" w:hAnsi="宋体"/>
          <w:sz w:val="24"/>
          <w:szCs w:val="24"/>
        </w:rPr>
      </w:pP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s="宋体"/>
          <w:kern w:val="0"/>
          <w:sz w:val="24"/>
          <w:szCs w:val="24"/>
        </w:rPr>
      </w:pPr>
      <w:r>
        <w:rPr>
          <w:rFonts w:ascii="宋体" w:hAnsi="宋体" w:eastAsia="宋体"/>
          <w:color w:val="000000"/>
          <w:sz w:val="24"/>
          <w:szCs w:val="24"/>
        </w:rPr>
        <w:t>202</w:t>
      </w:r>
      <w:r>
        <w:rPr>
          <w:rFonts w:hint="eastAsia" w:ascii="宋体" w:hAnsi="宋体" w:eastAsia="宋体"/>
          <w:color w:val="000000"/>
          <w:sz w:val="24"/>
          <w:szCs w:val="24"/>
        </w:rPr>
        <w:t>4年7月4日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2002816"/>
    <w:multiLevelType w:val="multilevel"/>
    <w:tmpl w:val="72002816"/>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E0C57EA"/>
    <w:multiLevelType w:val="multilevel"/>
    <w:tmpl w:val="7E0C57EA"/>
    <w:lvl w:ilvl="0" w:tentative="0">
      <w:start w:val="1"/>
      <w:numFmt w:val="japaneseCounting"/>
      <w:lvlText w:val="（%1）"/>
      <w:lvlJc w:val="left"/>
      <w:pPr>
        <w:ind w:left="1238" w:hanging="75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16F23"/>
    <w:rsid w:val="0008555B"/>
    <w:rsid w:val="000857C7"/>
    <w:rsid w:val="000A09C3"/>
    <w:rsid w:val="000A1C86"/>
    <w:rsid w:val="000A7515"/>
    <w:rsid w:val="000A7B4D"/>
    <w:rsid w:val="000B1A1F"/>
    <w:rsid w:val="000C22DE"/>
    <w:rsid w:val="000F39BB"/>
    <w:rsid w:val="00123266"/>
    <w:rsid w:val="00127276"/>
    <w:rsid w:val="001326CC"/>
    <w:rsid w:val="00140439"/>
    <w:rsid w:val="00140B9E"/>
    <w:rsid w:val="0014777F"/>
    <w:rsid w:val="001723E5"/>
    <w:rsid w:val="00192BD0"/>
    <w:rsid w:val="0019396F"/>
    <w:rsid w:val="001A727A"/>
    <w:rsid w:val="001A7942"/>
    <w:rsid w:val="001C0BDC"/>
    <w:rsid w:val="001D06CF"/>
    <w:rsid w:val="001E664E"/>
    <w:rsid w:val="001F428F"/>
    <w:rsid w:val="00207B64"/>
    <w:rsid w:val="002251BE"/>
    <w:rsid w:val="00225FE6"/>
    <w:rsid w:val="00227720"/>
    <w:rsid w:val="00237B9F"/>
    <w:rsid w:val="002424CF"/>
    <w:rsid w:val="00252550"/>
    <w:rsid w:val="00265DF3"/>
    <w:rsid w:val="002D6C0D"/>
    <w:rsid w:val="002E7DAE"/>
    <w:rsid w:val="002F0C9B"/>
    <w:rsid w:val="0032463B"/>
    <w:rsid w:val="003571E3"/>
    <w:rsid w:val="0036040D"/>
    <w:rsid w:val="00391A1B"/>
    <w:rsid w:val="003B6291"/>
    <w:rsid w:val="003B6755"/>
    <w:rsid w:val="003E38F1"/>
    <w:rsid w:val="003F1451"/>
    <w:rsid w:val="003F4CA5"/>
    <w:rsid w:val="00404221"/>
    <w:rsid w:val="00425BF0"/>
    <w:rsid w:val="00433901"/>
    <w:rsid w:val="00442777"/>
    <w:rsid w:val="00464AFC"/>
    <w:rsid w:val="004675A1"/>
    <w:rsid w:val="00491096"/>
    <w:rsid w:val="004A204F"/>
    <w:rsid w:val="004A3B08"/>
    <w:rsid w:val="004A72F5"/>
    <w:rsid w:val="004A790E"/>
    <w:rsid w:val="004B11CD"/>
    <w:rsid w:val="004B5841"/>
    <w:rsid w:val="004D041E"/>
    <w:rsid w:val="004D0E8E"/>
    <w:rsid w:val="004D4195"/>
    <w:rsid w:val="005079B8"/>
    <w:rsid w:val="00513C7A"/>
    <w:rsid w:val="00516EF2"/>
    <w:rsid w:val="00522BE2"/>
    <w:rsid w:val="005429C2"/>
    <w:rsid w:val="0055216A"/>
    <w:rsid w:val="005709ED"/>
    <w:rsid w:val="00571712"/>
    <w:rsid w:val="005A0F7F"/>
    <w:rsid w:val="005A2954"/>
    <w:rsid w:val="005B7B64"/>
    <w:rsid w:val="006150E2"/>
    <w:rsid w:val="00637BC1"/>
    <w:rsid w:val="00646D1E"/>
    <w:rsid w:val="006678F9"/>
    <w:rsid w:val="006704CD"/>
    <w:rsid w:val="0068179D"/>
    <w:rsid w:val="00685C65"/>
    <w:rsid w:val="006E4DD1"/>
    <w:rsid w:val="006F53AF"/>
    <w:rsid w:val="00701AEA"/>
    <w:rsid w:val="00707FEE"/>
    <w:rsid w:val="00712936"/>
    <w:rsid w:val="00726F44"/>
    <w:rsid w:val="007305B1"/>
    <w:rsid w:val="00752357"/>
    <w:rsid w:val="00755C3D"/>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86CCD"/>
    <w:rsid w:val="008A04C0"/>
    <w:rsid w:val="008C76DC"/>
    <w:rsid w:val="008E100D"/>
    <w:rsid w:val="008E2655"/>
    <w:rsid w:val="008E4A66"/>
    <w:rsid w:val="009014AA"/>
    <w:rsid w:val="0090186C"/>
    <w:rsid w:val="00905CD3"/>
    <w:rsid w:val="00911373"/>
    <w:rsid w:val="00915D39"/>
    <w:rsid w:val="00923C08"/>
    <w:rsid w:val="00933B34"/>
    <w:rsid w:val="00947C32"/>
    <w:rsid w:val="009700CD"/>
    <w:rsid w:val="009773E8"/>
    <w:rsid w:val="00981115"/>
    <w:rsid w:val="00984373"/>
    <w:rsid w:val="0098723C"/>
    <w:rsid w:val="009A0B19"/>
    <w:rsid w:val="009B47DE"/>
    <w:rsid w:val="009C2B72"/>
    <w:rsid w:val="009D1A30"/>
    <w:rsid w:val="009D427C"/>
    <w:rsid w:val="009E3152"/>
    <w:rsid w:val="009E3407"/>
    <w:rsid w:val="00A04ACE"/>
    <w:rsid w:val="00A059A1"/>
    <w:rsid w:val="00A078A9"/>
    <w:rsid w:val="00A106CC"/>
    <w:rsid w:val="00A15569"/>
    <w:rsid w:val="00A3206C"/>
    <w:rsid w:val="00A370B2"/>
    <w:rsid w:val="00A41121"/>
    <w:rsid w:val="00A51C23"/>
    <w:rsid w:val="00A76B87"/>
    <w:rsid w:val="00A823F8"/>
    <w:rsid w:val="00A917FF"/>
    <w:rsid w:val="00AB2B96"/>
    <w:rsid w:val="00AC3419"/>
    <w:rsid w:val="00AD401E"/>
    <w:rsid w:val="00AD581F"/>
    <w:rsid w:val="00AF18B9"/>
    <w:rsid w:val="00AF6E63"/>
    <w:rsid w:val="00B035B8"/>
    <w:rsid w:val="00B055A6"/>
    <w:rsid w:val="00B11E7E"/>
    <w:rsid w:val="00B24698"/>
    <w:rsid w:val="00B35BB5"/>
    <w:rsid w:val="00B6730B"/>
    <w:rsid w:val="00B9137C"/>
    <w:rsid w:val="00B950AB"/>
    <w:rsid w:val="00BB61B6"/>
    <w:rsid w:val="00BC233A"/>
    <w:rsid w:val="00BC3776"/>
    <w:rsid w:val="00BD4D0F"/>
    <w:rsid w:val="00BE011D"/>
    <w:rsid w:val="00BE4CBC"/>
    <w:rsid w:val="00BE4EFA"/>
    <w:rsid w:val="00BE5ABC"/>
    <w:rsid w:val="00BF7BDB"/>
    <w:rsid w:val="00C13691"/>
    <w:rsid w:val="00C33F7B"/>
    <w:rsid w:val="00C47186"/>
    <w:rsid w:val="00C67FD6"/>
    <w:rsid w:val="00C76A66"/>
    <w:rsid w:val="00C8082F"/>
    <w:rsid w:val="00C970AE"/>
    <w:rsid w:val="00CA1688"/>
    <w:rsid w:val="00CB58B2"/>
    <w:rsid w:val="00CB781A"/>
    <w:rsid w:val="00CD5091"/>
    <w:rsid w:val="00D17468"/>
    <w:rsid w:val="00D20821"/>
    <w:rsid w:val="00D4059C"/>
    <w:rsid w:val="00D45861"/>
    <w:rsid w:val="00D46F41"/>
    <w:rsid w:val="00D613FF"/>
    <w:rsid w:val="00D65BA4"/>
    <w:rsid w:val="00D8189C"/>
    <w:rsid w:val="00D847F7"/>
    <w:rsid w:val="00DA6213"/>
    <w:rsid w:val="00DB744D"/>
    <w:rsid w:val="00DC0C91"/>
    <w:rsid w:val="00DC31F3"/>
    <w:rsid w:val="00DD62E6"/>
    <w:rsid w:val="00DF3192"/>
    <w:rsid w:val="00DF46F9"/>
    <w:rsid w:val="00DF6AC3"/>
    <w:rsid w:val="00DF73E8"/>
    <w:rsid w:val="00E12632"/>
    <w:rsid w:val="00E1367C"/>
    <w:rsid w:val="00E301F1"/>
    <w:rsid w:val="00E45C41"/>
    <w:rsid w:val="00E53D43"/>
    <w:rsid w:val="00E558AE"/>
    <w:rsid w:val="00E60A72"/>
    <w:rsid w:val="00E77815"/>
    <w:rsid w:val="00E95F43"/>
    <w:rsid w:val="00EA59EE"/>
    <w:rsid w:val="00EB1D3E"/>
    <w:rsid w:val="00EB4C2B"/>
    <w:rsid w:val="00EC0CCF"/>
    <w:rsid w:val="00EC496E"/>
    <w:rsid w:val="00ED05AF"/>
    <w:rsid w:val="00EE084C"/>
    <w:rsid w:val="00F0268C"/>
    <w:rsid w:val="00F0742F"/>
    <w:rsid w:val="00F229F1"/>
    <w:rsid w:val="00F450F3"/>
    <w:rsid w:val="00F61A7B"/>
    <w:rsid w:val="00F670DD"/>
    <w:rsid w:val="00FC1833"/>
    <w:rsid w:val="00FD66ED"/>
    <w:rsid w:val="00FE6306"/>
    <w:rsid w:val="00FE6AAB"/>
    <w:rsid w:val="00FF3EA0"/>
    <w:rsid w:val="00FF7741"/>
    <w:rsid w:val="08E22254"/>
    <w:rsid w:val="098D7D5C"/>
    <w:rsid w:val="0D2016D6"/>
    <w:rsid w:val="100A1203"/>
    <w:rsid w:val="170532D4"/>
    <w:rsid w:val="17640487"/>
    <w:rsid w:val="19405189"/>
    <w:rsid w:val="1B8D41D9"/>
    <w:rsid w:val="1F044F32"/>
    <w:rsid w:val="20B00A53"/>
    <w:rsid w:val="2398593D"/>
    <w:rsid w:val="25E42F4C"/>
    <w:rsid w:val="32B0063D"/>
    <w:rsid w:val="379B1039"/>
    <w:rsid w:val="3ED22960"/>
    <w:rsid w:val="410C1F6F"/>
    <w:rsid w:val="44C85FCB"/>
    <w:rsid w:val="4512047F"/>
    <w:rsid w:val="4F773B1F"/>
    <w:rsid w:val="5150387B"/>
    <w:rsid w:val="521827E2"/>
    <w:rsid w:val="539E1492"/>
    <w:rsid w:val="54AE55F2"/>
    <w:rsid w:val="54CA7B2B"/>
    <w:rsid w:val="569025B7"/>
    <w:rsid w:val="5BD241CC"/>
    <w:rsid w:val="5CFD2E29"/>
    <w:rsid w:val="635C21C8"/>
    <w:rsid w:val="68B34579"/>
    <w:rsid w:val="6A6C62AD"/>
    <w:rsid w:val="6D711AC2"/>
    <w:rsid w:val="7153734A"/>
    <w:rsid w:val="72592739"/>
    <w:rsid w:val="72640AD5"/>
    <w:rsid w:val="72F755BC"/>
    <w:rsid w:val="73FD0012"/>
    <w:rsid w:val="77D11EA6"/>
    <w:rsid w:val="7BB0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10"/>
    <w:link w:val="3"/>
    <w:qFormat/>
    <w:uiPriority w:val="0"/>
    <w:rPr>
      <w:kern w:val="2"/>
      <w:sz w:val="18"/>
      <w:szCs w:val="18"/>
    </w:rPr>
  </w:style>
  <w:style w:type="character" w:customStyle="1" w:styleId="17">
    <w:name w:val="批注文字 字符"/>
    <w:basedOn w:val="10"/>
    <w:link w:val="2"/>
    <w:qFormat/>
    <w:uiPriority w:val="0"/>
    <w:rPr>
      <w:kern w:val="2"/>
      <w:sz w:val="21"/>
      <w:szCs w:val="22"/>
    </w:rPr>
  </w:style>
  <w:style w:type="character" w:customStyle="1" w:styleId="18">
    <w:name w:val="批注主题 字符"/>
    <w:basedOn w:val="17"/>
    <w:link w:val="7"/>
    <w:qFormat/>
    <w:uiPriority w:val="0"/>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2862</Words>
  <Characters>3197</Characters>
  <Lines>23</Lines>
  <Paragraphs>6</Paragraphs>
  <TotalTime>177</TotalTime>
  <ScaleCrop>false</ScaleCrop>
  <LinksUpToDate>false</LinksUpToDate>
  <CharactersWithSpaces>3217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2024-06-28T08:11:00Z</dcterms:created>
  <dc:creator>BJB-ZB-03</dc:creator>
  <cp:lastModifiedBy>雯亦</cp:lastModifiedBy>
  <dcterms:modified xsi:type="dcterms:W3CDTF">2024-07-03T06:19:41Z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8CEED0440E07487FA7504207B05D46D9_13</vt:lpwstr>
  </property>
</Properties>
</file>