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证券代码：6</w:t>
      </w:r>
      <w:r>
        <w:rPr>
          <w:rFonts w:asciiTheme="majorEastAsia" w:hAnsiTheme="majorEastAsia" w:eastAsiaTheme="majorEastAsia"/>
          <w:b/>
          <w:sz w:val="24"/>
          <w:szCs w:val="24"/>
        </w:rPr>
        <w:t xml:space="preserve">03191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证券简称：望变电气</w:t>
      </w:r>
      <w:r>
        <w:rPr>
          <w:rFonts w:asciiTheme="majorEastAsia" w:hAnsiTheme="majorEastAsia" w:eastAsiaTheme="majorEastAsia"/>
          <w:b/>
          <w:sz w:val="24"/>
          <w:szCs w:val="24"/>
        </w:rPr>
        <w:t xml:space="preserve">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公告编号：2</w:t>
      </w:r>
      <w:r>
        <w:rPr>
          <w:rFonts w:asciiTheme="majorEastAsia" w:hAnsiTheme="majorEastAsia" w:eastAsiaTheme="majorEastAsia"/>
          <w:b/>
          <w:sz w:val="24"/>
          <w:szCs w:val="24"/>
        </w:rPr>
        <w:t>02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4</w:t>
      </w:r>
      <w:r>
        <w:rPr>
          <w:rFonts w:asciiTheme="majorEastAsia" w:hAnsiTheme="majorEastAsia" w:eastAsiaTheme="majorEastAsia"/>
          <w:b/>
          <w:sz w:val="24"/>
          <w:szCs w:val="24"/>
        </w:rPr>
        <w:t>-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047</w:t>
      </w:r>
    </w:p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/>
          <w:color w:val="FF0000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Theme="majorEastAsia" w:hAnsiTheme="majorEastAsia" w:eastAsiaTheme="majorEastAsia"/>
          <w:b/>
          <w:color w:val="FF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重庆望变电气（集团）股份有限公司</w:t>
      </w:r>
    </w:p>
    <w:p>
      <w:pPr>
        <w:snapToGrid w:val="0"/>
        <w:spacing w:line="560" w:lineRule="exact"/>
        <w:jc w:val="center"/>
        <w:rPr>
          <w:rFonts w:cs="黑体-WinCharSetFFFF-H" w:asciiTheme="majorEastAsia" w:hAnsiTheme="majorEastAsia" w:eastAsiaTheme="majorEastAsia"/>
          <w:b/>
          <w:color w:val="FF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2</w:t>
      </w:r>
      <w:r>
        <w:rPr>
          <w:rFonts w:asciiTheme="majorEastAsia" w:hAnsiTheme="majorEastAsia" w:eastAsiaTheme="majorEastAsia"/>
          <w:b/>
          <w:color w:val="FF0000"/>
          <w:sz w:val="36"/>
          <w:szCs w:val="36"/>
        </w:rPr>
        <w:t>02</w:t>
      </w: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4年半年度业绩预告</w:t>
      </w:r>
    </w:p>
    <w:p>
      <w:pPr>
        <w:snapToGrid w:val="0"/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本公司董事会及全体董事保证本公告内容不存在任何虚假记载、误导性陈述或者重大遗漏，并对其内容的真实性、准确性和完整性承担法律责任。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67"/>
        </w:tabs>
        <w:spacing w:line="440" w:lineRule="exact"/>
        <w:ind w:left="567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重要内容提示：</w:t>
      </w:r>
    </w:p>
    <w:p>
      <w:pPr>
        <w:pStyle w:val="29"/>
        <w:numPr>
          <w:ilvl w:val="0"/>
          <w:numId w:val="1"/>
        </w:numPr>
        <w:tabs>
          <w:tab w:val="left" w:pos="567"/>
        </w:tabs>
        <w:spacing w:line="560" w:lineRule="exact"/>
        <w:ind w:firstLineChars="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本期业绩预告适用于实现盈利，且净利润与上年同期相比</w:t>
      </w:r>
      <w:r>
        <w:rPr>
          <w:rFonts w:hint="eastAsia" w:ascii="宋体" w:hAnsi="宋体"/>
          <w:sz w:val="24"/>
          <w:szCs w:val="24"/>
        </w:rPr>
        <w:t>下降</w:t>
      </w:r>
      <w:r>
        <w:rPr>
          <w:rFonts w:ascii="宋体" w:hAnsi="宋体"/>
          <w:sz w:val="24"/>
          <w:szCs w:val="24"/>
        </w:rPr>
        <w:t>50%以上。</w:t>
      </w:r>
    </w:p>
    <w:p>
      <w:pPr>
        <w:pStyle w:val="29"/>
        <w:numPr>
          <w:ilvl w:val="0"/>
          <w:numId w:val="1"/>
        </w:numPr>
        <w:tabs>
          <w:tab w:val="left" w:pos="567"/>
        </w:tabs>
        <w:spacing w:line="560" w:lineRule="exact"/>
        <w:ind w:firstLineChars="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重庆望变电气（集团）股份有限公司（以下简称“公司”）预计202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半年度</w:t>
      </w:r>
      <w:r>
        <w:rPr>
          <w:rFonts w:ascii="宋体" w:hAnsi="宋体"/>
          <w:sz w:val="24"/>
          <w:szCs w:val="24"/>
        </w:rPr>
        <w:t>实现归属于母公司所有者的净利润为</w:t>
      </w:r>
      <w:r>
        <w:rPr>
          <w:rFonts w:hint="eastAsia" w:ascii="宋体" w:hAnsi="宋体"/>
          <w:sz w:val="24"/>
          <w:szCs w:val="24"/>
        </w:rPr>
        <w:t>3,200</w:t>
      </w:r>
      <w:r>
        <w:rPr>
          <w:rFonts w:ascii="宋体" w:hAnsi="宋体"/>
          <w:sz w:val="24"/>
          <w:szCs w:val="24"/>
        </w:rPr>
        <w:t>万元至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00万元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与上年同期相比</w:t>
      </w:r>
      <w:bookmarkStart w:id="0" w:name="_Hlk124709692"/>
      <w:r>
        <w:rPr>
          <w:rFonts w:hint="eastAsia" w:ascii="宋体" w:hAnsi="宋体"/>
          <w:sz w:val="24"/>
          <w:szCs w:val="24"/>
        </w:rPr>
        <w:t>减少1</w:t>
      </w:r>
      <w:r>
        <w:rPr>
          <w:rFonts w:ascii="宋体" w:hAnsi="宋体"/>
          <w:sz w:val="24"/>
          <w:szCs w:val="24"/>
        </w:rPr>
        <w:t>1,608万元至</w:t>
      </w:r>
      <w:bookmarkEnd w:id="0"/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2,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08万元，同比</w:t>
      </w:r>
      <w:r>
        <w:rPr>
          <w:rFonts w:hint="eastAsia" w:ascii="宋体" w:hAnsi="宋体"/>
          <w:sz w:val="24"/>
          <w:szCs w:val="24"/>
        </w:rPr>
        <w:t>下降</w:t>
      </w:r>
      <w:bookmarkStart w:id="1" w:name="_Hlk124715920"/>
      <w:bookmarkStart w:id="2" w:name="_Hlk124706502"/>
      <w:r>
        <w:rPr>
          <w:rFonts w:hint="eastAsia" w:ascii="宋体" w:hAnsi="宋体"/>
          <w:sz w:val="24"/>
          <w:szCs w:val="24"/>
        </w:rPr>
        <w:t>75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4%</w:t>
      </w:r>
      <w:bookmarkEnd w:id="1"/>
      <w:r>
        <w:rPr>
          <w:rFonts w:ascii="宋体" w:hAnsi="宋体"/>
          <w:sz w:val="24"/>
          <w:szCs w:val="24"/>
        </w:rPr>
        <w:t>到</w:t>
      </w:r>
      <w:bookmarkEnd w:id="2"/>
      <w:bookmarkStart w:id="3" w:name="_Hlk124715927"/>
      <w:r>
        <w:rPr>
          <w:rFonts w:hint="eastAsia" w:ascii="宋体" w:hAnsi="宋体"/>
          <w:sz w:val="24"/>
          <w:szCs w:val="24"/>
        </w:rPr>
        <w:t>79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3%</w:t>
      </w:r>
      <w:bookmarkEnd w:id="3"/>
      <w:r>
        <w:rPr>
          <w:rFonts w:ascii="宋体" w:hAnsi="宋体"/>
          <w:sz w:val="24"/>
          <w:szCs w:val="24"/>
        </w:rPr>
        <w:t>。</w:t>
      </w:r>
    </w:p>
    <w:p>
      <w:pPr>
        <w:pStyle w:val="29"/>
        <w:numPr>
          <w:ilvl w:val="0"/>
          <w:numId w:val="1"/>
        </w:numPr>
        <w:tabs>
          <w:tab w:val="left" w:pos="567"/>
        </w:tabs>
        <w:spacing w:line="560" w:lineRule="exact"/>
        <w:ind w:firstLineChars="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预计202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半年度</w:t>
      </w:r>
      <w:r>
        <w:rPr>
          <w:rFonts w:ascii="宋体" w:hAnsi="宋体"/>
          <w:sz w:val="24"/>
          <w:szCs w:val="24"/>
        </w:rPr>
        <w:t>实现归属于母公司所有者的扣除非经常性损益的净利润为</w:t>
      </w:r>
      <w:bookmarkStart w:id="4" w:name="_Hlk124709733"/>
      <w:bookmarkStart w:id="5" w:name="_Hlk124706518"/>
      <w:r>
        <w:rPr>
          <w:rFonts w:hint="eastAsia" w:ascii="宋体" w:hAnsi="宋体"/>
          <w:sz w:val="24"/>
          <w:szCs w:val="24"/>
        </w:rPr>
        <w:t>1,300</w:t>
      </w:r>
      <w:r>
        <w:rPr>
          <w:rFonts w:ascii="宋体" w:hAnsi="宋体"/>
          <w:sz w:val="24"/>
          <w:szCs w:val="24"/>
        </w:rPr>
        <w:t>万元至</w:t>
      </w:r>
      <w:bookmarkEnd w:id="4"/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00万元</w:t>
      </w:r>
      <w:bookmarkEnd w:id="5"/>
      <w:r>
        <w:rPr>
          <w:rFonts w:ascii="宋体" w:hAnsi="宋体"/>
          <w:sz w:val="24"/>
          <w:szCs w:val="24"/>
        </w:rPr>
        <w:t>，与上年同期相比</w:t>
      </w:r>
      <w:bookmarkStart w:id="6" w:name="_Hlk124709746"/>
      <w:bookmarkStart w:id="7" w:name="_Hlk124706537"/>
      <w:r>
        <w:rPr>
          <w:rFonts w:hint="eastAsia" w:ascii="宋体" w:hAnsi="宋体"/>
          <w:sz w:val="24"/>
          <w:szCs w:val="24"/>
        </w:rPr>
        <w:t>减少13,318</w:t>
      </w:r>
      <w:r>
        <w:rPr>
          <w:rFonts w:ascii="宋体" w:hAnsi="宋体"/>
          <w:sz w:val="24"/>
          <w:szCs w:val="24"/>
        </w:rPr>
        <w:t>万元到</w:t>
      </w:r>
      <w:bookmarkEnd w:id="6"/>
      <w:r>
        <w:rPr>
          <w:rFonts w:hint="eastAsia" w:ascii="宋体" w:hAnsi="宋体"/>
          <w:sz w:val="24"/>
          <w:szCs w:val="24"/>
        </w:rPr>
        <w:t>13,9</w:t>
      </w:r>
      <w:r>
        <w:rPr>
          <w:rFonts w:ascii="宋体" w:hAnsi="宋体"/>
          <w:sz w:val="24"/>
          <w:szCs w:val="24"/>
        </w:rPr>
        <w:t>18万元</w:t>
      </w:r>
      <w:bookmarkEnd w:id="7"/>
      <w:r>
        <w:rPr>
          <w:rFonts w:ascii="宋体" w:hAnsi="宋体"/>
          <w:sz w:val="24"/>
          <w:szCs w:val="24"/>
        </w:rPr>
        <w:t>，同比</w:t>
      </w:r>
      <w:r>
        <w:rPr>
          <w:rFonts w:hint="eastAsia" w:ascii="宋体" w:hAnsi="宋体"/>
          <w:sz w:val="24"/>
          <w:szCs w:val="24"/>
        </w:rPr>
        <w:t>下降87.52</w:t>
      </w:r>
      <w:r>
        <w:rPr>
          <w:rFonts w:ascii="宋体" w:hAnsi="宋体"/>
          <w:sz w:val="24"/>
          <w:szCs w:val="24"/>
        </w:rPr>
        <w:t>%到</w:t>
      </w:r>
      <w:r>
        <w:rPr>
          <w:rFonts w:hint="eastAsia" w:ascii="宋体" w:hAnsi="宋体"/>
          <w:sz w:val="24"/>
          <w:szCs w:val="24"/>
        </w:rPr>
        <w:t>91.46</w:t>
      </w:r>
      <w:r>
        <w:rPr>
          <w:rFonts w:ascii="宋体" w:hAnsi="宋体"/>
          <w:sz w:val="24"/>
          <w:szCs w:val="24"/>
        </w:rPr>
        <w:t>%。</w:t>
      </w:r>
    </w:p>
    <w:p>
      <w:pPr>
        <w:pStyle w:val="29"/>
        <w:tabs>
          <w:tab w:val="left" w:pos="567"/>
        </w:tabs>
        <w:spacing w:line="440" w:lineRule="exact"/>
        <w:ind w:left="987" w:firstLine="0" w:firstLineChars="0"/>
        <w:jc w:val="left"/>
        <w:rPr>
          <w:rFonts w:ascii="宋体" w:hAnsi="宋体"/>
          <w:kern w:val="0"/>
          <w:sz w:val="24"/>
          <w:szCs w:val="24"/>
        </w:rPr>
      </w:pPr>
    </w:p>
    <w:p>
      <w:pPr>
        <w:tabs>
          <w:tab w:val="left" w:pos="567"/>
        </w:tabs>
        <w:spacing w:line="440" w:lineRule="exact"/>
        <w:ind w:left="567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一、本期业绩预告情况</w:t>
      </w:r>
    </w:p>
    <w:p>
      <w:pPr>
        <w:tabs>
          <w:tab w:val="left" w:pos="567"/>
        </w:tabs>
        <w:spacing w:line="44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ascii="宋体" w:hAnsi="宋体"/>
          <w:sz w:val="24"/>
          <w:szCs w:val="24"/>
        </w:rPr>
        <w:t>业绩预告期间</w:t>
      </w:r>
    </w:p>
    <w:p>
      <w:pPr>
        <w:tabs>
          <w:tab w:val="left" w:pos="567"/>
        </w:tabs>
        <w:spacing w:line="440" w:lineRule="exact"/>
        <w:ind w:left="567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年1月1日至202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月3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日</w:t>
      </w:r>
    </w:p>
    <w:p>
      <w:pPr>
        <w:pStyle w:val="29"/>
        <w:numPr>
          <w:ilvl w:val="0"/>
          <w:numId w:val="2"/>
        </w:numPr>
        <w:tabs>
          <w:tab w:val="left" w:pos="567"/>
        </w:tabs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业绩预告情况</w:t>
      </w:r>
    </w:p>
    <w:p>
      <w:pPr>
        <w:pStyle w:val="29"/>
        <w:tabs>
          <w:tab w:val="left" w:pos="567"/>
        </w:tabs>
        <w:spacing w:line="5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经财务部门初步测算</w:t>
      </w:r>
      <w:r>
        <w:rPr>
          <w:rFonts w:hint="eastAsia" w:ascii="宋体" w:hAnsi="宋体"/>
          <w:sz w:val="24"/>
          <w:szCs w:val="24"/>
        </w:rPr>
        <w:t>，预计2024年半年度实现归属于母公司所有者的净利润为3,200万元至3,8</w:t>
      </w:r>
      <w:r>
        <w:rPr>
          <w:rFonts w:ascii="宋体" w:hAns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万元，与上年同期相比减少1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,6</w:t>
      </w:r>
      <w:r>
        <w:rPr>
          <w:rFonts w:ascii="宋体" w:hAnsi="宋体"/>
          <w:sz w:val="24"/>
          <w:szCs w:val="24"/>
        </w:rPr>
        <w:t>08</w:t>
      </w:r>
      <w:r>
        <w:rPr>
          <w:rFonts w:hint="eastAsia" w:ascii="宋体" w:hAnsi="宋体"/>
          <w:sz w:val="24"/>
          <w:szCs w:val="24"/>
        </w:rPr>
        <w:t>万元至1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,2</w:t>
      </w:r>
      <w:r>
        <w:rPr>
          <w:rFonts w:ascii="宋体" w:hAnsi="宋体"/>
          <w:sz w:val="24"/>
          <w:szCs w:val="24"/>
        </w:rPr>
        <w:t>08</w:t>
      </w:r>
      <w:r>
        <w:rPr>
          <w:rFonts w:hint="eastAsia" w:ascii="宋体" w:hAnsi="宋体"/>
          <w:sz w:val="24"/>
          <w:szCs w:val="24"/>
        </w:rPr>
        <w:t>万元，同比下降75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%到79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%。预计2024年半年度实现归属于母公司所有者的扣除非经常性损益的净利润为1,300万元至1,9</w:t>
      </w:r>
      <w:r>
        <w:rPr>
          <w:rFonts w:ascii="宋体" w:hAns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万元，与上年同期相比减少13,3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万元到13,918万元，同比下降87.52%到91.46%。</w:t>
      </w:r>
    </w:p>
    <w:p>
      <w:pPr>
        <w:pStyle w:val="29"/>
        <w:numPr>
          <w:ilvl w:val="0"/>
          <w:numId w:val="2"/>
        </w:numPr>
        <w:tabs>
          <w:tab w:val="left" w:pos="567"/>
        </w:tabs>
        <w:spacing w:line="56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本次业绩预告未经注册会计师审计。</w:t>
      </w:r>
    </w:p>
    <w:p>
      <w:pPr>
        <w:tabs>
          <w:tab w:val="left" w:pos="567"/>
        </w:tabs>
        <w:spacing w:line="440" w:lineRule="exact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二、上年同期经营业绩和财务状况</w:t>
      </w:r>
    </w:p>
    <w:p>
      <w:pPr>
        <w:tabs>
          <w:tab w:val="left" w:pos="567"/>
        </w:tabs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（一）归属于母公司所有者的净利润为</w:t>
      </w:r>
      <w:r>
        <w:rPr>
          <w:rFonts w:hint="eastAsia" w:ascii="宋体" w:hAnsi="宋体"/>
          <w:sz w:val="24"/>
          <w:szCs w:val="24"/>
        </w:rPr>
        <w:t>15,408.03</w:t>
      </w:r>
      <w:r>
        <w:rPr>
          <w:rFonts w:ascii="宋体" w:hAnsi="宋体"/>
          <w:sz w:val="24"/>
          <w:szCs w:val="24"/>
        </w:rPr>
        <w:t>万元，归属于母公司所有者的扣除非经常性损益的净利润</w:t>
      </w:r>
      <w:r>
        <w:rPr>
          <w:rFonts w:hint="eastAsia" w:ascii="宋体" w:hAnsi="宋体"/>
          <w:sz w:val="24"/>
          <w:szCs w:val="24"/>
        </w:rPr>
        <w:t>15,218.59</w:t>
      </w:r>
      <w:r>
        <w:rPr>
          <w:rFonts w:ascii="宋体" w:hAnsi="宋体"/>
          <w:sz w:val="24"/>
          <w:szCs w:val="24"/>
        </w:rPr>
        <w:t>万元。</w:t>
      </w:r>
    </w:p>
    <w:p>
      <w:pPr>
        <w:tabs>
          <w:tab w:val="left" w:pos="567"/>
        </w:tabs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（二）每股收益：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46</w:t>
      </w:r>
      <w:r>
        <w:rPr>
          <w:rFonts w:ascii="宋体" w:hAnsi="宋体"/>
          <w:sz w:val="24"/>
          <w:szCs w:val="24"/>
        </w:rPr>
        <w:t>元。</w:t>
      </w:r>
    </w:p>
    <w:p>
      <w:pPr>
        <w:tabs>
          <w:tab w:val="left" w:pos="567"/>
        </w:tabs>
        <w:spacing w:line="44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tabs>
          <w:tab w:val="left" w:pos="567"/>
        </w:tabs>
        <w:spacing w:line="440" w:lineRule="exact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三、本期业绩</w:t>
      </w:r>
      <w:r>
        <w:rPr>
          <w:rFonts w:hint="eastAsia" w:ascii="宋体" w:hAnsi="宋体"/>
          <w:b/>
          <w:sz w:val="24"/>
          <w:szCs w:val="24"/>
        </w:rPr>
        <w:t>预减</w:t>
      </w:r>
      <w:r>
        <w:rPr>
          <w:rFonts w:ascii="宋体" w:hAnsi="宋体"/>
          <w:b/>
          <w:sz w:val="24"/>
          <w:szCs w:val="24"/>
        </w:rPr>
        <w:t>的主要原因</w:t>
      </w:r>
    </w:p>
    <w:p>
      <w:pPr>
        <w:tabs>
          <w:tab w:val="left" w:pos="567"/>
        </w:tabs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本报告期，业绩预减的主要原因系取向硅钢产品销售价格下降，具体情况如下：</w:t>
      </w:r>
    </w:p>
    <w:p>
      <w:pPr>
        <w:tabs>
          <w:tab w:val="left" w:pos="567"/>
        </w:tabs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（一）国内取向硅钢总体产能及产量影响</w:t>
      </w:r>
    </w:p>
    <w:p>
      <w:pPr>
        <w:tabs>
          <w:tab w:val="left" w:pos="567"/>
        </w:tabs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国内取向硅钢产能从2022年的206.6万吨增加到2023年年底的290.6万吨,环比增加84万吨，增幅超过40%，全国产量从2022年的217.4万吨增加到2023年的263.7万吨，增加46.3万吨，增幅超过20%；新增产能大量投放市场导致取向硅钢市场行情下行。</w:t>
      </w:r>
    </w:p>
    <w:p>
      <w:pPr>
        <w:tabs>
          <w:tab w:val="left" w:pos="567"/>
        </w:tabs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（二）市场价格影响</w:t>
      </w:r>
    </w:p>
    <w:p>
      <w:pPr>
        <w:tabs>
          <w:tab w:val="left" w:pos="567"/>
        </w:tabs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根据同花顺统计，上海宝钢生产的型号为0.23*980-1000的冷轧取向硅钢，其销售价格从2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年1</w:t>
      </w:r>
      <w:r>
        <w:rPr>
          <w:sz w:val="24"/>
          <w:szCs w:val="24"/>
        </w:rPr>
        <w:t>-6</w:t>
      </w:r>
      <w:r>
        <w:rPr>
          <w:rFonts w:hint="eastAsia"/>
          <w:sz w:val="24"/>
          <w:szCs w:val="24"/>
        </w:rPr>
        <w:t>月平均含税价1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>225</w:t>
      </w:r>
      <w:r>
        <w:rPr>
          <w:rFonts w:hint="eastAsia"/>
          <w:sz w:val="24"/>
          <w:szCs w:val="24"/>
        </w:rPr>
        <w:t>元/吨下降至2</w:t>
      </w:r>
      <w:r>
        <w:rPr>
          <w:sz w:val="24"/>
          <w:szCs w:val="24"/>
        </w:rPr>
        <w:t>024</w:t>
      </w:r>
      <w:r>
        <w:rPr>
          <w:rFonts w:hint="eastAsia"/>
          <w:sz w:val="24"/>
          <w:szCs w:val="24"/>
        </w:rPr>
        <w:t>年1</w:t>
      </w:r>
      <w:r>
        <w:rPr>
          <w:sz w:val="24"/>
          <w:szCs w:val="24"/>
        </w:rPr>
        <w:t>-6</w:t>
      </w:r>
      <w:r>
        <w:rPr>
          <w:rFonts w:hint="eastAsia"/>
          <w:sz w:val="24"/>
          <w:szCs w:val="24"/>
        </w:rPr>
        <w:t>月平均含税价1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>370</w:t>
      </w:r>
      <w:r>
        <w:rPr>
          <w:rFonts w:hint="eastAsia"/>
          <w:sz w:val="24"/>
          <w:szCs w:val="24"/>
        </w:rPr>
        <w:t>元/吨，同比下降了3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7%</w:t>
      </w:r>
      <w:r>
        <w:rPr>
          <w:rFonts w:hint="eastAsia"/>
          <w:sz w:val="24"/>
          <w:szCs w:val="24"/>
        </w:rPr>
        <w:t>。</w:t>
      </w:r>
    </w:p>
    <w:p>
      <w:pPr>
        <w:tabs>
          <w:tab w:val="left" w:pos="567"/>
        </w:tabs>
        <w:spacing w:line="560" w:lineRule="exact"/>
        <w:ind w:firstLine="480" w:firstLineChars="2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因此，公司预计本报告期取向硅钢产品销售收入较上年同期下降约10%；同时，受市场环境影响，取向硅钢产品销售单价的降幅较大程度超过了单位成</w:t>
      </w:r>
      <w:r>
        <w:rPr>
          <w:rFonts w:hint="eastAsia"/>
          <w:sz w:val="24"/>
          <w:szCs w:val="24"/>
          <w:lang w:val="en-US" w:eastAsia="zh-CN"/>
        </w:rPr>
        <w:t>本</w:t>
      </w:r>
      <w:r>
        <w:rPr>
          <w:rFonts w:hint="eastAsia"/>
          <w:sz w:val="24"/>
          <w:szCs w:val="24"/>
        </w:rPr>
        <w:t>降幅，导致取向硅钢产品毛利率显著下降，预计毛利率将从去年同期的30%下降至大约7%，从而导致本报告期业绩同比预减。</w:t>
      </w:r>
    </w:p>
    <w:p>
      <w:pPr>
        <w:tabs>
          <w:tab w:val="left" w:pos="567"/>
        </w:tabs>
        <w:spacing w:line="440" w:lineRule="exact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</w:t>
      </w:r>
      <w:r>
        <w:rPr>
          <w:rFonts w:ascii="宋体" w:hAnsi="宋体"/>
          <w:b/>
          <w:sz w:val="24"/>
          <w:szCs w:val="24"/>
        </w:rPr>
        <w:t>、风险提示</w:t>
      </w:r>
    </w:p>
    <w:p>
      <w:pPr>
        <w:tabs>
          <w:tab w:val="left" w:pos="567"/>
        </w:tabs>
        <w:spacing w:line="56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本次业绩预告是公司财务部门基于自身专业判断进行的初步测算，未经注册会计师审计。截止目前，公司不存在可能影响本次业绩预告内容准确性的重大不确定性因素。</w:t>
      </w:r>
    </w:p>
    <w:p>
      <w:pPr>
        <w:tabs>
          <w:tab w:val="left" w:pos="567"/>
        </w:tabs>
        <w:spacing w:line="440" w:lineRule="exact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</w:t>
      </w:r>
      <w:r>
        <w:rPr>
          <w:rFonts w:ascii="宋体" w:hAnsi="宋体"/>
          <w:b/>
          <w:sz w:val="24"/>
          <w:szCs w:val="24"/>
        </w:rPr>
        <w:t>、其他说明事项</w:t>
      </w:r>
    </w:p>
    <w:p>
      <w:pPr>
        <w:tabs>
          <w:tab w:val="left" w:pos="567"/>
        </w:tabs>
        <w:spacing w:line="56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以上预告数据仅为初步核算数据，具体财务数据将在公司</w:t>
      </w:r>
      <w:r>
        <w:rPr>
          <w:rFonts w:hint="eastAsia" w:ascii="宋体" w:hAnsi="宋体"/>
          <w:sz w:val="24"/>
          <w:szCs w:val="24"/>
        </w:rPr>
        <w:t>正式披露的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半年度</w:t>
      </w:r>
      <w:r>
        <w:rPr>
          <w:rFonts w:ascii="宋体" w:hAnsi="宋体"/>
          <w:sz w:val="24"/>
          <w:szCs w:val="24"/>
        </w:rPr>
        <w:t>报告中详细披露。敬请广大投资者谨慎决策，注意投资风险。</w:t>
      </w:r>
    </w:p>
    <w:p>
      <w:pPr>
        <w:tabs>
          <w:tab w:val="left" w:pos="567"/>
        </w:tabs>
        <w:spacing w:line="56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adjustRightInd w:val="0"/>
        <w:spacing w:line="560" w:lineRule="exact"/>
        <w:ind w:firstLine="460" w:firstLineChars="192"/>
        <w:jc w:val="left"/>
        <w:rPr>
          <w:rFonts w:cs="宋体-WinCharSetFFFF-H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特此公告。</w:t>
      </w:r>
    </w:p>
    <w:p>
      <w:pPr>
        <w:autoSpaceDE w:val="0"/>
        <w:autoSpaceDN w:val="0"/>
        <w:adjustRightInd w:val="0"/>
        <w:spacing w:line="560" w:lineRule="exact"/>
        <w:jc w:val="right"/>
        <w:rPr>
          <w:rFonts w:cs="宋体-WinCharSetFFFF-H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重庆望变电气（集团）</w:t>
      </w:r>
      <w:r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股份有限公司董事会</w:t>
      </w:r>
    </w:p>
    <w:p>
      <w:pPr>
        <w:spacing w:line="560" w:lineRule="exact"/>
        <w:jc w:val="right"/>
        <w:rPr>
          <w:rFonts w:cs="宋体-WinCharSetFFFF-H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202</w:t>
      </w:r>
      <w:r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年7月</w:t>
      </w:r>
      <w:r>
        <w:rPr>
          <w:rFonts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1</w:t>
      </w:r>
      <w:r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0日</w:t>
      </w:r>
    </w:p>
    <w:p>
      <w:pPr>
        <w:spacing w:line="560" w:lineRule="exact"/>
        <w:jc w:val="right"/>
        <w:rPr>
          <w:rFonts w:cs="宋体-WinCharSetFFFF-H" w:asciiTheme="minorEastAsia" w:hAnsiTheme="minorEastAsia" w:eastAsiaTheme="minorEastAsia"/>
          <w:color w:val="000000"/>
          <w:kern w:val="0"/>
          <w:sz w:val="24"/>
          <w:szCs w:val="24"/>
        </w:rPr>
      </w:pPr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黑体-WinCharSetFFFF-H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WinCharSetFFFF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77007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C160CF"/>
    <w:multiLevelType w:val="multilevel"/>
    <w:tmpl w:val="35C160CF"/>
    <w:lvl w:ilvl="0" w:tentative="0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AC9751F"/>
    <w:multiLevelType w:val="multilevel"/>
    <w:tmpl w:val="6AC9751F"/>
    <w:lvl w:ilvl="0" w:tentative="0">
      <w:start w:val="1"/>
      <w:numFmt w:val="bullet"/>
      <w:lvlText w:val=""/>
      <w:lvlJc w:val="lef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ZmRmZDMxMjkwMDE2NTk0ZWQ1ZWYwMzRmYjVhNmUifQ=="/>
    <w:docVar w:name="KSO_WPS_MARK_KEY" w:val="44802625-1500-4e61-a744-51dc88ee1234"/>
  </w:docVars>
  <w:rsids>
    <w:rsidRoot w:val="00BF2ECD"/>
    <w:rsid w:val="00000558"/>
    <w:rsid w:val="00004DD8"/>
    <w:rsid w:val="00005DBE"/>
    <w:rsid w:val="00005DC5"/>
    <w:rsid w:val="0001585B"/>
    <w:rsid w:val="00017440"/>
    <w:rsid w:val="000215DB"/>
    <w:rsid w:val="00032463"/>
    <w:rsid w:val="00035A07"/>
    <w:rsid w:val="000375FD"/>
    <w:rsid w:val="00046E72"/>
    <w:rsid w:val="00063BED"/>
    <w:rsid w:val="00095E4D"/>
    <w:rsid w:val="000A1BF3"/>
    <w:rsid w:val="000A1E26"/>
    <w:rsid w:val="000B07FC"/>
    <w:rsid w:val="000B6044"/>
    <w:rsid w:val="000D08A2"/>
    <w:rsid w:val="000D519F"/>
    <w:rsid w:val="000E3045"/>
    <w:rsid w:val="000E3C59"/>
    <w:rsid w:val="000F2053"/>
    <w:rsid w:val="000F2D46"/>
    <w:rsid w:val="00110C8C"/>
    <w:rsid w:val="00120CF5"/>
    <w:rsid w:val="00126188"/>
    <w:rsid w:val="001368F4"/>
    <w:rsid w:val="00150E21"/>
    <w:rsid w:val="0015611A"/>
    <w:rsid w:val="0017188D"/>
    <w:rsid w:val="00173E73"/>
    <w:rsid w:val="001824D4"/>
    <w:rsid w:val="00183A01"/>
    <w:rsid w:val="00184498"/>
    <w:rsid w:val="001944E0"/>
    <w:rsid w:val="001B40A0"/>
    <w:rsid w:val="001C230D"/>
    <w:rsid w:val="001D37B2"/>
    <w:rsid w:val="001E5089"/>
    <w:rsid w:val="001F7509"/>
    <w:rsid w:val="00204B76"/>
    <w:rsid w:val="00212929"/>
    <w:rsid w:val="00217B2A"/>
    <w:rsid w:val="0022031A"/>
    <w:rsid w:val="00232660"/>
    <w:rsid w:val="00232B9D"/>
    <w:rsid w:val="002413B5"/>
    <w:rsid w:val="00247C74"/>
    <w:rsid w:val="002553D7"/>
    <w:rsid w:val="0026156D"/>
    <w:rsid w:val="00264C7F"/>
    <w:rsid w:val="00265D3B"/>
    <w:rsid w:val="00266DA9"/>
    <w:rsid w:val="00281D44"/>
    <w:rsid w:val="00281D93"/>
    <w:rsid w:val="00284BB0"/>
    <w:rsid w:val="0028586C"/>
    <w:rsid w:val="00285C5D"/>
    <w:rsid w:val="00290CF0"/>
    <w:rsid w:val="00291DB8"/>
    <w:rsid w:val="0029448F"/>
    <w:rsid w:val="002A0E5D"/>
    <w:rsid w:val="002A5CA0"/>
    <w:rsid w:val="002A7749"/>
    <w:rsid w:val="002C189A"/>
    <w:rsid w:val="002C37D3"/>
    <w:rsid w:val="002D3374"/>
    <w:rsid w:val="002E10C1"/>
    <w:rsid w:val="00300216"/>
    <w:rsid w:val="00306D91"/>
    <w:rsid w:val="00311C77"/>
    <w:rsid w:val="00311F57"/>
    <w:rsid w:val="00312996"/>
    <w:rsid w:val="00313A26"/>
    <w:rsid w:val="00316886"/>
    <w:rsid w:val="00316A4F"/>
    <w:rsid w:val="00342D85"/>
    <w:rsid w:val="00344208"/>
    <w:rsid w:val="003459AF"/>
    <w:rsid w:val="003878F3"/>
    <w:rsid w:val="0039442B"/>
    <w:rsid w:val="003A6729"/>
    <w:rsid w:val="003C2296"/>
    <w:rsid w:val="003D41F7"/>
    <w:rsid w:val="003D5483"/>
    <w:rsid w:val="003D57BB"/>
    <w:rsid w:val="003E0DC1"/>
    <w:rsid w:val="003E3B77"/>
    <w:rsid w:val="003E4B0A"/>
    <w:rsid w:val="00400A2D"/>
    <w:rsid w:val="00412966"/>
    <w:rsid w:val="0041687B"/>
    <w:rsid w:val="004430D5"/>
    <w:rsid w:val="00451489"/>
    <w:rsid w:val="00460BFE"/>
    <w:rsid w:val="004612AA"/>
    <w:rsid w:val="00471FF8"/>
    <w:rsid w:val="00477264"/>
    <w:rsid w:val="00483BA3"/>
    <w:rsid w:val="00487DEB"/>
    <w:rsid w:val="00491ECF"/>
    <w:rsid w:val="00496A60"/>
    <w:rsid w:val="004A0178"/>
    <w:rsid w:val="004A3205"/>
    <w:rsid w:val="004B493E"/>
    <w:rsid w:val="004B5DEB"/>
    <w:rsid w:val="004D54A4"/>
    <w:rsid w:val="004D5D81"/>
    <w:rsid w:val="004D6EA6"/>
    <w:rsid w:val="004E2864"/>
    <w:rsid w:val="004E5386"/>
    <w:rsid w:val="00501BA7"/>
    <w:rsid w:val="005372A1"/>
    <w:rsid w:val="00537441"/>
    <w:rsid w:val="00540399"/>
    <w:rsid w:val="005443A9"/>
    <w:rsid w:val="00547519"/>
    <w:rsid w:val="00557CBA"/>
    <w:rsid w:val="00563B90"/>
    <w:rsid w:val="00566910"/>
    <w:rsid w:val="00566C60"/>
    <w:rsid w:val="00574E1C"/>
    <w:rsid w:val="00582DEF"/>
    <w:rsid w:val="00585F55"/>
    <w:rsid w:val="00594A53"/>
    <w:rsid w:val="005A31C9"/>
    <w:rsid w:val="005B346A"/>
    <w:rsid w:val="005C49B4"/>
    <w:rsid w:val="005C64B8"/>
    <w:rsid w:val="005E7A22"/>
    <w:rsid w:val="005F1F26"/>
    <w:rsid w:val="0060240F"/>
    <w:rsid w:val="00603B61"/>
    <w:rsid w:val="00611BEF"/>
    <w:rsid w:val="00612137"/>
    <w:rsid w:val="0062097A"/>
    <w:rsid w:val="00630BD2"/>
    <w:rsid w:val="00631267"/>
    <w:rsid w:val="006323CB"/>
    <w:rsid w:val="00632C04"/>
    <w:rsid w:val="006442FE"/>
    <w:rsid w:val="00653E85"/>
    <w:rsid w:val="0065652D"/>
    <w:rsid w:val="00657879"/>
    <w:rsid w:val="00670247"/>
    <w:rsid w:val="00671ED3"/>
    <w:rsid w:val="006754DD"/>
    <w:rsid w:val="00686E15"/>
    <w:rsid w:val="006A206E"/>
    <w:rsid w:val="006A5233"/>
    <w:rsid w:val="006B45CE"/>
    <w:rsid w:val="006B618B"/>
    <w:rsid w:val="006C2CF7"/>
    <w:rsid w:val="006C718B"/>
    <w:rsid w:val="006D2D1B"/>
    <w:rsid w:val="006E2989"/>
    <w:rsid w:val="006F47AA"/>
    <w:rsid w:val="00701284"/>
    <w:rsid w:val="00702498"/>
    <w:rsid w:val="00711EF8"/>
    <w:rsid w:val="00715AE7"/>
    <w:rsid w:val="0071679B"/>
    <w:rsid w:val="007175CC"/>
    <w:rsid w:val="00735469"/>
    <w:rsid w:val="00735A2B"/>
    <w:rsid w:val="00740DE7"/>
    <w:rsid w:val="007438ED"/>
    <w:rsid w:val="00744E73"/>
    <w:rsid w:val="00762F04"/>
    <w:rsid w:val="00763FBD"/>
    <w:rsid w:val="00766DA1"/>
    <w:rsid w:val="007677B7"/>
    <w:rsid w:val="0077027A"/>
    <w:rsid w:val="00773B2C"/>
    <w:rsid w:val="00774E67"/>
    <w:rsid w:val="00774EE2"/>
    <w:rsid w:val="00781166"/>
    <w:rsid w:val="007856CD"/>
    <w:rsid w:val="0079689B"/>
    <w:rsid w:val="007974E9"/>
    <w:rsid w:val="007A5E67"/>
    <w:rsid w:val="007B294B"/>
    <w:rsid w:val="007B2E75"/>
    <w:rsid w:val="007C3DFA"/>
    <w:rsid w:val="007C416B"/>
    <w:rsid w:val="0080295D"/>
    <w:rsid w:val="0083212F"/>
    <w:rsid w:val="00842D10"/>
    <w:rsid w:val="0084706B"/>
    <w:rsid w:val="00847983"/>
    <w:rsid w:val="008527FA"/>
    <w:rsid w:val="00853838"/>
    <w:rsid w:val="0085726F"/>
    <w:rsid w:val="00857AB8"/>
    <w:rsid w:val="00870AD9"/>
    <w:rsid w:val="008734B5"/>
    <w:rsid w:val="008827E6"/>
    <w:rsid w:val="0088545B"/>
    <w:rsid w:val="008855CB"/>
    <w:rsid w:val="008872C2"/>
    <w:rsid w:val="00895F4B"/>
    <w:rsid w:val="008B6C5F"/>
    <w:rsid w:val="008D0982"/>
    <w:rsid w:val="008D215B"/>
    <w:rsid w:val="008E0308"/>
    <w:rsid w:val="008E2FF0"/>
    <w:rsid w:val="008E31FE"/>
    <w:rsid w:val="008E3B86"/>
    <w:rsid w:val="008E43E4"/>
    <w:rsid w:val="008E4655"/>
    <w:rsid w:val="008F1D0F"/>
    <w:rsid w:val="008F2906"/>
    <w:rsid w:val="008F4F4F"/>
    <w:rsid w:val="009068F8"/>
    <w:rsid w:val="00906C2E"/>
    <w:rsid w:val="00907B52"/>
    <w:rsid w:val="00912802"/>
    <w:rsid w:val="00914827"/>
    <w:rsid w:val="00922DB1"/>
    <w:rsid w:val="00940169"/>
    <w:rsid w:val="00940F22"/>
    <w:rsid w:val="009564A0"/>
    <w:rsid w:val="00962528"/>
    <w:rsid w:val="009750A0"/>
    <w:rsid w:val="0097579E"/>
    <w:rsid w:val="009772BB"/>
    <w:rsid w:val="00982FA1"/>
    <w:rsid w:val="009A54B4"/>
    <w:rsid w:val="009B2C22"/>
    <w:rsid w:val="009B4389"/>
    <w:rsid w:val="009D687C"/>
    <w:rsid w:val="009E0533"/>
    <w:rsid w:val="009F0406"/>
    <w:rsid w:val="009F1258"/>
    <w:rsid w:val="00A00577"/>
    <w:rsid w:val="00A027D7"/>
    <w:rsid w:val="00A050AE"/>
    <w:rsid w:val="00A21F48"/>
    <w:rsid w:val="00A22602"/>
    <w:rsid w:val="00A26B81"/>
    <w:rsid w:val="00A317FA"/>
    <w:rsid w:val="00A4156D"/>
    <w:rsid w:val="00A54920"/>
    <w:rsid w:val="00A64991"/>
    <w:rsid w:val="00A849B7"/>
    <w:rsid w:val="00A95E96"/>
    <w:rsid w:val="00AA1DF6"/>
    <w:rsid w:val="00AB0AED"/>
    <w:rsid w:val="00AB23D6"/>
    <w:rsid w:val="00AC0937"/>
    <w:rsid w:val="00AC5AED"/>
    <w:rsid w:val="00AC6182"/>
    <w:rsid w:val="00AD52D4"/>
    <w:rsid w:val="00AE06F3"/>
    <w:rsid w:val="00AE3238"/>
    <w:rsid w:val="00AF43FD"/>
    <w:rsid w:val="00AF4934"/>
    <w:rsid w:val="00B00573"/>
    <w:rsid w:val="00B10BE7"/>
    <w:rsid w:val="00B13567"/>
    <w:rsid w:val="00B14F56"/>
    <w:rsid w:val="00B3338B"/>
    <w:rsid w:val="00B40B95"/>
    <w:rsid w:val="00B5596B"/>
    <w:rsid w:val="00B64496"/>
    <w:rsid w:val="00B66649"/>
    <w:rsid w:val="00B70608"/>
    <w:rsid w:val="00B7680C"/>
    <w:rsid w:val="00B85AA8"/>
    <w:rsid w:val="00B93539"/>
    <w:rsid w:val="00B93D18"/>
    <w:rsid w:val="00B95A5B"/>
    <w:rsid w:val="00B97549"/>
    <w:rsid w:val="00BA1AD2"/>
    <w:rsid w:val="00BB2F95"/>
    <w:rsid w:val="00BD405C"/>
    <w:rsid w:val="00BD6F19"/>
    <w:rsid w:val="00BE0F5C"/>
    <w:rsid w:val="00BE7978"/>
    <w:rsid w:val="00BF2790"/>
    <w:rsid w:val="00BF2ECD"/>
    <w:rsid w:val="00BF380D"/>
    <w:rsid w:val="00C03525"/>
    <w:rsid w:val="00C114FE"/>
    <w:rsid w:val="00C1602F"/>
    <w:rsid w:val="00C21E04"/>
    <w:rsid w:val="00C33BED"/>
    <w:rsid w:val="00C349B5"/>
    <w:rsid w:val="00C37090"/>
    <w:rsid w:val="00C375FE"/>
    <w:rsid w:val="00C4209A"/>
    <w:rsid w:val="00C43A4D"/>
    <w:rsid w:val="00C463FF"/>
    <w:rsid w:val="00C54C3A"/>
    <w:rsid w:val="00C578DC"/>
    <w:rsid w:val="00C65765"/>
    <w:rsid w:val="00C664EA"/>
    <w:rsid w:val="00C720D9"/>
    <w:rsid w:val="00C73153"/>
    <w:rsid w:val="00C75D06"/>
    <w:rsid w:val="00C80904"/>
    <w:rsid w:val="00C872AE"/>
    <w:rsid w:val="00C94957"/>
    <w:rsid w:val="00C9766D"/>
    <w:rsid w:val="00CB2A42"/>
    <w:rsid w:val="00CC117A"/>
    <w:rsid w:val="00CC3276"/>
    <w:rsid w:val="00CD0630"/>
    <w:rsid w:val="00CE188E"/>
    <w:rsid w:val="00CE6A7F"/>
    <w:rsid w:val="00CF23D6"/>
    <w:rsid w:val="00CF401F"/>
    <w:rsid w:val="00D0213B"/>
    <w:rsid w:val="00D04E83"/>
    <w:rsid w:val="00D119FF"/>
    <w:rsid w:val="00D14999"/>
    <w:rsid w:val="00D201F3"/>
    <w:rsid w:val="00D23B24"/>
    <w:rsid w:val="00D30A0B"/>
    <w:rsid w:val="00D345CB"/>
    <w:rsid w:val="00D34649"/>
    <w:rsid w:val="00D403F1"/>
    <w:rsid w:val="00D44EFA"/>
    <w:rsid w:val="00D54118"/>
    <w:rsid w:val="00D81F8E"/>
    <w:rsid w:val="00D947BC"/>
    <w:rsid w:val="00DA4EF1"/>
    <w:rsid w:val="00DA6929"/>
    <w:rsid w:val="00DC1362"/>
    <w:rsid w:val="00DC275D"/>
    <w:rsid w:val="00DC5603"/>
    <w:rsid w:val="00DD1D01"/>
    <w:rsid w:val="00DD5D73"/>
    <w:rsid w:val="00E0568B"/>
    <w:rsid w:val="00E1300D"/>
    <w:rsid w:val="00E1352F"/>
    <w:rsid w:val="00E3258D"/>
    <w:rsid w:val="00E40136"/>
    <w:rsid w:val="00E4409E"/>
    <w:rsid w:val="00E54AEE"/>
    <w:rsid w:val="00E56B77"/>
    <w:rsid w:val="00E5757A"/>
    <w:rsid w:val="00E90AB8"/>
    <w:rsid w:val="00E9150F"/>
    <w:rsid w:val="00E96CDA"/>
    <w:rsid w:val="00EA3381"/>
    <w:rsid w:val="00EA4551"/>
    <w:rsid w:val="00EA4A09"/>
    <w:rsid w:val="00EB23B4"/>
    <w:rsid w:val="00EB5AF3"/>
    <w:rsid w:val="00EB7CDE"/>
    <w:rsid w:val="00EC5616"/>
    <w:rsid w:val="00EE3A12"/>
    <w:rsid w:val="00EF2089"/>
    <w:rsid w:val="00EF25C2"/>
    <w:rsid w:val="00EF6737"/>
    <w:rsid w:val="00F02E2D"/>
    <w:rsid w:val="00F26E9C"/>
    <w:rsid w:val="00F50515"/>
    <w:rsid w:val="00F55387"/>
    <w:rsid w:val="00F60B8D"/>
    <w:rsid w:val="00F62284"/>
    <w:rsid w:val="00F63C16"/>
    <w:rsid w:val="00F66EB0"/>
    <w:rsid w:val="00F71163"/>
    <w:rsid w:val="00F811C5"/>
    <w:rsid w:val="00FA36FE"/>
    <w:rsid w:val="00FA7369"/>
    <w:rsid w:val="00FB6249"/>
    <w:rsid w:val="00FC5352"/>
    <w:rsid w:val="00FD3D46"/>
    <w:rsid w:val="00FE51B7"/>
    <w:rsid w:val="00FF0C84"/>
    <w:rsid w:val="00FF2808"/>
    <w:rsid w:val="00FF6F5B"/>
    <w:rsid w:val="03FC0966"/>
    <w:rsid w:val="084762C4"/>
    <w:rsid w:val="0B6D761D"/>
    <w:rsid w:val="0BC414DD"/>
    <w:rsid w:val="0BDE7569"/>
    <w:rsid w:val="0C01717A"/>
    <w:rsid w:val="11F33FEA"/>
    <w:rsid w:val="19E51250"/>
    <w:rsid w:val="2CE22EB0"/>
    <w:rsid w:val="2E6E3399"/>
    <w:rsid w:val="308C1B14"/>
    <w:rsid w:val="355569F3"/>
    <w:rsid w:val="3EC15781"/>
    <w:rsid w:val="423D0592"/>
    <w:rsid w:val="4D8928A1"/>
    <w:rsid w:val="50C57353"/>
    <w:rsid w:val="52975A47"/>
    <w:rsid w:val="57C044A9"/>
    <w:rsid w:val="5B8166C7"/>
    <w:rsid w:val="5DCC5CAB"/>
    <w:rsid w:val="60D406E1"/>
    <w:rsid w:val="62656A2B"/>
    <w:rsid w:val="64911E38"/>
    <w:rsid w:val="6493693E"/>
    <w:rsid w:val="695C2061"/>
    <w:rsid w:val="6CD15D39"/>
    <w:rsid w:val="6DCF760B"/>
    <w:rsid w:val="6E792C89"/>
    <w:rsid w:val="71265794"/>
    <w:rsid w:val="73B7523F"/>
    <w:rsid w:val="74156D8F"/>
    <w:rsid w:val="75BD463D"/>
    <w:rsid w:val="787D2F23"/>
    <w:rsid w:val="7A385DDE"/>
    <w:rsid w:val="7A71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line="415" w:lineRule="auto"/>
      <w:jc w:val="center"/>
      <w:outlineLvl w:val="1"/>
    </w:pPr>
    <w:rPr>
      <w:rFonts w:ascii="黑体" w:hAnsi="黑体" w:eastAsia="黑体" w:cstheme="majorBidi"/>
      <w:b/>
      <w:bCs/>
      <w:sz w:val="30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unhideWhenUsed/>
    <w:qFormat/>
    <w:uiPriority w:val="99"/>
    <w:pPr>
      <w:jc w:val="left"/>
    </w:pPr>
  </w:style>
  <w:style w:type="paragraph" w:styleId="5">
    <w:name w:val="Body Text Indent 2"/>
    <w:basedOn w:val="1"/>
    <w:link w:val="21"/>
    <w:qFormat/>
    <w:uiPriority w:val="0"/>
    <w:pPr>
      <w:spacing w:line="600" w:lineRule="exact"/>
      <w:ind w:firstLine="600" w:firstLineChars="200"/>
    </w:pPr>
    <w:rPr>
      <w:rFonts w:ascii="仿宋_GB2312" w:hAnsi="宋体" w:eastAsia="仿宋_GB2312"/>
      <w:sz w:val="30"/>
      <w:szCs w:val="30"/>
    </w:r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4"/>
    <w:next w:val="4"/>
    <w:link w:val="27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99"/>
    <w:rPr>
      <w:color w:val="0000FF"/>
      <w:u w:val="single"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4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正文文本缩进 2 Char"/>
    <w:basedOn w:val="14"/>
    <w:semiHidden/>
    <w:qFormat/>
    <w:uiPriority w:val="99"/>
    <w:rPr>
      <w:rFonts w:ascii="Calibri" w:hAnsi="Calibri" w:eastAsia="宋体" w:cs="Times New Roman"/>
    </w:rPr>
  </w:style>
  <w:style w:type="character" w:customStyle="1" w:styleId="21">
    <w:name w:val="正文文本缩进 2 字符"/>
    <w:basedOn w:val="14"/>
    <w:link w:val="5"/>
    <w:qFormat/>
    <w:uiPriority w:val="0"/>
    <w:rPr>
      <w:rFonts w:ascii="仿宋_GB2312" w:hAnsi="宋体" w:eastAsia="仿宋_GB2312" w:cs="Times New Roman"/>
      <w:sz w:val="30"/>
      <w:szCs w:val="30"/>
    </w:rPr>
  </w:style>
  <w:style w:type="character" w:customStyle="1" w:styleId="22">
    <w:name w:val="标题 1 字符"/>
    <w:basedOn w:val="14"/>
    <w:link w:val="2"/>
    <w:qFormat/>
    <w:uiPriority w:val="9"/>
    <w:rPr>
      <w:rFonts w:ascii="Calibri" w:hAnsi="Calibri" w:eastAsia="黑体" w:cs="Times New Roman"/>
      <w:b/>
      <w:bCs/>
      <w:kern w:val="44"/>
      <w:sz w:val="36"/>
      <w:szCs w:val="44"/>
    </w:rPr>
  </w:style>
  <w:style w:type="character" w:customStyle="1" w:styleId="23">
    <w:name w:val="标题 2 字符"/>
    <w:basedOn w:val="14"/>
    <w:link w:val="3"/>
    <w:qFormat/>
    <w:uiPriority w:val="9"/>
    <w:rPr>
      <w:rFonts w:ascii="黑体" w:hAnsi="黑体" w:eastAsia="黑体" w:cstheme="majorBidi"/>
      <w:b/>
      <w:bCs/>
      <w:kern w:val="2"/>
      <w:sz w:val="30"/>
      <w:szCs w:val="32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5">
    <w:name w:val="批注框文本 字符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批注文字 字符"/>
    <w:basedOn w:val="14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7">
    <w:name w:val="批注主题 字符"/>
    <w:basedOn w:val="26"/>
    <w:link w:val="11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2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5518-1CE8-4E87-B2D3-2A92AE1D3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1095</Words>
  <Characters>1346</Characters>
  <Lines>10</Lines>
  <Paragraphs>3</Paragraphs>
  <TotalTime>29</TotalTime>
  <ScaleCrop>false</ScaleCrop>
  <LinksUpToDate>false</LinksUpToDate>
  <CharactersWithSpaces>1365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2024-07-09T05:09:00Z</dcterms:created>
  <dc:creator>BJB-ZB-03</dc:creator>
  <cp:lastModifiedBy>雯亦</cp:lastModifiedBy>
  <cp:lastPrinted>2022-10-09T11:37:00Z</cp:lastPrinted>
  <dcterms:modified xsi:type="dcterms:W3CDTF">2024-07-09T05:52:24Z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597B61A966D34DB195973B732E75EE39_13</vt:lpwstr>
  </property>
</Properties>
</file>