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宋体" w:hAnsi="宋体"/>
          <w:b/>
          <w:sz w:val="24"/>
          <w:szCs w:val="24"/>
          <w:highlight w:val="yellow"/>
        </w:rPr>
      </w:pPr>
      <w:bookmarkStart w:id="1" w:name="_GoBack"/>
      <w:bookmarkEnd w:id="1"/>
      <w:r>
        <w:rPr>
          <w:rFonts w:hint="eastAsia" w:ascii="宋体" w:hAnsi="宋体"/>
          <w:b/>
          <w:sz w:val="24"/>
          <w:szCs w:val="24"/>
        </w:rPr>
        <w:t>证券代码：</w:t>
      </w:r>
      <w:r>
        <w:rPr>
          <w:rFonts w:ascii="宋体" w:hAnsi="宋体"/>
          <w:b/>
          <w:sz w:val="24"/>
          <w:szCs w:val="24"/>
        </w:rPr>
        <w:t xml:space="preserve">603191        </w:t>
      </w:r>
      <w:r>
        <w:rPr>
          <w:rFonts w:hint="eastAsia" w:ascii="宋体" w:hAnsi="宋体"/>
          <w:b/>
          <w:sz w:val="24"/>
          <w:szCs w:val="24"/>
        </w:rPr>
        <w:t xml:space="preserve">证券简称：望变电气 </w:t>
      </w:r>
      <w:r>
        <w:rPr>
          <w:rFonts w:ascii="宋体" w:hAnsi="宋体"/>
          <w:b/>
          <w:sz w:val="24"/>
          <w:szCs w:val="24"/>
        </w:rPr>
        <w:t xml:space="preserve">       </w:t>
      </w:r>
      <w:r>
        <w:rPr>
          <w:rFonts w:hint="eastAsia" w:ascii="宋体" w:hAnsi="宋体"/>
          <w:b/>
          <w:sz w:val="24"/>
          <w:szCs w:val="24"/>
        </w:rPr>
        <w:t>公告编号：2</w:t>
      </w:r>
      <w:r>
        <w:rPr>
          <w:rFonts w:ascii="宋体" w:hAnsi="宋体"/>
          <w:b/>
          <w:sz w:val="24"/>
          <w:szCs w:val="24"/>
        </w:rPr>
        <w:t>02</w:t>
      </w:r>
      <w:r>
        <w:rPr>
          <w:rFonts w:hint="eastAsia" w:ascii="宋体" w:hAnsi="宋体"/>
          <w:b/>
          <w:sz w:val="24"/>
          <w:szCs w:val="24"/>
        </w:rPr>
        <w:t>4</w:t>
      </w:r>
      <w:r>
        <w:rPr>
          <w:rFonts w:ascii="宋体" w:hAnsi="宋体"/>
          <w:b/>
          <w:sz w:val="24"/>
          <w:szCs w:val="24"/>
        </w:rPr>
        <w:t>-0</w:t>
      </w:r>
      <w:r>
        <w:rPr>
          <w:rFonts w:hint="eastAsia" w:ascii="宋体" w:hAnsi="宋体"/>
          <w:b/>
          <w:sz w:val="24"/>
          <w:szCs w:val="24"/>
        </w:rPr>
        <w:t>36</w:t>
      </w:r>
    </w:p>
    <w:p>
      <w:pPr>
        <w:adjustRightInd w:val="0"/>
        <w:snapToGrid w:val="0"/>
        <w:spacing w:line="560" w:lineRule="exact"/>
        <w:jc w:val="left"/>
        <w:rPr>
          <w:rFonts w:ascii="仿宋" w:hAnsi="仿宋" w:eastAsia="仿宋_GB2312"/>
          <w:sz w:val="30"/>
          <w:szCs w:val="30"/>
        </w:rPr>
      </w:pPr>
    </w:p>
    <w:p>
      <w:pPr>
        <w:adjustRightInd w:val="0"/>
        <w:snapToGrid w:val="0"/>
        <w:spacing w:before="156" w:beforeLines="50" w:line="560" w:lineRule="exact"/>
        <w:jc w:val="center"/>
        <w:rPr>
          <w:rFonts w:ascii="宋体" w:hAnsi="宋体" w:cs="仿宋_GB2312"/>
          <w:b/>
          <w:bCs/>
          <w:color w:val="FF0000"/>
          <w:sz w:val="36"/>
          <w:szCs w:val="36"/>
        </w:rPr>
      </w:pPr>
      <w:r>
        <w:rPr>
          <w:rFonts w:hint="eastAsia" w:ascii="宋体" w:hAnsi="宋体" w:cs="仿宋_GB2312"/>
          <w:b/>
          <w:bCs/>
          <w:color w:val="FF0000"/>
          <w:sz w:val="36"/>
          <w:szCs w:val="36"/>
        </w:rPr>
        <w:t>重庆望变电气（集团）股份有限公司</w:t>
      </w:r>
    </w:p>
    <w:p>
      <w:pPr>
        <w:adjustRightInd w:val="0"/>
        <w:snapToGrid w:val="0"/>
        <w:spacing w:before="156" w:beforeLines="50" w:line="560" w:lineRule="exact"/>
        <w:jc w:val="center"/>
        <w:rPr>
          <w:rFonts w:ascii="宋体" w:hAnsi="宋体" w:cs="仿宋_GB2312"/>
          <w:b/>
          <w:bCs/>
          <w:color w:val="FF0000"/>
          <w:sz w:val="36"/>
          <w:szCs w:val="36"/>
        </w:rPr>
      </w:pPr>
      <w:r>
        <w:rPr>
          <w:rFonts w:hint="eastAsia" w:ascii="宋体" w:hAnsi="宋体" w:cs="仿宋_GB2312"/>
          <w:b/>
          <w:bCs/>
          <w:color w:val="FF0000"/>
          <w:sz w:val="36"/>
          <w:szCs w:val="36"/>
        </w:rPr>
        <w:t>关于为子公司申请授信提供担保的公告</w:t>
      </w:r>
    </w:p>
    <w:p>
      <w:pPr>
        <w:adjustRightInd w:val="0"/>
        <w:snapToGrid w:val="0"/>
        <w:spacing w:before="156" w:beforeLines="50" w:line="560" w:lineRule="exact"/>
        <w:jc w:val="center"/>
        <w:rPr>
          <w:rFonts w:ascii="仿宋_GB2312" w:hAnsi="仿宋_GB2312" w:eastAsia="仿宋_GB2312" w:cs="仿宋_GB2312"/>
          <w:b/>
          <w:bCs/>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宋体" w:hAnsi="宋体"/>
          <w:sz w:val="24"/>
          <w:szCs w:val="24"/>
        </w:rPr>
      </w:pPr>
      <w:r>
        <w:rPr>
          <w:rFonts w:hint="eastAsia" w:ascii="仿宋" w:hAnsi="仿宋" w:eastAsia="仿宋"/>
          <w:sz w:val="24"/>
          <w:szCs w:val="24"/>
        </w:rPr>
        <w:t>本公司董事会及全体董事保证本公告内容不存在任何虚假记载、误导性陈述或者重大遗漏，并对其内容的真实性、准确性和完整性承担法律责任</w:t>
      </w:r>
      <w:r>
        <w:rPr>
          <w:rFonts w:hint="eastAsia" w:ascii="宋体" w:hAnsi="宋体"/>
          <w:sz w:val="24"/>
          <w:szCs w:val="24"/>
        </w:rPr>
        <w:t>。</w:t>
      </w:r>
    </w:p>
    <w:p>
      <w:pPr>
        <w:adjustRightInd w:val="0"/>
        <w:snapToGrid w:val="0"/>
        <w:spacing w:line="560" w:lineRule="exact"/>
        <w:rPr>
          <w:rFonts w:ascii="宋体" w:hAnsi="宋体" w:cs="宋体"/>
          <w:sz w:val="24"/>
          <w:szCs w:val="24"/>
        </w:rPr>
      </w:pPr>
    </w:p>
    <w:p>
      <w:pPr>
        <w:adjustRightInd w:val="0"/>
        <w:snapToGrid w:val="0"/>
        <w:spacing w:line="560" w:lineRule="exact"/>
        <w:rPr>
          <w:rFonts w:ascii="宋体" w:hAnsi="宋体" w:cs="宋体"/>
          <w:b/>
          <w:sz w:val="24"/>
          <w:szCs w:val="24"/>
        </w:rPr>
      </w:pPr>
      <w:r>
        <w:rPr>
          <w:rFonts w:hint="eastAsia" w:ascii="宋体" w:hAnsi="宋体" w:cs="宋体"/>
          <w:b/>
          <w:sz w:val="24"/>
          <w:szCs w:val="24"/>
        </w:rPr>
        <w:t>重要内容提示：</w:t>
      </w:r>
    </w:p>
    <w:p>
      <w:pPr>
        <w:pStyle w:val="94"/>
        <w:numPr>
          <w:ilvl w:val="0"/>
          <w:numId w:val="12"/>
        </w:numPr>
        <w:rPr>
          <w:rFonts w:ascii="宋体" w:hAnsi="宋体" w:cs="宋体"/>
          <w:sz w:val="24"/>
          <w:szCs w:val="24"/>
        </w:rPr>
      </w:pPr>
      <w:r>
        <w:rPr>
          <w:rFonts w:hint="eastAsia" w:ascii="宋体" w:hAnsi="宋体" w:cs="宋体"/>
          <w:sz w:val="24"/>
          <w:szCs w:val="24"/>
        </w:rPr>
        <w:t>被担保人：控股子公司云南变压器电气股份有限公司 （以下简称“云变电气”）</w:t>
      </w:r>
    </w:p>
    <w:p>
      <w:pPr>
        <w:pStyle w:val="94"/>
        <w:rPr>
          <w:rFonts w:ascii="宋体" w:hAnsi="宋体" w:cs="宋体"/>
          <w:sz w:val="24"/>
          <w:szCs w:val="24"/>
        </w:rPr>
      </w:pPr>
      <w:r>
        <w:rPr>
          <w:rFonts w:hint="eastAsia" w:ascii="宋体" w:hAnsi="宋体" w:cs="宋体"/>
          <w:sz w:val="24"/>
          <w:szCs w:val="24"/>
        </w:rPr>
        <w:t>本次担保金额：公司拟为云变电气新增担保额度不超过90,000万元人民币（或等值外币）</w:t>
      </w:r>
      <w:r>
        <w:rPr>
          <w:rFonts w:hint="eastAsia"/>
        </w:rPr>
        <w:t>，</w:t>
      </w:r>
      <w:r>
        <w:rPr>
          <w:rFonts w:hint="eastAsia" w:ascii="宋体" w:hAnsi="宋体" w:cs="宋体"/>
          <w:sz w:val="24"/>
          <w:szCs w:val="24"/>
        </w:rPr>
        <w:t>截至本公告披露日，公司已实际为云变电气提供的担保余额为人民币2,700万元，该担保余额系因公司履行收购云变电气股份的《产权交易合同》约定，为云变电气对中国兵器装备集团商业保理有限公司的按期兑付承担担保责任形成。</w:t>
      </w:r>
    </w:p>
    <w:p>
      <w:pPr>
        <w:pStyle w:val="94"/>
        <w:rPr>
          <w:rFonts w:ascii="宋体" w:hAnsi="宋体" w:cs="宋体"/>
          <w:sz w:val="24"/>
          <w:szCs w:val="24"/>
        </w:rPr>
      </w:pPr>
      <w:r>
        <w:rPr>
          <w:rFonts w:hint="eastAsia" w:ascii="宋体" w:hAnsi="宋体" w:cs="宋体"/>
          <w:sz w:val="24"/>
          <w:szCs w:val="24"/>
        </w:rPr>
        <w:t>本次担保有无反担保：无</w:t>
      </w:r>
    </w:p>
    <w:p>
      <w:pPr>
        <w:pStyle w:val="94"/>
        <w:rPr>
          <w:rFonts w:ascii="宋体" w:hAnsi="宋体" w:cs="宋体"/>
          <w:sz w:val="24"/>
          <w:szCs w:val="24"/>
        </w:rPr>
      </w:pPr>
      <w:r>
        <w:rPr>
          <w:rFonts w:hint="eastAsia" w:ascii="宋体" w:hAnsi="宋体" w:cs="宋体"/>
          <w:sz w:val="24"/>
          <w:szCs w:val="24"/>
        </w:rPr>
        <w:t>公司有无逾期对外担保的情况：无</w:t>
      </w:r>
    </w:p>
    <w:p>
      <w:pPr>
        <w:autoSpaceDE w:val="0"/>
        <w:autoSpaceDN w:val="0"/>
        <w:adjustRightInd w:val="0"/>
        <w:spacing w:line="560" w:lineRule="exact"/>
        <w:rPr>
          <w:rFonts w:ascii="宋体" w:hAnsi="宋体" w:cs="宋体"/>
          <w:b/>
          <w:sz w:val="24"/>
          <w:szCs w:val="24"/>
        </w:rPr>
      </w:pPr>
      <w:r>
        <w:rPr>
          <w:rFonts w:hint="eastAsia" w:ascii="宋体" w:hAnsi="宋体" w:cs="宋体"/>
          <w:b/>
          <w:sz w:val="24"/>
          <w:szCs w:val="24"/>
        </w:rPr>
        <w:t>一、担保情况概述</w:t>
      </w:r>
    </w:p>
    <w:p>
      <w:pPr>
        <w:autoSpaceDE w:val="0"/>
        <w:autoSpaceDN w:val="0"/>
        <w:adjustRightInd w:val="0"/>
        <w:spacing w:line="560" w:lineRule="exact"/>
        <w:rPr>
          <w:rFonts w:ascii="宋体" w:hAnsi="宋体" w:cs="宋体"/>
          <w:kern w:val="0"/>
          <w:sz w:val="24"/>
          <w:szCs w:val="24"/>
        </w:rPr>
      </w:pPr>
      <w:r>
        <w:rPr>
          <w:rFonts w:hint="eastAsia" w:ascii="宋体" w:hAnsi="宋体" w:cs="宋体"/>
          <w:kern w:val="0"/>
          <w:sz w:val="24"/>
          <w:szCs w:val="24"/>
        </w:rPr>
        <w:t>（一）本次担保基本情况</w:t>
      </w:r>
    </w:p>
    <w:p>
      <w:pPr>
        <w:spacing w:line="560" w:lineRule="exact"/>
        <w:ind w:firstLine="480" w:firstLineChars="200"/>
        <w:rPr>
          <w:rFonts w:ascii="宋体" w:hAnsi="宋体" w:cs="宋体"/>
          <w:kern w:val="0"/>
          <w:sz w:val="24"/>
          <w:szCs w:val="24"/>
        </w:rPr>
      </w:pPr>
      <w:r>
        <w:rPr>
          <w:rFonts w:hint="eastAsia" w:ascii="宋体" w:hAnsi="宋体" w:cs="宋体"/>
          <w:kern w:val="0"/>
          <w:sz w:val="24"/>
          <w:szCs w:val="24"/>
        </w:rPr>
        <w:t>根据《上海证券交易所股票上市规则》等相关法律法规要求，为满足公司日常生产经营及业务发展需要，公司第四届董事会第五次会议</w:t>
      </w:r>
      <w:r>
        <w:rPr>
          <w:rFonts w:hint="eastAsia" w:ascii="宋体" w:hAnsi="宋体" w:cs="宋体"/>
          <w:kern w:val="0"/>
          <w:sz w:val="24"/>
          <w:szCs w:val="24"/>
          <w:lang w:eastAsia="zh-CN"/>
        </w:rPr>
        <w:t>、</w:t>
      </w:r>
      <w:r>
        <w:rPr>
          <w:rFonts w:hint="eastAsia" w:ascii="宋体" w:hAnsi="宋体" w:cs="宋体"/>
          <w:kern w:val="0"/>
          <w:sz w:val="24"/>
          <w:szCs w:val="24"/>
          <w:highlight w:val="none"/>
          <w:lang w:eastAsia="zh-CN"/>
        </w:rPr>
        <w:t>第四届监事会第四次</w:t>
      </w:r>
      <w:r>
        <w:rPr>
          <w:rFonts w:hint="eastAsia" w:ascii="宋体" w:hAnsi="宋体" w:cs="宋体"/>
          <w:kern w:val="0"/>
          <w:sz w:val="24"/>
          <w:szCs w:val="24"/>
          <w:highlight w:val="none"/>
          <w:lang w:val="en-US" w:eastAsia="zh-CN"/>
        </w:rPr>
        <w:t>会议</w:t>
      </w:r>
      <w:r>
        <w:rPr>
          <w:rFonts w:hint="eastAsia" w:ascii="宋体" w:hAnsi="宋体" w:cs="宋体"/>
          <w:kern w:val="0"/>
          <w:sz w:val="24"/>
          <w:szCs w:val="24"/>
        </w:rPr>
        <w:t>审议通过《关于</w:t>
      </w:r>
      <w:bookmarkStart w:id="0" w:name="_Hlk164110070"/>
      <w:r>
        <w:rPr>
          <w:rFonts w:hint="eastAsia" w:ascii="宋体" w:hAnsi="宋体" w:cs="宋体"/>
          <w:kern w:val="0"/>
          <w:sz w:val="24"/>
          <w:szCs w:val="24"/>
        </w:rPr>
        <w:t>为子公司云南变压器电气股份有限公司</w:t>
      </w:r>
      <w:bookmarkEnd w:id="0"/>
      <w:r>
        <w:rPr>
          <w:rFonts w:hint="eastAsia" w:ascii="宋体" w:hAnsi="宋体" w:cs="宋体"/>
          <w:kern w:val="0"/>
          <w:sz w:val="24"/>
          <w:szCs w:val="24"/>
        </w:rPr>
        <w:t>申请授信提供担保的议案》，同意为控股子公司云变电气向银行等金融机构申请综合授信或借款提供总额度不超过90,000万元人民币（或等值外币）的担保，该额度有效期自股东大会审议通过之日起至2024年12月31日止。</w:t>
      </w:r>
    </w:p>
    <w:p>
      <w:pPr>
        <w:pStyle w:val="92"/>
        <w:spacing w:line="560" w:lineRule="exact"/>
        <w:ind w:firstLine="480" w:firstLineChars="200"/>
        <w:rPr>
          <w:rFonts w:hAnsi="宋体"/>
          <w:color w:val="auto"/>
        </w:rPr>
      </w:pPr>
      <w:r>
        <w:rPr>
          <w:rFonts w:hint="eastAsia" w:hAnsi="宋体"/>
          <w:color w:val="auto"/>
        </w:rPr>
        <w:t>本次担保授权公司总经理在上述额度及有效期范围内，实施与申请综合授信额度及借款事项有关的担保一切事宜，包括但不限于办理并签署有关合同、协议等文件。</w:t>
      </w:r>
    </w:p>
    <w:p>
      <w:pPr>
        <w:pStyle w:val="92"/>
        <w:spacing w:line="560" w:lineRule="exact"/>
        <w:ind w:firstLine="480" w:firstLineChars="200"/>
        <w:rPr>
          <w:rFonts w:hAnsi="宋体"/>
          <w:color w:val="auto"/>
        </w:rPr>
      </w:pPr>
      <w:r>
        <w:rPr>
          <w:rFonts w:hint="eastAsia" w:hAnsi="宋体"/>
          <w:color w:val="auto"/>
        </w:rPr>
        <w:t>本次担保事项尚需提交公司股东大会审议。</w:t>
      </w:r>
    </w:p>
    <w:p>
      <w:pPr>
        <w:numPr>
          <w:ilvl w:val="0"/>
          <w:numId w:val="13"/>
        </w:numPr>
        <w:spacing w:line="560" w:lineRule="exact"/>
        <w:rPr>
          <w:rFonts w:ascii="宋体" w:hAnsi="宋体" w:cs="宋体"/>
          <w:kern w:val="0"/>
          <w:sz w:val="24"/>
          <w:szCs w:val="24"/>
        </w:rPr>
      </w:pPr>
      <w:r>
        <w:rPr>
          <w:rFonts w:hint="eastAsia" w:ascii="宋体" w:hAnsi="宋体" w:cs="宋体"/>
          <w:kern w:val="0"/>
          <w:sz w:val="24"/>
          <w:szCs w:val="24"/>
        </w:rPr>
        <w:t>本次担保具体情况</w:t>
      </w:r>
    </w:p>
    <w:p>
      <w:pPr>
        <w:autoSpaceDE w:val="0"/>
        <w:autoSpaceDN w:val="0"/>
        <w:adjustRightInd w:val="0"/>
        <w:spacing w:line="560" w:lineRule="exact"/>
        <w:jc w:val="right"/>
        <w:rPr>
          <w:rFonts w:ascii="仿宋" w:hAnsi="仿宋" w:eastAsia="仿宋" w:cs="仿宋"/>
          <w:bCs/>
          <w:kern w:val="0"/>
          <w:sz w:val="32"/>
          <w:szCs w:val="32"/>
        </w:rPr>
      </w:pPr>
      <w:r>
        <w:rPr>
          <w:rFonts w:hint="eastAsia" w:ascii="仿宋" w:hAnsi="仿宋" w:eastAsia="仿宋" w:cs="仿宋"/>
          <w:b/>
          <w:kern w:val="0"/>
          <w:szCs w:val="21"/>
        </w:rPr>
        <w:t xml:space="preserve">                                                                   </w:t>
      </w:r>
      <w:r>
        <w:rPr>
          <w:rFonts w:ascii="仿宋" w:hAnsi="仿宋" w:eastAsia="仿宋" w:cs="仿宋"/>
          <w:bCs/>
          <w:kern w:val="0"/>
          <w:szCs w:val="21"/>
        </w:rPr>
        <w:t xml:space="preserve"> 单位：万元</w:t>
      </w:r>
    </w:p>
    <w:tbl>
      <w:tblPr>
        <w:tblStyle w:val="88"/>
        <w:tblW w:w="8736" w:type="dxa"/>
        <w:tblInd w:w="108" w:type="dxa"/>
        <w:tblLayout w:type="fixed"/>
        <w:tblCellMar>
          <w:top w:w="0" w:type="dxa"/>
          <w:left w:w="108" w:type="dxa"/>
          <w:bottom w:w="0" w:type="dxa"/>
          <w:right w:w="108" w:type="dxa"/>
        </w:tblCellMar>
      </w:tblPr>
      <w:tblGrid>
        <w:gridCol w:w="862"/>
        <w:gridCol w:w="984"/>
        <w:gridCol w:w="861"/>
        <w:gridCol w:w="1230"/>
        <w:gridCol w:w="823"/>
        <w:gridCol w:w="961"/>
        <w:gridCol w:w="1159"/>
        <w:gridCol w:w="746"/>
        <w:gridCol w:w="615"/>
        <w:gridCol w:w="495"/>
      </w:tblGrid>
      <w:tr>
        <w:tblPrEx>
          <w:tblCellMar>
            <w:top w:w="0" w:type="dxa"/>
            <w:left w:w="108" w:type="dxa"/>
            <w:bottom w:w="0" w:type="dxa"/>
            <w:right w:w="108" w:type="dxa"/>
          </w:tblCellMar>
        </w:tblPrEx>
        <w:trPr>
          <w:trHeight w:val="1872" w:hRule="atLeast"/>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担保方</w:t>
            </w:r>
          </w:p>
        </w:tc>
        <w:tc>
          <w:tcPr>
            <w:tcW w:w="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被担保方</w:t>
            </w:r>
          </w:p>
        </w:tc>
        <w:tc>
          <w:tcPr>
            <w:tcW w:w="8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担保方持股比例</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被担保方最近一期资产负债率（截至2023.12.31）</w:t>
            </w:r>
          </w:p>
        </w:tc>
        <w:tc>
          <w:tcPr>
            <w:tcW w:w="8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截至目前担保余额</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本次新增担保额度</w:t>
            </w:r>
          </w:p>
        </w:tc>
        <w:tc>
          <w:tcPr>
            <w:tcW w:w="11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新增担保额度占上市公司最近一期经审计净资产比例</w:t>
            </w:r>
          </w:p>
        </w:tc>
        <w:tc>
          <w:tcPr>
            <w:tcW w:w="7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担保额度预计有效期</w:t>
            </w:r>
          </w:p>
        </w:tc>
        <w:tc>
          <w:tcPr>
            <w:tcW w:w="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是否关联担保</w:t>
            </w:r>
          </w:p>
        </w:tc>
        <w:tc>
          <w:tcPr>
            <w:tcW w:w="4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是否有反担保</w:t>
            </w:r>
          </w:p>
        </w:tc>
      </w:tr>
      <w:tr>
        <w:tblPrEx>
          <w:tblCellMar>
            <w:top w:w="0" w:type="dxa"/>
            <w:left w:w="108" w:type="dxa"/>
            <w:bottom w:w="0" w:type="dxa"/>
            <w:right w:w="108" w:type="dxa"/>
          </w:tblCellMar>
        </w:tblPrEx>
        <w:trPr>
          <w:trHeight w:val="641" w:hRule="atLeast"/>
        </w:trPr>
        <w:tc>
          <w:tcPr>
            <w:tcW w:w="8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望变</w:t>
            </w:r>
          </w:p>
          <w:p>
            <w:pPr>
              <w:widowControl/>
              <w:jc w:val="center"/>
              <w:rPr>
                <w:rFonts w:ascii="宋体" w:hAnsi="宋体" w:cs="宋体"/>
                <w:kern w:val="0"/>
                <w:sz w:val="20"/>
                <w:szCs w:val="20"/>
              </w:rPr>
            </w:pPr>
            <w:r>
              <w:rPr>
                <w:rFonts w:hint="eastAsia" w:ascii="宋体" w:hAnsi="宋体" w:cs="宋体"/>
                <w:kern w:val="0"/>
                <w:sz w:val="20"/>
                <w:szCs w:val="20"/>
              </w:rPr>
              <w:t>电气</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云变电气</w:t>
            </w:r>
          </w:p>
        </w:tc>
        <w:tc>
          <w:tcPr>
            <w:tcW w:w="86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79.97%</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57.</w:t>
            </w:r>
            <w:r>
              <w:rPr>
                <w:rFonts w:hint="eastAsia" w:ascii="宋体" w:hAnsi="宋体" w:cs="宋体"/>
                <w:kern w:val="0"/>
                <w:sz w:val="20"/>
                <w:szCs w:val="20"/>
                <w:lang w:val="en-US" w:eastAsia="zh-CN"/>
              </w:rPr>
              <w:t>61</w:t>
            </w:r>
            <w:r>
              <w:rPr>
                <w:rFonts w:hint="eastAsia" w:ascii="宋体" w:hAnsi="宋体" w:cs="宋体"/>
                <w:kern w:val="0"/>
                <w:sz w:val="20"/>
                <w:szCs w:val="20"/>
              </w:rPr>
              <w:t>%</w:t>
            </w:r>
          </w:p>
        </w:tc>
        <w:tc>
          <w:tcPr>
            <w:tcW w:w="82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2,700</w:t>
            </w:r>
          </w:p>
        </w:tc>
        <w:tc>
          <w:tcPr>
            <w:tcW w:w="96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90,000</w:t>
            </w:r>
          </w:p>
        </w:tc>
        <w:tc>
          <w:tcPr>
            <w:tcW w:w="11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37.</w:t>
            </w:r>
            <w:r>
              <w:rPr>
                <w:rFonts w:hint="eastAsia" w:ascii="宋体" w:hAnsi="宋体" w:cs="宋体"/>
                <w:kern w:val="0"/>
                <w:sz w:val="20"/>
                <w:szCs w:val="20"/>
                <w:lang w:val="en-US" w:eastAsia="zh-CN"/>
              </w:rPr>
              <w:t>64</w:t>
            </w:r>
            <w:r>
              <w:rPr>
                <w:rFonts w:hint="eastAsia" w:ascii="宋体" w:hAnsi="宋体" w:cs="宋体"/>
                <w:kern w:val="0"/>
                <w:sz w:val="20"/>
                <w:szCs w:val="20"/>
              </w:rPr>
              <w:t>%</w:t>
            </w:r>
          </w:p>
        </w:tc>
        <w:tc>
          <w:tcPr>
            <w:tcW w:w="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2024.12.31</w:t>
            </w:r>
          </w:p>
        </w:tc>
        <w:tc>
          <w:tcPr>
            <w:tcW w:w="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4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否</w:t>
            </w:r>
          </w:p>
        </w:tc>
      </w:tr>
    </w:tbl>
    <w:p>
      <w:pPr>
        <w:pStyle w:val="92"/>
        <w:ind w:firstLine="480" w:firstLineChars="200"/>
        <w:rPr>
          <w:rFonts w:ascii="宋体" w:hAnsi="宋体" w:cs="宋体"/>
          <w:b/>
          <w:sz w:val="24"/>
          <w:szCs w:val="24"/>
        </w:rPr>
      </w:pPr>
      <w:r>
        <w:rPr>
          <w:rFonts w:hint="eastAsia" w:hAnsi="宋体"/>
          <w:color w:val="auto"/>
          <w:highlight w:val="none"/>
        </w:rPr>
        <w:t>本次被担保对象为公司控股子公司，考虑到公司对其日常经营活动和资信状况能够及时掌握，担保风险总体可控，因此云变电气其他股东未提供同比例担保。</w:t>
      </w:r>
    </w:p>
    <w:p>
      <w:pPr>
        <w:numPr>
          <w:ilvl w:val="0"/>
          <w:numId w:val="14"/>
        </w:numPr>
        <w:autoSpaceDE w:val="0"/>
        <w:autoSpaceDN w:val="0"/>
        <w:adjustRightInd w:val="0"/>
        <w:spacing w:line="560" w:lineRule="exact"/>
        <w:rPr>
          <w:rFonts w:ascii="宋体" w:hAnsi="宋体" w:cs="宋体"/>
          <w:b/>
          <w:sz w:val="24"/>
          <w:szCs w:val="24"/>
        </w:rPr>
      </w:pPr>
      <w:r>
        <w:rPr>
          <w:rFonts w:hint="eastAsia" w:ascii="宋体" w:hAnsi="宋体" w:cs="宋体"/>
          <w:b/>
          <w:sz w:val="24"/>
          <w:szCs w:val="24"/>
        </w:rPr>
        <w:t>被担保人基本情况</w:t>
      </w:r>
    </w:p>
    <w:p>
      <w:pPr>
        <w:widowControl/>
        <w:kinsoku w:val="0"/>
        <w:autoSpaceDE w:val="0"/>
        <w:autoSpaceDN w:val="0"/>
        <w:adjustRightInd w:val="0"/>
        <w:snapToGrid w:val="0"/>
        <w:spacing w:line="560" w:lineRule="exact"/>
        <w:ind w:firstLine="480" w:firstLineChars="200"/>
        <w:jc w:val="left"/>
        <w:textAlignment w:val="baseline"/>
        <w:rPr>
          <w:rFonts w:ascii="宋体" w:hAnsi="宋体" w:cs="宋体"/>
          <w:bCs/>
          <w:snapToGrid w:val="0"/>
          <w:kern w:val="0"/>
          <w:sz w:val="24"/>
          <w:szCs w:val="24"/>
        </w:rPr>
      </w:pPr>
      <w:r>
        <w:rPr>
          <w:rFonts w:hint="eastAsia" w:ascii="宋体" w:hAnsi="宋体" w:cs="宋体"/>
          <w:bCs/>
          <w:snapToGrid w:val="0"/>
          <w:kern w:val="0"/>
          <w:sz w:val="24"/>
          <w:szCs w:val="24"/>
        </w:rPr>
        <w:t xml:space="preserve">被担保人名称：云南变压器电气股份有限公司 </w:t>
      </w:r>
    </w:p>
    <w:p>
      <w:pPr>
        <w:widowControl/>
        <w:kinsoku w:val="0"/>
        <w:autoSpaceDE w:val="0"/>
        <w:autoSpaceDN w:val="0"/>
        <w:adjustRightInd w:val="0"/>
        <w:snapToGrid w:val="0"/>
        <w:spacing w:line="560" w:lineRule="exact"/>
        <w:ind w:firstLine="480" w:firstLineChars="200"/>
        <w:jc w:val="left"/>
        <w:textAlignment w:val="baseline"/>
        <w:rPr>
          <w:rFonts w:ascii="宋体" w:hAnsi="宋体" w:cs="宋体"/>
          <w:bCs/>
          <w:snapToGrid w:val="0"/>
          <w:kern w:val="0"/>
          <w:sz w:val="24"/>
          <w:szCs w:val="24"/>
        </w:rPr>
      </w:pPr>
      <w:r>
        <w:rPr>
          <w:rFonts w:hint="eastAsia" w:ascii="宋体" w:hAnsi="宋体" w:cs="宋体"/>
          <w:bCs/>
          <w:snapToGrid w:val="0"/>
          <w:kern w:val="0"/>
          <w:sz w:val="24"/>
          <w:szCs w:val="24"/>
        </w:rPr>
        <w:t>成立时间：1999年01月23日</w:t>
      </w:r>
    </w:p>
    <w:p>
      <w:pPr>
        <w:widowControl/>
        <w:kinsoku w:val="0"/>
        <w:autoSpaceDE w:val="0"/>
        <w:autoSpaceDN w:val="0"/>
        <w:adjustRightInd w:val="0"/>
        <w:snapToGrid w:val="0"/>
        <w:spacing w:line="560" w:lineRule="exact"/>
        <w:ind w:firstLine="480" w:firstLineChars="200"/>
        <w:jc w:val="left"/>
        <w:textAlignment w:val="baseline"/>
        <w:rPr>
          <w:rFonts w:ascii="宋体" w:hAnsi="宋体" w:cs="宋体"/>
          <w:bCs/>
          <w:snapToGrid w:val="0"/>
          <w:kern w:val="0"/>
          <w:sz w:val="24"/>
          <w:szCs w:val="24"/>
        </w:rPr>
      </w:pPr>
      <w:r>
        <w:rPr>
          <w:rFonts w:hint="eastAsia" w:ascii="宋体" w:hAnsi="宋体" w:cs="宋体"/>
          <w:bCs/>
          <w:snapToGrid w:val="0"/>
          <w:kern w:val="0"/>
          <w:sz w:val="24"/>
          <w:szCs w:val="24"/>
        </w:rPr>
        <w:t xml:space="preserve">注册地点：中国（云南）自由贸易试验区昆明片区经开区洛羊街道办事处拓翔路212号 </w:t>
      </w:r>
    </w:p>
    <w:p>
      <w:pPr>
        <w:widowControl/>
        <w:kinsoku w:val="0"/>
        <w:autoSpaceDE w:val="0"/>
        <w:autoSpaceDN w:val="0"/>
        <w:adjustRightInd w:val="0"/>
        <w:snapToGrid w:val="0"/>
        <w:spacing w:line="560" w:lineRule="exact"/>
        <w:ind w:firstLine="480" w:firstLineChars="200"/>
        <w:jc w:val="left"/>
        <w:textAlignment w:val="baseline"/>
        <w:rPr>
          <w:rFonts w:ascii="宋体" w:hAnsi="宋体" w:cs="宋体"/>
          <w:bCs/>
          <w:snapToGrid w:val="0"/>
          <w:kern w:val="0"/>
          <w:sz w:val="24"/>
          <w:szCs w:val="24"/>
        </w:rPr>
      </w:pPr>
      <w:r>
        <w:rPr>
          <w:rFonts w:hint="eastAsia" w:ascii="宋体" w:hAnsi="宋体" w:cs="宋体"/>
          <w:bCs/>
          <w:snapToGrid w:val="0"/>
          <w:kern w:val="0"/>
          <w:sz w:val="24"/>
          <w:szCs w:val="24"/>
        </w:rPr>
        <w:t>统一社会信用代码：91530000713402501X</w:t>
      </w:r>
    </w:p>
    <w:p>
      <w:pPr>
        <w:widowControl/>
        <w:kinsoku w:val="0"/>
        <w:autoSpaceDE w:val="0"/>
        <w:autoSpaceDN w:val="0"/>
        <w:adjustRightInd w:val="0"/>
        <w:snapToGrid w:val="0"/>
        <w:spacing w:line="560" w:lineRule="exact"/>
        <w:ind w:firstLine="480" w:firstLineChars="200"/>
        <w:jc w:val="left"/>
        <w:textAlignment w:val="baseline"/>
        <w:rPr>
          <w:rFonts w:ascii="宋体" w:hAnsi="宋体" w:cs="宋体"/>
          <w:bCs/>
          <w:snapToGrid w:val="0"/>
          <w:kern w:val="0"/>
          <w:sz w:val="24"/>
          <w:szCs w:val="24"/>
        </w:rPr>
      </w:pPr>
      <w:r>
        <w:rPr>
          <w:rFonts w:hint="eastAsia" w:ascii="宋体" w:hAnsi="宋体" w:cs="宋体"/>
          <w:bCs/>
          <w:snapToGrid w:val="0"/>
          <w:kern w:val="0"/>
          <w:sz w:val="24"/>
          <w:szCs w:val="24"/>
        </w:rPr>
        <w:t>法定代表人：肖斌</w:t>
      </w:r>
    </w:p>
    <w:p>
      <w:pPr>
        <w:widowControl/>
        <w:kinsoku w:val="0"/>
        <w:autoSpaceDE w:val="0"/>
        <w:autoSpaceDN w:val="0"/>
        <w:adjustRightInd w:val="0"/>
        <w:snapToGrid w:val="0"/>
        <w:spacing w:line="560" w:lineRule="exact"/>
        <w:ind w:firstLine="480" w:firstLineChars="200"/>
        <w:jc w:val="left"/>
        <w:textAlignment w:val="baseline"/>
        <w:rPr>
          <w:rFonts w:ascii="宋体" w:hAnsi="宋体" w:cs="宋体"/>
          <w:bCs/>
          <w:snapToGrid w:val="0"/>
          <w:kern w:val="0"/>
          <w:sz w:val="24"/>
          <w:szCs w:val="24"/>
        </w:rPr>
      </w:pPr>
      <w:r>
        <w:rPr>
          <w:rFonts w:hint="eastAsia" w:ascii="宋体" w:hAnsi="宋体" w:cs="宋体"/>
          <w:bCs/>
          <w:snapToGrid w:val="0"/>
          <w:kern w:val="0"/>
          <w:sz w:val="24"/>
          <w:szCs w:val="24"/>
        </w:rPr>
        <w:t>注册资本：人民币 10,041.3641万元</w:t>
      </w:r>
    </w:p>
    <w:p>
      <w:pPr>
        <w:widowControl/>
        <w:kinsoku w:val="0"/>
        <w:autoSpaceDE w:val="0"/>
        <w:autoSpaceDN w:val="0"/>
        <w:adjustRightInd w:val="0"/>
        <w:snapToGrid w:val="0"/>
        <w:spacing w:line="560" w:lineRule="exact"/>
        <w:ind w:firstLine="480" w:firstLineChars="200"/>
        <w:jc w:val="left"/>
        <w:textAlignment w:val="baseline"/>
        <w:rPr>
          <w:rFonts w:ascii="宋体" w:hAnsi="宋体" w:cs="宋体"/>
          <w:bCs/>
          <w:snapToGrid w:val="0"/>
          <w:kern w:val="0"/>
          <w:sz w:val="24"/>
          <w:szCs w:val="24"/>
        </w:rPr>
      </w:pPr>
      <w:r>
        <w:rPr>
          <w:rFonts w:hint="eastAsia" w:ascii="宋体" w:hAnsi="宋体" w:cs="宋体"/>
          <w:bCs/>
          <w:snapToGrid w:val="0"/>
          <w:kern w:val="0"/>
          <w:sz w:val="24"/>
          <w:szCs w:val="24"/>
        </w:rPr>
        <w:t>经营范围：各种变压器的生产制造、销售；变压器产品生产所需的原辅助材料、电磁线、硅钢片、机械设备、仪器仪表、备品、备件、零配件、高低压开关柜、箱式变电站、电线电缆及相关技术，变压器修理，电子电器产品；货物进出口、技术进出口业务；电力工程施工总承包；电力设施承装（修、试）业务。</w:t>
      </w:r>
    </w:p>
    <w:p>
      <w:pPr>
        <w:widowControl/>
        <w:kinsoku w:val="0"/>
        <w:autoSpaceDE w:val="0"/>
        <w:autoSpaceDN w:val="0"/>
        <w:adjustRightInd w:val="0"/>
        <w:snapToGrid w:val="0"/>
        <w:spacing w:line="560" w:lineRule="exact"/>
        <w:jc w:val="left"/>
        <w:textAlignment w:val="baseline"/>
        <w:rPr>
          <w:rFonts w:ascii="宋体" w:hAnsi="宋体" w:cs="宋体"/>
          <w:bCs/>
          <w:snapToGrid w:val="0"/>
          <w:kern w:val="0"/>
          <w:sz w:val="24"/>
          <w:szCs w:val="24"/>
        </w:rPr>
      </w:pPr>
      <w:r>
        <w:rPr>
          <w:rFonts w:hint="eastAsia" w:ascii="宋体" w:hAnsi="宋体" w:cs="宋体"/>
          <w:bCs/>
          <w:snapToGrid w:val="0"/>
          <w:kern w:val="0"/>
          <w:sz w:val="24"/>
          <w:szCs w:val="24"/>
        </w:rPr>
        <w:t>2、被担保人最近</w:t>
      </w:r>
      <w:r>
        <w:rPr>
          <w:rFonts w:hint="eastAsia" w:ascii="宋体" w:hAnsi="宋体" w:cs="宋体"/>
          <w:bCs/>
          <w:snapToGrid w:val="0"/>
          <w:kern w:val="0"/>
          <w:sz w:val="24"/>
          <w:szCs w:val="24"/>
          <w:lang w:val="en-US" w:eastAsia="zh-CN"/>
        </w:rPr>
        <w:t>一年及一期</w:t>
      </w:r>
      <w:r>
        <w:rPr>
          <w:rFonts w:hint="eastAsia" w:ascii="宋体" w:hAnsi="宋体" w:cs="宋体"/>
          <w:bCs/>
          <w:snapToGrid w:val="0"/>
          <w:kern w:val="0"/>
          <w:sz w:val="24"/>
          <w:szCs w:val="24"/>
        </w:rPr>
        <w:t>的财务数据：</w:t>
      </w:r>
    </w:p>
    <w:p>
      <w:pPr>
        <w:widowControl/>
        <w:kinsoku w:val="0"/>
        <w:autoSpaceDE w:val="0"/>
        <w:autoSpaceDN w:val="0"/>
        <w:adjustRightInd w:val="0"/>
        <w:snapToGrid w:val="0"/>
        <w:spacing w:line="560" w:lineRule="exact"/>
        <w:jc w:val="right"/>
        <w:textAlignment w:val="baseline"/>
        <w:rPr>
          <w:rFonts w:ascii="宋体" w:hAnsi="宋体" w:cs="宋体"/>
          <w:bCs/>
          <w:snapToGrid w:val="0"/>
          <w:kern w:val="0"/>
          <w:sz w:val="24"/>
          <w:szCs w:val="24"/>
          <w:lang w:eastAsia="en-US"/>
        </w:rPr>
      </w:pPr>
      <w:r>
        <w:rPr>
          <w:rFonts w:hint="eastAsia" w:ascii="宋体" w:hAnsi="宋体" w:cs="宋体"/>
          <w:bCs/>
          <w:snapToGrid w:val="0"/>
          <w:kern w:val="0"/>
          <w:sz w:val="24"/>
          <w:szCs w:val="24"/>
          <w:lang w:eastAsia="en-US"/>
        </w:rPr>
        <w:t>单位：人民币/万元</w:t>
      </w:r>
    </w:p>
    <w:tbl>
      <w:tblPr>
        <w:tblStyle w:val="88"/>
        <w:tblW w:w="4998" w:type="pct"/>
        <w:tblInd w:w="10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autofit"/>
        <w:tblCellMar>
          <w:top w:w="0" w:type="dxa"/>
          <w:left w:w="108" w:type="dxa"/>
          <w:bottom w:w="0" w:type="dxa"/>
          <w:right w:w="108" w:type="dxa"/>
        </w:tblCellMar>
      </w:tblPr>
      <w:tblGrid>
        <w:gridCol w:w="1622"/>
        <w:gridCol w:w="3488"/>
        <w:gridCol w:w="340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735" w:hRule="atLeast"/>
        </w:trPr>
        <w:tc>
          <w:tcPr>
            <w:tcW w:w="952" w:type="pct"/>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1"/>
                <w:szCs w:val="21"/>
                <w:highlight w:val="none"/>
                <w:u w:val="none"/>
              </w:rPr>
            </w:pPr>
            <w:r>
              <w:rPr>
                <w:rStyle w:val="147"/>
                <w:sz w:val="21"/>
                <w:szCs w:val="21"/>
                <w:highlight w:val="none"/>
                <w:lang w:val="en-US" w:eastAsia="zh-CN" w:bidi="ar"/>
              </w:rPr>
              <w:t>科目</w:t>
            </w:r>
          </w:p>
        </w:tc>
        <w:tc>
          <w:tcPr>
            <w:tcW w:w="2047" w:type="pct"/>
            <w:shd w:val="clear" w:color="auto" w:fill="auto"/>
            <w:vAlign w:val="center"/>
          </w:tcPr>
          <w:p>
            <w:pPr>
              <w:keepNext w:val="0"/>
              <w:keepLines w:val="0"/>
              <w:widowControl/>
              <w:suppressLineNumbers w:val="0"/>
              <w:jc w:val="center"/>
              <w:textAlignment w:val="top"/>
              <w:rPr>
                <w:rStyle w:val="147"/>
                <w:sz w:val="21"/>
                <w:szCs w:val="21"/>
                <w:highlight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2022年12月</w:t>
            </w:r>
            <w:r>
              <w:rPr>
                <w:rStyle w:val="147"/>
                <w:sz w:val="21"/>
                <w:szCs w:val="21"/>
                <w:highlight w:val="none"/>
                <w:lang w:val="en-US" w:eastAsia="zh-CN" w:bidi="ar"/>
              </w:rPr>
              <w:t>31日/2022年度</w:t>
            </w:r>
          </w:p>
          <w:p>
            <w:pPr>
              <w:keepNext w:val="0"/>
              <w:keepLines w:val="0"/>
              <w:widowControl/>
              <w:suppressLineNumbers w:val="0"/>
              <w:jc w:val="center"/>
              <w:textAlignment w:val="top"/>
              <w:rPr>
                <w:rFonts w:hint="eastAsia" w:ascii="宋体" w:hAnsi="宋体" w:eastAsia="宋体" w:cs="宋体"/>
                <w:b/>
                <w:bCs/>
                <w:i w:val="0"/>
                <w:iCs w:val="0"/>
                <w:color w:val="000000"/>
                <w:sz w:val="21"/>
                <w:szCs w:val="21"/>
                <w:highlight w:val="none"/>
                <w:u w:val="none"/>
              </w:rPr>
            </w:pPr>
            <w:r>
              <w:rPr>
                <w:rStyle w:val="147"/>
                <w:sz w:val="21"/>
                <w:szCs w:val="21"/>
                <w:highlight w:val="none"/>
                <w:lang w:val="en-US" w:eastAsia="zh-CN" w:bidi="ar"/>
              </w:rPr>
              <w:t>（已</w:t>
            </w:r>
            <w:r>
              <w:rPr>
                <w:rStyle w:val="147"/>
                <w:rFonts w:hint="eastAsia"/>
                <w:sz w:val="21"/>
                <w:szCs w:val="21"/>
                <w:highlight w:val="none"/>
                <w:lang w:val="en-US" w:eastAsia="zh-CN" w:bidi="ar"/>
              </w:rPr>
              <w:t>经立信会计师事务所</w:t>
            </w:r>
            <w:r>
              <w:rPr>
                <w:rStyle w:val="147"/>
                <w:sz w:val="21"/>
                <w:szCs w:val="21"/>
                <w:highlight w:val="none"/>
                <w:lang w:val="en-US" w:eastAsia="zh-CN" w:bidi="ar"/>
              </w:rPr>
              <w:t>审计）</w:t>
            </w:r>
          </w:p>
        </w:tc>
        <w:tc>
          <w:tcPr>
            <w:tcW w:w="2000" w:type="pct"/>
            <w:shd w:val="clear" w:color="auto" w:fill="auto"/>
            <w:vAlign w:val="center"/>
          </w:tcPr>
          <w:p>
            <w:pPr>
              <w:keepNext w:val="0"/>
              <w:keepLines w:val="0"/>
              <w:widowControl/>
              <w:suppressLineNumbers w:val="0"/>
              <w:jc w:val="center"/>
              <w:textAlignment w:val="top"/>
              <w:rPr>
                <w:rStyle w:val="147"/>
                <w:sz w:val="21"/>
                <w:szCs w:val="21"/>
                <w:highlight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2023年12月</w:t>
            </w:r>
            <w:r>
              <w:rPr>
                <w:rStyle w:val="147"/>
                <w:sz w:val="21"/>
                <w:szCs w:val="21"/>
                <w:highlight w:val="none"/>
                <w:lang w:val="en-US" w:eastAsia="zh-CN" w:bidi="ar"/>
              </w:rPr>
              <w:t>31日/2023年度</w:t>
            </w:r>
          </w:p>
          <w:p>
            <w:pPr>
              <w:keepNext w:val="0"/>
              <w:keepLines w:val="0"/>
              <w:widowControl/>
              <w:suppressLineNumbers w:val="0"/>
              <w:jc w:val="center"/>
              <w:textAlignment w:val="top"/>
              <w:rPr>
                <w:rFonts w:hint="eastAsia" w:ascii="宋体" w:hAnsi="宋体" w:eastAsia="宋体" w:cs="宋体"/>
                <w:b/>
                <w:bCs/>
                <w:i w:val="0"/>
                <w:iCs w:val="0"/>
                <w:color w:val="000000"/>
                <w:sz w:val="21"/>
                <w:szCs w:val="21"/>
                <w:highlight w:val="none"/>
                <w:u w:val="none"/>
              </w:rPr>
            </w:pPr>
            <w:r>
              <w:rPr>
                <w:rStyle w:val="147"/>
                <w:sz w:val="21"/>
                <w:szCs w:val="21"/>
                <w:highlight w:val="none"/>
                <w:lang w:val="en-US" w:eastAsia="zh-CN" w:bidi="ar"/>
              </w:rPr>
              <w:t>（</w:t>
            </w:r>
            <w:r>
              <w:rPr>
                <w:rStyle w:val="147"/>
                <w:rFonts w:hint="eastAsia"/>
                <w:sz w:val="21"/>
                <w:szCs w:val="21"/>
                <w:highlight w:val="none"/>
                <w:lang w:val="en-US" w:eastAsia="zh-CN" w:bidi="ar"/>
              </w:rPr>
              <w:t>已经大信会计师事务所</w:t>
            </w:r>
            <w:r>
              <w:rPr>
                <w:rStyle w:val="147"/>
                <w:sz w:val="21"/>
                <w:szCs w:val="21"/>
                <w:highlight w:val="none"/>
                <w:lang w:val="en-US" w:eastAsia="zh-CN" w:bidi="ar"/>
              </w:rPr>
              <w:t>审计）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75" w:hRule="atLeast"/>
        </w:trPr>
        <w:tc>
          <w:tcPr>
            <w:tcW w:w="952" w:type="pct"/>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highlight w:val="none"/>
                <w:u w:val="none"/>
              </w:rPr>
            </w:pPr>
            <w:r>
              <w:rPr>
                <w:rStyle w:val="148"/>
                <w:sz w:val="21"/>
                <w:szCs w:val="21"/>
                <w:highlight w:val="none"/>
                <w:lang w:val="en-US" w:eastAsia="zh-CN" w:bidi="ar"/>
              </w:rPr>
              <w:t>资产总额</w:t>
            </w:r>
          </w:p>
        </w:tc>
        <w:tc>
          <w:tcPr>
            <w:tcW w:w="2047" w:type="pct"/>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136,073.24</w:t>
            </w:r>
          </w:p>
        </w:tc>
        <w:tc>
          <w:tcPr>
            <w:tcW w:w="2000" w:type="pct"/>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158,731.03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375" w:hRule="atLeast"/>
        </w:trPr>
        <w:tc>
          <w:tcPr>
            <w:tcW w:w="952" w:type="pct"/>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highlight w:val="none"/>
                <w:u w:val="none"/>
              </w:rPr>
            </w:pPr>
            <w:r>
              <w:rPr>
                <w:rStyle w:val="148"/>
                <w:sz w:val="21"/>
                <w:szCs w:val="21"/>
                <w:highlight w:val="none"/>
                <w:lang w:val="en-US" w:eastAsia="zh-CN" w:bidi="ar"/>
              </w:rPr>
              <w:t>负债总额</w:t>
            </w:r>
          </w:p>
        </w:tc>
        <w:tc>
          <w:tcPr>
            <w:tcW w:w="2047" w:type="pct"/>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76,152.16</w:t>
            </w:r>
          </w:p>
        </w:tc>
        <w:tc>
          <w:tcPr>
            <w:tcW w:w="2000" w:type="pct"/>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91,439.85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75" w:hRule="atLeast"/>
        </w:trPr>
        <w:tc>
          <w:tcPr>
            <w:tcW w:w="952" w:type="pct"/>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highlight w:val="none"/>
                <w:u w:val="none"/>
              </w:rPr>
            </w:pPr>
            <w:r>
              <w:rPr>
                <w:rStyle w:val="148"/>
                <w:sz w:val="21"/>
                <w:szCs w:val="21"/>
                <w:highlight w:val="none"/>
                <w:lang w:val="en-US" w:eastAsia="zh-CN" w:bidi="ar"/>
              </w:rPr>
              <w:t>净资产</w:t>
            </w:r>
          </w:p>
        </w:tc>
        <w:tc>
          <w:tcPr>
            <w:tcW w:w="2047" w:type="pct"/>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59,921.08</w:t>
            </w:r>
          </w:p>
        </w:tc>
        <w:tc>
          <w:tcPr>
            <w:tcW w:w="2000" w:type="pct"/>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67,291.18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375" w:hRule="atLeast"/>
        </w:trPr>
        <w:tc>
          <w:tcPr>
            <w:tcW w:w="952" w:type="pct"/>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highlight w:val="none"/>
                <w:u w:val="none"/>
              </w:rPr>
            </w:pPr>
            <w:r>
              <w:rPr>
                <w:rStyle w:val="148"/>
                <w:sz w:val="21"/>
                <w:szCs w:val="21"/>
                <w:highlight w:val="none"/>
                <w:lang w:val="en-US" w:eastAsia="zh-CN" w:bidi="ar"/>
              </w:rPr>
              <w:t>营业收入</w:t>
            </w:r>
          </w:p>
        </w:tc>
        <w:tc>
          <w:tcPr>
            <w:tcW w:w="2047" w:type="pct"/>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72,185.69</w:t>
            </w:r>
          </w:p>
        </w:tc>
        <w:tc>
          <w:tcPr>
            <w:tcW w:w="2000" w:type="pct"/>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80,828.53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75" w:hRule="atLeast"/>
        </w:trPr>
        <w:tc>
          <w:tcPr>
            <w:tcW w:w="952" w:type="pct"/>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highlight w:val="none"/>
                <w:u w:val="none"/>
              </w:rPr>
            </w:pPr>
            <w:r>
              <w:rPr>
                <w:rStyle w:val="148"/>
                <w:sz w:val="21"/>
                <w:szCs w:val="21"/>
                <w:highlight w:val="none"/>
                <w:lang w:val="en-US" w:eastAsia="zh-CN" w:bidi="ar"/>
              </w:rPr>
              <w:t>净利润</w:t>
            </w:r>
          </w:p>
        </w:tc>
        <w:tc>
          <w:tcPr>
            <w:tcW w:w="2047" w:type="pct"/>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3,794.87</w:t>
            </w:r>
          </w:p>
        </w:tc>
        <w:tc>
          <w:tcPr>
            <w:tcW w:w="2000" w:type="pct"/>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8,112.29</w:t>
            </w:r>
          </w:p>
        </w:tc>
      </w:tr>
    </w:tbl>
    <w:p>
      <w:pPr>
        <w:autoSpaceDE w:val="0"/>
        <w:autoSpaceDN w:val="0"/>
        <w:adjustRightInd w:val="0"/>
        <w:spacing w:line="560" w:lineRule="exact"/>
        <w:rPr>
          <w:rFonts w:ascii="宋体" w:hAnsi="宋体" w:cs="宋体"/>
          <w:b/>
          <w:kern w:val="0"/>
          <w:sz w:val="24"/>
          <w:szCs w:val="24"/>
        </w:rPr>
      </w:pPr>
      <w:r>
        <w:rPr>
          <w:rFonts w:hint="eastAsia" w:ascii="宋体" w:hAnsi="宋体" w:cs="宋体"/>
          <w:b/>
          <w:kern w:val="0"/>
          <w:sz w:val="24"/>
          <w:szCs w:val="24"/>
        </w:rPr>
        <w:t>三、担保协议的主要内容</w:t>
      </w:r>
    </w:p>
    <w:p>
      <w:pPr>
        <w:autoSpaceDE w:val="0"/>
        <w:autoSpaceDN w:val="0"/>
        <w:adjustRightInd w:val="0"/>
        <w:spacing w:line="560" w:lineRule="exact"/>
        <w:ind w:firstLine="480" w:firstLineChars="200"/>
        <w:rPr>
          <w:rFonts w:ascii="宋体" w:hAnsi="宋体" w:cs="宋体"/>
          <w:kern w:val="0"/>
          <w:sz w:val="24"/>
          <w:szCs w:val="24"/>
        </w:rPr>
      </w:pPr>
      <w:r>
        <w:rPr>
          <w:rFonts w:hint="eastAsia" w:ascii="宋体" w:hAnsi="宋体" w:cs="宋体"/>
          <w:kern w:val="0"/>
          <w:sz w:val="24"/>
          <w:szCs w:val="24"/>
        </w:rPr>
        <w:t>本次担保预计系为子公司提供的最高担保额度，目前尚未签订相关担保协议，具体内容以实际签署的合同为准。在该担保额度内，公司将根据实际发生的担保在定期报告或进展公告中披露相应内容。</w:t>
      </w:r>
    </w:p>
    <w:p>
      <w:pPr>
        <w:autoSpaceDE w:val="0"/>
        <w:autoSpaceDN w:val="0"/>
        <w:adjustRightInd w:val="0"/>
        <w:spacing w:line="560" w:lineRule="exact"/>
        <w:rPr>
          <w:rFonts w:ascii="宋体" w:hAnsi="宋体" w:cs="宋体"/>
          <w:b/>
          <w:sz w:val="24"/>
          <w:szCs w:val="24"/>
        </w:rPr>
      </w:pPr>
      <w:r>
        <w:rPr>
          <w:rFonts w:hint="eastAsia" w:ascii="宋体" w:hAnsi="宋体" w:cs="宋体"/>
          <w:b/>
          <w:sz w:val="24"/>
          <w:szCs w:val="24"/>
        </w:rPr>
        <w:t>四、担保的必要性和合理性</w:t>
      </w:r>
    </w:p>
    <w:p>
      <w:pPr>
        <w:pStyle w:val="81"/>
        <w:autoSpaceDE w:val="0"/>
        <w:autoSpaceDN w:val="0"/>
        <w:adjustRightInd w:val="0"/>
        <w:spacing w:beforeAutospacing="0" w:afterAutospacing="0" w:line="560" w:lineRule="exact"/>
        <w:ind w:firstLine="480" w:firstLineChars="200"/>
        <w:rPr>
          <w:rFonts w:hint="eastAsia" w:ascii="宋体" w:hAnsi="宋体" w:cs="宋体"/>
          <w:bCs/>
          <w:snapToGrid w:val="0"/>
          <w:szCs w:val="24"/>
        </w:rPr>
      </w:pPr>
      <w:r>
        <w:rPr>
          <w:rFonts w:hint="eastAsia" w:ascii="宋体" w:hAnsi="宋体" w:cs="宋体"/>
          <w:bCs/>
          <w:snapToGrid w:val="0"/>
          <w:szCs w:val="24"/>
        </w:rPr>
        <w:t>本次担保主要为满足子公司日常生产经营需要，保证其生产经营活动的顺利开展，符合公司实际经营情况和整体发展战略，具有必要性和合理性。被担保对象为公司控股子公司，公司对其日常经营活动和资信状况能够及时掌握，担保风险总体可控，不会对公司及股东特别是中小股东利益造成重大不利影响。</w:t>
      </w:r>
    </w:p>
    <w:p>
      <w:pPr>
        <w:widowControl w:val="0"/>
        <w:kinsoku/>
        <w:autoSpaceDE w:val="0"/>
        <w:autoSpaceDN w:val="0"/>
        <w:adjustRightInd w:val="0"/>
        <w:snapToGrid/>
        <w:spacing w:before="0" w:beforeLines="-2147483648" w:line="560" w:lineRule="exact"/>
        <w:ind w:firstLine="0" w:firstLineChars="0"/>
        <w:jc w:val="both"/>
        <w:textAlignment w:val="auto"/>
        <w:rPr>
          <w:rFonts w:ascii="宋体" w:hAnsi="宋体" w:cs="宋体"/>
          <w:b/>
          <w:sz w:val="24"/>
          <w:szCs w:val="24"/>
        </w:rPr>
      </w:pPr>
      <w:r>
        <w:rPr>
          <w:rFonts w:hint="eastAsia" w:ascii="宋体" w:hAnsi="宋体" w:cs="宋体"/>
          <w:b/>
          <w:sz w:val="24"/>
          <w:szCs w:val="24"/>
        </w:rPr>
        <w:t>五、董事会意见</w:t>
      </w:r>
    </w:p>
    <w:p>
      <w:pPr>
        <w:tabs>
          <w:tab w:val="left" w:pos="3468"/>
        </w:tabs>
        <w:autoSpaceDE w:val="0"/>
        <w:autoSpaceDN w:val="0"/>
        <w:adjustRightInd w:val="0"/>
        <w:spacing w:before="156" w:beforeLines="50" w:line="360" w:lineRule="auto"/>
        <w:ind w:firstLine="480" w:firstLineChars="200"/>
        <w:rPr>
          <w:rFonts w:ascii="宋体" w:hAnsi="宋体" w:cs="宋体"/>
          <w:sz w:val="24"/>
          <w:szCs w:val="24"/>
        </w:rPr>
      </w:pPr>
      <w:r>
        <w:rPr>
          <w:rFonts w:ascii="宋体" w:hAnsi="宋体" w:cs="宋体"/>
          <w:sz w:val="24"/>
          <w:szCs w:val="24"/>
        </w:rPr>
        <w:t>董事会认为</w:t>
      </w:r>
      <w:r>
        <w:rPr>
          <w:rFonts w:hint="eastAsia" w:ascii="宋体" w:hAnsi="宋体" w:cs="宋体"/>
          <w:sz w:val="24"/>
          <w:szCs w:val="24"/>
        </w:rPr>
        <w:t>，</w:t>
      </w:r>
      <w:r>
        <w:rPr>
          <w:rFonts w:ascii="宋体" w:hAnsi="宋体" w:cs="宋体"/>
          <w:sz w:val="24"/>
          <w:szCs w:val="24"/>
        </w:rPr>
        <w:t>本次担保预计是考虑子公司日常经营需求，符合相关法律法规及公司章程的规定，担保风险总体可控，有利于公司的生产经营和长远发展，董事会</w:t>
      </w:r>
      <w:r>
        <w:rPr>
          <w:rFonts w:hint="eastAsia" w:ascii="宋体" w:hAnsi="宋体" w:cs="宋体"/>
          <w:sz w:val="24"/>
          <w:szCs w:val="24"/>
        </w:rPr>
        <w:t>全票</w:t>
      </w:r>
      <w:r>
        <w:rPr>
          <w:rFonts w:ascii="宋体" w:hAnsi="宋体" w:cs="宋体"/>
          <w:sz w:val="24"/>
          <w:szCs w:val="24"/>
        </w:rPr>
        <w:t>同意上述担保</w:t>
      </w:r>
      <w:r>
        <w:rPr>
          <w:rFonts w:hint="eastAsia" w:ascii="宋体" w:hAnsi="宋体" w:cs="宋体"/>
          <w:sz w:val="24"/>
          <w:szCs w:val="24"/>
        </w:rPr>
        <w:t>事宜</w:t>
      </w:r>
      <w:r>
        <w:rPr>
          <w:rFonts w:ascii="宋体" w:hAnsi="宋体" w:cs="宋体"/>
          <w:sz w:val="24"/>
          <w:szCs w:val="24"/>
        </w:rPr>
        <w:t>。</w:t>
      </w:r>
    </w:p>
    <w:p>
      <w:pPr>
        <w:autoSpaceDE w:val="0"/>
        <w:autoSpaceDN w:val="0"/>
        <w:adjustRightInd w:val="0"/>
        <w:spacing w:before="0" w:beforeLines="-2147483648" w:line="560" w:lineRule="exact"/>
        <w:ind w:firstLine="0" w:firstLineChars="0"/>
        <w:rPr>
          <w:rFonts w:ascii="宋体" w:hAnsi="宋体" w:cs="宋体"/>
          <w:b/>
          <w:sz w:val="24"/>
          <w:szCs w:val="24"/>
        </w:rPr>
      </w:pPr>
      <w:r>
        <w:rPr>
          <w:rFonts w:hint="eastAsia" w:ascii="宋体" w:hAnsi="宋体" w:cs="宋体"/>
          <w:b/>
          <w:sz w:val="24"/>
          <w:szCs w:val="24"/>
        </w:rPr>
        <w:t>六、累计对外担保数量及逾期担保的数量</w:t>
      </w:r>
    </w:p>
    <w:p>
      <w:pPr>
        <w:autoSpaceDE w:val="0"/>
        <w:autoSpaceDN w:val="0"/>
        <w:adjustRightInd w:val="0"/>
        <w:spacing w:before="156" w:beforeLines="50" w:line="360" w:lineRule="auto"/>
        <w:ind w:firstLine="480" w:firstLineChars="200"/>
        <w:rPr>
          <w:rFonts w:ascii="宋体" w:hAnsi="宋体" w:cs="宋体"/>
          <w:bCs/>
          <w:sz w:val="24"/>
          <w:szCs w:val="24"/>
        </w:rPr>
      </w:pPr>
      <w:r>
        <w:rPr>
          <w:rFonts w:hint="eastAsia" w:ascii="宋体" w:hAnsi="宋体" w:cs="宋体"/>
          <w:bCs/>
          <w:sz w:val="24"/>
          <w:szCs w:val="24"/>
        </w:rPr>
        <w:t>截至本公告披露日，公司对外担保均为对子公司的担保，担保总额为人民币13,700万元，担保余额7,359万元（不含本次），担保余额占上市公司最近一期经审计净资产的3.07%。其中，4,659万元系公司为对全资子公司黔南望江变压器有限公司提供的担保；2,700万元系公司履行收购云变电气股份的《产权交易合同》约定，为云变电气对中国兵器装备集团商业保理有限公司的按期兑付承担担保责任形成，不存在逾期担保。</w:t>
      </w:r>
    </w:p>
    <w:p>
      <w:pPr>
        <w:pStyle w:val="81"/>
        <w:widowControl/>
        <w:spacing w:before="156" w:beforeLines="50" w:beforeAutospacing="0" w:afterAutospacing="0" w:line="360" w:lineRule="auto"/>
        <w:ind w:firstLine="0" w:firstLineChars="0"/>
        <w:rPr>
          <w:rFonts w:ascii="宋体" w:hAnsi="宋体" w:cs="宋体"/>
          <w:b/>
          <w:bCs/>
          <w:kern w:val="2"/>
          <w:szCs w:val="24"/>
          <w:lang w:val="zh-TW"/>
        </w:rPr>
      </w:pPr>
      <w:r>
        <w:rPr>
          <w:rFonts w:hint="eastAsia" w:ascii="宋体" w:hAnsi="宋体" w:cs="宋体"/>
          <w:b/>
          <w:bCs/>
          <w:kern w:val="2"/>
          <w:szCs w:val="24"/>
        </w:rPr>
        <w:t>七、</w:t>
      </w:r>
      <w:r>
        <w:rPr>
          <w:rFonts w:hint="eastAsia" w:ascii="宋体" w:hAnsi="宋体" w:cs="宋体"/>
          <w:b/>
          <w:bCs/>
          <w:kern w:val="2"/>
          <w:szCs w:val="24"/>
          <w:lang w:val="zh-TW"/>
        </w:rPr>
        <w:t>保荐</w:t>
      </w:r>
      <w:r>
        <w:rPr>
          <w:rFonts w:hint="eastAsia" w:ascii="宋体" w:hAnsi="宋体" w:cs="宋体"/>
          <w:b/>
          <w:bCs/>
          <w:kern w:val="2"/>
          <w:szCs w:val="24"/>
        </w:rPr>
        <w:t>机构</w:t>
      </w:r>
      <w:r>
        <w:rPr>
          <w:rFonts w:hint="eastAsia" w:ascii="宋体" w:hAnsi="宋体" w:cs="宋体"/>
          <w:b/>
          <w:bCs/>
          <w:kern w:val="2"/>
          <w:szCs w:val="24"/>
          <w:lang w:val="zh-TW"/>
        </w:rPr>
        <w:t>核查意见</w:t>
      </w:r>
    </w:p>
    <w:p>
      <w:pPr>
        <w:keepNext w:val="0"/>
        <w:keepLines w:val="0"/>
        <w:pageBreakBefore w:val="0"/>
        <w:wordWrap/>
        <w:overflowPunct/>
        <w:topLinePunct w:val="0"/>
        <w:autoSpaceDE w:val="0"/>
        <w:autoSpaceDN w:val="0"/>
        <w:bidi w:val="0"/>
        <w:adjustRightInd w:val="0"/>
        <w:spacing w:before="157" w:beforeLines="50"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经核查，保荐人认为：公司为子公司云变电气申请授信提供担保，是为了满足公司经营及发展需求，该事项已经公司董事会、监事会审议通过，尚需提交股东大会审议，其决策程序合法、有效，符合法律法规及相关文件的规定。</w:t>
      </w:r>
    </w:p>
    <w:p>
      <w:pPr>
        <w:keepNext w:val="0"/>
        <w:keepLines w:val="0"/>
        <w:pageBreakBefore w:val="0"/>
        <w:wordWrap/>
        <w:overflowPunct/>
        <w:topLinePunct w:val="0"/>
        <w:autoSpaceDE w:val="0"/>
        <w:autoSpaceDN w:val="0"/>
        <w:bidi w:val="0"/>
        <w:adjustRightInd w:val="0"/>
        <w:spacing w:before="157" w:beforeLines="50"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综上，保荐人对公司为子公司申请授信提供担保事项无异议。</w:t>
      </w:r>
    </w:p>
    <w:p>
      <w:pPr>
        <w:autoSpaceDE w:val="0"/>
        <w:autoSpaceDN w:val="0"/>
        <w:adjustRightInd w:val="0"/>
        <w:spacing w:before="156" w:beforeLines="50" w:line="360" w:lineRule="auto"/>
        <w:ind w:firstLine="480" w:firstLineChars="200"/>
        <w:rPr>
          <w:rFonts w:ascii="宋体" w:hAnsi="宋体" w:cs="宋体"/>
          <w:b/>
          <w:sz w:val="24"/>
          <w:szCs w:val="24"/>
        </w:rPr>
      </w:pPr>
      <w:r>
        <w:rPr>
          <w:rFonts w:hint="eastAsia" w:ascii="宋体" w:hAnsi="宋体" w:cs="宋体"/>
          <w:kern w:val="0"/>
          <w:sz w:val="24"/>
          <w:szCs w:val="24"/>
        </w:rPr>
        <w:t>特此公告。</w:t>
      </w:r>
    </w:p>
    <w:p>
      <w:pPr>
        <w:autoSpaceDE w:val="0"/>
        <w:autoSpaceDN w:val="0"/>
        <w:adjustRightInd w:val="0"/>
        <w:spacing w:line="560" w:lineRule="exact"/>
        <w:jc w:val="left"/>
        <w:rPr>
          <w:rFonts w:ascii="宋体" w:hAnsi="宋体" w:cs="宋体"/>
          <w:kern w:val="0"/>
          <w:sz w:val="24"/>
          <w:szCs w:val="24"/>
        </w:rPr>
      </w:pPr>
    </w:p>
    <w:p>
      <w:pPr>
        <w:adjustRightInd w:val="0"/>
        <w:snapToGrid w:val="0"/>
        <w:spacing w:line="560" w:lineRule="exact"/>
        <w:ind w:firstLine="480" w:firstLineChars="200"/>
        <w:jc w:val="right"/>
        <w:rPr>
          <w:rFonts w:ascii="宋体" w:hAnsi="宋体"/>
          <w:sz w:val="24"/>
          <w:szCs w:val="24"/>
        </w:rPr>
      </w:pPr>
      <w:r>
        <w:rPr>
          <w:rFonts w:hint="eastAsia" w:ascii="宋体" w:hAnsi="宋体" w:cs="宋体"/>
          <w:kern w:val="0"/>
          <w:sz w:val="24"/>
          <w:szCs w:val="24"/>
        </w:rPr>
        <w:t>重庆望变电气（集团）</w:t>
      </w:r>
      <w:r>
        <w:rPr>
          <w:rFonts w:hint="eastAsia" w:ascii="宋体" w:hAnsi="宋体" w:cs="仿宋_GB2312"/>
          <w:sz w:val="24"/>
          <w:szCs w:val="24"/>
        </w:rPr>
        <w:t>股</w:t>
      </w:r>
      <w:r>
        <w:rPr>
          <w:rFonts w:hint="eastAsia" w:ascii="宋体" w:hAnsi="宋体"/>
          <w:sz w:val="24"/>
          <w:szCs w:val="24"/>
        </w:rPr>
        <w:t>份有限公司董事会</w:t>
      </w:r>
    </w:p>
    <w:p>
      <w:pPr>
        <w:adjustRightInd w:val="0"/>
        <w:snapToGrid w:val="0"/>
        <w:spacing w:line="560" w:lineRule="exact"/>
        <w:ind w:firstLine="480" w:firstLineChars="200"/>
        <w:jc w:val="right"/>
        <w:rPr>
          <w:rFonts w:ascii="宋体" w:hAnsi="宋体" w:cs="宋体"/>
          <w:kern w:val="0"/>
          <w:sz w:val="24"/>
          <w:szCs w:val="24"/>
        </w:rPr>
      </w:pPr>
      <w:r>
        <w:rPr>
          <w:rFonts w:ascii="宋体" w:hAnsi="宋体"/>
          <w:sz w:val="24"/>
          <w:szCs w:val="24"/>
        </w:rPr>
        <w:t>202</w:t>
      </w:r>
      <w:r>
        <w:rPr>
          <w:rFonts w:hint="eastAsia" w:ascii="宋体" w:hAnsi="宋体"/>
          <w:sz w:val="24"/>
          <w:szCs w:val="24"/>
        </w:rPr>
        <w:t>4年4月26日</w:t>
      </w:r>
    </w:p>
    <w:p>
      <w:pPr>
        <w:autoSpaceDE w:val="0"/>
        <w:autoSpaceDN w:val="0"/>
        <w:adjustRightInd w:val="0"/>
        <w:snapToGrid w:val="0"/>
        <w:spacing w:line="560" w:lineRule="exact"/>
        <w:ind w:firstLine="480" w:firstLineChars="200"/>
        <w:rPr>
          <w:rFonts w:ascii="宋体" w:hAnsi="宋体" w:cs="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501252"/>
    </w:sdtPr>
    <w:sdtContent>
      <w:p>
        <w:pPr>
          <w:pStyle w:val="55"/>
          <w:jc w:val="center"/>
        </w:pPr>
        <w:r>
          <w:fldChar w:fldCharType="begin"/>
        </w:r>
        <w:r>
          <w:instrText xml:space="preserve"> PAGE   \* MERGEFORMAT </w:instrText>
        </w:r>
        <w:r>
          <w:fldChar w:fldCharType="separate"/>
        </w:r>
        <w:r>
          <w:rPr>
            <w:lang w:val="zh-CN"/>
          </w:rPr>
          <w:t>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2E0ED"/>
    <w:multiLevelType w:val="singleLevel"/>
    <w:tmpl w:val="B8C2E0ED"/>
    <w:lvl w:ilvl="0" w:tentative="0">
      <w:start w:val="2"/>
      <w:numFmt w:val="chineseCounting"/>
      <w:suff w:val="nothing"/>
      <w:lvlText w:val="（%1）"/>
      <w:lvlJc w:val="left"/>
      <w:rPr>
        <w:rFonts w:hint="eastAsia"/>
      </w:rPr>
    </w:lvl>
  </w:abstractNum>
  <w:abstractNum w:abstractNumId="1">
    <w:nsid w:val="D5604579"/>
    <w:multiLevelType w:val="singleLevel"/>
    <w:tmpl w:val="D5604579"/>
    <w:lvl w:ilvl="0" w:tentative="0">
      <w:start w:val="1"/>
      <w:numFmt w:val="bullet"/>
      <w:lvlText w:val=""/>
      <w:lvlJc w:val="left"/>
      <w:pPr>
        <w:ind w:left="420" w:hanging="420"/>
      </w:pPr>
      <w:rPr>
        <w:rFonts w:hint="default" w:ascii="Wingdings" w:hAnsi="Wingdings"/>
      </w:rPr>
    </w:lvl>
  </w:abstractNum>
  <w:abstractNum w:abstractNumId="2">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3">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4">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5">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6">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7">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8">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9">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10">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11">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2">
    <w:nsid w:val="22712713"/>
    <w:multiLevelType w:val="singleLevel"/>
    <w:tmpl w:val="22712713"/>
    <w:lvl w:ilvl="0" w:tentative="0">
      <w:start w:val="1"/>
      <w:numFmt w:val="bullet"/>
      <w:pStyle w:val="94"/>
      <w:lvlText w:val=""/>
      <w:lvlJc w:val="left"/>
      <w:pPr>
        <w:ind w:left="420" w:hanging="420"/>
      </w:pPr>
      <w:rPr>
        <w:rFonts w:hint="default" w:ascii="Wingdings" w:hAnsi="Wingdings"/>
      </w:rPr>
    </w:lvl>
  </w:abstractNum>
  <w:abstractNum w:abstractNumId="13">
    <w:nsid w:val="40EC9271"/>
    <w:multiLevelType w:val="singleLevel"/>
    <w:tmpl w:val="40EC9271"/>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
  </w:num>
  <w:num w:numId="8">
    <w:abstractNumId w:val="6"/>
  </w:num>
  <w:num w:numId="9">
    <w:abstractNumId w:val="3"/>
  </w:num>
  <w:num w:numId="10">
    <w:abstractNumId w:val="2"/>
  </w:num>
  <w:num w:numId="11">
    <w:abstractNumId w:val="12"/>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ZmRmZDMxMjkwMDE2NTk0ZWQ1ZWYwMzRmYjVhNmUifQ=="/>
  </w:docVars>
  <w:rsids>
    <w:rsidRoot w:val="00BF2ECD"/>
    <w:rsid w:val="00000558"/>
    <w:rsid w:val="00000BC9"/>
    <w:rsid w:val="0000604D"/>
    <w:rsid w:val="00030B8F"/>
    <w:rsid w:val="000369D9"/>
    <w:rsid w:val="00037429"/>
    <w:rsid w:val="00044B7A"/>
    <w:rsid w:val="000507FA"/>
    <w:rsid w:val="00050D8C"/>
    <w:rsid w:val="00051D15"/>
    <w:rsid w:val="00054EEE"/>
    <w:rsid w:val="00060DFA"/>
    <w:rsid w:val="00064333"/>
    <w:rsid w:val="000671F4"/>
    <w:rsid w:val="00070F49"/>
    <w:rsid w:val="0007156E"/>
    <w:rsid w:val="000764C3"/>
    <w:rsid w:val="00082408"/>
    <w:rsid w:val="00084C5D"/>
    <w:rsid w:val="00087F94"/>
    <w:rsid w:val="00095674"/>
    <w:rsid w:val="000A490B"/>
    <w:rsid w:val="000B677B"/>
    <w:rsid w:val="00124FA5"/>
    <w:rsid w:val="00125C8C"/>
    <w:rsid w:val="00126188"/>
    <w:rsid w:val="001335CF"/>
    <w:rsid w:val="001368F4"/>
    <w:rsid w:val="001619B6"/>
    <w:rsid w:val="00161C50"/>
    <w:rsid w:val="001631B1"/>
    <w:rsid w:val="00177222"/>
    <w:rsid w:val="001903B0"/>
    <w:rsid w:val="001B5730"/>
    <w:rsid w:val="001C165F"/>
    <w:rsid w:val="001C235A"/>
    <w:rsid w:val="001D0405"/>
    <w:rsid w:val="001E4E44"/>
    <w:rsid w:val="001E7562"/>
    <w:rsid w:val="001F0293"/>
    <w:rsid w:val="001F3BAD"/>
    <w:rsid w:val="002032FC"/>
    <w:rsid w:val="002051AC"/>
    <w:rsid w:val="00207506"/>
    <w:rsid w:val="002114BE"/>
    <w:rsid w:val="00224E96"/>
    <w:rsid w:val="00246976"/>
    <w:rsid w:val="00266A7C"/>
    <w:rsid w:val="00272D61"/>
    <w:rsid w:val="002878A7"/>
    <w:rsid w:val="00294DFB"/>
    <w:rsid w:val="002B1A65"/>
    <w:rsid w:val="002B291C"/>
    <w:rsid w:val="002C32E2"/>
    <w:rsid w:val="002C3AF3"/>
    <w:rsid w:val="002C5387"/>
    <w:rsid w:val="002D6A43"/>
    <w:rsid w:val="002E2215"/>
    <w:rsid w:val="002F1340"/>
    <w:rsid w:val="002F33C4"/>
    <w:rsid w:val="002F4948"/>
    <w:rsid w:val="002F6DC2"/>
    <w:rsid w:val="002F6FD5"/>
    <w:rsid w:val="0030115C"/>
    <w:rsid w:val="003051B5"/>
    <w:rsid w:val="003127EC"/>
    <w:rsid w:val="00313A26"/>
    <w:rsid w:val="00335DCA"/>
    <w:rsid w:val="00342251"/>
    <w:rsid w:val="00343F60"/>
    <w:rsid w:val="00352F3F"/>
    <w:rsid w:val="003A3C4B"/>
    <w:rsid w:val="003A4934"/>
    <w:rsid w:val="003A6877"/>
    <w:rsid w:val="003B5E5C"/>
    <w:rsid w:val="003C13ED"/>
    <w:rsid w:val="003C3E72"/>
    <w:rsid w:val="003D1D39"/>
    <w:rsid w:val="003D4987"/>
    <w:rsid w:val="003D500E"/>
    <w:rsid w:val="003E399E"/>
    <w:rsid w:val="003F26EB"/>
    <w:rsid w:val="00404524"/>
    <w:rsid w:val="00412966"/>
    <w:rsid w:val="004166FA"/>
    <w:rsid w:val="00421FBB"/>
    <w:rsid w:val="00432414"/>
    <w:rsid w:val="004417CE"/>
    <w:rsid w:val="004617FD"/>
    <w:rsid w:val="00481530"/>
    <w:rsid w:val="004A27BC"/>
    <w:rsid w:val="004B6940"/>
    <w:rsid w:val="004C3D35"/>
    <w:rsid w:val="004E11B1"/>
    <w:rsid w:val="004F4D81"/>
    <w:rsid w:val="004F792E"/>
    <w:rsid w:val="00501890"/>
    <w:rsid w:val="0050197F"/>
    <w:rsid w:val="00507042"/>
    <w:rsid w:val="0052284A"/>
    <w:rsid w:val="0052751C"/>
    <w:rsid w:val="00527F05"/>
    <w:rsid w:val="00563DEF"/>
    <w:rsid w:val="00593D94"/>
    <w:rsid w:val="005950D7"/>
    <w:rsid w:val="005A5697"/>
    <w:rsid w:val="005B06D0"/>
    <w:rsid w:val="005B1790"/>
    <w:rsid w:val="005B1CE9"/>
    <w:rsid w:val="005E015E"/>
    <w:rsid w:val="005E0D94"/>
    <w:rsid w:val="005F0BAA"/>
    <w:rsid w:val="006004F3"/>
    <w:rsid w:val="0061300F"/>
    <w:rsid w:val="0061302E"/>
    <w:rsid w:val="00616B8A"/>
    <w:rsid w:val="00621D2E"/>
    <w:rsid w:val="006227F4"/>
    <w:rsid w:val="00623320"/>
    <w:rsid w:val="006233E1"/>
    <w:rsid w:val="00631267"/>
    <w:rsid w:val="00636AA5"/>
    <w:rsid w:val="006414A6"/>
    <w:rsid w:val="00656B76"/>
    <w:rsid w:val="0065737B"/>
    <w:rsid w:val="0066648F"/>
    <w:rsid w:val="006754DD"/>
    <w:rsid w:val="00692CB8"/>
    <w:rsid w:val="006B13DA"/>
    <w:rsid w:val="006B2315"/>
    <w:rsid w:val="006B45CE"/>
    <w:rsid w:val="006B6910"/>
    <w:rsid w:val="006C312B"/>
    <w:rsid w:val="006C6811"/>
    <w:rsid w:val="006D1676"/>
    <w:rsid w:val="006D6459"/>
    <w:rsid w:val="007041A1"/>
    <w:rsid w:val="00713C80"/>
    <w:rsid w:val="00732D11"/>
    <w:rsid w:val="0073774F"/>
    <w:rsid w:val="00740449"/>
    <w:rsid w:val="00745B5F"/>
    <w:rsid w:val="0076073C"/>
    <w:rsid w:val="00776B0C"/>
    <w:rsid w:val="007946B0"/>
    <w:rsid w:val="007A42EC"/>
    <w:rsid w:val="007A54FF"/>
    <w:rsid w:val="007B4990"/>
    <w:rsid w:val="007C00D5"/>
    <w:rsid w:val="007C343C"/>
    <w:rsid w:val="007C655F"/>
    <w:rsid w:val="007D539C"/>
    <w:rsid w:val="007D7D45"/>
    <w:rsid w:val="008026A0"/>
    <w:rsid w:val="00816C8F"/>
    <w:rsid w:val="00826B51"/>
    <w:rsid w:val="0083455D"/>
    <w:rsid w:val="008625FB"/>
    <w:rsid w:val="00866013"/>
    <w:rsid w:val="00885E01"/>
    <w:rsid w:val="00891EE8"/>
    <w:rsid w:val="008A76CD"/>
    <w:rsid w:val="008B360D"/>
    <w:rsid w:val="008B4652"/>
    <w:rsid w:val="008C75E8"/>
    <w:rsid w:val="008D10ED"/>
    <w:rsid w:val="008D7908"/>
    <w:rsid w:val="008D7D16"/>
    <w:rsid w:val="008E2FF0"/>
    <w:rsid w:val="008F3FFE"/>
    <w:rsid w:val="00906FA1"/>
    <w:rsid w:val="00912197"/>
    <w:rsid w:val="00913A1A"/>
    <w:rsid w:val="009238FB"/>
    <w:rsid w:val="009477DC"/>
    <w:rsid w:val="009536D8"/>
    <w:rsid w:val="00955454"/>
    <w:rsid w:val="00955DC4"/>
    <w:rsid w:val="00960BDB"/>
    <w:rsid w:val="00962784"/>
    <w:rsid w:val="0096329B"/>
    <w:rsid w:val="0097194D"/>
    <w:rsid w:val="009752E9"/>
    <w:rsid w:val="00977420"/>
    <w:rsid w:val="0099027E"/>
    <w:rsid w:val="00992A41"/>
    <w:rsid w:val="009A242D"/>
    <w:rsid w:val="009A3EBC"/>
    <w:rsid w:val="009C3379"/>
    <w:rsid w:val="00A06636"/>
    <w:rsid w:val="00A20224"/>
    <w:rsid w:val="00A317FA"/>
    <w:rsid w:val="00A369A9"/>
    <w:rsid w:val="00A4773A"/>
    <w:rsid w:val="00A50776"/>
    <w:rsid w:val="00A563BC"/>
    <w:rsid w:val="00A56BD4"/>
    <w:rsid w:val="00A80442"/>
    <w:rsid w:val="00A87F63"/>
    <w:rsid w:val="00A9108C"/>
    <w:rsid w:val="00AA1DF6"/>
    <w:rsid w:val="00AA36C5"/>
    <w:rsid w:val="00AC6182"/>
    <w:rsid w:val="00AD2992"/>
    <w:rsid w:val="00AD7080"/>
    <w:rsid w:val="00AE3517"/>
    <w:rsid w:val="00AF4CB2"/>
    <w:rsid w:val="00B10348"/>
    <w:rsid w:val="00B10A2A"/>
    <w:rsid w:val="00B12308"/>
    <w:rsid w:val="00B13505"/>
    <w:rsid w:val="00B152B7"/>
    <w:rsid w:val="00B253D1"/>
    <w:rsid w:val="00B25554"/>
    <w:rsid w:val="00B3338B"/>
    <w:rsid w:val="00B35C9C"/>
    <w:rsid w:val="00B575AF"/>
    <w:rsid w:val="00B65460"/>
    <w:rsid w:val="00B656C4"/>
    <w:rsid w:val="00B66D7C"/>
    <w:rsid w:val="00B90010"/>
    <w:rsid w:val="00B96BB6"/>
    <w:rsid w:val="00BC4BBB"/>
    <w:rsid w:val="00BD7901"/>
    <w:rsid w:val="00BE0431"/>
    <w:rsid w:val="00BE7AC6"/>
    <w:rsid w:val="00BF2ECD"/>
    <w:rsid w:val="00BF54FF"/>
    <w:rsid w:val="00C061F6"/>
    <w:rsid w:val="00C11467"/>
    <w:rsid w:val="00C11DBC"/>
    <w:rsid w:val="00C21159"/>
    <w:rsid w:val="00C2610B"/>
    <w:rsid w:val="00C321FA"/>
    <w:rsid w:val="00C335E9"/>
    <w:rsid w:val="00C37A23"/>
    <w:rsid w:val="00C5077D"/>
    <w:rsid w:val="00C515E8"/>
    <w:rsid w:val="00C55AA9"/>
    <w:rsid w:val="00C578DC"/>
    <w:rsid w:val="00C57B6A"/>
    <w:rsid w:val="00C64E83"/>
    <w:rsid w:val="00C800AF"/>
    <w:rsid w:val="00C937A0"/>
    <w:rsid w:val="00CA5962"/>
    <w:rsid w:val="00CA5E22"/>
    <w:rsid w:val="00CC2A94"/>
    <w:rsid w:val="00CC6A06"/>
    <w:rsid w:val="00CD0630"/>
    <w:rsid w:val="00CE38B0"/>
    <w:rsid w:val="00D0021B"/>
    <w:rsid w:val="00D060E9"/>
    <w:rsid w:val="00D061EC"/>
    <w:rsid w:val="00D11AE5"/>
    <w:rsid w:val="00D12713"/>
    <w:rsid w:val="00D14999"/>
    <w:rsid w:val="00D20476"/>
    <w:rsid w:val="00D348AE"/>
    <w:rsid w:val="00D36CEC"/>
    <w:rsid w:val="00D37022"/>
    <w:rsid w:val="00D40D5F"/>
    <w:rsid w:val="00D479B2"/>
    <w:rsid w:val="00D51495"/>
    <w:rsid w:val="00D6642E"/>
    <w:rsid w:val="00DA6BAB"/>
    <w:rsid w:val="00DB4349"/>
    <w:rsid w:val="00DD1465"/>
    <w:rsid w:val="00DD3A5B"/>
    <w:rsid w:val="00DD5D73"/>
    <w:rsid w:val="00DE0D68"/>
    <w:rsid w:val="00DE24A1"/>
    <w:rsid w:val="00DE2FB4"/>
    <w:rsid w:val="00E1723F"/>
    <w:rsid w:val="00E2700A"/>
    <w:rsid w:val="00E313D8"/>
    <w:rsid w:val="00E35CC1"/>
    <w:rsid w:val="00E360F6"/>
    <w:rsid w:val="00E47DB7"/>
    <w:rsid w:val="00E50EF5"/>
    <w:rsid w:val="00E52836"/>
    <w:rsid w:val="00E54250"/>
    <w:rsid w:val="00E62DAF"/>
    <w:rsid w:val="00E92E43"/>
    <w:rsid w:val="00E97E71"/>
    <w:rsid w:val="00EA34E8"/>
    <w:rsid w:val="00EC5C5A"/>
    <w:rsid w:val="00ED0055"/>
    <w:rsid w:val="00EF138E"/>
    <w:rsid w:val="00EF74FD"/>
    <w:rsid w:val="00F16E07"/>
    <w:rsid w:val="00F2365C"/>
    <w:rsid w:val="00F57B5A"/>
    <w:rsid w:val="00F605B9"/>
    <w:rsid w:val="00F60665"/>
    <w:rsid w:val="00F65A6F"/>
    <w:rsid w:val="00F77490"/>
    <w:rsid w:val="00F84CFA"/>
    <w:rsid w:val="00F964CD"/>
    <w:rsid w:val="00F967B2"/>
    <w:rsid w:val="00FA1CAB"/>
    <w:rsid w:val="00FD1980"/>
    <w:rsid w:val="00FE0712"/>
    <w:rsid w:val="01E50D53"/>
    <w:rsid w:val="02066364"/>
    <w:rsid w:val="02815CE9"/>
    <w:rsid w:val="03134C0F"/>
    <w:rsid w:val="032D4E3E"/>
    <w:rsid w:val="073B5BC9"/>
    <w:rsid w:val="07BE292C"/>
    <w:rsid w:val="07C65CA5"/>
    <w:rsid w:val="08514037"/>
    <w:rsid w:val="096251C7"/>
    <w:rsid w:val="0B9C5BD8"/>
    <w:rsid w:val="10C85995"/>
    <w:rsid w:val="11162CD7"/>
    <w:rsid w:val="11F04FB0"/>
    <w:rsid w:val="11FD41AB"/>
    <w:rsid w:val="19857952"/>
    <w:rsid w:val="1E79312C"/>
    <w:rsid w:val="213B1B76"/>
    <w:rsid w:val="230A0721"/>
    <w:rsid w:val="23C35C66"/>
    <w:rsid w:val="24100647"/>
    <w:rsid w:val="24BC60E2"/>
    <w:rsid w:val="251B37E1"/>
    <w:rsid w:val="2615746A"/>
    <w:rsid w:val="26401ABD"/>
    <w:rsid w:val="2AAC23F9"/>
    <w:rsid w:val="2C422599"/>
    <w:rsid w:val="2CCD15FB"/>
    <w:rsid w:val="2FB04883"/>
    <w:rsid w:val="30FC41DF"/>
    <w:rsid w:val="36372CA9"/>
    <w:rsid w:val="381C2D1C"/>
    <w:rsid w:val="39E2569B"/>
    <w:rsid w:val="3A8D0F72"/>
    <w:rsid w:val="3A960DE3"/>
    <w:rsid w:val="3C6F4907"/>
    <w:rsid w:val="3CF573AA"/>
    <w:rsid w:val="3D624079"/>
    <w:rsid w:val="3F9B1851"/>
    <w:rsid w:val="3FFBD36B"/>
    <w:rsid w:val="41076FBE"/>
    <w:rsid w:val="41D45DF6"/>
    <w:rsid w:val="42275509"/>
    <w:rsid w:val="460F40D4"/>
    <w:rsid w:val="4611224F"/>
    <w:rsid w:val="4611554A"/>
    <w:rsid w:val="499F1D78"/>
    <w:rsid w:val="4A983129"/>
    <w:rsid w:val="4D556624"/>
    <w:rsid w:val="4F095C75"/>
    <w:rsid w:val="524C7FC2"/>
    <w:rsid w:val="52E00474"/>
    <w:rsid w:val="53202F13"/>
    <w:rsid w:val="546F68B3"/>
    <w:rsid w:val="565D3A9C"/>
    <w:rsid w:val="57C86637"/>
    <w:rsid w:val="5919171F"/>
    <w:rsid w:val="59531228"/>
    <w:rsid w:val="5BA66D99"/>
    <w:rsid w:val="5C7436E9"/>
    <w:rsid w:val="5C8255FD"/>
    <w:rsid w:val="5CEE2784"/>
    <w:rsid w:val="5D0E2A44"/>
    <w:rsid w:val="5EAF52F7"/>
    <w:rsid w:val="5FE3F82D"/>
    <w:rsid w:val="5FFD5624"/>
    <w:rsid w:val="611F29C3"/>
    <w:rsid w:val="61AD670E"/>
    <w:rsid w:val="620A112B"/>
    <w:rsid w:val="67DC6589"/>
    <w:rsid w:val="69D24BFB"/>
    <w:rsid w:val="6BE74894"/>
    <w:rsid w:val="6EEE5B5B"/>
    <w:rsid w:val="6F2BFEC0"/>
    <w:rsid w:val="6F6946EC"/>
    <w:rsid w:val="6F8D7841"/>
    <w:rsid w:val="6F92035A"/>
    <w:rsid w:val="70182BA3"/>
    <w:rsid w:val="73A8198C"/>
    <w:rsid w:val="757F06CF"/>
    <w:rsid w:val="75B740CF"/>
    <w:rsid w:val="76FF27BE"/>
    <w:rsid w:val="77E729E4"/>
    <w:rsid w:val="78852C26"/>
    <w:rsid w:val="794B6266"/>
    <w:rsid w:val="7D5B007A"/>
    <w:rsid w:val="7E0457F8"/>
    <w:rsid w:val="7EA126C9"/>
    <w:rsid w:val="7EFD57C1"/>
    <w:rsid w:val="7F2351A1"/>
    <w:rsid w:val="7F93D619"/>
    <w:rsid w:val="7FE01AFA"/>
    <w:rsid w:val="8BFFE455"/>
    <w:rsid w:val="A4B35309"/>
    <w:rsid w:val="BEBE0E25"/>
    <w:rsid w:val="E5FB001E"/>
    <w:rsid w:val="EF5F0041"/>
    <w:rsid w:val="FDA7D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iPriority="99" w:name="Closing"/>
    <w:lsdException w:qFormat="1" w:uiPriority="99" w:name="Signature"/>
    <w:lsdException w:qFormat="1" w:uiPriority="1" w:name="Default Paragraph Font"/>
    <w:lsdException w:qFormat="1" w:unhideWhenUsed="0" w:uiPriority="0"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iPriority="99" w:name="Quote"/>
    <w:lsdException w:qFormat="1" w:uiPriority="99"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0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1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12"/>
    <w:autoRedefine/>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113"/>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14"/>
    <w:autoRedefine/>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115"/>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16"/>
    <w:autoRedefine/>
    <w:semiHidden/>
    <w:unhideWhenUsed/>
    <w:qFormat/>
    <w:uiPriority w:val="9"/>
    <w:pPr>
      <w:keepNext/>
      <w:keepLines/>
      <w:spacing w:before="240" w:after="64" w:line="320" w:lineRule="auto"/>
      <w:outlineLvl w:val="6"/>
    </w:pPr>
    <w:rPr>
      <w:b/>
      <w:bCs/>
      <w:sz w:val="24"/>
      <w:szCs w:val="24"/>
    </w:rPr>
  </w:style>
  <w:style w:type="paragraph" w:styleId="10">
    <w:name w:val="heading 8"/>
    <w:basedOn w:val="1"/>
    <w:next w:val="1"/>
    <w:link w:val="117"/>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8"/>
    <w:autoRedefine/>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90">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23"/>
    <w:autoRedefine/>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semiHidden/>
    <w:unhideWhenUsed/>
    <w:qFormat/>
    <w:uiPriority w:val="99"/>
    <w:pPr>
      <w:ind w:left="100" w:leftChars="400" w:hanging="200" w:hangingChars="200"/>
      <w:contextualSpacing/>
    </w:pPr>
  </w:style>
  <w:style w:type="paragraph" w:styleId="13">
    <w:name w:val="toc 7"/>
    <w:basedOn w:val="1"/>
    <w:next w:val="1"/>
    <w:autoRedefine/>
    <w:semiHidden/>
    <w:unhideWhenUsed/>
    <w:qFormat/>
    <w:uiPriority w:val="39"/>
    <w:pPr>
      <w:ind w:left="2520" w:leftChars="1200"/>
    </w:pPr>
  </w:style>
  <w:style w:type="paragraph" w:styleId="14">
    <w:name w:val="List Number 2"/>
    <w:basedOn w:val="1"/>
    <w:autoRedefine/>
    <w:semiHidden/>
    <w:unhideWhenUsed/>
    <w:qFormat/>
    <w:uiPriority w:val="99"/>
    <w:pPr>
      <w:numPr>
        <w:ilvl w:val="0"/>
        <w:numId w:val="1"/>
      </w:numPr>
      <w:contextualSpacing/>
    </w:pPr>
  </w:style>
  <w:style w:type="paragraph" w:styleId="15">
    <w:name w:val="table of authorities"/>
    <w:basedOn w:val="1"/>
    <w:next w:val="1"/>
    <w:autoRedefine/>
    <w:semiHidden/>
    <w:unhideWhenUsed/>
    <w:qFormat/>
    <w:uiPriority w:val="99"/>
    <w:pPr>
      <w:ind w:left="420" w:leftChars="200"/>
    </w:pPr>
  </w:style>
  <w:style w:type="paragraph" w:styleId="16">
    <w:name w:val="Note Heading"/>
    <w:basedOn w:val="1"/>
    <w:next w:val="1"/>
    <w:link w:val="145"/>
    <w:autoRedefine/>
    <w:semiHidden/>
    <w:unhideWhenUsed/>
    <w:qFormat/>
    <w:uiPriority w:val="99"/>
    <w:pPr>
      <w:jc w:val="center"/>
    </w:pPr>
  </w:style>
  <w:style w:type="paragraph" w:styleId="17">
    <w:name w:val="List Bullet 4"/>
    <w:basedOn w:val="1"/>
    <w:autoRedefine/>
    <w:semiHidden/>
    <w:unhideWhenUsed/>
    <w:qFormat/>
    <w:uiPriority w:val="99"/>
    <w:pPr>
      <w:numPr>
        <w:ilvl w:val="0"/>
        <w:numId w:val="2"/>
      </w:numPr>
      <w:contextualSpacing/>
    </w:pPr>
  </w:style>
  <w:style w:type="paragraph" w:styleId="18">
    <w:name w:val="index 8"/>
    <w:basedOn w:val="1"/>
    <w:next w:val="1"/>
    <w:autoRedefine/>
    <w:semiHidden/>
    <w:unhideWhenUsed/>
    <w:qFormat/>
    <w:uiPriority w:val="99"/>
    <w:pPr>
      <w:ind w:left="1400" w:leftChars="1400"/>
    </w:pPr>
  </w:style>
  <w:style w:type="paragraph" w:styleId="19">
    <w:name w:val="E-mail Signature"/>
    <w:basedOn w:val="1"/>
    <w:link w:val="121"/>
    <w:autoRedefine/>
    <w:semiHidden/>
    <w:unhideWhenUsed/>
    <w:qFormat/>
    <w:uiPriority w:val="99"/>
  </w:style>
  <w:style w:type="paragraph" w:styleId="20">
    <w:name w:val="List Number"/>
    <w:basedOn w:val="1"/>
    <w:autoRedefine/>
    <w:semiHidden/>
    <w:unhideWhenUsed/>
    <w:qFormat/>
    <w:uiPriority w:val="99"/>
    <w:pPr>
      <w:numPr>
        <w:ilvl w:val="0"/>
        <w:numId w:val="3"/>
      </w:numPr>
      <w:contextualSpacing/>
    </w:pPr>
  </w:style>
  <w:style w:type="paragraph" w:styleId="21">
    <w:name w:val="Normal Indent"/>
    <w:basedOn w:val="1"/>
    <w:autoRedefine/>
    <w:semiHidden/>
    <w:unhideWhenUsed/>
    <w:qFormat/>
    <w:uiPriority w:val="99"/>
    <w:pPr>
      <w:ind w:firstLine="420" w:firstLineChars="200"/>
    </w:pPr>
  </w:style>
  <w:style w:type="paragraph" w:styleId="22">
    <w:name w:val="caption"/>
    <w:basedOn w:val="1"/>
    <w:next w:val="1"/>
    <w:autoRedefine/>
    <w:semiHidden/>
    <w:unhideWhenUsed/>
    <w:qFormat/>
    <w:uiPriority w:val="35"/>
    <w:rPr>
      <w:rFonts w:eastAsia="黑体" w:asciiTheme="majorHAnsi" w:hAnsiTheme="majorHAnsi" w:cstheme="majorBidi"/>
      <w:sz w:val="20"/>
      <w:szCs w:val="20"/>
    </w:rPr>
  </w:style>
  <w:style w:type="paragraph" w:styleId="23">
    <w:name w:val="index 5"/>
    <w:basedOn w:val="1"/>
    <w:next w:val="1"/>
    <w:autoRedefine/>
    <w:semiHidden/>
    <w:unhideWhenUsed/>
    <w:qFormat/>
    <w:uiPriority w:val="99"/>
    <w:pPr>
      <w:ind w:left="800" w:leftChars="800"/>
    </w:pPr>
  </w:style>
  <w:style w:type="paragraph" w:styleId="24">
    <w:name w:val="List Bullet"/>
    <w:basedOn w:val="1"/>
    <w:autoRedefine/>
    <w:semiHidden/>
    <w:unhideWhenUsed/>
    <w:qFormat/>
    <w:uiPriority w:val="99"/>
    <w:pPr>
      <w:numPr>
        <w:ilvl w:val="0"/>
        <w:numId w:val="4"/>
      </w:numPr>
      <w:contextualSpacing/>
    </w:pPr>
  </w:style>
  <w:style w:type="paragraph" w:styleId="25">
    <w:name w:val="envelope address"/>
    <w:basedOn w:val="1"/>
    <w:autoRedefine/>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32"/>
    <w:autoRedefine/>
    <w:semiHidden/>
    <w:unhideWhenUsed/>
    <w:qFormat/>
    <w:uiPriority w:val="99"/>
    <w:rPr>
      <w:rFonts w:ascii="Microsoft YaHei UI" w:eastAsia="Microsoft YaHei UI"/>
      <w:sz w:val="18"/>
      <w:szCs w:val="18"/>
    </w:rPr>
  </w:style>
  <w:style w:type="paragraph" w:styleId="27">
    <w:name w:val="toa heading"/>
    <w:basedOn w:val="1"/>
    <w:next w:val="1"/>
    <w:autoRedefine/>
    <w:semiHidden/>
    <w:unhideWhenUsed/>
    <w:qFormat/>
    <w:uiPriority w:val="99"/>
    <w:pPr>
      <w:spacing w:before="120"/>
    </w:pPr>
    <w:rPr>
      <w:rFonts w:asciiTheme="majorHAnsi" w:hAnsiTheme="majorHAnsi" w:eastAsiaTheme="majorEastAsia" w:cstheme="majorBidi"/>
      <w:sz w:val="24"/>
      <w:szCs w:val="24"/>
    </w:rPr>
  </w:style>
  <w:style w:type="paragraph" w:styleId="28">
    <w:name w:val="annotation text"/>
    <w:basedOn w:val="1"/>
    <w:link w:val="99"/>
    <w:autoRedefine/>
    <w:unhideWhenUsed/>
    <w:qFormat/>
    <w:uiPriority w:val="0"/>
    <w:pPr>
      <w:jc w:val="left"/>
    </w:pPr>
  </w:style>
  <w:style w:type="paragraph" w:styleId="29">
    <w:name w:val="index 6"/>
    <w:basedOn w:val="1"/>
    <w:next w:val="1"/>
    <w:autoRedefine/>
    <w:semiHidden/>
    <w:unhideWhenUsed/>
    <w:qFormat/>
    <w:uiPriority w:val="99"/>
    <w:pPr>
      <w:ind w:left="1000" w:leftChars="1000"/>
    </w:pPr>
  </w:style>
  <w:style w:type="paragraph" w:styleId="30">
    <w:name w:val="Salutation"/>
    <w:basedOn w:val="1"/>
    <w:next w:val="1"/>
    <w:link w:val="119"/>
    <w:autoRedefine/>
    <w:semiHidden/>
    <w:unhideWhenUsed/>
    <w:qFormat/>
    <w:uiPriority w:val="99"/>
  </w:style>
  <w:style w:type="paragraph" w:styleId="31">
    <w:name w:val="Body Text 3"/>
    <w:basedOn w:val="1"/>
    <w:link w:val="138"/>
    <w:autoRedefine/>
    <w:semiHidden/>
    <w:unhideWhenUsed/>
    <w:qFormat/>
    <w:uiPriority w:val="99"/>
    <w:pPr>
      <w:spacing w:after="120"/>
    </w:pPr>
    <w:rPr>
      <w:sz w:val="16"/>
      <w:szCs w:val="16"/>
    </w:rPr>
  </w:style>
  <w:style w:type="paragraph" w:styleId="32">
    <w:name w:val="Closing"/>
    <w:basedOn w:val="1"/>
    <w:link w:val="125"/>
    <w:autoRedefine/>
    <w:semiHidden/>
    <w:unhideWhenUsed/>
    <w:qFormat/>
    <w:uiPriority w:val="99"/>
    <w:pPr>
      <w:ind w:left="100" w:leftChars="2100"/>
    </w:pPr>
  </w:style>
  <w:style w:type="paragraph" w:styleId="33">
    <w:name w:val="List Bullet 3"/>
    <w:basedOn w:val="1"/>
    <w:autoRedefine/>
    <w:semiHidden/>
    <w:unhideWhenUsed/>
    <w:qFormat/>
    <w:uiPriority w:val="99"/>
    <w:pPr>
      <w:numPr>
        <w:ilvl w:val="0"/>
        <w:numId w:val="5"/>
      </w:numPr>
      <w:contextualSpacing/>
    </w:pPr>
  </w:style>
  <w:style w:type="paragraph" w:styleId="34">
    <w:name w:val="Body Text"/>
    <w:basedOn w:val="1"/>
    <w:link w:val="139"/>
    <w:autoRedefine/>
    <w:semiHidden/>
    <w:qFormat/>
    <w:uiPriority w:val="0"/>
    <w:rPr>
      <w:rFonts w:ascii="宋体" w:hAnsi="宋体" w:cs="宋体"/>
      <w:sz w:val="35"/>
      <w:szCs w:val="35"/>
      <w:lang w:eastAsia="en-US"/>
    </w:rPr>
  </w:style>
  <w:style w:type="paragraph" w:styleId="35">
    <w:name w:val="Body Text Indent"/>
    <w:basedOn w:val="1"/>
    <w:link w:val="141"/>
    <w:autoRedefine/>
    <w:semiHidden/>
    <w:unhideWhenUsed/>
    <w:qFormat/>
    <w:uiPriority w:val="99"/>
    <w:pPr>
      <w:spacing w:after="120"/>
      <w:ind w:left="420" w:leftChars="200"/>
    </w:pPr>
  </w:style>
  <w:style w:type="paragraph" w:styleId="36">
    <w:name w:val="List Number 3"/>
    <w:basedOn w:val="1"/>
    <w:autoRedefine/>
    <w:semiHidden/>
    <w:unhideWhenUsed/>
    <w:qFormat/>
    <w:uiPriority w:val="99"/>
    <w:pPr>
      <w:numPr>
        <w:ilvl w:val="0"/>
        <w:numId w:val="6"/>
      </w:numPr>
      <w:contextualSpacing/>
    </w:pPr>
  </w:style>
  <w:style w:type="paragraph" w:styleId="37">
    <w:name w:val="List 2"/>
    <w:basedOn w:val="1"/>
    <w:autoRedefine/>
    <w:semiHidden/>
    <w:unhideWhenUsed/>
    <w:qFormat/>
    <w:uiPriority w:val="99"/>
    <w:pPr>
      <w:ind w:left="100" w:leftChars="200" w:hanging="200" w:hangingChars="200"/>
      <w:contextualSpacing/>
    </w:pPr>
  </w:style>
  <w:style w:type="paragraph" w:styleId="38">
    <w:name w:val="List Continue"/>
    <w:basedOn w:val="1"/>
    <w:autoRedefine/>
    <w:semiHidden/>
    <w:unhideWhenUsed/>
    <w:qFormat/>
    <w:uiPriority w:val="99"/>
    <w:pPr>
      <w:spacing w:after="120"/>
      <w:ind w:left="420" w:leftChars="200"/>
      <w:contextualSpacing/>
    </w:pPr>
  </w:style>
  <w:style w:type="paragraph" w:styleId="39">
    <w:name w:val="Block Text"/>
    <w:basedOn w:val="1"/>
    <w:autoRedefine/>
    <w:semiHidden/>
    <w:unhideWhenUsed/>
    <w:qFormat/>
    <w:uiPriority w:val="99"/>
    <w:pPr>
      <w:spacing w:after="120"/>
      <w:ind w:left="1440" w:leftChars="700" w:right="1440" w:rightChars="700"/>
    </w:pPr>
  </w:style>
  <w:style w:type="paragraph" w:styleId="40">
    <w:name w:val="List Bullet 2"/>
    <w:basedOn w:val="1"/>
    <w:autoRedefine/>
    <w:semiHidden/>
    <w:unhideWhenUsed/>
    <w:qFormat/>
    <w:uiPriority w:val="99"/>
    <w:pPr>
      <w:numPr>
        <w:ilvl w:val="0"/>
        <w:numId w:val="7"/>
      </w:numPr>
      <w:contextualSpacing/>
    </w:pPr>
  </w:style>
  <w:style w:type="paragraph" w:styleId="41">
    <w:name w:val="HTML Address"/>
    <w:basedOn w:val="1"/>
    <w:link w:val="106"/>
    <w:autoRedefine/>
    <w:semiHidden/>
    <w:unhideWhenUsed/>
    <w:qFormat/>
    <w:uiPriority w:val="99"/>
    <w:rPr>
      <w:i/>
      <w:iCs/>
    </w:rPr>
  </w:style>
  <w:style w:type="paragraph" w:styleId="42">
    <w:name w:val="index 4"/>
    <w:basedOn w:val="1"/>
    <w:next w:val="1"/>
    <w:autoRedefine/>
    <w:semiHidden/>
    <w:unhideWhenUsed/>
    <w:qFormat/>
    <w:uiPriority w:val="99"/>
    <w:pPr>
      <w:ind w:left="600" w:leftChars="600"/>
    </w:pPr>
  </w:style>
  <w:style w:type="paragraph" w:styleId="43">
    <w:name w:val="toc 5"/>
    <w:basedOn w:val="1"/>
    <w:next w:val="1"/>
    <w:autoRedefine/>
    <w:semiHidden/>
    <w:unhideWhenUsed/>
    <w:qFormat/>
    <w:uiPriority w:val="39"/>
    <w:pPr>
      <w:ind w:left="1680" w:leftChars="800"/>
    </w:pPr>
  </w:style>
  <w:style w:type="paragraph" w:styleId="44">
    <w:name w:val="toc 3"/>
    <w:basedOn w:val="1"/>
    <w:next w:val="1"/>
    <w:autoRedefine/>
    <w:semiHidden/>
    <w:unhideWhenUsed/>
    <w:qFormat/>
    <w:uiPriority w:val="39"/>
    <w:pPr>
      <w:ind w:left="840" w:leftChars="400"/>
    </w:pPr>
  </w:style>
  <w:style w:type="paragraph" w:styleId="45">
    <w:name w:val="Plain Text"/>
    <w:basedOn w:val="1"/>
    <w:link w:val="120"/>
    <w:autoRedefine/>
    <w:semiHidden/>
    <w:unhideWhenUsed/>
    <w:qFormat/>
    <w:uiPriority w:val="99"/>
    <w:rPr>
      <w:rFonts w:hAnsi="Courier New" w:cs="Courier New" w:asciiTheme="minorEastAsia" w:eastAsiaTheme="minorEastAsia"/>
    </w:rPr>
  </w:style>
  <w:style w:type="paragraph" w:styleId="46">
    <w:name w:val="List Bullet 5"/>
    <w:basedOn w:val="1"/>
    <w:autoRedefine/>
    <w:semiHidden/>
    <w:unhideWhenUsed/>
    <w:qFormat/>
    <w:uiPriority w:val="99"/>
    <w:pPr>
      <w:numPr>
        <w:ilvl w:val="0"/>
        <w:numId w:val="8"/>
      </w:numPr>
      <w:contextualSpacing/>
    </w:pPr>
  </w:style>
  <w:style w:type="paragraph" w:styleId="47">
    <w:name w:val="List Number 4"/>
    <w:basedOn w:val="1"/>
    <w:autoRedefine/>
    <w:semiHidden/>
    <w:unhideWhenUsed/>
    <w:qFormat/>
    <w:uiPriority w:val="99"/>
    <w:pPr>
      <w:numPr>
        <w:ilvl w:val="0"/>
        <w:numId w:val="9"/>
      </w:numPr>
      <w:contextualSpacing/>
    </w:pPr>
  </w:style>
  <w:style w:type="paragraph" w:styleId="48">
    <w:name w:val="toc 8"/>
    <w:basedOn w:val="1"/>
    <w:next w:val="1"/>
    <w:autoRedefine/>
    <w:semiHidden/>
    <w:unhideWhenUsed/>
    <w:qFormat/>
    <w:uiPriority w:val="39"/>
    <w:pPr>
      <w:ind w:left="2940" w:leftChars="1400"/>
    </w:pPr>
  </w:style>
  <w:style w:type="paragraph" w:styleId="49">
    <w:name w:val="index 3"/>
    <w:basedOn w:val="1"/>
    <w:next w:val="1"/>
    <w:autoRedefine/>
    <w:semiHidden/>
    <w:unhideWhenUsed/>
    <w:qFormat/>
    <w:uiPriority w:val="99"/>
    <w:pPr>
      <w:ind w:left="400" w:leftChars="400"/>
    </w:pPr>
  </w:style>
  <w:style w:type="paragraph" w:styleId="50">
    <w:name w:val="Date"/>
    <w:basedOn w:val="1"/>
    <w:next w:val="1"/>
    <w:link w:val="129"/>
    <w:autoRedefine/>
    <w:semiHidden/>
    <w:unhideWhenUsed/>
    <w:qFormat/>
    <w:uiPriority w:val="99"/>
    <w:pPr>
      <w:ind w:left="100" w:leftChars="2500"/>
    </w:pPr>
  </w:style>
  <w:style w:type="paragraph" w:styleId="51">
    <w:name w:val="Body Text Indent 2"/>
    <w:basedOn w:val="1"/>
    <w:link w:val="143"/>
    <w:autoRedefine/>
    <w:semiHidden/>
    <w:unhideWhenUsed/>
    <w:qFormat/>
    <w:uiPriority w:val="99"/>
    <w:pPr>
      <w:spacing w:after="120" w:line="480" w:lineRule="auto"/>
      <w:ind w:left="420" w:leftChars="200"/>
    </w:pPr>
  </w:style>
  <w:style w:type="paragraph" w:styleId="52">
    <w:name w:val="endnote text"/>
    <w:basedOn w:val="1"/>
    <w:link w:val="131"/>
    <w:autoRedefine/>
    <w:semiHidden/>
    <w:unhideWhenUsed/>
    <w:qFormat/>
    <w:uiPriority w:val="99"/>
    <w:pPr>
      <w:snapToGrid w:val="0"/>
      <w:jc w:val="left"/>
    </w:pPr>
  </w:style>
  <w:style w:type="paragraph" w:styleId="53">
    <w:name w:val="List Continue 5"/>
    <w:basedOn w:val="1"/>
    <w:autoRedefine/>
    <w:semiHidden/>
    <w:unhideWhenUsed/>
    <w:qFormat/>
    <w:uiPriority w:val="99"/>
    <w:pPr>
      <w:spacing w:after="120"/>
      <w:ind w:left="2100" w:leftChars="1000"/>
      <w:contextualSpacing/>
    </w:pPr>
  </w:style>
  <w:style w:type="paragraph" w:styleId="54">
    <w:name w:val="Balloon Text"/>
    <w:basedOn w:val="1"/>
    <w:link w:val="96"/>
    <w:autoRedefine/>
    <w:unhideWhenUsed/>
    <w:qFormat/>
    <w:uiPriority w:val="99"/>
    <w:rPr>
      <w:sz w:val="18"/>
      <w:szCs w:val="18"/>
    </w:rPr>
  </w:style>
  <w:style w:type="paragraph" w:styleId="55">
    <w:name w:val="footer"/>
    <w:basedOn w:val="1"/>
    <w:link w:val="93"/>
    <w:autoRedefine/>
    <w:unhideWhenUsed/>
    <w:qFormat/>
    <w:uiPriority w:val="99"/>
    <w:pPr>
      <w:tabs>
        <w:tab w:val="center" w:pos="4153"/>
        <w:tab w:val="right" w:pos="8306"/>
      </w:tabs>
      <w:snapToGrid w:val="0"/>
      <w:jc w:val="left"/>
    </w:pPr>
    <w:rPr>
      <w:sz w:val="18"/>
      <w:szCs w:val="18"/>
    </w:rPr>
  </w:style>
  <w:style w:type="paragraph" w:styleId="56">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57">
    <w:name w:val="header"/>
    <w:basedOn w:val="1"/>
    <w:link w:val="9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28"/>
    <w:autoRedefine/>
    <w:semiHidden/>
    <w:unhideWhenUsed/>
    <w:qFormat/>
    <w:uiPriority w:val="99"/>
    <w:pPr>
      <w:ind w:left="100" w:leftChars="2100"/>
    </w:pPr>
  </w:style>
  <w:style w:type="paragraph" w:styleId="59">
    <w:name w:val="toc 1"/>
    <w:basedOn w:val="1"/>
    <w:next w:val="1"/>
    <w:autoRedefine/>
    <w:semiHidden/>
    <w:unhideWhenUsed/>
    <w:qFormat/>
    <w:uiPriority w:val="39"/>
  </w:style>
  <w:style w:type="paragraph" w:styleId="60">
    <w:name w:val="List Continue 4"/>
    <w:basedOn w:val="1"/>
    <w:autoRedefine/>
    <w:semiHidden/>
    <w:unhideWhenUsed/>
    <w:qFormat/>
    <w:uiPriority w:val="99"/>
    <w:pPr>
      <w:spacing w:after="120"/>
      <w:ind w:left="1680" w:leftChars="800"/>
      <w:contextualSpacing/>
    </w:pPr>
  </w:style>
  <w:style w:type="paragraph" w:styleId="61">
    <w:name w:val="toc 4"/>
    <w:basedOn w:val="1"/>
    <w:next w:val="1"/>
    <w:autoRedefine/>
    <w:semiHidden/>
    <w:unhideWhenUsed/>
    <w:qFormat/>
    <w:uiPriority w:val="39"/>
    <w:pPr>
      <w:ind w:left="1260" w:leftChars="600"/>
    </w:pPr>
  </w:style>
  <w:style w:type="paragraph" w:styleId="62">
    <w:name w:val="index heading"/>
    <w:basedOn w:val="1"/>
    <w:next w:val="63"/>
    <w:autoRedefine/>
    <w:semiHidden/>
    <w:unhideWhenUsed/>
    <w:qFormat/>
    <w:uiPriority w:val="99"/>
    <w:rPr>
      <w:rFonts w:asciiTheme="majorHAnsi" w:hAnsiTheme="majorHAnsi" w:eastAsiaTheme="majorEastAsia" w:cstheme="majorBidi"/>
      <w:b/>
      <w:bCs/>
    </w:rPr>
  </w:style>
  <w:style w:type="paragraph" w:styleId="63">
    <w:name w:val="index 1"/>
    <w:basedOn w:val="1"/>
    <w:next w:val="1"/>
    <w:autoRedefine/>
    <w:semiHidden/>
    <w:unhideWhenUsed/>
    <w:qFormat/>
    <w:uiPriority w:val="99"/>
  </w:style>
  <w:style w:type="paragraph" w:styleId="64">
    <w:name w:val="Subtitle"/>
    <w:basedOn w:val="1"/>
    <w:next w:val="1"/>
    <w:link w:val="122"/>
    <w:autoRedefine/>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65">
    <w:name w:val="List Number 5"/>
    <w:basedOn w:val="1"/>
    <w:autoRedefine/>
    <w:semiHidden/>
    <w:unhideWhenUsed/>
    <w:qFormat/>
    <w:uiPriority w:val="99"/>
    <w:pPr>
      <w:numPr>
        <w:ilvl w:val="0"/>
        <w:numId w:val="10"/>
      </w:numPr>
      <w:contextualSpacing/>
    </w:pPr>
  </w:style>
  <w:style w:type="paragraph" w:styleId="66">
    <w:name w:val="List"/>
    <w:basedOn w:val="1"/>
    <w:autoRedefine/>
    <w:semiHidden/>
    <w:unhideWhenUsed/>
    <w:qFormat/>
    <w:uiPriority w:val="99"/>
    <w:pPr>
      <w:ind w:left="200" w:hanging="200" w:hangingChars="200"/>
      <w:contextualSpacing/>
    </w:pPr>
  </w:style>
  <w:style w:type="paragraph" w:styleId="67">
    <w:name w:val="footnote text"/>
    <w:basedOn w:val="1"/>
    <w:link w:val="124"/>
    <w:autoRedefine/>
    <w:semiHidden/>
    <w:unhideWhenUsed/>
    <w:qFormat/>
    <w:uiPriority w:val="99"/>
    <w:pPr>
      <w:snapToGrid w:val="0"/>
      <w:jc w:val="left"/>
    </w:pPr>
    <w:rPr>
      <w:sz w:val="18"/>
      <w:szCs w:val="18"/>
    </w:rPr>
  </w:style>
  <w:style w:type="paragraph" w:styleId="68">
    <w:name w:val="toc 6"/>
    <w:basedOn w:val="1"/>
    <w:next w:val="1"/>
    <w:autoRedefine/>
    <w:semiHidden/>
    <w:unhideWhenUsed/>
    <w:qFormat/>
    <w:uiPriority w:val="39"/>
    <w:pPr>
      <w:ind w:left="2100" w:leftChars="1000"/>
    </w:pPr>
  </w:style>
  <w:style w:type="paragraph" w:styleId="69">
    <w:name w:val="List 5"/>
    <w:basedOn w:val="1"/>
    <w:autoRedefine/>
    <w:semiHidden/>
    <w:unhideWhenUsed/>
    <w:qFormat/>
    <w:uiPriority w:val="99"/>
    <w:pPr>
      <w:ind w:left="100" w:leftChars="800" w:hanging="200" w:hangingChars="200"/>
      <w:contextualSpacing/>
    </w:pPr>
  </w:style>
  <w:style w:type="paragraph" w:styleId="70">
    <w:name w:val="Body Text Indent 3"/>
    <w:basedOn w:val="1"/>
    <w:link w:val="144"/>
    <w:autoRedefine/>
    <w:semiHidden/>
    <w:unhideWhenUsed/>
    <w:qFormat/>
    <w:uiPriority w:val="99"/>
    <w:pPr>
      <w:spacing w:after="120"/>
      <w:ind w:left="420" w:leftChars="200"/>
    </w:pPr>
    <w:rPr>
      <w:sz w:val="16"/>
      <w:szCs w:val="16"/>
    </w:rPr>
  </w:style>
  <w:style w:type="paragraph" w:styleId="71">
    <w:name w:val="index 7"/>
    <w:basedOn w:val="1"/>
    <w:next w:val="1"/>
    <w:autoRedefine/>
    <w:semiHidden/>
    <w:unhideWhenUsed/>
    <w:qFormat/>
    <w:uiPriority w:val="99"/>
    <w:pPr>
      <w:ind w:left="1200" w:leftChars="1200"/>
    </w:pPr>
  </w:style>
  <w:style w:type="paragraph" w:styleId="72">
    <w:name w:val="index 9"/>
    <w:basedOn w:val="1"/>
    <w:next w:val="1"/>
    <w:autoRedefine/>
    <w:semiHidden/>
    <w:unhideWhenUsed/>
    <w:qFormat/>
    <w:uiPriority w:val="99"/>
    <w:pPr>
      <w:ind w:left="1600" w:leftChars="1600"/>
    </w:pPr>
  </w:style>
  <w:style w:type="paragraph" w:styleId="73">
    <w:name w:val="table of figures"/>
    <w:basedOn w:val="1"/>
    <w:next w:val="1"/>
    <w:autoRedefine/>
    <w:semiHidden/>
    <w:unhideWhenUsed/>
    <w:qFormat/>
    <w:uiPriority w:val="99"/>
    <w:pPr>
      <w:ind w:left="200" w:leftChars="200" w:hanging="200" w:hangingChars="200"/>
    </w:pPr>
  </w:style>
  <w:style w:type="paragraph" w:styleId="74">
    <w:name w:val="toc 2"/>
    <w:basedOn w:val="1"/>
    <w:next w:val="1"/>
    <w:autoRedefine/>
    <w:semiHidden/>
    <w:unhideWhenUsed/>
    <w:qFormat/>
    <w:uiPriority w:val="39"/>
    <w:pPr>
      <w:ind w:left="420" w:leftChars="200"/>
    </w:pPr>
  </w:style>
  <w:style w:type="paragraph" w:styleId="75">
    <w:name w:val="toc 9"/>
    <w:basedOn w:val="1"/>
    <w:next w:val="1"/>
    <w:autoRedefine/>
    <w:semiHidden/>
    <w:unhideWhenUsed/>
    <w:qFormat/>
    <w:uiPriority w:val="39"/>
    <w:pPr>
      <w:ind w:left="3360" w:leftChars="1600"/>
    </w:pPr>
  </w:style>
  <w:style w:type="paragraph" w:styleId="76">
    <w:name w:val="Body Text 2"/>
    <w:basedOn w:val="1"/>
    <w:link w:val="137"/>
    <w:autoRedefine/>
    <w:semiHidden/>
    <w:unhideWhenUsed/>
    <w:qFormat/>
    <w:uiPriority w:val="99"/>
    <w:pPr>
      <w:spacing w:after="120" w:line="480" w:lineRule="auto"/>
    </w:pPr>
  </w:style>
  <w:style w:type="paragraph" w:styleId="77">
    <w:name w:val="List 4"/>
    <w:basedOn w:val="1"/>
    <w:autoRedefine/>
    <w:semiHidden/>
    <w:unhideWhenUsed/>
    <w:qFormat/>
    <w:uiPriority w:val="99"/>
    <w:pPr>
      <w:ind w:left="100" w:leftChars="600" w:hanging="200" w:hangingChars="200"/>
      <w:contextualSpacing/>
    </w:pPr>
  </w:style>
  <w:style w:type="paragraph" w:styleId="78">
    <w:name w:val="List Continue 2"/>
    <w:basedOn w:val="1"/>
    <w:autoRedefine/>
    <w:semiHidden/>
    <w:unhideWhenUsed/>
    <w:qFormat/>
    <w:uiPriority w:val="99"/>
    <w:pPr>
      <w:spacing w:after="120"/>
      <w:ind w:left="840" w:leftChars="400"/>
      <w:contextualSpacing/>
    </w:pPr>
  </w:style>
  <w:style w:type="paragraph" w:styleId="79">
    <w:name w:val="Message Header"/>
    <w:basedOn w:val="1"/>
    <w:link w:val="134"/>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7"/>
    <w:autoRedefine/>
    <w:semiHidden/>
    <w:unhideWhenUsed/>
    <w:qFormat/>
    <w:uiPriority w:val="99"/>
    <w:rPr>
      <w:rFonts w:ascii="Courier New" w:hAnsi="Courier New" w:cs="Courier New"/>
      <w:sz w:val="20"/>
      <w:szCs w:val="20"/>
    </w:rPr>
  </w:style>
  <w:style w:type="paragraph" w:styleId="81">
    <w:name w:val="Normal (Web)"/>
    <w:basedOn w:val="1"/>
    <w:autoRedefine/>
    <w:semiHidden/>
    <w:unhideWhenUsed/>
    <w:qFormat/>
    <w:uiPriority w:val="99"/>
    <w:pPr>
      <w:spacing w:beforeAutospacing="1" w:afterAutospacing="1"/>
      <w:jc w:val="left"/>
    </w:pPr>
    <w:rPr>
      <w:kern w:val="0"/>
      <w:sz w:val="24"/>
    </w:rPr>
  </w:style>
  <w:style w:type="paragraph" w:styleId="82">
    <w:name w:val="List Continue 3"/>
    <w:basedOn w:val="1"/>
    <w:autoRedefine/>
    <w:semiHidden/>
    <w:unhideWhenUsed/>
    <w:qFormat/>
    <w:uiPriority w:val="99"/>
    <w:pPr>
      <w:spacing w:after="120"/>
      <w:ind w:left="1260" w:leftChars="600"/>
      <w:contextualSpacing/>
    </w:pPr>
  </w:style>
  <w:style w:type="paragraph" w:styleId="83">
    <w:name w:val="index 2"/>
    <w:basedOn w:val="1"/>
    <w:next w:val="1"/>
    <w:autoRedefine/>
    <w:semiHidden/>
    <w:unhideWhenUsed/>
    <w:qFormat/>
    <w:uiPriority w:val="99"/>
    <w:pPr>
      <w:ind w:left="200" w:leftChars="200"/>
    </w:pPr>
  </w:style>
  <w:style w:type="paragraph" w:styleId="84">
    <w:name w:val="Title"/>
    <w:basedOn w:val="1"/>
    <w:next w:val="1"/>
    <w:link w:val="110"/>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00"/>
    <w:autoRedefine/>
    <w:semiHidden/>
    <w:unhideWhenUsed/>
    <w:qFormat/>
    <w:uiPriority w:val="99"/>
    <w:rPr>
      <w:b/>
      <w:bCs/>
    </w:rPr>
  </w:style>
  <w:style w:type="paragraph" w:styleId="86">
    <w:name w:val="Body Text First Indent"/>
    <w:basedOn w:val="34"/>
    <w:link w:val="140"/>
    <w:autoRedefine/>
    <w:semiHidden/>
    <w:unhideWhenUsed/>
    <w:qFormat/>
    <w:uiPriority w:val="99"/>
    <w:pPr>
      <w:spacing w:after="120"/>
      <w:ind w:firstLine="420" w:firstLineChars="100"/>
    </w:pPr>
    <w:rPr>
      <w:rFonts w:ascii="Calibri" w:hAnsi="Calibri" w:cs="Times New Roman"/>
      <w:sz w:val="21"/>
      <w:szCs w:val="22"/>
      <w:lang w:eastAsia="zh-CN"/>
    </w:rPr>
  </w:style>
  <w:style w:type="paragraph" w:styleId="87">
    <w:name w:val="Body Text First Indent 2"/>
    <w:basedOn w:val="35"/>
    <w:link w:val="142"/>
    <w:autoRedefine/>
    <w:semiHidden/>
    <w:unhideWhenUsed/>
    <w:qFormat/>
    <w:uiPriority w:val="99"/>
    <w:pPr>
      <w:ind w:firstLine="420" w:firstLineChars="200"/>
    </w:pPr>
  </w:style>
  <w:style w:type="table" w:styleId="89">
    <w:name w:val="Table Grid"/>
    <w:basedOn w:val="8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annotation reference"/>
    <w:basedOn w:val="90"/>
    <w:autoRedefine/>
    <w:semiHidden/>
    <w:unhideWhenUsed/>
    <w:qFormat/>
    <w:uiPriority w:val="0"/>
    <w:rPr>
      <w:sz w:val="21"/>
      <w:szCs w:val="21"/>
    </w:rPr>
  </w:style>
  <w:style w:type="paragraph" w:customStyle="1" w:styleId="9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93">
    <w:name w:val="页脚 字符"/>
    <w:basedOn w:val="90"/>
    <w:link w:val="55"/>
    <w:autoRedefine/>
    <w:qFormat/>
    <w:uiPriority w:val="99"/>
    <w:rPr>
      <w:rFonts w:ascii="Calibri" w:hAnsi="Calibri" w:eastAsia="宋体" w:cs="Times New Roman"/>
      <w:sz w:val="18"/>
      <w:szCs w:val="18"/>
    </w:rPr>
  </w:style>
  <w:style w:type="paragraph" w:customStyle="1" w:styleId="94">
    <w:name w:val="列出段落1"/>
    <w:basedOn w:val="1"/>
    <w:autoRedefine/>
    <w:qFormat/>
    <w:uiPriority w:val="34"/>
    <w:pPr>
      <w:numPr>
        <w:ilvl w:val="0"/>
        <w:numId w:val="11"/>
      </w:numPr>
      <w:adjustRightInd w:val="0"/>
      <w:snapToGrid w:val="0"/>
      <w:spacing w:line="560" w:lineRule="exact"/>
    </w:pPr>
  </w:style>
  <w:style w:type="character" w:customStyle="1" w:styleId="95">
    <w:name w:val="页眉 字符"/>
    <w:basedOn w:val="90"/>
    <w:link w:val="57"/>
    <w:autoRedefine/>
    <w:semiHidden/>
    <w:qFormat/>
    <w:uiPriority w:val="99"/>
    <w:rPr>
      <w:rFonts w:ascii="Calibri" w:hAnsi="Calibri" w:eastAsia="宋体" w:cs="Times New Roman"/>
      <w:sz w:val="18"/>
      <w:szCs w:val="18"/>
    </w:rPr>
  </w:style>
  <w:style w:type="character" w:customStyle="1" w:styleId="96">
    <w:name w:val="批注框文本 字符"/>
    <w:basedOn w:val="90"/>
    <w:link w:val="54"/>
    <w:autoRedefine/>
    <w:semiHidden/>
    <w:qFormat/>
    <w:uiPriority w:val="99"/>
    <w:rPr>
      <w:rFonts w:ascii="Calibri" w:hAnsi="Calibri" w:eastAsia="宋体" w:cs="Times New Roman"/>
      <w:sz w:val="18"/>
      <w:szCs w:val="18"/>
    </w:rPr>
  </w:style>
  <w:style w:type="paragraph" w:customStyle="1" w:styleId="97">
    <w:name w:val="修订1"/>
    <w:autoRedefine/>
    <w:hidden/>
    <w:semiHidden/>
    <w:qFormat/>
    <w:uiPriority w:val="99"/>
    <w:rPr>
      <w:rFonts w:ascii="Calibri" w:hAnsi="Calibri" w:eastAsia="宋体" w:cs="Times New Roman"/>
      <w:kern w:val="2"/>
      <w:sz w:val="21"/>
      <w:szCs w:val="22"/>
      <w:lang w:val="en-US" w:eastAsia="zh-CN" w:bidi="ar-SA"/>
    </w:rPr>
  </w:style>
  <w:style w:type="paragraph" w:styleId="98">
    <w:name w:val="List Paragraph"/>
    <w:basedOn w:val="1"/>
    <w:autoRedefine/>
    <w:qFormat/>
    <w:uiPriority w:val="99"/>
    <w:pPr>
      <w:ind w:firstLine="420" w:firstLineChars="200"/>
    </w:pPr>
  </w:style>
  <w:style w:type="character" w:customStyle="1" w:styleId="99">
    <w:name w:val="批注文字 字符"/>
    <w:basedOn w:val="90"/>
    <w:link w:val="28"/>
    <w:autoRedefine/>
    <w:qFormat/>
    <w:uiPriority w:val="0"/>
    <w:rPr>
      <w:rFonts w:ascii="Calibri" w:hAnsi="Calibri"/>
      <w:kern w:val="2"/>
      <w:sz w:val="21"/>
      <w:szCs w:val="22"/>
    </w:rPr>
  </w:style>
  <w:style w:type="character" w:customStyle="1" w:styleId="100">
    <w:name w:val="批注主题 字符"/>
    <w:basedOn w:val="99"/>
    <w:link w:val="85"/>
    <w:autoRedefine/>
    <w:qFormat/>
    <w:uiPriority w:val="0"/>
    <w:rPr>
      <w:rFonts w:ascii="Calibri" w:hAnsi="Calibri" w:eastAsia="宋体" w:cs="Times New Roman"/>
      <w:kern w:val="2"/>
      <w:sz w:val="21"/>
      <w:szCs w:val="22"/>
    </w:rPr>
  </w:style>
  <w:style w:type="paragraph" w:customStyle="1" w:styleId="101">
    <w:name w:val="修订2"/>
    <w:autoRedefine/>
    <w:hidden/>
    <w:semiHidden/>
    <w:qFormat/>
    <w:uiPriority w:val="99"/>
    <w:rPr>
      <w:rFonts w:ascii="Calibri" w:hAnsi="Calibri" w:eastAsia="宋体" w:cs="Times New Roman"/>
      <w:kern w:val="2"/>
      <w:sz w:val="21"/>
      <w:szCs w:val="22"/>
      <w:lang w:val="en-US" w:eastAsia="zh-CN" w:bidi="ar-SA"/>
    </w:rPr>
  </w:style>
  <w:style w:type="paragraph" w:customStyle="1" w:styleId="102">
    <w:name w:val="修订3"/>
    <w:autoRedefine/>
    <w:hidden/>
    <w:unhideWhenUsed/>
    <w:qFormat/>
    <w:uiPriority w:val="99"/>
    <w:rPr>
      <w:rFonts w:ascii="Calibri" w:hAnsi="Calibri" w:eastAsia="宋体" w:cs="Times New Roman"/>
      <w:kern w:val="2"/>
      <w:sz w:val="21"/>
      <w:szCs w:val="22"/>
      <w:lang w:val="en-US" w:eastAsia="zh-CN" w:bidi="ar-SA"/>
    </w:rPr>
  </w:style>
  <w:style w:type="paragraph" w:customStyle="1" w:styleId="103">
    <w:name w:val="修订4"/>
    <w:autoRedefine/>
    <w:hidden/>
    <w:unhideWhenUsed/>
    <w:qFormat/>
    <w:uiPriority w:val="99"/>
    <w:rPr>
      <w:rFonts w:ascii="Calibri" w:hAnsi="Calibri" w:eastAsia="宋体" w:cs="Times New Roman"/>
      <w:kern w:val="2"/>
      <w:sz w:val="21"/>
      <w:szCs w:val="22"/>
      <w:lang w:val="en-US" w:eastAsia="zh-CN" w:bidi="ar-SA"/>
    </w:rPr>
  </w:style>
  <w:style w:type="table" w:customStyle="1" w:styleId="104">
    <w:name w:val="Table Normal"/>
    <w:autoRedefine/>
    <w:semiHidden/>
    <w:unhideWhenUsed/>
    <w:qFormat/>
    <w:uiPriority w:val="0"/>
    <w:tblPr>
      <w:tblCellMar>
        <w:top w:w="0" w:type="dxa"/>
        <w:left w:w="0" w:type="dxa"/>
        <w:bottom w:w="0" w:type="dxa"/>
        <w:right w:w="0" w:type="dxa"/>
      </w:tblCellMar>
    </w:tblPr>
  </w:style>
  <w:style w:type="paragraph" w:customStyle="1" w:styleId="105">
    <w:name w:val="Table Text"/>
    <w:basedOn w:val="1"/>
    <w:autoRedefine/>
    <w:semiHidden/>
    <w:qFormat/>
    <w:uiPriority w:val="0"/>
    <w:rPr>
      <w:rFonts w:ascii="Times New Roman" w:hAnsi="Times New Roman" w:eastAsia="Times New Roman"/>
      <w:sz w:val="24"/>
      <w:szCs w:val="24"/>
      <w:lang w:eastAsia="en-US"/>
    </w:rPr>
  </w:style>
  <w:style w:type="character" w:customStyle="1" w:styleId="106">
    <w:name w:val="HTML 地址 字符"/>
    <w:basedOn w:val="90"/>
    <w:link w:val="41"/>
    <w:autoRedefine/>
    <w:semiHidden/>
    <w:qFormat/>
    <w:uiPriority w:val="99"/>
    <w:rPr>
      <w:rFonts w:ascii="Calibri" w:hAnsi="Calibri"/>
      <w:i/>
      <w:iCs/>
      <w:kern w:val="2"/>
      <w:sz w:val="21"/>
      <w:szCs w:val="22"/>
    </w:rPr>
  </w:style>
  <w:style w:type="character" w:customStyle="1" w:styleId="107">
    <w:name w:val="HTML 预设格式 字符"/>
    <w:basedOn w:val="90"/>
    <w:link w:val="80"/>
    <w:autoRedefine/>
    <w:semiHidden/>
    <w:qFormat/>
    <w:uiPriority w:val="99"/>
    <w:rPr>
      <w:rFonts w:ascii="Courier New" w:hAnsi="Courier New" w:cs="Courier New"/>
      <w:kern w:val="2"/>
    </w:rPr>
  </w:style>
  <w:style w:type="character" w:customStyle="1" w:styleId="108">
    <w:name w:val="标题 1 字符"/>
    <w:basedOn w:val="90"/>
    <w:link w:val="3"/>
    <w:autoRedefine/>
    <w:qFormat/>
    <w:uiPriority w:val="9"/>
    <w:rPr>
      <w:rFonts w:ascii="Calibri" w:hAnsi="Calibri"/>
      <w:b/>
      <w:bCs/>
      <w:kern w:val="44"/>
      <w:sz w:val="44"/>
      <w:szCs w:val="44"/>
    </w:rPr>
  </w:style>
  <w:style w:type="paragraph" w:customStyle="1" w:styleId="109">
    <w:name w:val="TOC 标题1"/>
    <w:basedOn w:val="3"/>
    <w:next w:val="1"/>
    <w:autoRedefine/>
    <w:semiHidden/>
    <w:unhideWhenUsed/>
    <w:qFormat/>
    <w:uiPriority w:val="39"/>
    <w:pPr>
      <w:outlineLvl w:val="9"/>
    </w:pPr>
  </w:style>
  <w:style w:type="character" w:customStyle="1" w:styleId="110">
    <w:name w:val="标题 字符"/>
    <w:basedOn w:val="90"/>
    <w:link w:val="84"/>
    <w:autoRedefine/>
    <w:qFormat/>
    <w:uiPriority w:val="10"/>
    <w:rPr>
      <w:rFonts w:asciiTheme="majorHAnsi" w:hAnsiTheme="majorHAnsi" w:eastAsiaTheme="majorEastAsia" w:cstheme="majorBidi"/>
      <w:b/>
      <w:bCs/>
      <w:kern w:val="2"/>
      <w:sz w:val="32"/>
      <w:szCs w:val="32"/>
    </w:rPr>
  </w:style>
  <w:style w:type="character" w:customStyle="1" w:styleId="111">
    <w:name w:val="标题 2 字符"/>
    <w:basedOn w:val="90"/>
    <w:link w:val="4"/>
    <w:autoRedefine/>
    <w:semiHidden/>
    <w:qFormat/>
    <w:uiPriority w:val="9"/>
    <w:rPr>
      <w:rFonts w:asciiTheme="majorHAnsi" w:hAnsiTheme="majorHAnsi" w:eastAsiaTheme="majorEastAsia" w:cstheme="majorBidi"/>
      <w:b/>
      <w:bCs/>
      <w:kern w:val="2"/>
      <w:sz w:val="32"/>
      <w:szCs w:val="32"/>
    </w:rPr>
  </w:style>
  <w:style w:type="character" w:customStyle="1" w:styleId="112">
    <w:name w:val="标题 3 字符"/>
    <w:basedOn w:val="90"/>
    <w:link w:val="5"/>
    <w:autoRedefine/>
    <w:semiHidden/>
    <w:qFormat/>
    <w:uiPriority w:val="9"/>
    <w:rPr>
      <w:rFonts w:ascii="Calibri" w:hAnsi="Calibri"/>
      <w:b/>
      <w:bCs/>
      <w:kern w:val="2"/>
      <w:sz w:val="32"/>
      <w:szCs w:val="32"/>
    </w:rPr>
  </w:style>
  <w:style w:type="character" w:customStyle="1" w:styleId="113">
    <w:name w:val="标题 4 字符"/>
    <w:basedOn w:val="90"/>
    <w:link w:val="6"/>
    <w:autoRedefine/>
    <w:semiHidden/>
    <w:qFormat/>
    <w:uiPriority w:val="9"/>
    <w:rPr>
      <w:rFonts w:asciiTheme="majorHAnsi" w:hAnsiTheme="majorHAnsi" w:eastAsiaTheme="majorEastAsia" w:cstheme="majorBidi"/>
      <w:b/>
      <w:bCs/>
      <w:kern w:val="2"/>
      <w:sz w:val="28"/>
      <w:szCs w:val="28"/>
    </w:rPr>
  </w:style>
  <w:style w:type="character" w:customStyle="1" w:styleId="114">
    <w:name w:val="标题 5 字符"/>
    <w:basedOn w:val="90"/>
    <w:link w:val="7"/>
    <w:autoRedefine/>
    <w:semiHidden/>
    <w:qFormat/>
    <w:uiPriority w:val="9"/>
    <w:rPr>
      <w:rFonts w:ascii="Calibri" w:hAnsi="Calibri"/>
      <w:b/>
      <w:bCs/>
      <w:kern w:val="2"/>
      <w:sz w:val="28"/>
      <w:szCs w:val="28"/>
    </w:rPr>
  </w:style>
  <w:style w:type="character" w:customStyle="1" w:styleId="115">
    <w:name w:val="标题 6 字符"/>
    <w:basedOn w:val="90"/>
    <w:link w:val="8"/>
    <w:autoRedefine/>
    <w:semiHidden/>
    <w:qFormat/>
    <w:uiPriority w:val="9"/>
    <w:rPr>
      <w:rFonts w:asciiTheme="majorHAnsi" w:hAnsiTheme="majorHAnsi" w:eastAsiaTheme="majorEastAsia" w:cstheme="majorBidi"/>
      <w:b/>
      <w:bCs/>
      <w:kern w:val="2"/>
      <w:sz w:val="24"/>
      <w:szCs w:val="24"/>
    </w:rPr>
  </w:style>
  <w:style w:type="character" w:customStyle="1" w:styleId="116">
    <w:name w:val="标题 7 字符"/>
    <w:basedOn w:val="90"/>
    <w:link w:val="9"/>
    <w:autoRedefine/>
    <w:semiHidden/>
    <w:qFormat/>
    <w:uiPriority w:val="9"/>
    <w:rPr>
      <w:rFonts w:ascii="Calibri" w:hAnsi="Calibri"/>
      <w:b/>
      <w:bCs/>
      <w:kern w:val="2"/>
      <w:sz w:val="24"/>
      <w:szCs w:val="24"/>
    </w:rPr>
  </w:style>
  <w:style w:type="character" w:customStyle="1" w:styleId="117">
    <w:name w:val="标题 8 字符"/>
    <w:basedOn w:val="90"/>
    <w:link w:val="10"/>
    <w:autoRedefine/>
    <w:semiHidden/>
    <w:qFormat/>
    <w:uiPriority w:val="9"/>
    <w:rPr>
      <w:rFonts w:asciiTheme="majorHAnsi" w:hAnsiTheme="majorHAnsi" w:eastAsiaTheme="majorEastAsia" w:cstheme="majorBidi"/>
      <w:kern w:val="2"/>
      <w:sz w:val="24"/>
      <w:szCs w:val="24"/>
    </w:rPr>
  </w:style>
  <w:style w:type="character" w:customStyle="1" w:styleId="118">
    <w:name w:val="标题 9 字符"/>
    <w:basedOn w:val="90"/>
    <w:link w:val="11"/>
    <w:autoRedefine/>
    <w:semiHidden/>
    <w:qFormat/>
    <w:uiPriority w:val="9"/>
    <w:rPr>
      <w:rFonts w:asciiTheme="majorHAnsi" w:hAnsiTheme="majorHAnsi" w:eastAsiaTheme="majorEastAsia" w:cstheme="majorBidi"/>
      <w:kern w:val="2"/>
      <w:sz w:val="21"/>
      <w:szCs w:val="21"/>
    </w:rPr>
  </w:style>
  <w:style w:type="character" w:customStyle="1" w:styleId="119">
    <w:name w:val="称呼 字符"/>
    <w:basedOn w:val="90"/>
    <w:link w:val="30"/>
    <w:autoRedefine/>
    <w:semiHidden/>
    <w:qFormat/>
    <w:uiPriority w:val="99"/>
    <w:rPr>
      <w:rFonts w:ascii="Calibri" w:hAnsi="Calibri"/>
      <w:kern w:val="2"/>
      <w:sz w:val="21"/>
      <w:szCs w:val="22"/>
    </w:rPr>
  </w:style>
  <w:style w:type="character" w:customStyle="1" w:styleId="120">
    <w:name w:val="纯文本 字符"/>
    <w:basedOn w:val="90"/>
    <w:link w:val="45"/>
    <w:autoRedefine/>
    <w:semiHidden/>
    <w:qFormat/>
    <w:uiPriority w:val="99"/>
    <w:rPr>
      <w:rFonts w:hAnsi="Courier New" w:cs="Courier New" w:asciiTheme="minorEastAsia" w:eastAsiaTheme="minorEastAsia"/>
      <w:kern w:val="2"/>
      <w:sz w:val="21"/>
      <w:szCs w:val="22"/>
    </w:rPr>
  </w:style>
  <w:style w:type="character" w:customStyle="1" w:styleId="121">
    <w:name w:val="电子邮件签名 字符"/>
    <w:basedOn w:val="90"/>
    <w:link w:val="19"/>
    <w:autoRedefine/>
    <w:semiHidden/>
    <w:qFormat/>
    <w:uiPriority w:val="99"/>
    <w:rPr>
      <w:rFonts w:ascii="Calibri" w:hAnsi="Calibri"/>
      <w:kern w:val="2"/>
      <w:sz w:val="21"/>
      <w:szCs w:val="22"/>
    </w:rPr>
  </w:style>
  <w:style w:type="character" w:customStyle="1" w:styleId="122">
    <w:name w:val="副标题 字符"/>
    <w:basedOn w:val="90"/>
    <w:link w:val="64"/>
    <w:autoRedefine/>
    <w:qFormat/>
    <w:uiPriority w:val="11"/>
    <w:rPr>
      <w:rFonts w:asciiTheme="minorHAnsi" w:hAnsiTheme="minorHAnsi" w:eastAsiaTheme="minorEastAsia" w:cstheme="minorBidi"/>
      <w:b/>
      <w:bCs/>
      <w:kern w:val="28"/>
      <w:sz w:val="32"/>
      <w:szCs w:val="32"/>
    </w:rPr>
  </w:style>
  <w:style w:type="character" w:customStyle="1" w:styleId="123">
    <w:name w:val="宏文本 字符"/>
    <w:basedOn w:val="90"/>
    <w:link w:val="2"/>
    <w:autoRedefine/>
    <w:semiHidden/>
    <w:qFormat/>
    <w:uiPriority w:val="99"/>
    <w:rPr>
      <w:rFonts w:ascii="Courier New" w:hAnsi="Courier New" w:cs="Courier New"/>
      <w:kern w:val="2"/>
      <w:sz w:val="24"/>
      <w:szCs w:val="24"/>
    </w:rPr>
  </w:style>
  <w:style w:type="character" w:customStyle="1" w:styleId="124">
    <w:name w:val="脚注文本 字符"/>
    <w:basedOn w:val="90"/>
    <w:link w:val="67"/>
    <w:autoRedefine/>
    <w:semiHidden/>
    <w:qFormat/>
    <w:uiPriority w:val="99"/>
    <w:rPr>
      <w:rFonts w:ascii="Calibri" w:hAnsi="Calibri"/>
      <w:kern w:val="2"/>
      <w:sz w:val="18"/>
      <w:szCs w:val="18"/>
    </w:rPr>
  </w:style>
  <w:style w:type="character" w:customStyle="1" w:styleId="125">
    <w:name w:val="结束语 字符"/>
    <w:basedOn w:val="90"/>
    <w:link w:val="32"/>
    <w:autoRedefine/>
    <w:semiHidden/>
    <w:qFormat/>
    <w:uiPriority w:val="99"/>
    <w:rPr>
      <w:rFonts w:ascii="Calibri" w:hAnsi="Calibri"/>
      <w:kern w:val="2"/>
      <w:sz w:val="21"/>
      <w:szCs w:val="22"/>
    </w:rPr>
  </w:style>
  <w:style w:type="paragraph" w:styleId="126">
    <w:name w:val="Intense Quote"/>
    <w:basedOn w:val="1"/>
    <w:next w:val="1"/>
    <w:link w:val="127"/>
    <w:autoRedefine/>
    <w:semiHidden/>
    <w:unhideWhenUsed/>
    <w:qFormat/>
    <w:uiPriority w:val="99"/>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27">
    <w:name w:val="明显引用 字符"/>
    <w:basedOn w:val="90"/>
    <w:link w:val="126"/>
    <w:autoRedefine/>
    <w:semiHidden/>
    <w:qFormat/>
    <w:uiPriority w:val="99"/>
    <w:rPr>
      <w:rFonts w:ascii="Calibri" w:hAnsi="Calibri"/>
      <w:i/>
      <w:iCs/>
      <w:color w:val="4F81BD" w:themeColor="accent1"/>
      <w:kern w:val="2"/>
      <w:sz w:val="21"/>
      <w:szCs w:val="22"/>
      <w14:textFill>
        <w14:solidFill>
          <w14:schemeClr w14:val="accent1"/>
        </w14:solidFill>
      </w14:textFill>
    </w:rPr>
  </w:style>
  <w:style w:type="character" w:customStyle="1" w:styleId="128">
    <w:name w:val="签名 字符"/>
    <w:basedOn w:val="90"/>
    <w:link w:val="58"/>
    <w:autoRedefine/>
    <w:semiHidden/>
    <w:qFormat/>
    <w:uiPriority w:val="99"/>
    <w:rPr>
      <w:rFonts w:ascii="Calibri" w:hAnsi="Calibri"/>
      <w:kern w:val="2"/>
      <w:sz w:val="21"/>
      <w:szCs w:val="22"/>
    </w:rPr>
  </w:style>
  <w:style w:type="character" w:customStyle="1" w:styleId="129">
    <w:name w:val="日期 字符"/>
    <w:basedOn w:val="90"/>
    <w:link w:val="50"/>
    <w:autoRedefine/>
    <w:semiHidden/>
    <w:qFormat/>
    <w:uiPriority w:val="99"/>
    <w:rPr>
      <w:rFonts w:ascii="Calibri" w:hAnsi="Calibri"/>
      <w:kern w:val="2"/>
      <w:sz w:val="21"/>
      <w:szCs w:val="22"/>
    </w:rPr>
  </w:style>
  <w:style w:type="paragraph" w:customStyle="1" w:styleId="130">
    <w:name w:val="书目1"/>
    <w:basedOn w:val="1"/>
    <w:next w:val="1"/>
    <w:autoRedefine/>
    <w:semiHidden/>
    <w:unhideWhenUsed/>
    <w:qFormat/>
    <w:uiPriority w:val="37"/>
  </w:style>
  <w:style w:type="character" w:customStyle="1" w:styleId="131">
    <w:name w:val="尾注文本 字符"/>
    <w:basedOn w:val="90"/>
    <w:link w:val="52"/>
    <w:autoRedefine/>
    <w:semiHidden/>
    <w:qFormat/>
    <w:uiPriority w:val="99"/>
    <w:rPr>
      <w:rFonts w:ascii="Calibri" w:hAnsi="Calibri"/>
      <w:kern w:val="2"/>
      <w:sz w:val="21"/>
      <w:szCs w:val="22"/>
    </w:rPr>
  </w:style>
  <w:style w:type="character" w:customStyle="1" w:styleId="132">
    <w:name w:val="文档结构图 字符"/>
    <w:basedOn w:val="90"/>
    <w:link w:val="26"/>
    <w:autoRedefine/>
    <w:semiHidden/>
    <w:qFormat/>
    <w:uiPriority w:val="99"/>
    <w:rPr>
      <w:rFonts w:ascii="Microsoft YaHei UI" w:hAnsi="Calibri" w:eastAsia="Microsoft YaHei UI"/>
      <w:kern w:val="2"/>
      <w:sz w:val="18"/>
      <w:szCs w:val="18"/>
    </w:rPr>
  </w:style>
  <w:style w:type="paragraph" w:styleId="133">
    <w:name w:val="No Spacing"/>
    <w:autoRedefine/>
    <w:semiHidden/>
    <w:unhideWhenUsed/>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4">
    <w:name w:val="信息标题 字符"/>
    <w:basedOn w:val="90"/>
    <w:link w:val="79"/>
    <w:autoRedefine/>
    <w:semiHidden/>
    <w:qFormat/>
    <w:uiPriority w:val="99"/>
    <w:rPr>
      <w:rFonts w:asciiTheme="majorHAnsi" w:hAnsiTheme="majorHAnsi" w:eastAsiaTheme="majorEastAsia" w:cstheme="majorBidi"/>
      <w:kern w:val="2"/>
      <w:sz w:val="24"/>
      <w:szCs w:val="24"/>
      <w:shd w:val="pct20" w:color="auto" w:fill="auto"/>
    </w:rPr>
  </w:style>
  <w:style w:type="paragraph" w:styleId="135">
    <w:name w:val="Quote"/>
    <w:basedOn w:val="1"/>
    <w:next w:val="1"/>
    <w:link w:val="136"/>
    <w:autoRedefine/>
    <w:semiHidden/>
    <w:unhideWhenUsed/>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6">
    <w:name w:val="引用 字符"/>
    <w:basedOn w:val="90"/>
    <w:link w:val="135"/>
    <w:autoRedefine/>
    <w:semiHidden/>
    <w:qFormat/>
    <w:uiPriority w:val="99"/>
    <w:rPr>
      <w:rFonts w:ascii="Calibri" w:hAnsi="Calibri"/>
      <w:i/>
      <w:iCs/>
      <w:color w:val="404040" w:themeColor="text1" w:themeTint="BF"/>
      <w:kern w:val="2"/>
      <w:sz w:val="21"/>
      <w:szCs w:val="22"/>
      <w14:textFill>
        <w14:solidFill>
          <w14:schemeClr w14:val="tx1">
            <w14:lumMod w14:val="75000"/>
            <w14:lumOff w14:val="25000"/>
          </w14:schemeClr>
        </w14:solidFill>
      </w14:textFill>
    </w:rPr>
  </w:style>
  <w:style w:type="character" w:customStyle="1" w:styleId="137">
    <w:name w:val="正文文本 2 字符"/>
    <w:basedOn w:val="90"/>
    <w:link w:val="76"/>
    <w:autoRedefine/>
    <w:semiHidden/>
    <w:qFormat/>
    <w:uiPriority w:val="99"/>
    <w:rPr>
      <w:rFonts w:ascii="Calibri" w:hAnsi="Calibri"/>
      <w:kern w:val="2"/>
      <w:sz w:val="21"/>
      <w:szCs w:val="22"/>
    </w:rPr>
  </w:style>
  <w:style w:type="character" w:customStyle="1" w:styleId="138">
    <w:name w:val="正文文本 3 字符"/>
    <w:basedOn w:val="90"/>
    <w:link w:val="31"/>
    <w:autoRedefine/>
    <w:semiHidden/>
    <w:qFormat/>
    <w:uiPriority w:val="99"/>
    <w:rPr>
      <w:rFonts w:ascii="Calibri" w:hAnsi="Calibri"/>
      <w:kern w:val="2"/>
      <w:sz w:val="16"/>
      <w:szCs w:val="16"/>
    </w:rPr>
  </w:style>
  <w:style w:type="character" w:customStyle="1" w:styleId="139">
    <w:name w:val="正文文本 字符"/>
    <w:basedOn w:val="90"/>
    <w:link w:val="34"/>
    <w:autoRedefine/>
    <w:semiHidden/>
    <w:qFormat/>
    <w:uiPriority w:val="0"/>
    <w:rPr>
      <w:rFonts w:ascii="宋体" w:hAnsi="宋体" w:cs="宋体"/>
      <w:kern w:val="2"/>
      <w:sz w:val="35"/>
      <w:szCs w:val="35"/>
      <w:lang w:eastAsia="en-US"/>
    </w:rPr>
  </w:style>
  <w:style w:type="character" w:customStyle="1" w:styleId="140">
    <w:name w:val="正文文本首行缩进 字符"/>
    <w:basedOn w:val="139"/>
    <w:link w:val="86"/>
    <w:autoRedefine/>
    <w:semiHidden/>
    <w:qFormat/>
    <w:uiPriority w:val="99"/>
    <w:rPr>
      <w:rFonts w:ascii="Calibri" w:hAnsi="Calibri" w:cs="宋体"/>
      <w:kern w:val="2"/>
      <w:sz w:val="21"/>
      <w:szCs w:val="22"/>
      <w:lang w:eastAsia="en-US"/>
    </w:rPr>
  </w:style>
  <w:style w:type="character" w:customStyle="1" w:styleId="141">
    <w:name w:val="正文文本缩进 字符"/>
    <w:basedOn w:val="90"/>
    <w:link w:val="35"/>
    <w:autoRedefine/>
    <w:semiHidden/>
    <w:qFormat/>
    <w:uiPriority w:val="99"/>
    <w:rPr>
      <w:rFonts w:ascii="Calibri" w:hAnsi="Calibri"/>
      <w:kern w:val="2"/>
      <w:sz w:val="21"/>
      <w:szCs w:val="22"/>
    </w:rPr>
  </w:style>
  <w:style w:type="character" w:customStyle="1" w:styleId="142">
    <w:name w:val="正文文本首行缩进 2 字符"/>
    <w:basedOn w:val="141"/>
    <w:link w:val="87"/>
    <w:autoRedefine/>
    <w:semiHidden/>
    <w:qFormat/>
    <w:uiPriority w:val="99"/>
    <w:rPr>
      <w:rFonts w:ascii="Calibri" w:hAnsi="Calibri"/>
      <w:kern w:val="2"/>
      <w:sz w:val="21"/>
      <w:szCs w:val="22"/>
    </w:rPr>
  </w:style>
  <w:style w:type="character" w:customStyle="1" w:styleId="143">
    <w:name w:val="正文文本缩进 2 字符"/>
    <w:basedOn w:val="90"/>
    <w:link w:val="51"/>
    <w:autoRedefine/>
    <w:semiHidden/>
    <w:qFormat/>
    <w:uiPriority w:val="99"/>
    <w:rPr>
      <w:rFonts w:ascii="Calibri" w:hAnsi="Calibri"/>
      <w:kern w:val="2"/>
      <w:sz w:val="21"/>
      <w:szCs w:val="22"/>
    </w:rPr>
  </w:style>
  <w:style w:type="character" w:customStyle="1" w:styleId="144">
    <w:name w:val="正文文本缩进 3 字符"/>
    <w:basedOn w:val="90"/>
    <w:link w:val="70"/>
    <w:autoRedefine/>
    <w:semiHidden/>
    <w:qFormat/>
    <w:uiPriority w:val="99"/>
    <w:rPr>
      <w:rFonts w:ascii="Calibri" w:hAnsi="Calibri"/>
      <w:kern w:val="2"/>
      <w:sz w:val="16"/>
      <w:szCs w:val="16"/>
    </w:rPr>
  </w:style>
  <w:style w:type="character" w:customStyle="1" w:styleId="145">
    <w:name w:val="注释标题 字符"/>
    <w:basedOn w:val="90"/>
    <w:link w:val="16"/>
    <w:autoRedefine/>
    <w:semiHidden/>
    <w:qFormat/>
    <w:uiPriority w:val="99"/>
    <w:rPr>
      <w:rFonts w:ascii="Calibri" w:hAnsi="Calibri"/>
      <w:kern w:val="2"/>
      <w:sz w:val="21"/>
      <w:szCs w:val="22"/>
    </w:rPr>
  </w:style>
  <w:style w:type="paragraph" w:customStyle="1" w:styleId="146">
    <w:name w:val="修订5"/>
    <w:autoRedefine/>
    <w:hidden/>
    <w:unhideWhenUsed/>
    <w:qFormat/>
    <w:uiPriority w:val="99"/>
    <w:rPr>
      <w:rFonts w:ascii="Calibri" w:hAnsi="Calibri" w:eastAsia="宋体" w:cs="Times New Roman"/>
      <w:kern w:val="2"/>
      <w:sz w:val="21"/>
      <w:szCs w:val="22"/>
      <w:lang w:val="en-US" w:eastAsia="zh-CN" w:bidi="ar-SA"/>
    </w:rPr>
  </w:style>
  <w:style w:type="character" w:customStyle="1" w:styleId="147">
    <w:name w:val="font11"/>
    <w:basedOn w:val="90"/>
    <w:autoRedefine/>
    <w:qFormat/>
    <w:uiPriority w:val="0"/>
    <w:rPr>
      <w:rFonts w:hint="eastAsia" w:ascii="宋体" w:hAnsi="宋体" w:eastAsia="宋体" w:cs="宋体"/>
      <w:b/>
      <w:bCs/>
      <w:color w:val="000000"/>
      <w:sz w:val="24"/>
      <w:szCs w:val="24"/>
      <w:u w:val="none"/>
    </w:rPr>
  </w:style>
  <w:style w:type="character" w:customStyle="1" w:styleId="148">
    <w:name w:val="font21"/>
    <w:basedOn w:val="90"/>
    <w:autoRedefine/>
    <w:qFormat/>
    <w:uiPriority w:val="0"/>
    <w:rPr>
      <w:rFonts w:hint="eastAsia" w:ascii="宋体" w:hAnsi="宋体" w:eastAsia="宋体" w:cs="宋体"/>
      <w:color w:val="000000"/>
      <w:sz w:val="24"/>
      <w:szCs w:val="24"/>
      <w:u w:val="none"/>
    </w:rPr>
  </w:style>
  <w:style w:type="paragraph" w:customStyle="1" w:styleId="149">
    <w:name w:val="Revision"/>
    <w:autoRedefine/>
    <w:hidden/>
    <w:unhideWhenUsed/>
    <w:qFormat/>
    <w:uiPriority w:val="99"/>
    <w:rPr>
      <w:rFonts w:ascii="Calibri" w:hAnsi="Calibri" w:eastAsia="宋体" w:cs="Times New Roman"/>
      <w:kern w:val="2"/>
      <w:sz w:val="21"/>
      <w:szCs w:val="22"/>
      <w:lang w:val="en-US" w:eastAsia="zh-CN" w:bidi="ar-SA"/>
    </w:rPr>
  </w:style>
  <w:style w:type="paragraph" w:customStyle="1" w:styleId="150">
    <w:name w:val="TOC Heading"/>
    <w:basedOn w:val="3"/>
    <w:next w:val="1"/>
    <w:autoRedefine/>
    <w:semiHidden/>
    <w:unhideWhenUsed/>
    <w:qFormat/>
    <w:uiPriority w:val="39"/>
    <w:pPr>
      <w:outlineLvl w:val="9"/>
    </w:pPr>
  </w:style>
  <w:style w:type="paragraph" w:customStyle="1" w:styleId="151">
    <w:name w:val="Bibliography"/>
    <w:basedOn w:val="1"/>
    <w:next w:val="1"/>
    <w:autoRedefine/>
    <w:semiHidden/>
    <w:unhideWhenUsed/>
    <w:qFormat/>
    <w:uiPriority w:val="37"/>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334</Words>
  <Characters>1910</Characters>
  <Lines>15</Lines>
  <Paragraphs>4</Paragraphs>
  <TotalTime>3</TotalTime>
  <ScaleCrop>false</ScaleCrop>
  <LinksUpToDate>false</LinksUpToDate>
  <CharactersWithSpaces>2240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2022-04-25T12:27:00Z</dcterms:created>
  <dc:creator>tek</dc:creator>
  <cp:lastModifiedBy>Y.    Miss</cp:lastModifiedBy>
  <dcterms:modified xsi:type="dcterms:W3CDTF">2024-04-25T09:04:42Z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464DEC44C1504F6BB1C50DE2C92B6F68_13</vt:lpwstr>
  </property>
</Properties>
</file>