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证券代码：</w:t>
      </w:r>
      <w:r>
        <w:rPr>
          <w:rFonts w:ascii="宋体" w:hAnsi="宋体" w:eastAsia="宋体"/>
          <w:b/>
          <w:sz w:val="24"/>
          <w:szCs w:val="24"/>
        </w:rPr>
        <w:t xml:space="preserve">603191         </w:t>
      </w:r>
      <w:r>
        <w:rPr>
          <w:rFonts w:hint="eastAsia" w:ascii="宋体" w:hAnsi="宋体" w:eastAsia="宋体"/>
          <w:b/>
          <w:sz w:val="24"/>
          <w:szCs w:val="24"/>
        </w:rPr>
        <w:t xml:space="preserve">证券简称：望变电气 </w:t>
      </w:r>
      <w:r>
        <w:rPr>
          <w:rFonts w:ascii="宋体" w:hAnsi="宋体" w:eastAsia="宋体"/>
          <w:b/>
          <w:sz w:val="24"/>
          <w:szCs w:val="24"/>
        </w:rPr>
        <w:t xml:space="preserve">      </w:t>
      </w:r>
      <w:r>
        <w:rPr>
          <w:rFonts w:hint="eastAsia" w:ascii="宋体" w:hAnsi="宋体" w:eastAsia="宋体"/>
          <w:b/>
          <w:sz w:val="24"/>
          <w:szCs w:val="24"/>
        </w:rPr>
        <w:t>公告编号：2</w:t>
      </w:r>
      <w:r>
        <w:rPr>
          <w:rFonts w:ascii="宋体" w:hAnsi="宋体" w:eastAsia="宋体"/>
          <w:b/>
          <w:sz w:val="24"/>
          <w:szCs w:val="24"/>
        </w:rPr>
        <w:t>02</w:t>
      </w:r>
      <w:r>
        <w:rPr>
          <w:rFonts w:hint="eastAsia" w:ascii="宋体" w:hAnsi="宋体" w:eastAsia="宋体"/>
          <w:b/>
          <w:sz w:val="24"/>
          <w:szCs w:val="24"/>
        </w:rPr>
        <w:t>4-033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723" w:firstLineChars="200"/>
        <w:jc w:val="center"/>
        <w:rPr>
          <w:rFonts w:ascii="宋体" w:hAnsi="宋体" w:eastAsia="宋体" w:cs="仿宋_GB2312"/>
          <w:b/>
          <w:color w:val="FF0000"/>
          <w:sz w:val="36"/>
          <w:szCs w:val="36"/>
        </w:rPr>
      </w:pP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重庆望变电气（集团）股份有限公司</w:t>
      </w:r>
    </w:p>
    <w:p>
      <w:pPr>
        <w:adjustRightInd w:val="0"/>
        <w:snapToGrid w:val="0"/>
        <w:spacing w:line="560" w:lineRule="exact"/>
        <w:ind w:firstLine="723" w:firstLineChars="200"/>
        <w:jc w:val="center"/>
        <w:rPr>
          <w:rFonts w:ascii="宋体" w:hAnsi="宋体" w:eastAsia="宋体" w:cs="仿宋_GB2312"/>
          <w:b/>
          <w:color w:val="FF0000"/>
          <w:sz w:val="36"/>
          <w:szCs w:val="36"/>
        </w:rPr>
      </w:pP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第四届监事会第四次会议决议公告</w:t>
      </w:r>
    </w:p>
    <w:p>
      <w:pPr>
        <w:adjustRightInd w:val="0"/>
        <w:snapToGrid w:val="0"/>
        <w:spacing w:line="560" w:lineRule="exact"/>
        <w:ind w:firstLine="562" w:firstLineChars="200"/>
        <w:jc w:val="center"/>
        <w:rPr>
          <w:rFonts w:ascii="宋体" w:hAnsi="宋体" w:eastAsia="宋体" w:cs="仿宋_GB2312"/>
          <w:b/>
          <w:color w:val="FF0000"/>
          <w:sz w:val="28"/>
          <w:szCs w:val="28"/>
        </w:rPr>
      </w:pPr>
    </w:p>
    <w:p>
      <w:pPr>
        <w:pStyle w:val="1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adjustRightInd w:val="0"/>
        <w:snapToGrid w:val="0"/>
        <w:spacing w:line="560" w:lineRule="exact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本公司监事会及全体监事保证本公告内容不存在任何虚假记载、误导性陈述或者重大遗漏，并对其内容的真实性、准确性和完整性承担法律责任。</w:t>
      </w:r>
    </w:p>
    <w:p>
      <w:pPr>
        <w:pStyle w:val="11"/>
        <w:adjustRightInd w:val="0"/>
        <w:snapToGrid w:val="0"/>
        <w:spacing w:line="560" w:lineRule="exact"/>
        <w:rPr>
          <w:rFonts w:ascii="宋体" w:hAnsi="宋体"/>
        </w:rPr>
      </w:pPr>
    </w:p>
    <w:p>
      <w:pPr>
        <w:autoSpaceDE w:val="0"/>
        <w:autoSpaceDN w:val="0"/>
        <w:adjustRightInd w:val="0"/>
        <w:spacing w:line="560" w:lineRule="exact"/>
        <w:ind w:firstLine="463" w:firstLineChars="192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一、 监事会会议召开情况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重庆望变电气（集团）股份有限公司（以下简称“公司”）第四届监事会第四次会议于2024年4月24日在公司会议</w:t>
      </w:r>
      <w:r>
        <w:rPr>
          <w:rFonts w:hint="eastAsia" w:ascii="宋体" w:hAnsi="宋体"/>
          <w:color w:val="000000"/>
          <w:highlight w:val="none"/>
        </w:rPr>
        <w:t>室以现场的方式</w:t>
      </w:r>
      <w:r>
        <w:rPr>
          <w:rFonts w:hint="eastAsia" w:ascii="宋体" w:hAnsi="宋体"/>
          <w:color w:val="000000"/>
        </w:rPr>
        <w:t>召开。会议通知于2024年4月12日以邮件的方式发出。本次会议应出席监事3名，实际出席监事3名。本次会议由监事会主席李长平先生召集并主持。本次会议的召集、召开符合《中华人民共和国公司法》等有关法律、行政法规、部门规章、规范性文件和《公司章程》的相关规定，会议形成的决议合法、有效。</w:t>
      </w:r>
    </w:p>
    <w:p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二、监事会会议审议情况</w:t>
      </w:r>
    </w:p>
    <w:p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（一）审议通过《关于公司2023年度监事会工作报告的议案》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同意通过《2023年度监事会工作报告》。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表决结果：同意3票；反对0票；弃权0票。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本议案尚需提交公司股东大会审议。 </w:t>
      </w:r>
    </w:p>
    <w:p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（二）审议通过《关于公司2023年度财务决算报告的议案》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监事会就《2023年度财务决算报告》进行了审议，认为客观、真实地反映了公司2023年度的财务状况和经营成果，同意通过《2023年度财务决算报告》。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表决结果：同意3票；反对0票；弃权0票。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本议案尚需提交公司股东大会审议。 </w:t>
      </w:r>
    </w:p>
    <w:p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（三）审议通过《关于公司2024年度财务预算报告的议案》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监事会就公司《2024年度财务预算报告》进行了审议，同意通过《2024年度财务预算报告》。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表决结果：同意3票；反对0票；弃权0票。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本议案尚需提交公司股东大会审议。 </w:t>
      </w:r>
    </w:p>
    <w:p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（四）审议通过《关于公司2023年度利润分配方案的议案》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监事会同意公司2023年度利润分配方案，相关内容详见2024年4月26日刊登于上海证券交易所网站www.sse.com.cn的《关于2023年度利润分配方案公告》（公告编号：2024-034）。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表决结果：同意3票；反对0票；弃权0票。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本议案尚需提交公司股东大会审议。</w:t>
      </w:r>
    </w:p>
    <w:p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（五）审议通过《关于公司2023年年度报告全文及其摘要的议案》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相关内容详见2024年4月26日刊登于上海证券交易所网站www.sse.com.cn的《2023年年度报告》和《2023年年度报告摘要》。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表决结果：同意3票；反对0票；弃权0票。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本议案尚需提交股东大会审议通过。</w:t>
      </w:r>
    </w:p>
    <w:p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（六）审议通过《关于公司2023年度内部控制自我评价报告的议案》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相关内容详见2024年4月26日刊登于上海证券交易所网站www.sse.com.cn的《2023</w:t>
      </w:r>
      <w:bookmarkStart w:id="0" w:name="_GoBack"/>
      <w:bookmarkEnd w:id="0"/>
      <w:r>
        <w:rPr>
          <w:rFonts w:hint="eastAsia" w:ascii="宋体" w:hAnsi="宋体"/>
          <w:bCs/>
          <w:color w:val="000000"/>
        </w:rPr>
        <w:t>年度内部控制评价报告》。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Cs/>
          <w:color w:val="000000"/>
        </w:rPr>
        <w:t>表决结果：同意3票；反对0票；弃权0票。</w:t>
      </w:r>
    </w:p>
    <w:p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（七）审议通过《关于公司2023年度募集资金存放与使用情况的专项报告的议案》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相关内容详见2024年4月26日刊登于上海证券交易所网站www.sse.com.cn的《2023年年度募集资金存放与使用情况的专项报告》。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Cs/>
          <w:color w:val="000000"/>
        </w:rPr>
        <w:t>表决结果：同意3票；反对0票；弃权0票。</w:t>
      </w:r>
    </w:p>
    <w:p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（八）审议通过《关于审议监事薪酬的议案》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本议案全体监事回避表决，并同意将该事项提交公司股东大会审议。</w:t>
      </w:r>
    </w:p>
    <w:p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（九）审议通过《关于公司2024年第一季度报告的议案》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相关内容详见2024年4月26日刊登于上海证券交易所网站www.sse.com.cn的《2024年第一季度报告》。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表决结果：同意3票；反对0票；弃权0票。</w:t>
      </w:r>
    </w:p>
    <w:p>
      <w:pPr>
        <w:pStyle w:val="19"/>
        <w:numPr>
          <w:ilvl w:val="255"/>
          <w:numId w:val="0"/>
        </w:numPr>
        <w:autoSpaceDE w:val="0"/>
        <w:autoSpaceDN w:val="0"/>
        <w:adjustRightInd w:val="0"/>
        <w:snapToGrid w:val="0"/>
        <w:spacing w:line="560" w:lineRule="exact"/>
        <w:ind w:left="482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（十）审议通过</w:t>
      </w:r>
      <w:r>
        <w:rPr>
          <w:rFonts w:hint="eastAsia" w:ascii="宋体" w:hAnsi="宋体" w:cs="宋体"/>
          <w:b/>
          <w:sz w:val="24"/>
          <w:szCs w:val="24"/>
        </w:rPr>
        <w:t>《关于使用部分闲置募集资金进行现金管理的议案》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相关内容详见</w:t>
      </w:r>
      <w:r>
        <w:rPr>
          <w:rFonts w:hint="eastAsia" w:ascii="宋体" w:hAnsi="宋体" w:eastAsia="宋体" w:cs="宋体"/>
          <w:sz w:val="24"/>
          <w:szCs w:val="24"/>
        </w:rPr>
        <w:t>2024年4月26日</w:t>
      </w:r>
      <w:r>
        <w:rPr>
          <w:rFonts w:ascii="宋体" w:hAnsi="宋体" w:eastAsia="宋体" w:cs="宋体"/>
          <w:sz w:val="24"/>
          <w:szCs w:val="24"/>
        </w:rPr>
        <w:t>刊登于上海证券交易所网站www.sse.com.cn</w:t>
      </w:r>
      <w:r>
        <w:rPr>
          <w:rFonts w:hint="eastAsia" w:ascii="宋体" w:hAnsi="宋体" w:eastAsia="宋体" w:cs="宋体"/>
          <w:sz w:val="24"/>
          <w:szCs w:val="24"/>
        </w:rPr>
        <w:t>的《关于使用暂时闲置募集资金进行现金管理的公告》</w:t>
      </w:r>
      <w:r>
        <w:rPr>
          <w:rFonts w:ascii="宋体" w:hAnsi="宋体" w:eastAsia="宋体" w:cs="宋体"/>
          <w:sz w:val="24"/>
          <w:szCs w:val="24"/>
        </w:rPr>
        <w:t>。（公告编号：202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>-0</w:t>
      </w:r>
      <w:r>
        <w:rPr>
          <w:rFonts w:hint="eastAsia" w:ascii="宋体" w:hAnsi="宋体" w:eastAsia="宋体" w:cs="宋体"/>
          <w:sz w:val="24"/>
          <w:szCs w:val="24"/>
        </w:rPr>
        <w:t>35</w:t>
      </w:r>
      <w:r>
        <w:rPr>
          <w:rFonts w:ascii="宋体" w:hAnsi="宋体" w:eastAsia="宋体" w:cs="宋体"/>
          <w:sz w:val="24"/>
          <w:szCs w:val="24"/>
        </w:rPr>
        <w:t>）。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表决结果：同意3票；反对0票；弃权0票。</w:t>
      </w:r>
    </w:p>
    <w:p>
      <w:pPr>
        <w:pStyle w:val="19"/>
        <w:numPr>
          <w:ilvl w:val="255"/>
          <w:numId w:val="0"/>
        </w:numPr>
        <w:autoSpaceDE w:val="0"/>
        <w:autoSpaceDN w:val="0"/>
        <w:adjustRightInd w:val="0"/>
        <w:snapToGrid w:val="0"/>
        <w:spacing w:line="560" w:lineRule="exact"/>
        <w:ind w:left="482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（十一）审议通过《关于为子公司云南变压器电气股份有限公司申请授信</w:t>
      </w:r>
    </w:p>
    <w:p>
      <w:pPr>
        <w:pStyle w:val="19"/>
        <w:autoSpaceDE w:val="0"/>
        <w:autoSpaceDN w:val="0"/>
        <w:adjustRightInd w:val="0"/>
        <w:snapToGrid w:val="0"/>
        <w:spacing w:line="560" w:lineRule="exact"/>
        <w:ind w:firstLine="0" w:firstLineChars="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提供担保的议案》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相关内容详见</w:t>
      </w:r>
      <w:r>
        <w:rPr>
          <w:rFonts w:hint="eastAsia" w:ascii="宋体" w:hAnsi="宋体" w:eastAsia="宋体" w:cs="宋体"/>
          <w:sz w:val="24"/>
          <w:szCs w:val="24"/>
        </w:rPr>
        <w:t>2024年4月26日</w:t>
      </w:r>
      <w:r>
        <w:rPr>
          <w:rFonts w:ascii="宋体" w:hAnsi="宋体" w:eastAsia="宋体" w:cs="宋体"/>
          <w:sz w:val="24"/>
          <w:szCs w:val="24"/>
        </w:rPr>
        <w:t>刊登于上海证券交易所网站www.sse.com.cn</w:t>
      </w:r>
      <w:r>
        <w:rPr>
          <w:rFonts w:hint="eastAsia" w:ascii="宋体" w:hAnsi="宋体" w:eastAsia="宋体" w:cs="宋体"/>
          <w:sz w:val="24"/>
          <w:szCs w:val="24"/>
        </w:rPr>
        <w:t>的《关于为子公司申请授信提供担保的公告》</w:t>
      </w:r>
      <w:r>
        <w:rPr>
          <w:rFonts w:ascii="宋体" w:hAnsi="宋体" w:eastAsia="宋体" w:cs="宋体"/>
          <w:sz w:val="24"/>
          <w:szCs w:val="24"/>
        </w:rPr>
        <w:t>。（公告编号：202</w:t>
      </w:r>
      <w:r>
        <w:rPr>
          <w:rFonts w:hint="eastAsia" w:ascii="宋体" w:hAnsi="宋体" w:eastAsia="宋体" w:cs="宋体"/>
          <w:sz w:val="24"/>
          <w:szCs w:val="24"/>
        </w:rPr>
        <w:t>4-036</w:t>
      </w:r>
      <w:r>
        <w:rPr>
          <w:rFonts w:ascii="宋体" w:hAnsi="宋体" w:eastAsia="宋体" w:cs="宋体"/>
          <w:sz w:val="24"/>
          <w:szCs w:val="24"/>
        </w:rPr>
        <w:t>）。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表决结果：同意3票；反对0票；弃权0票。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本议案尚需提交股东大会审议通过。</w:t>
      </w:r>
    </w:p>
    <w:p>
      <w:pPr>
        <w:pStyle w:val="11"/>
        <w:adjustRightInd w:val="0"/>
        <w:snapToGrid w:val="0"/>
        <w:spacing w:line="560" w:lineRule="exact"/>
        <w:rPr>
          <w:rFonts w:ascii="宋体" w:hAnsi="宋体"/>
          <w:bCs/>
          <w:color w:val="000000"/>
        </w:rPr>
      </w:pP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特此公告。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重庆望变电气（集团）股份有限公司监事会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jc w:val="right"/>
        <w:rPr>
          <w:rFonts w:ascii="宋体" w:hAnsi="宋体"/>
          <w:highlight w:val="yellow"/>
        </w:rPr>
      </w:pPr>
      <w:r>
        <w:rPr>
          <w:rFonts w:hint="eastAsia" w:ascii="宋体" w:hAnsi="宋体"/>
          <w:color w:val="000000"/>
        </w:rPr>
        <w:t>2</w:t>
      </w:r>
      <w:r>
        <w:rPr>
          <w:rFonts w:ascii="宋体" w:hAnsi="宋体"/>
          <w:color w:val="000000"/>
        </w:rPr>
        <w:t>02</w:t>
      </w:r>
      <w:r>
        <w:rPr>
          <w:rFonts w:hint="eastAsia" w:ascii="宋体" w:hAnsi="宋体"/>
          <w:color w:val="000000"/>
        </w:rPr>
        <w:t>4年4月</w:t>
      </w: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875302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ZmRmZDMxMjkwMDE2NTk0ZWQ1ZWYwMzRmYjVhNmUifQ=="/>
  </w:docVars>
  <w:rsids>
    <w:rsidRoot w:val="250648DF"/>
    <w:rsid w:val="0000560A"/>
    <w:rsid w:val="00017EDF"/>
    <w:rsid w:val="00030173"/>
    <w:rsid w:val="00071422"/>
    <w:rsid w:val="000C14F3"/>
    <w:rsid w:val="000E2D2B"/>
    <w:rsid w:val="0014314D"/>
    <w:rsid w:val="00145376"/>
    <w:rsid w:val="0015522E"/>
    <w:rsid w:val="00172278"/>
    <w:rsid w:val="00197F58"/>
    <w:rsid w:val="001A19AA"/>
    <w:rsid w:val="001E5B6D"/>
    <w:rsid w:val="0026231B"/>
    <w:rsid w:val="00263A11"/>
    <w:rsid w:val="00265CEB"/>
    <w:rsid w:val="00294FA7"/>
    <w:rsid w:val="002A4A5F"/>
    <w:rsid w:val="002D4803"/>
    <w:rsid w:val="002E4BAE"/>
    <w:rsid w:val="00313FED"/>
    <w:rsid w:val="003503E2"/>
    <w:rsid w:val="003B505E"/>
    <w:rsid w:val="003B5A9C"/>
    <w:rsid w:val="003B6998"/>
    <w:rsid w:val="0043572E"/>
    <w:rsid w:val="00452FDE"/>
    <w:rsid w:val="00471AA1"/>
    <w:rsid w:val="004915CA"/>
    <w:rsid w:val="004958CF"/>
    <w:rsid w:val="004C23D4"/>
    <w:rsid w:val="005052AF"/>
    <w:rsid w:val="00510919"/>
    <w:rsid w:val="005147FD"/>
    <w:rsid w:val="0053474F"/>
    <w:rsid w:val="00566029"/>
    <w:rsid w:val="005A51A9"/>
    <w:rsid w:val="005B1B2B"/>
    <w:rsid w:val="005E47D3"/>
    <w:rsid w:val="005F0EE6"/>
    <w:rsid w:val="006140E4"/>
    <w:rsid w:val="0065083B"/>
    <w:rsid w:val="006521A8"/>
    <w:rsid w:val="00656AB7"/>
    <w:rsid w:val="00671781"/>
    <w:rsid w:val="006740E1"/>
    <w:rsid w:val="00674AB8"/>
    <w:rsid w:val="0068614B"/>
    <w:rsid w:val="006C4055"/>
    <w:rsid w:val="006E0638"/>
    <w:rsid w:val="00743342"/>
    <w:rsid w:val="00756641"/>
    <w:rsid w:val="00775870"/>
    <w:rsid w:val="007B1BE1"/>
    <w:rsid w:val="007C6756"/>
    <w:rsid w:val="007D0568"/>
    <w:rsid w:val="007E3019"/>
    <w:rsid w:val="00802CF4"/>
    <w:rsid w:val="00810890"/>
    <w:rsid w:val="00816738"/>
    <w:rsid w:val="00824398"/>
    <w:rsid w:val="00864A4F"/>
    <w:rsid w:val="00880A4C"/>
    <w:rsid w:val="008A0C1F"/>
    <w:rsid w:val="008E132F"/>
    <w:rsid w:val="008E2407"/>
    <w:rsid w:val="008E6C4A"/>
    <w:rsid w:val="00906FA1"/>
    <w:rsid w:val="00915EFD"/>
    <w:rsid w:val="009D4BD2"/>
    <w:rsid w:val="00A35B35"/>
    <w:rsid w:val="00A61D0E"/>
    <w:rsid w:val="00A824D5"/>
    <w:rsid w:val="00AD3170"/>
    <w:rsid w:val="00AF480D"/>
    <w:rsid w:val="00B127D6"/>
    <w:rsid w:val="00B66502"/>
    <w:rsid w:val="00B7323C"/>
    <w:rsid w:val="00B94247"/>
    <w:rsid w:val="00C07EC8"/>
    <w:rsid w:val="00C60313"/>
    <w:rsid w:val="00C620CE"/>
    <w:rsid w:val="00C62F75"/>
    <w:rsid w:val="00C655CD"/>
    <w:rsid w:val="00C93B26"/>
    <w:rsid w:val="00CE57F8"/>
    <w:rsid w:val="00D2703E"/>
    <w:rsid w:val="00D61553"/>
    <w:rsid w:val="00D62F76"/>
    <w:rsid w:val="00D64D5A"/>
    <w:rsid w:val="00D81E6B"/>
    <w:rsid w:val="00D96B6E"/>
    <w:rsid w:val="00DC344C"/>
    <w:rsid w:val="00DD5DC1"/>
    <w:rsid w:val="00DF16D4"/>
    <w:rsid w:val="00E52CF6"/>
    <w:rsid w:val="00E635D9"/>
    <w:rsid w:val="00E77466"/>
    <w:rsid w:val="00E93946"/>
    <w:rsid w:val="00EC468D"/>
    <w:rsid w:val="00EE3298"/>
    <w:rsid w:val="00F04918"/>
    <w:rsid w:val="00FA1652"/>
    <w:rsid w:val="00FD2ADA"/>
    <w:rsid w:val="02413036"/>
    <w:rsid w:val="03A4154D"/>
    <w:rsid w:val="04504EB3"/>
    <w:rsid w:val="07F60EEB"/>
    <w:rsid w:val="094950CC"/>
    <w:rsid w:val="0B42184D"/>
    <w:rsid w:val="0B600DC7"/>
    <w:rsid w:val="0BD93341"/>
    <w:rsid w:val="0EEA4B99"/>
    <w:rsid w:val="15663828"/>
    <w:rsid w:val="18CC61E5"/>
    <w:rsid w:val="201072A5"/>
    <w:rsid w:val="21B72742"/>
    <w:rsid w:val="22980952"/>
    <w:rsid w:val="250648DF"/>
    <w:rsid w:val="25EB6BDF"/>
    <w:rsid w:val="27BD3DBC"/>
    <w:rsid w:val="2E6B62F8"/>
    <w:rsid w:val="307411DA"/>
    <w:rsid w:val="31072F7C"/>
    <w:rsid w:val="316A5FE7"/>
    <w:rsid w:val="39221C77"/>
    <w:rsid w:val="45366DBA"/>
    <w:rsid w:val="480E7C0F"/>
    <w:rsid w:val="49184C66"/>
    <w:rsid w:val="49DB44EA"/>
    <w:rsid w:val="4B98272C"/>
    <w:rsid w:val="4FC00144"/>
    <w:rsid w:val="519E4A21"/>
    <w:rsid w:val="5C165156"/>
    <w:rsid w:val="61FE3A6B"/>
    <w:rsid w:val="6609788A"/>
    <w:rsid w:val="6D6E0C14"/>
    <w:rsid w:val="6D9B7EBF"/>
    <w:rsid w:val="75297F2F"/>
    <w:rsid w:val="7FAC5B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0"/>
      <w:szCs w:val="32"/>
    </w:rPr>
  </w:style>
  <w:style w:type="paragraph" w:styleId="7">
    <w:name w:val="annotation subject"/>
    <w:basedOn w:val="2"/>
    <w:next w:val="2"/>
    <w:link w:val="16"/>
    <w:autoRedefine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paragraph" w:customStyle="1" w:styleId="11">
    <w:name w:val="p0"/>
    <w:basedOn w:val="1"/>
    <w:autoRedefine/>
    <w:qFormat/>
    <w:uiPriority w:val="0"/>
    <w:pPr>
      <w:widowControl/>
    </w:pPr>
    <w:rPr>
      <w:rFonts w:ascii="Book Antiqua" w:hAnsi="Book Antiqua" w:eastAsia="宋体" w:cs="宋体"/>
      <w:kern w:val="0"/>
      <w:sz w:val="24"/>
      <w:szCs w:val="24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9"/>
    <w:link w:val="2"/>
    <w:qFormat/>
    <w:uiPriority w:val="0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autoRedefine/>
    <w:semiHidden/>
    <w:qFormat/>
    <w:uiPriority w:val="0"/>
    <w:rPr>
      <w:b/>
      <w:bCs/>
      <w:kern w:val="2"/>
      <w:sz w:val="21"/>
      <w:szCs w:val="22"/>
    </w:rPr>
  </w:style>
  <w:style w:type="paragraph" w:customStyle="1" w:styleId="17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</Words>
  <Characters>1505</Characters>
  <Lines>12</Lines>
  <Paragraphs>3</Paragraphs>
  <TotalTime>22</TotalTime>
  <ScaleCrop>false</ScaleCrop>
  <LinksUpToDate>false</LinksUpToDate>
  <CharactersWithSpaces>1766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2022-08-18T08:37:00Z</dcterms:created>
  <dc:creator>BJB-ZB-03</dc:creator>
  <cp:lastModifiedBy>Y.    Miss</cp:lastModifiedBy>
  <dcterms:modified xsi:type="dcterms:W3CDTF">2024-04-25T02:38:53Z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181ED92DE4064773A374569304AD3365_13</vt:lpwstr>
  </property>
</Properties>
</file>